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F7E87" w14:textId="056EEE1B" w:rsidR="00513D3C" w:rsidRPr="00170DF9" w:rsidRDefault="001E6B55" w:rsidP="001E6B55">
      <w:pPr>
        <w:pStyle w:val="Pagedecouverture"/>
        <w:rPr>
          <w:noProof/>
        </w:rPr>
      </w:pPr>
      <w:bookmarkStart w:id="0" w:name="LW_BM_COVERPAGE"/>
      <w:r>
        <w:rPr>
          <w:noProof/>
        </w:rPr>
        <w:pict w14:anchorId="319B59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CAD88B-1FA4-46A0-9673-EC90A7F13779" style="width:455.25pt;height:354.75pt">
            <v:imagedata r:id="rId11" o:title=""/>
          </v:shape>
        </w:pict>
      </w:r>
    </w:p>
    <w:bookmarkEnd w:id="0"/>
    <w:p w14:paraId="4E8302B7" w14:textId="77777777" w:rsidR="00513D3C" w:rsidRPr="00170DF9" w:rsidRDefault="00513D3C" w:rsidP="00513D3C">
      <w:pPr>
        <w:rPr>
          <w:noProof/>
          <w:lang w:val="en-IE"/>
        </w:rPr>
        <w:sectPr w:rsidR="00513D3C" w:rsidRPr="00170DF9" w:rsidSect="001E6B55">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0DD180D7" w14:textId="2E0B5458" w:rsidR="00E918B5" w:rsidRPr="00170DF9" w:rsidRDefault="00E918B5" w:rsidP="00E918B5">
      <w:pPr>
        <w:rPr>
          <w:rFonts w:ascii="Times New Roman" w:eastAsia="Times New Roman" w:hAnsi="Times New Roman" w:cs="Times New Roman"/>
          <w:smallCaps/>
          <w:noProof/>
          <w:color w:val="000000" w:themeColor="text1"/>
          <w:kern w:val="0"/>
          <w:sz w:val="24"/>
          <w:szCs w:val="24"/>
          <w14:ligatures w14:val="none"/>
        </w:rPr>
      </w:pPr>
      <w:bookmarkStart w:id="1" w:name="_GoBack"/>
      <w:bookmarkEnd w:id="1"/>
      <w:r>
        <w:rPr>
          <w:rFonts w:ascii="Times New Roman" w:hAnsi="Times New Roman"/>
          <w:smallCaps/>
          <w:noProof/>
          <w:color w:val="000000" w:themeColor="text1"/>
          <w:sz w:val="24"/>
        </w:rPr>
        <w:lastRenderedPageBreak/>
        <w:t>Introduction</w:t>
      </w:r>
    </w:p>
    <w:p w14:paraId="7EAAF786" w14:textId="79A293F7" w:rsidR="00681258" w:rsidRPr="00170DF9" w:rsidRDefault="000E642C" w:rsidP="00B56406">
      <w:pPr>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Depuis son introduction, la politique agricole commune (PAC) a considérablement évolué pour répondre aux besoins émergents et adapter ses modalités. </w:t>
      </w:r>
      <w:r>
        <w:rPr>
          <w:rFonts w:ascii="Times New Roman" w:hAnsi="Times New Roman"/>
          <w:b/>
          <w:noProof/>
          <w:sz w:val="24"/>
        </w:rPr>
        <w:t xml:space="preserve">Le nouveau modèle de mise en œuvre de la PAC 2023-2027 a mis l’accent non plus sur le respect des règles détaillées de l’UE, mais sur une politique fondée sur les performances et axée sur les objectifs. Le modèle vise à obtenir des résultats tangibles et à atteindre les objectifs communs, tout en laissant aux États membres une plus grande marge de manœuvre pour décider des détails de la politique. </w:t>
      </w:r>
    </w:p>
    <w:p w14:paraId="6C3AA6D6" w14:textId="79C48974" w:rsidR="00E86695" w:rsidRPr="00170DF9" w:rsidRDefault="00BA24EE" w:rsidP="00B56406">
      <w:pPr>
        <w:jc w:val="both"/>
        <w:rPr>
          <w:rFonts w:ascii="Times New Roman" w:eastAsia="Times New Roman" w:hAnsi="Times New Roman" w:cs="Times New Roman"/>
          <w:strike/>
          <w:noProof/>
          <w:kern w:val="0"/>
          <w:sz w:val="24"/>
          <w:szCs w:val="24"/>
          <w14:ligatures w14:val="none"/>
        </w:rPr>
      </w:pPr>
      <w:r>
        <w:rPr>
          <w:rFonts w:ascii="Times New Roman" w:hAnsi="Times New Roman"/>
          <w:b/>
          <w:noProof/>
          <w:sz w:val="24"/>
        </w:rPr>
        <w:t>Les éléments centraux de ce modèle sont les suivants: i) un outil de planification unique — un plan stratégique relevant de la PAC pour chaque État membre</w:t>
      </w:r>
      <w:r w:rsidRPr="00170DF9">
        <w:rPr>
          <w:rStyle w:val="FootnoteReference"/>
          <w:rFonts w:ascii="Times New Roman" w:hAnsi="Times New Roman" w:cs="Times New Roman"/>
          <w:b/>
          <w:bCs/>
          <w:noProof/>
          <w:sz w:val="24"/>
          <w:szCs w:val="24"/>
        </w:rPr>
        <w:footnoteReference w:id="2"/>
      </w:r>
      <w:r>
        <w:rPr>
          <w:rFonts w:ascii="Times New Roman" w:hAnsi="Times New Roman"/>
          <w:b/>
          <w:noProof/>
          <w:sz w:val="24"/>
        </w:rPr>
        <w:t xml:space="preserve"> — intégrant pour la première fois les instruments des deux fonds de la PAC dans des stratégies d’intervention communes; ii) une plus grande participation des parties prenantes; et iii) l’accent mis sur les performances</w:t>
      </w:r>
      <w:r>
        <w:rPr>
          <w:rFonts w:ascii="Times New Roman" w:hAnsi="Times New Roman"/>
          <w:noProof/>
          <w:sz w:val="24"/>
        </w:rPr>
        <w:t>, avec la mise en place d’un cadre de performance commun et le processus d’examen des performances. Cette approche a été introduite pour améliorer la cohérence et accroître l’efficacité des interventions de la PAC, tout en répondant mieux aux besoins nationaux spécifiques et variés pour contribuer à la réalisation des objectifs communs de la PAC de l’UE. Le nouveau modèle de mise en œuvre intègre également une nouvelle approche en matière d’assurance, dans le cadre de laquelle les contrôles se concentrent sur la conception et le fonctionnement des systèmes de gouvernance des États membres plutôt que sur le contrôle des bénéficiaires individuels.</w:t>
      </w:r>
    </w:p>
    <w:p w14:paraId="184D1AEB" w14:textId="0676CFFE" w:rsidR="008F32BB" w:rsidRPr="00170DF9" w:rsidRDefault="00F174FA" w:rsidP="00B56406">
      <w:pPr>
        <w:jc w:val="both"/>
        <w:rPr>
          <w:rFonts w:ascii="Times New Roman" w:hAnsi="Times New Roman" w:cs="Times New Roman"/>
          <w:noProof/>
          <w:sz w:val="24"/>
          <w:szCs w:val="24"/>
        </w:rPr>
      </w:pPr>
      <w:r>
        <w:rPr>
          <w:rFonts w:ascii="Times New Roman" w:hAnsi="Times New Roman"/>
          <w:noProof/>
          <w:sz w:val="24"/>
        </w:rPr>
        <w:t>Ce modèle de mise en œuvre a déjà fait l’objet de plusieurs ajustements et simplifications sur la base des retours d’information des parties prenantes et des demandes des États membres après deux ans de mise en œuvre. Les enseignements tirés de sa mise en œuvre ont également guidé la proposition pour la future période 2028-2034.</w:t>
      </w:r>
    </w:p>
    <w:p w14:paraId="23D381D8" w14:textId="6CBF8841" w:rsidR="001E47BB" w:rsidRPr="00170DF9" w:rsidRDefault="008F32BB" w:rsidP="00B56406">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 présent rapport répond à la demande des colégislateurs [article 141, paragraphe 3, du règlement (UE) 2021/2115 du Parlement européen et du Conseil</w:t>
      </w:r>
      <w:r w:rsidR="002310D3" w:rsidRPr="00170DF9">
        <w:rPr>
          <w:rStyle w:val="FootnoteReference"/>
          <w:rFonts w:ascii="Times New Roman" w:hAnsi="Times New Roman" w:cs="Times New Roman"/>
          <w:noProof/>
          <w:sz w:val="24"/>
          <w:szCs w:val="24"/>
        </w:rPr>
        <w:footnoteReference w:id="3"/>
      </w:r>
      <w:r>
        <w:rPr>
          <w:rFonts w:ascii="Times New Roman" w:hAnsi="Times New Roman"/>
          <w:noProof/>
          <w:sz w:val="24"/>
        </w:rPr>
        <w:t xml:space="preserve">] de présenter des informations sur le fonctionnement du nouveau modèle de mise en œuvre et une première évaluation de la contribution des interventions prévues dans les 28 plans stratégiques relevant de la PAC pour respecter les objectifs de l’UE en matière d’environnement et de climat. </w:t>
      </w:r>
    </w:p>
    <w:p w14:paraId="0D6069FA" w14:textId="206B7639" w:rsidR="00FD5E29" w:rsidRPr="00170DF9" w:rsidRDefault="00FD5E29" w:rsidP="007D42D3">
      <w:pPr>
        <w:pStyle w:val="Heading1"/>
        <w:numPr>
          <w:ilvl w:val="0"/>
          <w:numId w:val="23"/>
        </w:numPr>
        <w:rPr>
          <w:rFonts w:ascii="Times New Roman" w:hAnsi="Times New Roman" w:cs="Times New Roman"/>
          <w:b/>
          <w:bCs/>
          <w:smallCaps/>
          <w:noProof/>
          <w:color w:val="auto"/>
          <w:sz w:val="24"/>
          <w:szCs w:val="24"/>
        </w:rPr>
      </w:pPr>
      <w:r>
        <w:rPr>
          <w:rFonts w:ascii="Times New Roman" w:hAnsi="Times New Roman"/>
          <w:b/>
          <w:smallCaps/>
          <w:noProof/>
          <w:color w:val="auto"/>
          <w:sz w:val="24"/>
        </w:rPr>
        <w:t xml:space="preserve">Fonctionnement du nouveau modèle de mise en œuvre par les États membres </w:t>
      </w:r>
    </w:p>
    <w:p w14:paraId="2E42DCA8" w14:textId="361D52F3" w:rsidR="00FD5E29" w:rsidRPr="00170DF9" w:rsidRDefault="007C054A" w:rsidP="007D42D3">
      <w:pPr>
        <w:pStyle w:val="ListParagraph"/>
        <w:numPr>
          <w:ilvl w:val="0"/>
          <w:numId w:val="1"/>
        </w:numPr>
        <w:rPr>
          <w:rFonts w:ascii="Times New Roman" w:hAnsi="Times New Roman" w:cs="Times New Roman"/>
          <w:b/>
          <w:smallCaps/>
          <w:noProof/>
          <w:color w:val="E97132" w:themeColor="accent2"/>
          <w:sz w:val="24"/>
          <w:szCs w:val="24"/>
        </w:rPr>
      </w:pPr>
      <w:r>
        <w:rPr>
          <w:rFonts w:ascii="Times New Roman" w:hAnsi="Times New Roman"/>
          <w:b/>
          <w:noProof/>
          <w:sz w:val="24"/>
        </w:rPr>
        <w:t>Conception stratégique et davantage fondée sur des données probantes des plans relevant de la PAC</w:t>
      </w:r>
    </w:p>
    <w:p w14:paraId="6CB56610" w14:textId="4469BCB1" w:rsidR="00C82087" w:rsidRPr="00170DF9" w:rsidRDefault="6737572E" w:rsidP="001045A5">
      <w:pPr>
        <w:pStyle w:val="NormalWeb"/>
        <w:jc w:val="both"/>
        <w:rPr>
          <w:noProof/>
        </w:rPr>
      </w:pPr>
      <w:r>
        <w:rPr>
          <w:noProof/>
        </w:rPr>
        <w:t xml:space="preserve">La Commission a présenté une proposition de réforme de la </w:t>
      </w:r>
      <w:hyperlink r:id="rId18">
        <w:r>
          <w:rPr>
            <w:noProof/>
          </w:rPr>
          <w:t>PAC</w:t>
        </w:r>
      </w:hyperlink>
      <w:r>
        <w:rPr>
          <w:noProof/>
        </w:rPr>
        <w:t xml:space="preserve"> en 2018, conformément au cadre financier pluriannuel 2021-2027. À la suite de négociations entre les colégislateurs de l’UE, les règlements relatifs à la PAC n’ont été adoptés qu’en 2021, pour être opérationnels à partir du 1er janvier 2023. </w:t>
      </w:r>
    </w:p>
    <w:p w14:paraId="1B60C527" w14:textId="021D1558" w:rsidR="008652DE" w:rsidRPr="00170DF9" w:rsidRDefault="005B00D7" w:rsidP="001045A5">
      <w:pPr>
        <w:pStyle w:val="NormalWeb"/>
        <w:jc w:val="both"/>
        <w:rPr>
          <w:strike/>
          <w:noProof/>
        </w:rPr>
      </w:pPr>
      <w:r>
        <w:rPr>
          <w:noProof/>
        </w:rPr>
        <w:t xml:space="preserve">Afin d’aider les États membres à élaborer et à concevoir leurs plans relevant de la PAC, la Commission a lancé un dialogue structuré en 2020, comportant des échanges sur la situation de l’agriculture et des zones rurales dans chaque État membre, et a publié des </w:t>
      </w:r>
      <w:r>
        <w:rPr>
          <w:noProof/>
          <w:color w:val="000000" w:themeColor="text1"/>
        </w:rPr>
        <w:t>recommandations spécifiques en décembre 2020</w:t>
      </w:r>
      <w:r w:rsidR="00AE38A0" w:rsidRPr="00170DF9">
        <w:rPr>
          <w:rStyle w:val="FootnoteReference"/>
          <w:noProof/>
          <w:color w:val="000000" w:themeColor="text1"/>
          <w:lang w:val="en-IE"/>
        </w:rPr>
        <w:footnoteReference w:id="4"/>
      </w:r>
      <w:r>
        <w:rPr>
          <w:noProof/>
          <w:color w:val="000000" w:themeColor="text1"/>
        </w:rPr>
        <w:t xml:space="preserve">. </w:t>
      </w:r>
    </w:p>
    <w:p w14:paraId="09EC3D8D" w14:textId="2CAF38CE" w:rsidR="00F964E0" w:rsidRPr="00170DF9" w:rsidRDefault="6737572E" w:rsidP="001045A5">
      <w:pPr>
        <w:pStyle w:val="NormalWeb"/>
        <w:jc w:val="both"/>
        <w:rPr>
          <w:noProof/>
        </w:rPr>
      </w:pPr>
      <w:r>
        <w:rPr>
          <w:noProof/>
        </w:rPr>
        <w:t xml:space="preserve">Pour concevoir leurs interventions, les États membres étaient tenus de procéder à une évaluation approfondie des besoins, sur la base d’une analyse des atouts, des faiblesses, des opportunités et des menaces (AFOM) de leur territoire et de leur secteur agroalimentaire, et d’élaborer une logique d’intervention précise. L’évaluation devait être exhaustive et indiquer si les besoins seraient satisfaits au moyen des plans relevant de la PAC ou d’autres outils européens ou nationaux considérés comme mieux adaptés à l’objectif poursuivi. </w:t>
      </w:r>
    </w:p>
    <w:p w14:paraId="4334D63D" w14:textId="460AE84B" w:rsidR="001D0927" w:rsidRPr="00170DF9" w:rsidRDefault="27966A74" w:rsidP="001045A5">
      <w:pPr>
        <w:pStyle w:val="NormalWeb"/>
        <w:jc w:val="both"/>
        <w:rPr>
          <w:noProof/>
        </w:rPr>
      </w:pPr>
      <w:r>
        <w:rPr>
          <w:b/>
          <w:noProof/>
        </w:rPr>
        <w:t>Les plans ont été approuvés par la Commission au cours du second semestre de 2022</w:t>
      </w:r>
      <w:r>
        <w:rPr>
          <w:noProof/>
        </w:rPr>
        <w:t xml:space="preserve"> à la suite des réponses formelles aux lettres d’observations de la Commission pour chaque plan présenté. </w:t>
      </w:r>
    </w:p>
    <w:p w14:paraId="39F29968" w14:textId="274CA09C" w:rsidR="004874E1" w:rsidRPr="00170DF9" w:rsidRDefault="00C63CD8" w:rsidP="007D42D3">
      <w:pPr>
        <w:pStyle w:val="ListParagraph"/>
        <w:keepNext/>
        <w:numPr>
          <w:ilvl w:val="0"/>
          <w:numId w:val="24"/>
        </w:numPr>
        <w:rPr>
          <w:rFonts w:ascii="Times New Roman" w:hAnsi="Times New Roman" w:cs="Times New Roman"/>
          <w:b/>
          <w:bCs/>
          <w:noProof/>
          <w:sz w:val="24"/>
          <w:szCs w:val="24"/>
        </w:rPr>
      </w:pPr>
      <w:r>
        <w:rPr>
          <w:rFonts w:ascii="Times New Roman" w:hAnsi="Times New Roman"/>
          <w:b/>
          <w:noProof/>
          <w:sz w:val="24"/>
        </w:rPr>
        <w:t xml:space="preserve">Nouvelle gouvernance </w:t>
      </w:r>
    </w:p>
    <w:p w14:paraId="5780D563" w14:textId="52BC94E3" w:rsidR="00CA3C39" w:rsidRPr="00170DF9" w:rsidRDefault="001914EE" w:rsidP="00E64861">
      <w:pPr>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La planification stratégique a conduit à des réorganisations et à de nouvelles méthodes de travail dans les administrations des États membres.</w:t>
      </w:r>
      <w:r>
        <w:rPr>
          <w:rFonts w:ascii="Times New Roman" w:hAnsi="Times New Roman"/>
          <w:noProof/>
          <w:sz w:val="24"/>
        </w:rPr>
        <w:t xml:space="preserve"> Un plan unique couvrant toutes les interventions a nécessité une plus grande collaboration entre les services chargés des paiements directs, du développement rural et de l’appui sectoriel, mais aussi une meilleure coordination entre les ministères/services régionaux et nationaux. Les États membres disposant de solides pratiques de collaboration entre les administrations, avec des responsabilités clairement établies et des canaux d’échange efficaces, ont été en mesure de s’adapter plus rapidement à ce nouveau modèle de mise en œuvre. Toutefois, les États membres ayant une répartition spécifique des compétences nationales et régionales ont rencontré quelques difficultés.</w:t>
      </w:r>
    </w:p>
    <w:p w14:paraId="134A5DEC" w14:textId="6AF445A1" w:rsidR="00CA3C39" w:rsidRPr="00170DF9" w:rsidRDefault="00DE3CA8" w:rsidP="007777D1">
      <w:pPr>
        <w:spacing w:line="257" w:lineRule="auto"/>
        <w:jc w:val="both"/>
        <w:rPr>
          <w:rFonts w:ascii="Times New Roman" w:eastAsia="Times New Roman" w:hAnsi="Times New Roman" w:cs="Times New Roman"/>
          <w:noProof/>
          <w:kern w:val="0"/>
          <w:sz w:val="24"/>
          <w:szCs w:val="24"/>
          <w14:ligatures w14:val="none"/>
        </w:rPr>
      </w:pPr>
      <w:bookmarkStart w:id="2" w:name="_Hlk212482159"/>
      <w:r>
        <w:rPr>
          <w:rFonts w:ascii="Times New Roman" w:hAnsi="Times New Roman"/>
          <w:noProof/>
          <w:sz w:val="24"/>
        </w:rPr>
        <w:t xml:space="preserve">La dynamique varie considérablement d’un État membre à l’autre, mais le nouveau modèle de mise en œuvre a permis d’améliorer la gouvernance de la PAC grâce à des dispositions juridiques explicites sur le rôle du partenariat. </w:t>
      </w:r>
      <w:bookmarkEnd w:id="2"/>
      <w:r>
        <w:rPr>
          <w:rFonts w:ascii="Times New Roman" w:hAnsi="Times New Roman"/>
          <w:noProof/>
          <w:sz w:val="24"/>
        </w:rPr>
        <w:t xml:space="preserve">La participation requise des parties prenantes à la conception et à la mise en œuvre des plans a permis un meilleur alignement sur les besoins des États membres. Toutefois, si les contributions régionales/territoriales étaient possibles dans les plans, certaines régions ont estimé qu’elles avaient moins leur mot à dire dans la conception des plans et certaines contributions ont été transmises en retard en raison de problèmes de coordination nationale. La longueur des plans (souvent plusieurs milliers de pages) a également été pointée comme un problème par plusieurs autorités de gestion et parties prenantes. </w:t>
      </w:r>
    </w:p>
    <w:p w14:paraId="52737B17" w14:textId="7FBDD225" w:rsidR="001F3106" w:rsidRPr="00170DF9" w:rsidRDefault="00560EA5" w:rsidP="007D42D3">
      <w:pPr>
        <w:pStyle w:val="SectionTitle"/>
        <w:numPr>
          <w:ilvl w:val="0"/>
          <w:numId w:val="24"/>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Conception fondée sur une évaluation des besoins et différents choix de planification</w:t>
      </w:r>
    </w:p>
    <w:p w14:paraId="653E6FE6" w14:textId="6CD2AAE0" w:rsidR="00B82E8C" w:rsidRPr="00170DF9" w:rsidRDefault="00D252FD" w:rsidP="00E64861">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Pour élaborer leurs plans, les États membres ont utilisé l’analyse AFOM, la procédure de partenariat, les recommandations de la Commission et les lettres d’observation. Ils ont souligné que, si l’analyse et l’identification des besoins ont eu lieu dans de bonnes conditions, l’adoption tardive de la législation de l’UE a réduit le temps consacré à affiner la conception et la planification des interventions et à innover. L’anticipation au niveau national est essentielle à ce stade.</w:t>
      </w:r>
    </w:p>
    <w:p w14:paraId="351A201D" w14:textId="5030624B" w:rsidR="00085FC2" w:rsidRPr="00170DF9" w:rsidRDefault="000500A4" w:rsidP="003961D6">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Les plans ont été largement utilisés pour répondre aux besoins socio-économiques, environnementaux et climatiques. Pour la période 2023-2027, 8 % de la dotation de la PAC était prévue pour le développement rural en plus de l’agriculture. En ce qui concerne les énergies renouvelables, l’innovation, la numérisation, la gestion des risques, le partage des connaissances et, dans une certaine mesure, les mesures de politique rurale, certains États membres ont prévu d’atteindre leurs objectifs à l’aide également d’autres financements de l’UE ou financements nationaux, ce qui nécessite une coordination plus étroite et a révélé le potentiel de synergies supplémentaires. </w:t>
      </w:r>
    </w:p>
    <w:p w14:paraId="31FB5A03" w14:textId="0C6A9CA9" w:rsidR="009817D7" w:rsidRPr="00170DF9" w:rsidRDefault="006358EF" w:rsidP="003961D6">
      <w:pPr>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Une bonne planification est la pierre angulaire d’un modèle fondé sur les performances, mais elle s’est révélée difficile.</w:t>
      </w:r>
      <w:r>
        <w:rPr>
          <w:rFonts w:ascii="Times New Roman" w:hAnsi="Times New Roman"/>
          <w:noProof/>
          <w:sz w:val="24"/>
        </w:rPr>
        <w:t xml:space="preserve"> La planification des réalisations annuelles, des montants unitaires et des indicateurs de résultat (cibles) pour les exercices 2023 à 2027 exigeait des données pertinentes, des éléments probants de la part des parties prenantes et du personnel expérimenté. Les États membres ont adopté différentes stratégies, avec une programmation très détaillée pour certains (par exemple, de nombreux montants unitaires et de nombreuses réalisations au niveau de chaque sous-intervention), tandis que d’autres ont opté pour un niveau de détail moins précis (par exemple, au niveau de chaque intervention). Par exemple, 1 913 interventions et 10 754 sous-interventions sont prévues dans les 28 plans relevant de la PAC. Les types d’intervention les plus diversifiés sont les interventions en faveur de l’environnement et du climat (5 282 sous-interventions) au titre du développement rural et des investissements (2 172). </w:t>
      </w:r>
    </w:p>
    <w:p w14:paraId="08C83213" w14:textId="24B87FD6" w:rsidR="001D0927" w:rsidRPr="00170DF9" w:rsidRDefault="00780D12" w:rsidP="007D42D3">
      <w:pPr>
        <w:pStyle w:val="SectionTitle"/>
        <w:numPr>
          <w:ilvl w:val="0"/>
          <w:numId w:val="24"/>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 xml:space="preserve">L’évaluation des plans a nécessité une approche globale  </w:t>
      </w:r>
    </w:p>
    <w:p w14:paraId="242607E4" w14:textId="36E783AF" w:rsidR="001B2C46" w:rsidRPr="00170DF9" w:rsidRDefault="001D0927" w:rsidP="001045A5">
      <w:pPr>
        <w:pStyle w:val="NormalWeb"/>
        <w:jc w:val="both"/>
        <w:rPr>
          <w:noProof/>
        </w:rPr>
      </w:pPr>
      <w:r>
        <w:rPr>
          <w:noProof/>
        </w:rPr>
        <w:t>Dans son évaluation, la Commission a examiné si les plans présentés étaient conformes aux exigences de la législation de l’UE et contribuaient à la réalisation de 10 objectifs spécifiques de la PAC. Une attention particulière a été portée à la contribution de la stratégie d’intervention prévue à la réalisation des objectifs en matière d’environnement et de climat, y compris certains objectifs du pacte vert pour l’Europe, ainsi qu’à la cohérence avec la législation de l’UE en matière d’environnement et de climat</w:t>
      </w:r>
      <w:r w:rsidR="00C04617" w:rsidRPr="00170DF9">
        <w:rPr>
          <w:rStyle w:val="FootnoteReference"/>
          <w:noProof/>
          <w:lang w:val="en-IE"/>
        </w:rPr>
        <w:footnoteReference w:id="5"/>
      </w:r>
      <w:r>
        <w:rPr>
          <w:noProof/>
        </w:rPr>
        <w:t xml:space="preserve"> et à la contribution à celle-ci, sans recul par rapport à la période 2014-2022</w:t>
      </w:r>
      <w:r w:rsidR="002246E7" w:rsidRPr="00170DF9">
        <w:rPr>
          <w:rStyle w:val="FootnoteReference"/>
          <w:noProof/>
          <w:lang w:val="en-IE"/>
        </w:rPr>
        <w:footnoteReference w:id="6"/>
      </w:r>
      <w:r>
        <w:rPr>
          <w:noProof/>
        </w:rPr>
        <w:t xml:space="preserve">. </w:t>
      </w:r>
    </w:p>
    <w:p w14:paraId="25CF3C72" w14:textId="792106C9" w:rsidR="001B2C46" w:rsidRPr="00170DF9" w:rsidRDefault="001B2C46" w:rsidP="001B2C46">
      <w:pPr>
        <w:pStyle w:val="NormalWeb"/>
        <w:jc w:val="both"/>
        <w:rPr>
          <w:noProof/>
        </w:rPr>
      </w:pPr>
      <w:r>
        <w:rPr>
          <w:noProof/>
        </w:rPr>
        <w:t>L’ambition de la PAC est exprimée dans les valeurs cibles fixées au niveau des indicateurs de résultat, qui doivent être atteintes au moyen des interventions soutenues. Elle se retrouve également dans les exigences détaillées et les conditions d’éligibilité de ces interventions. À l’appui de l’évaluation objective des plans, d’un point de vue environnemental et climatique, une matrice élaborée par le Centre commun de recherche a fourni des éléments probants sur le lien entre les pratiques agricoles et les objectifs</w:t>
      </w:r>
      <w:r w:rsidRPr="00170DF9">
        <w:rPr>
          <w:rStyle w:val="FootnoteReference"/>
          <w:noProof/>
          <w:lang w:val="en-IE"/>
        </w:rPr>
        <w:footnoteReference w:id="7"/>
      </w:r>
      <w:r>
        <w:rPr>
          <w:noProof/>
        </w:rPr>
        <w:t xml:space="preserve">. </w:t>
      </w:r>
    </w:p>
    <w:p w14:paraId="538E7BAE" w14:textId="1F9F9560" w:rsidR="0083522B" w:rsidRPr="00170DF9" w:rsidRDefault="6EA0364C" w:rsidP="001045A5">
      <w:pPr>
        <w:pStyle w:val="NormalWeb"/>
        <w:jc w:val="both"/>
        <w:rPr>
          <w:noProof/>
        </w:rPr>
      </w:pPr>
      <w:r>
        <w:rPr>
          <w:noProof/>
        </w:rPr>
        <w:t>L’évaluation objective de l’adéquation de la stratégie d’intervention et des niveaux cibles de chaque plan au regard des besoins et objectifs nationaux recensés par l’État membre constituait un processus complexe, notamment en raison i) de situations et de priorités différentes dans les États membres; ii) de différents niveaux de planification; iii) des liens complexes entre les interventions et les valeurs cibles; iv) des valeurs cibles exprimées dans une unité différente par rapport aux objectifs (par exemple, la part de la superficie par rapport à l’évolution en éq. CO</w:t>
      </w:r>
      <w:r>
        <w:rPr>
          <w:noProof/>
          <w:vertAlign w:val="subscript"/>
        </w:rPr>
        <w:t>2</w:t>
      </w:r>
      <w:r>
        <w:rPr>
          <w:noProof/>
        </w:rPr>
        <w:t xml:space="preserve">); et v) de la législation ou des outils nationaux autres que la PAC qui contribuent à la réalisation des mêmes objectifs. </w:t>
      </w:r>
    </w:p>
    <w:p w14:paraId="2E64E97D" w14:textId="7118A07B" w:rsidR="00466B53" w:rsidRPr="00170DF9" w:rsidRDefault="00F50D9D" w:rsidP="007D42D3">
      <w:pPr>
        <w:pStyle w:val="ListParagraph"/>
        <w:numPr>
          <w:ilvl w:val="0"/>
          <w:numId w:val="1"/>
        </w:numPr>
        <w:jc w:val="both"/>
        <w:rPr>
          <w:rFonts w:ascii="Times New Roman" w:hAnsi="Times New Roman" w:cs="Times New Roman"/>
          <w:b/>
          <w:noProof/>
          <w:sz w:val="24"/>
          <w:szCs w:val="24"/>
        </w:rPr>
      </w:pPr>
      <w:r>
        <w:rPr>
          <w:rFonts w:ascii="Times New Roman" w:hAnsi="Times New Roman"/>
          <w:b/>
          <w:noProof/>
          <w:sz w:val="24"/>
        </w:rPr>
        <w:t>La mise en œuvre des plans est en bonne voie</w:t>
      </w:r>
    </w:p>
    <w:p w14:paraId="705E244B" w14:textId="7EC49A7C" w:rsidR="00466B53" w:rsidRPr="00170DF9" w:rsidRDefault="00466B53" w:rsidP="00913160">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Après l’adoption du droit dérivé de l’Union à la fin de 2022, les États membres ont achevé la mise en œuvre de leur cadre national de mise en œuvre de la PAC (législation, procédures de demande, systèmes informatiques). Les administrations ont supporté une charge de travail considérable, d’autant plus que la mise en œuvre des programmes de développement rural 2014-2022 se poursuivait en parallèle</w:t>
      </w:r>
      <w:bookmarkStart w:id="3" w:name="_Hlk211850389"/>
      <w:r>
        <w:rPr>
          <w:rFonts w:ascii="Times New Roman" w:hAnsi="Times New Roman"/>
          <w:noProof/>
          <w:sz w:val="24"/>
        </w:rPr>
        <w:t xml:space="preserve"> pendant trois années supplémentaires (jusqu’à la fin de 2025). En pratique, cela a entraîné des problèmes de capacité et d’importantes contraintes de temps dans le développement des outils informatiques, la préparation des appels à projets et, parfois, des retards et une communication tardive avec les bénéficiaires, ce qui a eu une incidence sur l’adoption et la perception par les agriculteurs.</w:t>
      </w:r>
    </w:p>
    <w:bookmarkEnd w:id="3"/>
    <w:p w14:paraId="26399A89" w14:textId="012E9A69" w:rsidR="001B2C46" w:rsidRPr="00170DF9" w:rsidRDefault="00A8054C" w:rsidP="004103DF">
      <w:pPr>
        <w:spacing w:line="257" w:lineRule="auto"/>
        <w:jc w:val="both"/>
        <w:rPr>
          <w:rFonts w:ascii="Times New Roman" w:eastAsia="Arial" w:hAnsi="Times New Roman" w:cs="Times New Roman"/>
          <w:noProof/>
          <w:sz w:val="24"/>
          <w:szCs w:val="24"/>
        </w:rPr>
      </w:pPr>
      <w:r>
        <w:rPr>
          <w:rFonts w:ascii="Times New Roman" w:hAnsi="Times New Roman"/>
          <w:noProof/>
          <w:sz w:val="24"/>
        </w:rPr>
        <w:t>Les rapports annuels de performance, principal outil de</w:t>
      </w:r>
      <w:r>
        <w:rPr>
          <w:rFonts w:ascii="Times New Roman" w:hAnsi="Times New Roman"/>
          <w:b/>
          <w:noProof/>
          <w:sz w:val="24"/>
        </w:rPr>
        <w:t xml:space="preserve"> </w:t>
      </w:r>
      <w:r>
        <w:rPr>
          <w:rFonts w:ascii="Times New Roman" w:hAnsi="Times New Roman"/>
          <w:noProof/>
          <w:sz w:val="24"/>
        </w:rPr>
        <w:t>communication du nouveau modèle de mise en œuvre, comportent deux parties: l’une, qualitative, présente les progrès accomplis dans la mise en œuvre des plans, tandis que l’autre, quantitative, fournit des indicateurs de performance et des justifications en cas d’écarts par rapport</w:t>
      </w:r>
      <w:r>
        <w:rPr>
          <w:rFonts w:ascii="Times New Roman" w:hAnsi="Times New Roman"/>
          <w:b/>
          <w:noProof/>
          <w:sz w:val="24"/>
        </w:rPr>
        <w:t xml:space="preserve"> </w:t>
      </w:r>
      <w:r>
        <w:rPr>
          <w:rFonts w:ascii="Times New Roman" w:hAnsi="Times New Roman"/>
          <w:noProof/>
          <w:sz w:val="24"/>
        </w:rPr>
        <w:t xml:space="preserve">aux valeurs intermédiaires des indicateurs de résultats. </w:t>
      </w:r>
    </w:p>
    <w:p w14:paraId="46C272CD" w14:textId="3B606EB9" w:rsidR="008A6E0C" w:rsidRPr="00170DF9" w:rsidRDefault="00466B53" w:rsidP="004103DF">
      <w:pPr>
        <w:spacing w:line="257" w:lineRule="auto"/>
        <w:jc w:val="both"/>
        <w:rPr>
          <w:rFonts w:ascii="Times New Roman" w:hAnsi="Times New Roman" w:cs="Times New Roman"/>
          <w:noProof/>
          <w:sz w:val="24"/>
          <w:szCs w:val="24"/>
        </w:rPr>
      </w:pPr>
      <w:r>
        <w:rPr>
          <w:rFonts w:ascii="Times New Roman" w:hAnsi="Times New Roman"/>
          <w:noProof/>
          <w:sz w:val="24"/>
        </w:rPr>
        <w:t>En raison du calendrier de mise en œuvre des interventions, le rapport de performance pour l’exercice 2024 présenté en février 2025 était le premier rapport contenant des données sur tous les indicateurs de résultat et la plupart des interventions prévues. Dans le cadre du nouveau modèle de mise en œuvre, les États membres ont prévu pour la première fois des réalisations et des résultats annuels liés à l’aide au revenu, au développement rural et aux interventions sectorielles.</w:t>
      </w:r>
    </w:p>
    <w:p w14:paraId="61F1734F" w14:textId="17E5072B" w:rsidR="00466B53" w:rsidRPr="00170DF9" w:rsidRDefault="00466B53" w:rsidP="00204DDD">
      <w:pPr>
        <w:pStyle w:val="SectionTitle"/>
        <w:numPr>
          <w:ilvl w:val="0"/>
          <w:numId w:val="31"/>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Bonne planification des interventions fondées sur la surface</w:t>
      </w:r>
    </w:p>
    <w:p w14:paraId="30BE378E" w14:textId="2B5F0ACF" w:rsidR="001B2C46" w:rsidRPr="00170DF9" w:rsidRDefault="00F50D9D" w:rsidP="00DD720F">
      <w:pPr>
        <w:jc w:val="both"/>
        <w:rPr>
          <w:rFonts w:ascii="Times New Roman" w:hAnsi="Times New Roman" w:cs="Times New Roman"/>
          <w:noProof/>
          <w:sz w:val="24"/>
          <w:szCs w:val="24"/>
        </w:rPr>
      </w:pPr>
      <w:r>
        <w:rPr>
          <w:rFonts w:ascii="Times New Roman" w:hAnsi="Times New Roman"/>
          <w:noProof/>
          <w:sz w:val="24"/>
        </w:rPr>
        <w:t xml:space="preserve">La comparaison de la planification et de la réalisation permet d’évaluer l’état d’avancement de la mise en œuvre des plans et les difficultés rencontrées. </w:t>
      </w:r>
    </w:p>
    <w:p w14:paraId="2AF68439" w14:textId="782E81EF" w:rsidR="001B2C46" w:rsidRPr="00170DF9" w:rsidRDefault="00466B53" w:rsidP="007D42D3">
      <w:pPr>
        <w:pStyle w:val="ListParagraph"/>
        <w:numPr>
          <w:ilvl w:val="0"/>
          <w:numId w:val="25"/>
        </w:numPr>
        <w:jc w:val="both"/>
        <w:rPr>
          <w:rFonts w:ascii="Times New Roman" w:hAnsi="Times New Roman" w:cs="Times New Roman"/>
          <w:noProof/>
          <w:sz w:val="24"/>
          <w:szCs w:val="24"/>
        </w:rPr>
      </w:pPr>
      <w:r>
        <w:rPr>
          <w:rFonts w:ascii="Times New Roman" w:hAnsi="Times New Roman"/>
          <w:noProof/>
          <w:sz w:val="24"/>
        </w:rPr>
        <w:t xml:space="preserve">L’aide de base au revenu est l’intervention dont l’adoption par les agriculteurs est la plus proche de la planification au niveau de l’UE (100 %), mais aussi dans chaque plan. </w:t>
      </w:r>
    </w:p>
    <w:p w14:paraId="6E7E4F7E" w14:textId="2B3BACC1" w:rsidR="001B2C46" w:rsidRPr="00170DF9" w:rsidRDefault="00466B53" w:rsidP="007D42D3">
      <w:pPr>
        <w:pStyle w:val="ListParagraph"/>
        <w:numPr>
          <w:ilvl w:val="0"/>
          <w:numId w:val="25"/>
        </w:num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L’utilisation de l’aide redistributive au revenu correspond à 98 % de la valeur prévue de l’UE, avec quelques variations entre les plans. </w:t>
      </w:r>
    </w:p>
    <w:p w14:paraId="71332116" w14:textId="77777777" w:rsidR="001B2C46" w:rsidRPr="00170DF9" w:rsidRDefault="00466B53" w:rsidP="007D42D3">
      <w:pPr>
        <w:pStyle w:val="ListParagraph"/>
        <w:numPr>
          <w:ilvl w:val="0"/>
          <w:numId w:val="25"/>
        </w:num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Toutefois, l’aide couplée au revenu et les aides complémentaires pour les jeunes agriculteurs ont été plus difficiles à planifier. </w:t>
      </w:r>
    </w:p>
    <w:p w14:paraId="06E187BA" w14:textId="715C869E" w:rsidR="00466B53" w:rsidRPr="00170DF9" w:rsidRDefault="00466B53" w:rsidP="007D42D3">
      <w:pPr>
        <w:pStyle w:val="ListParagraph"/>
        <w:numPr>
          <w:ilvl w:val="0"/>
          <w:numId w:val="25"/>
        </w:num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 tant qu’instrument nouvellement introduit, l’adoption des éco-régimes a généralement été sous-estimée, étant donné qu’ils couvrent 10 % de surface de plus que prévu au niveau de l’UE, avec des variations importantes entre les plans.</w:t>
      </w:r>
    </w:p>
    <w:p w14:paraId="15209EE0" w14:textId="6D66AAD0" w:rsidR="00466B53" w:rsidRPr="00170DF9" w:rsidRDefault="00466B53" w:rsidP="00DD720F">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Au niveau de l’UE, le recours à l’aide liée à la surface dans le cadre du développement rural a atteint entre 87 % et 91 % de la surface prévue. Les projets d’investissement, d’aide à l’installation et de formation ou de coopération sont généralement lents à démarrer au cours des premières années de la période de programmation, en particulier si les nouvelles interventions recoupent des mesures similaires de la période de programmation précédente. Dans l’ensemble, les dépenses dans ces domaines ont été moins importantes que prévu, à l’exception des investissements non productifs dans les exploitations agricoles. </w:t>
      </w:r>
    </w:p>
    <w:p w14:paraId="651A0D17" w14:textId="61B397E3" w:rsidR="00466B53" w:rsidRPr="00170DF9" w:rsidRDefault="00D520B8" w:rsidP="007D42D3">
      <w:pPr>
        <w:pStyle w:val="SectionTitle"/>
        <w:numPr>
          <w:ilvl w:val="0"/>
          <w:numId w:val="27"/>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 xml:space="preserve">Difficultés de planification des montants unitaires des interventions </w:t>
      </w:r>
    </w:p>
    <w:p w14:paraId="0011B80C" w14:textId="0825DFC6" w:rsidR="00C03E90" w:rsidRPr="00170DF9" w:rsidRDefault="00223D17" w:rsidP="00DD720F">
      <w:pPr>
        <w:jc w:val="both"/>
        <w:rPr>
          <w:rFonts w:ascii="Times New Roman" w:hAnsi="Times New Roman" w:cs="Times New Roman"/>
          <w:noProof/>
          <w:kern w:val="0"/>
          <w:sz w:val="24"/>
          <w:szCs w:val="24"/>
          <w14:ligatures w14:val="none"/>
        </w:rPr>
      </w:pPr>
      <w:r>
        <w:rPr>
          <w:rFonts w:ascii="Times New Roman" w:hAnsi="Times New Roman"/>
          <w:noProof/>
          <w:sz w:val="24"/>
        </w:rPr>
        <w:t>Les États membres peuvent ajuster le paiement au bénéficiaire en fonction du recours à une intervention (dans une fourchette), compte tenu de la difficulté d’anticiper le recours et de la nécessité de mieux gérer les enveloppes financières. La moitié seulement des éco-régimes ont été payés au montant de référence unitaire (± 10 %). Le soutien couplé a généralement été plus récompensé que prévu, avec un taux d’utilisation plus faible que prévu. Il a été difficile d’affiner l’aide à l’investissement, étant donné que seulement 23 % des sous-interventions ont été versées au montant de référence moyen (± 10 %). Les écarts observés étaient principalement dus aux changements intervenus dans le contexte économique et géopolitique depuis l’élaboration des plans ou au manque de précision des estimations relatives à l’utilisation des mesures.</w:t>
      </w:r>
    </w:p>
    <w:p w14:paraId="1181E25F" w14:textId="4D20FEE1" w:rsidR="001A35BD" w:rsidRPr="00170DF9" w:rsidRDefault="000652C1" w:rsidP="007D42D3">
      <w:pPr>
        <w:pStyle w:val="SectionTitle"/>
        <w:numPr>
          <w:ilvl w:val="0"/>
          <w:numId w:val="28"/>
        </w:numPr>
        <w:spacing w:after="240"/>
        <w:jc w:val="left"/>
        <w:rPr>
          <w:rFonts w:ascii="Times New Roman Bold" w:eastAsia="Arial" w:hAnsi="Times New Roman Bold"/>
          <w:smallCaps w:val="0"/>
          <w:noProof/>
          <w:sz w:val="24"/>
          <w:szCs w:val="24"/>
        </w:rPr>
      </w:pPr>
      <w:r>
        <w:rPr>
          <w:rFonts w:ascii="Times New Roman Bold" w:hAnsi="Times New Roman Bold"/>
          <w:smallCaps w:val="0"/>
          <w:noProof/>
          <w:sz w:val="24"/>
        </w:rPr>
        <w:t>Suppression de l’apurement des performances</w:t>
      </w:r>
    </w:p>
    <w:p w14:paraId="6E290B0E" w14:textId="7073DE68" w:rsidR="00ED4573" w:rsidRPr="00170DF9" w:rsidRDefault="001A35BD" w:rsidP="001A35BD">
      <w:pPr>
        <w:spacing w:line="257" w:lineRule="auto"/>
        <w:jc w:val="both"/>
        <w:rPr>
          <w:rFonts w:ascii="Times New Roman" w:eastAsia="Arial" w:hAnsi="Times New Roman" w:cs="Times New Roman"/>
          <w:strike/>
          <w:noProof/>
          <w:sz w:val="24"/>
          <w:szCs w:val="24"/>
        </w:rPr>
      </w:pPr>
      <w:r>
        <w:rPr>
          <w:rFonts w:ascii="Times New Roman" w:hAnsi="Times New Roman"/>
          <w:noProof/>
          <w:sz w:val="24"/>
        </w:rPr>
        <w:t>L’objectif de l’exercice annuel d’apurement des performances était de vérifier que toutes les dépenses déclarées correspondaient à une réalisation. Pour le vérifier, le montant unitaire réalisé calculé sur la base du rapport annuel de performance a été comparé avec le montant unitaire (maximal) prévu dans le plan, et ce pour chaque intervention. Après deux années de mise en œuvre, il est devenu évident que la charge administrative liée à l’exercice annuel d’apurement des performances, en particulier la nécessité de justifier chaque écart par rapport au montant unitaire, n’était pas proportionnée à l’assurance supplémentaire fournie concernant les dépenses au titre de la PAC. Son abandon a donc été proposé dans le train de mesures de simplification de la PAC de 2025</w:t>
      </w:r>
      <w:r w:rsidR="00C2206B" w:rsidRPr="00170DF9">
        <w:rPr>
          <w:rStyle w:val="FootnoteReference"/>
          <w:rFonts w:ascii="Times New Roman" w:eastAsia="Arial" w:hAnsi="Times New Roman" w:cs="Times New Roman"/>
          <w:noProof/>
          <w:sz w:val="24"/>
          <w:szCs w:val="24"/>
        </w:rPr>
        <w:footnoteReference w:id="8"/>
      </w:r>
      <w:r>
        <w:rPr>
          <w:rFonts w:ascii="Times New Roman" w:hAnsi="Times New Roman"/>
          <w:noProof/>
          <w:sz w:val="24"/>
        </w:rPr>
        <w:t xml:space="preserve">, sans qu’il soit porté atteinte à la capacité de l’Union d’assurer une surveillance et une assurance budgétaires efficaces. </w:t>
      </w:r>
    </w:p>
    <w:p w14:paraId="328C791E" w14:textId="5C0ECAF2" w:rsidR="00466B53" w:rsidRPr="00170DF9" w:rsidRDefault="00466B53" w:rsidP="00610B29">
      <w:pPr>
        <w:pStyle w:val="SectionTitle"/>
        <w:numPr>
          <w:ilvl w:val="0"/>
          <w:numId w:val="32"/>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Certains écarts par rapport aux valeurs intermédiaires en raison du début de la mise en œuvre, mais aucune mesure corrective n’est encore requise</w:t>
      </w:r>
    </w:p>
    <w:p w14:paraId="520F468B" w14:textId="61491625" w:rsidR="00466B53" w:rsidRPr="00170DF9" w:rsidRDefault="004421A9" w:rsidP="00A92AC8">
      <w:pPr>
        <w:spacing w:line="257" w:lineRule="auto"/>
        <w:jc w:val="both"/>
        <w:rPr>
          <w:rFonts w:ascii="Times New Roman" w:eastAsia="Times New Roman" w:hAnsi="Times New Roman" w:cs="Times New Roman"/>
          <w:b/>
          <w:noProof/>
          <w:kern w:val="0"/>
          <w:sz w:val="24"/>
          <w:szCs w:val="24"/>
          <w14:ligatures w14:val="none"/>
        </w:rPr>
      </w:pPr>
      <w:r>
        <w:rPr>
          <w:rFonts w:ascii="Times New Roman" w:hAnsi="Times New Roman"/>
          <w:noProof/>
          <w:sz w:val="24"/>
        </w:rPr>
        <w:t>Sur la base du rapport de performance de 2024, la Commission a procédé en 2025 au premier examen bisannuel des performances</w:t>
      </w:r>
      <w:r w:rsidR="005F1567" w:rsidRPr="00170DF9">
        <w:rPr>
          <w:rStyle w:val="FootnoteReference"/>
          <w:rFonts w:ascii="Times New Roman" w:hAnsi="Times New Roman" w:cs="Times New Roman"/>
          <w:noProof/>
          <w:szCs w:val="24"/>
        </w:rPr>
        <w:footnoteReference w:id="9"/>
      </w:r>
      <w:r>
        <w:rPr>
          <w:rFonts w:ascii="Times New Roman" w:hAnsi="Times New Roman"/>
          <w:noProof/>
          <w:sz w:val="24"/>
        </w:rPr>
        <w:t xml:space="preserve">, en tenant compte d’une sélection de 22 indicateurs de résultat. </w:t>
      </w:r>
      <w:r>
        <w:rPr>
          <w:rFonts w:ascii="Times New Roman" w:hAnsi="Times New Roman"/>
          <w:b/>
          <w:noProof/>
          <w:sz w:val="24"/>
        </w:rPr>
        <w:t>Tous les rapports de performance affichaient des écarts supérieurs à 35 % pour un ou plusieurs indicateurs de résultat,</w:t>
      </w:r>
      <w:r>
        <w:rPr>
          <w:rFonts w:ascii="Times New Roman" w:hAnsi="Times New Roman"/>
          <w:noProof/>
          <w:sz w:val="24"/>
        </w:rPr>
        <w:t xml:space="preserve"> principalement liés aux interventions en faveur du développement rural: connaissances et innovation, investissements dans la modernisation des exploitations agricoles, meilleure organisation de la chaîne d’approvisionnement et terres boisées. Les justifications des États membres faisaient principalement état de retards dans la mise en place du nouveau cadre et de l’utilisation des enveloppes financières restantes des programmes de développement rural 2014-2022 finançant des mesures similaires. Selon les États membres, la plupart de ces difficultés seront résolues à moyen terme et ne devraient pas avoir d’incidence sur les valeurs cibles finales.</w:t>
      </w:r>
    </w:p>
    <w:p w14:paraId="2F1229C0" w14:textId="27C99384" w:rsidR="00466B53" w:rsidRPr="00170DF9" w:rsidRDefault="00466B53" w:rsidP="00A92AC8">
      <w:pPr>
        <w:spacing w:line="257" w:lineRule="auto"/>
        <w:jc w:val="both"/>
        <w:rPr>
          <w:rFonts w:ascii="Times New Roman" w:eastAsia="Arial" w:hAnsi="Times New Roman" w:cs="Times New Roman"/>
          <w:noProof/>
          <w:sz w:val="24"/>
          <w:szCs w:val="24"/>
        </w:rPr>
      </w:pPr>
      <w:r>
        <w:rPr>
          <w:rFonts w:ascii="Times New Roman" w:hAnsi="Times New Roman"/>
          <w:noProof/>
          <w:sz w:val="24"/>
        </w:rPr>
        <w:t>Les écarts ont été examinés avec chaque État membre lors de leur réunion de réexamen annuel. Étant donné que les justifications présentées et les mesures correctives envisagées semblaient suffisantes pour remédier à ces écarts, aucun plan d’action n’a été demandé par la Commission. On peut s’attendre à ce que les retards et les écarts qui en résultent entre les valeurs réelles et les valeurs prévues puissent être corrigés dans les années à venir. La situation sera réexaminée dans les rapports de performance de 2025.</w:t>
      </w:r>
    </w:p>
    <w:p w14:paraId="66D869C3" w14:textId="0ACEF87C" w:rsidR="00466B53" w:rsidRPr="00170DF9" w:rsidRDefault="00466B53" w:rsidP="006F417D">
      <w:pPr>
        <w:pStyle w:val="SectionTitle"/>
        <w:numPr>
          <w:ilvl w:val="0"/>
          <w:numId w:val="33"/>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Adaptation des enveloppes financières prévues à l’utilisation effective</w:t>
      </w:r>
    </w:p>
    <w:p w14:paraId="175E54D4" w14:textId="097A3424" w:rsidR="00466B53" w:rsidRPr="00170DF9" w:rsidRDefault="004B3632" w:rsidP="00360005">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Les États membres ont la possibilité de réaffecter les montants non dépensés d’une intervention à une autre intervention, sous certaines conditions. Au cours de l’exercice 2024, ils ont eu recours à cette possibilité, en particulier pour les paiements directs. L’éco-régime était une nouveauté et certains États membres ont éprouvé des difficultés à dépenser les montants prévus. En outre, l’éco-régime est une intervention budgétisée réservée et la marge de compensation des montants par rapport à ceux des autres interventions est restée limitée. Les éco-régimes qui ont enregistré des sous-performances ont été examinés ou ont fait l’objet d’une meilleure publicité auprès des bénéficiaires potentiels. L’état actuel des dépenses pour 2025 montre que la situation s’est nettement améliorée, avec une surexécution marquée pour les éco-régimes. Certains des montants non dépensés sont allés au paiement redistributif et aux aides complémentaires pour les jeunes agriculteurs. L’aide de base au revenu a été bien exécutée par rapport à la période de programmation précédente. </w:t>
      </w:r>
    </w:p>
    <w:p w14:paraId="18E90D94" w14:textId="70D80E72" w:rsidR="00466B53" w:rsidRPr="00170DF9" w:rsidRDefault="00F645FD" w:rsidP="006A10B6">
      <w:pPr>
        <w:pStyle w:val="SectionTitle"/>
        <w:numPr>
          <w:ilvl w:val="0"/>
          <w:numId w:val="33"/>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Les plans relevant de la PAC sont évolutifs</w:t>
      </w:r>
    </w:p>
    <w:p w14:paraId="7722166A" w14:textId="47D21882" w:rsidR="00C726D6" w:rsidRPr="00170DF9" w:rsidRDefault="00155039" w:rsidP="008A6DDA">
      <w:pPr>
        <w:jc w:val="both"/>
        <w:rPr>
          <w:rFonts w:ascii="Times New Roman" w:hAnsi="Times New Roman" w:cs="Times New Roman"/>
          <w:noProof/>
          <w:sz w:val="24"/>
          <w:szCs w:val="24"/>
        </w:rPr>
      </w:pPr>
      <w:r>
        <w:rPr>
          <w:rFonts w:ascii="Times New Roman" w:hAnsi="Times New Roman"/>
          <w:noProof/>
          <w:sz w:val="24"/>
        </w:rPr>
        <w:t xml:space="preserve">Les modifications des plans sont une caractéristique nécessaire de tout processus de programmation, car elles offrent la flexibilité nécessaire pour répondre aux difficultés rencontrées sur le terrain et aux besoins émergents. </w:t>
      </w:r>
    </w:p>
    <w:p w14:paraId="2A49793C" w14:textId="00F8C1A3" w:rsidR="00271BA1" w:rsidRPr="00170DF9" w:rsidRDefault="000855CB" w:rsidP="008A6DDA">
      <w:pPr>
        <w:jc w:val="both"/>
        <w:rPr>
          <w:rFonts w:ascii="Times New Roman" w:hAnsi="Times New Roman" w:cs="Times New Roman"/>
          <w:noProof/>
          <w:sz w:val="24"/>
          <w:szCs w:val="24"/>
        </w:rPr>
      </w:pPr>
      <w:r>
        <w:rPr>
          <w:rFonts w:ascii="Times New Roman" w:hAnsi="Times New Roman"/>
          <w:b/>
          <w:noProof/>
          <w:sz w:val="24"/>
        </w:rPr>
        <w:t>Jusqu’en septembre 2025, 93 modifications avaient été demandées par les États membres. Tous les plans ont été modifiés entre 2 et 5 fois entre leur approbation et septembre 2025</w:t>
      </w:r>
      <w:r>
        <w:rPr>
          <w:rFonts w:ascii="Times New Roman" w:hAnsi="Times New Roman"/>
          <w:noProof/>
          <w:sz w:val="24"/>
        </w:rPr>
        <w:t>. Les changements sont dus à l’évolution de la situation économique, à la nécessité de rendre les interventions plus attrayantes ou de les simplifier. À la suite des modifications, 34 % des valeurs cibles ont changé, avec des variations importantes entre les plans. Les valeurs cibles les plus souvent revues à la hausse concernent des objectifs sociaux en raison de la nécessité de les aligner sur les stratégies Leader</w:t>
      </w:r>
      <w:r w:rsidR="000D60EE" w:rsidRPr="00170DF9">
        <w:rPr>
          <w:rStyle w:val="FootnoteReference"/>
          <w:rFonts w:ascii="Times New Roman" w:hAnsi="Times New Roman" w:cs="Times New Roman"/>
          <w:noProof/>
          <w:sz w:val="24"/>
          <w:szCs w:val="24"/>
          <w:lang w:val="en-IE"/>
        </w:rPr>
        <w:footnoteReference w:id="10"/>
      </w:r>
      <w:r>
        <w:rPr>
          <w:rFonts w:ascii="Times New Roman" w:hAnsi="Times New Roman"/>
          <w:noProof/>
          <w:sz w:val="24"/>
        </w:rPr>
        <w:t xml:space="preserve"> en question après l’approbation des plans. Dans l’ensemble, on constate un certain équilibre entre les modifications revoyant les valeurs cibles à la hausse et celles les revoyant à la baisse, y compris concernant les valeurs cibles en matière d’architecture verte. </w:t>
      </w:r>
      <w:r>
        <w:rPr>
          <w:rFonts w:ascii="Times New Roman" w:hAnsi="Times New Roman"/>
          <w:noProof/>
          <w:sz w:val="24"/>
          <w:shd w:val="clear" w:color="auto" w:fill="FFFFFF"/>
        </w:rPr>
        <w:t>Dans son évaluation des modifications</w:t>
      </w:r>
      <w:r>
        <w:rPr>
          <w:rFonts w:ascii="Times New Roman" w:hAnsi="Times New Roman"/>
          <w:noProof/>
          <w:sz w:val="24"/>
        </w:rPr>
        <w:t>, la Commission a veillé à la cohérence, ainsi qu’au maintien de conditions de concurrence équitables, tout en tenant compte des défis nationaux spécifiques.</w:t>
      </w:r>
    </w:p>
    <w:p w14:paraId="203A00D3" w14:textId="209E34D1" w:rsidR="000E38DB" w:rsidRPr="00170DF9" w:rsidRDefault="001C16F0" w:rsidP="001F4887">
      <w:pPr>
        <w:spacing w:line="257"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 2025, la Commission a proposé de simplifier davantage le processus de modification des plans en limitant les demandes formelles de modification aux seuls changements stratégiques, ce qui permettrait une modification plus rapide des plans. La proposition appelée Omnibus 3</w:t>
      </w:r>
      <w:r w:rsidR="005826DC" w:rsidRPr="00170DF9">
        <w:rPr>
          <w:rStyle w:val="FootnoteReference"/>
          <w:rFonts w:ascii="Times New Roman" w:hAnsi="Times New Roman" w:cs="Times New Roman"/>
          <w:noProof/>
          <w:sz w:val="24"/>
          <w:szCs w:val="24"/>
          <w:lang w:val="en-IE"/>
        </w:rPr>
        <w:footnoteReference w:id="11"/>
      </w:r>
      <w:r>
        <w:rPr>
          <w:rFonts w:ascii="Times New Roman" w:hAnsi="Times New Roman"/>
          <w:noProof/>
          <w:sz w:val="24"/>
        </w:rPr>
        <w:t xml:space="preserve"> a été adoptée et s’appliquera en 2026.</w:t>
      </w:r>
    </w:p>
    <w:p w14:paraId="206D03D5" w14:textId="0DE0FF73" w:rsidR="64637E3E" w:rsidRPr="00170DF9" w:rsidRDefault="00F647EB" w:rsidP="006A10B6">
      <w:pPr>
        <w:pStyle w:val="SectionTitle"/>
        <w:numPr>
          <w:ilvl w:val="0"/>
          <w:numId w:val="33"/>
        </w:numPr>
        <w:spacing w:after="240"/>
        <w:jc w:val="left"/>
        <w:rPr>
          <w:rFonts w:ascii="Times New Roman Bold" w:hAnsi="Times New Roman Bold"/>
          <w:smallCaps w:val="0"/>
          <w:noProof/>
          <w:sz w:val="24"/>
          <w:szCs w:val="24"/>
        </w:rPr>
      </w:pPr>
      <w:r>
        <w:rPr>
          <w:rFonts w:ascii="Times New Roman Bold" w:hAnsi="Times New Roman Bold"/>
          <w:smallCaps w:val="0"/>
          <w:noProof/>
          <w:sz w:val="24"/>
        </w:rPr>
        <w:t xml:space="preserve">Un nouveau modèle d’assurance et un principe d’audit unique </w:t>
      </w:r>
    </w:p>
    <w:p w14:paraId="23C1B88E" w14:textId="6B1A11C4" w:rsidR="0C54D3A3" w:rsidRPr="00170DF9" w:rsidRDefault="31317195" w:rsidP="000C0B43">
      <w:pPr>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Dans le cadre du nouveau modèle de mise en œuvre, l’assurance repose sur le bon fonctionnement des systèmes de gouvernance des États membres. L’éligibilité des dépenses est assurée par les organismes payeurs et vérifiée chaque année par les organismes de certification.</w:t>
      </w:r>
      <w:r>
        <w:rPr>
          <w:rFonts w:ascii="Times New Roman" w:hAnsi="Times New Roman"/>
          <w:noProof/>
          <w:sz w:val="24"/>
        </w:rPr>
        <w:t xml:space="preserve"> Les organismes de certification formulent des avis sur les comptes annuels, sur l’efficacité des systèmes de gouvernance et sur la fiabilité des rapports de performance. La Commission effectue des audits fondés sur les risques de leurs travaux principalement et, uniquement lorsqu’ils ne donnent pas des résultats satisfaisants, des organismes payeurs eux-mêmes.</w:t>
      </w:r>
    </w:p>
    <w:p w14:paraId="41FB3D9D" w14:textId="651A320A" w:rsidR="00C726D6" w:rsidRPr="00170DF9" w:rsidRDefault="676A6192" w:rsidP="004B5FB2">
      <w:pPr>
        <w:jc w:val="both"/>
        <w:rPr>
          <w:rFonts w:ascii="Times New Roman" w:hAnsi="Times New Roman" w:cs="Times New Roman"/>
          <w:noProof/>
          <w:sz w:val="24"/>
          <w:szCs w:val="24"/>
        </w:rPr>
      </w:pPr>
      <w:r>
        <w:rPr>
          <w:rFonts w:ascii="Times New Roman" w:hAnsi="Times New Roman"/>
          <w:noProof/>
          <w:sz w:val="24"/>
        </w:rPr>
        <w:t xml:space="preserve">Le renforcement du principe d’audit unique est un élément clé de la réforme. S’il accroît l’efficacité, renforce la responsabilité au niveau national et évite le chevauchement des contrôles, il rend également l’assurance plus dépendante du travail rapide et fiable des organismes de certification. La Commission entretient des contacts réguliers avec les organismes payeurs et les organismes de certification afin de garantir une compréhension commune et le respect cohérent des exigences en matière d’assurance. Si la Commission détecte de graves déficiences dans les systèmes de gouvernance, des procédures de conformité sont lancées et, si ces déficiences sont confirmées, donnent lieu à des corrections financières. </w:t>
      </w:r>
    </w:p>
    <w:p w14:paraId="1B225A0D" w14:textId="0FB6211C" w:rsidR="00924CC0" w:rsidRPr="00170DF9" w:rsidRDefault="19C71FFD" w:rsidP="004B5FB2">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Entre le 1er janvier 2024 et le 30 septembre 2025, la Commission a effectué 78 audits des systèmes de gouvernance dans leur ensemble ou de certaines interventions de la PAC. Dans certains cas, des déficiences graves potentielles ont été constatées et des procédures de conformité ont été lancées pour évaluer les risques éventuels pour le budget de l’UE. Étant donné que ces procédures prennent du temps, aucune procédure de conformité n’avait été achevée à la fin du mois de septembre 2025.</w:t>
      </w:r>
    </w:p>
    <w:p w14:paraId="16C8698B" w14:textId="0900808B" w:rsidR="00F50D9D" w:rsidRPr="00170DF9" w:rsidRDefault="00F50D9D" w:rsidP="006A10B6">
      <w:pPr>
        <w:pStyle w:val="SectionTitle"/>
        <w:numPr>
          <w:ilvl w:val="0"/>
          <w:numId w:val="33"/>
        </w:numPr>
        <w:spacing w:after="240"/>
        <w:jc w:val="left"/>
        <w:rPr>
          <w:rFonts w:ascii="Times New Roman Bold" w:eastAsia="Arial" w:hAnsi="Times New Roman Bold"/>
          <w:smallCaps w:val="0"/>
          <w:noProof/>
          <w:sz w:val="24"/>
          <w:szCs w:val="24"/>
        </w:rPr>
      </w:pPr>
      <w:r>
        <w:rPr>
          <w:rFonts w:ascii="Times New Roman Bold" w:hAnsi="Times New Roman Bold"/>
          <w:smallCaps w:val="0"/>
          <w:noProof/>
          <w:sz w:val="24"/>
        </w:rPr>
        <w:t>Une nouvelle approche préventive avec le système de suivi des surfaces</w:t>
      </w:r>
    </w:p>
    <w:p w14:paraId="2185BC1C" w14:textId="2556670F" w:rsidR="00F50D9D" w:rsidRPr="00170DF9" w:rsidRDefault="00F50D9D" w:rsidP="00792485">
      <w:pPr>
        <w:jc w:val="both"/>
        <w:rPr>
          <w:rFonts w:ascii="Times New Roman" w:eastAsia="Aptos" w:hAnsi="Times New Roman" w:cs="Times New Roman"/>
          <w:noProof/>
          <w:kern w:val="0"/>
          <w:sz w:val="24"/>
          <w:szCs w:val="24"/>
          <w14:ligatures w14:val="none"/>
        </w:rPr>
      </w:pPr>
      <w:r>
        <w:rPr>
          <w:rFonts w:ascii="Times New Roman" w:hAnsi="Times New Roman"/>
          <w:noProof/>
          <w:sz w:val="24"/>
        </w:rPr>
        <w:t>Dans le cadre du nouveau modèle de mise en œuvre, la responsabilité de la conception et de la mise en œuvre des contrôles dans le système intégré de gestion et de contrôle a été largement transférée aux États membres. L’introduction du système de suivi des surfaces les oblige à contrôler par imagerie satellite le respect des conditions d’admissibilité par les agriculteurs, lorsque cela est techniquement possible. Ce suivi remplace les contrôles sur place, allégeant ainsi considérablement la charge administrative. L’approche préventive du système de suivi des surfaces permet également aux agriculteurs de corriger leurs demandes au titre de la PAC sans être pénalisés. Au cours de l’année de demande 2023, cela a donné lieu à des corrections pour 3,3 millions d’hectares (2 % de la superficie agricole utile de l’UE, SAU), contribuant ainsi à réduire les sanctions et à alléger la charge administrative pesant sur les agriculteurs et les administrations.</w:t>
      </w:r>
    </w:p>
    <w:p w14:paraId="228E4402" w14:textId="381E0934" w:rsidR="00F50D9D" w:rsidRPr="00170DF9" w:rsidRDefault="00F50D9D" w:rsidP="00792485">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Toutefois, les États membres et les agriculteurs pourraient tirer encore plus de bénéfices de l’utilisation du système de suivi des surfaces en rendant davantage d’interventions et de conditions d’admissibilité contrôlables dans les plans afin d’encourager cette approche préventive. </w:t>
      </w:r>
    </w:p>
    <w:p w14:paraId="16368D2E" w14:textId="0AFB5D8D" w:rsidR="00ED4474" w:rsidRPr="00170DF9" w:rsidRDefault="004E6C87" w:rsidP="007D42D3">
      <w:pPr>
        <w:pStyle w:val="ListParagraph"/>
        <w:keepNext/>
        <w:numPr>
          <w:ilvl w:val="0"/>
          <w:numId w:val="1"/>
        </w:numPr>
        <w:ind w:left="1077" w:hanging="357"/>
        <w:jc w:val="both"/>
        <w:rPr>
          <w:rFonts w:ascii="Times New Roman" w:hAnsi="Times New Roman" w:cs="Times New Roman"/>
          <w:b/>
          <w:noProof/>
          <w:sz w:val="24"/>
          <w:szCs w:val="24"/>
        </w:rPr>
      </w:pPr>
      <w:r>
        <w:rPr>
          <w:rFonts w:ascii="Times New Roman" w:hAnsi="Times New Roman"/>
          <w:b/>
          <w:noProof/>
          <w:sz w:val="24"/>
        </w:rPr>
        <w:t xml:space="preserve">Un suivi de la performance plus efficace et plus complet </w:t>
      </w:r>
    </w:p>
    <w:p w14:paraId="07A4C409" w14:textId="796113F3" w:rsidR="00BE46F8" w:rsidRPr="00170DF9" w:rsidRDefault="00BE46F8" w:rsidP="002033CC">
      <w:pPr>
        <w:jc w:val="both"/>
        <w:rPr>
          <w:rFonts w:ascii="Times New Roman" w:hAnsi="Times New Roman" w:cs="Times New Roman"/>
          <w:noProof/>
          <w:sz w:val="24"/>
          <w:szCs w:val="24"/>
        </w:rPr>
      </w:pPr>
      <w:r>
        <w:rPr>
          <w:rFonts w:ascii="Times New Roman" w:hAnsi="Times New Roman"/>
          <w:noProof/>
          <w:sz w:val="24"/>
        </w:rPr>
        <w:t xml:space="preserve">Le cadre de performance permet de suivre l’avancement de la mise en œuvre et ouvre la voie à un processus d’amélioration continue. </w:t>
      </w:r>
    </w:p>
    <w:p w14:paraId="10E4C885" w14:textId="3DEDE6CE" w:rsidR="008D7748" w:rsidRPr="00170DF9" w:rsidRDefault="00BE46F8" w:rsidP="002033C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 cadre intègre des rapports sur les paiements directs, le développement rural et les interventions sectorielles dans le même ensemble d’indicateurs de résultat, en fonction de leur objectif. Il établit une liste exhaustive d’indicateurs de performance. Chaque intervention est liée à un indicateur de réalisation et à tous les indicateurs de résultat pertinents</w:t>
      </w:r>
      <w:r w:rsidR="008D7748" w:rsidRPr="00170DF9">
        <w:rPr>
          <w:rStyle w:val="FootnoteReference"/>
          <w:rFonts w:ascii="Times New Roman" w:hAnsi="Times New Roman" w:cs="Times New Roman"/>
          <w:noProof/>
          <w:sz w:val="24"/>
          <w:szCs w:val="24"/>
        </w:rPr>
        <w:footnoteReference w:id="12"/>
      </w:r>
      <w:r>
        <w:rPr>
          <w:rFonts w:ascii="Times New Roman" w:hAnsi="Times New Roman"/>
          <w:noProof/>
          <w:sz w:val="24"/>
        </w:rPr>
        <w:t xml:space="preserve">, afin de garantir une description complète des contributions de la PAC. </w:t>
      </w:r>
    </w:p>
    <w:p w14:paraId="23F811E3" w14:textId="57FEE56E" w:rsidR="008D7748" w:rsidRPr="00170DF9" w:rsidRDefault="008D7748" w:rsidP="75A2424F">
      <w:pPr>
        <w:jc w:val="both"/>
        <w:rPr>
          <w:rFonts w:ascii="Times New Roman" w:eastAsia="Times New Roman" w:hAnsi="Times New Roman" w:cs="Times New Roman"/>
          <w:noProof/>
          <w:color w:val="333333"/>
          <w:sz w:val="24"/>
          <w:szCs w:val="24"/>
        </w:rPr>
      </w:pPr>
      <w:r>
        <w:rPr>
          <w:rFonts w:ascii="Times New Roman" w:hAnsi="Times New Roman"/>
          <w:noProof/>
          <w:sz w:val="24"/>
        </w:rPr>
        <w:t>L’intégration des rapports tant pour le suivi des politiques que pour l’assurance dans le rapport annuel de performance a permis de rationaliser les processus et d’accroître la cohérence. Toutefois, elle a également conduit à des règles de calcul plus complexes (réalisations partielles) et à des agrégations difficiles (prolifération des unités de mesure). Les autorités</w:t>
      </w:r>
      <w:r>
        <w:rPr>
          <w:rFonts w:ascii="Times New Roman" w:hAnsi="Times New Roman"/>
          <w:noProof/>
          <w:color w:val="333333"/>
          <w:sz w:val="24"/>
        </w:rPr>
        <w:t xml:space="preserve"> </w:t>
      </w:r>
      <w:r>
        <w:rPr>
          <w:rFonts w:ascii="Times New Roman" w:hAnsi="Times New Roman"/>
          <w:noProof/>
          <w:sz w:val="24"/>
        </w:rPr>
        <w:t xml:space="preserve">de gestion ont eu du mal à respecter le délai fixé au 15 février pour le rapport annuel de performance et à fournir toutes les données certifiées et les </w:t>
      </w:r>
      <w:r>
        <w:rPr>
          <w:rFonts w:ascii="Times New Roman" w:hAnsi="Times New Roman"/>
          <w:noProof/>
          <w:color w:val="333333"/>
          <w:sz w:val="24"/>
        </w:rPr>
        <w:t>justifications nécessaires, tandis qu’aux fins du suivi</w:t>
      </w:r>
      <w:r>
        <w:rPr>
          <w:rFonts w:ascii="Times New Roman" w:hAnsi="Times New Roman"/>
          <w:noProof/>
          <w:sz w:val="24"/>
        </w:rPr>
        <w:t>, la disponibilité des données a été retardée.</w:t>
      </w:r>
    </w:p>
    <w:p w14:paraId="5E937B48" w14:textId="10BF3A8D" w:rsidR="008D7748" w:rsidRPr="00170DF9" w:rsidRDefault="00540A1A" w:rsidP="002033C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indicateurs de résultat actuels sont principalement fondés sur la couverture de l’action, car il est difficile de mesurer les résultats directs des politiques. Toutefois, la Commission a élaboré des estimations approximatives pour l’atténuation du changement climatique et la teneur en matières organiques des sols afin de pouvoir proposer des indicateurs de résultat mesurant les résultats pour la période 2028-2034.</w:t>
      </w:r>
    </w:p>
    <w:p w14:paraId="07CDE763" w14:textId="4767AA23" w:rsidR="00774919" w:rsidRPr="00170DF9" w:rsidRDefault="002E479E" w:rsidP="002033CC">
      <w:pPr>
        <w:jc w:val="both"/>
        <w:rPr>
          <w:rFonts w:ascii="Times New Roman" w:hAnsi="Times New Roman" w:cs="Times New Roman"/>
          <w:noProof/>
          <w:sz w:val="24"/>
          <w:szCs w:val="24"/>
        </w:rPr>
      </w:pPr>
      <w:r>
        <w:rPr>
          <w:rFonts w:ascii="Times New Roman" w:hAnsi="Times New Roman"/>
          <w:noProof/>
          <w:sz w:val="24"/>
        </w:rPr>
        <w:t xml:space="preserve">Les États membres doivent évaluer la contribution de leurs plans à la réalisation de tous les objectifs au cours de la période de programmation et disposent d’une plus grande liberté pour concevoir leurs plans d’évaluation. Avec le soutien de la Commission et du réseau européen de la PAC, la plupart d’entre eux ont élaboré des plans d’évaluation ambitieux. </w:t>
      </w:r>
    </w:p>
    <w:p w14:paraId="6DBF81FD" w14:textId="77777777" w:rsidR="008C139F" w:rsidRPr="00D47DF1" w:rsidRDefault="008C139F" w:rsidP="002033CC">
      <w:pPr>
        <w:jc w:val="both"/>
        <w:rPr>
          <w:rFonts w:ascii="Times New Roman" w:eastAsia="Times New Roman" w:hAnsi="Times New Roman" w:cs="Times New Roman"/>
          <w:noProof/>
          <w:kern w:val="0"/>
          <w:sz w:val="24"/>
          <w:szCs w:val="24"/>
          <w:lang w:val="fr-BE" w:eastAsia="en-IE"/>
          <w14:ligatures w14:val="none"/>
        </w:rPr>
      </w:pPr>
    </w:p>
    <w:p w14:paraId="471F43B0" w14:textId="3D1B6C5B" w:rsidR="00AF2E3B" w:rsidRPr="00170DF9" w:rsidRDefault="00B7161D" w:rsidP="007D42D3">
      <w:pPr>
        <w:pStyle w:val="NormalWeb"/>
        <w:numPr>
          <w:ilvl w:val="0"/>
          <w:numId w:val="1"/>
        </w:numPr>
        <w:jc w:val="both"/>
        <w:rPr>
          <w:b/>
          <w:noProof/>
        </w:rPr>
      </w:pPr>
      <w:r>
        <w:rPr>
          <w:b/>
          <w:noProof/>
        </w:rPr>
        <w:t>Un effort de simplification majeur</w:t>
      </w:r>
    </w:p>
    <w:p w14:paraId="79522D54" w14:textId="2319827E" w:rsidR="00E067AB" w:rsidRPr="00170DF9" w:rsidRDefault="00E067AB" w:rsidP="00492007">
      <w:pPr>
        <w:pStyle w:val="NormalWeb"/>
        <w:jc w:val="both"/>
        <w:rPr>
          <w:noProof/>
        </w:rPr>
      </w:pPr>
      <w:r>
        <w:rPr>
          <w:noProof/>
        </w:rPr>
        <w:t>L’expérience acquise en matière de mise en œuvre des plans a mis en évidence la nécessité d’ajustements ciblés de certains aspects du cadre de la PAC afin d’alléger la charge administrative pesant sur les agriculteurs et les administrations. À cette fin, deux trains de mesures législatives et non législatives ont été élaborés en 2024 et 2025 afin d’accroître la flexibilité, la proportionnalité et la clarté des règles relatives à la PAC (telles que celles relatives à la force majeure).</w:t>
      </w:r>
    </w:p>
    <w:p w14:paraId="1A94EF5E" w14:textId="7F2CD6D4" w:rsidR="00540A1A" w:rsidRPr="00170DF9" w:rsidRDefault="00540A1A" w:rsidP="00E067AB">
      <w:pPr>
        <w:pStyle w:val="NormalWeb"/>
        <w:jc w:val="both"/>
        <w:rPr>
          <w:rFonts w:eastAsia="Arial"/>
          <w:noProof/>
        </w:rPr>
      </w:pPr>
      <w:r>
        <w:rPr>
          <w:noProof/>
        </w:rPr>
        <w:t xml:space="preserve">D’une part, plusieurs modifications augmentent la flexibilité dans la manière dont les agriculteurs gèrent les terres dans le cadre des instruments de soutien de la PAC et permettent de mieux s’aligner sur les réalités des exploitations (ajustements des règles de conditionnalité). D’autre part, certains changements rationalisent la mise en œuvre des plans relevant de la PAC pour les autorités nationales (modifications, abandon de l’apurement des performances). </w:t>
      </w:r>
    </w:p>
    <w:p w14:paraId="7BB75694" w14:textId="32949023" w:rsidR="00E067AB" w:rsidRPr="00170DF9" w:rsidRDefault="009C5D4A" w:rsidP="002C4629">
      <w:pPr>
        <w:pStyle w:val="NormalWeb"/>
        <w:jc w:val="both"/>
        <w:rPr>
          <w:noProof/>
        </w:rPr>
      </w:pPr>
      <w:r>
        <w:rPr>
          <w:noProof/>
        </w:rPr>
        <w:t>La Commission a également publié une feuille de route contenant de nouvelles mesures de simplification à prendre tout au long de l’année 2025, décrivant les actions et les outils prévus, ainsi qu’un calendrier indicatif pour de nouvelles améliorations du droit dérivé de la PAC. </w:t>
      </w:r>
    </w:p>
    <w:p w14:paraId="102DF1E6" w14:textId="1338AA7F" w:rsidR="00A02698" w:rsidRPr="00170DF9" w:rsidRDefault="0F8AE130" w:rsidP="0075732F">
      <w:pPr>
        <w:pStyle w:val="Heading1"/>
        <w:numPr>
          <w:ilvl w:val="0"/>
          <w:numId w:val="30"/>
        </w:numPr>
        <w:rPr>
          <w:rFonts w:ascii="Times New Roman" w:hAnsi="Times New Roman" w:cs="Times New Roman"/>
          <w:b/>
          <w:bCs/>
          <w:smallCaps/>
          <w:noProof/>
          <w:color w:val="auto"/>
          <w:sz w:val="24"/>
          <w:szCs w:val="24"/>
        </w:rPr>
      </w:pPr>
      <w:r>
        <w:rPr>
          <w:rFonts w:ascii="Times New Roman" w:hAnsi="Times New Roman"/>
          <w:b/>
          <w:smallCaps/>
          <w:noProof/>
          <w:color w:val="auto"/>
          <w:sz w:val="24"/>
        </w:rPr>
        <w:t xml:space="preserve">Contribution des plans stratégiques relevant de la PAC au respect des engagements pris par l’UE en matière d’environnement et de climat </w:t>
      </w:r>
    </w:p>
    <w:p w14:paraId="47082BBD" w14:textId="453E4046" w:rsidR="009462B6" w:rsidRPr="00170DF9" w:rsidRDefault="009462B6" w:rsidP="00FC27A3">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objectifs de la PAC en matière d’environnement et de climat sont la lutte contre le changement climatique, la protection des ressources naturelles et le renforcement de la biodiversité. La PAC 2023-2027 a introduit une combinaison d’interventions et de conditionnalité ainsi qu’un budget réservé (l’architecture écologique de la PAC) pour atteindre ces objectifs. Les États membres ont élaboré des stratégies environnementales afin de contribuer aux actes législatifs de l’UE en matière d’environnement et de climat, de contribuer à la réalisation des objectifs du pacte vert pour l’Europe et de satisfaire à l’obligation</w:t>
      </w:r>
      <w:r w:rsidR="003A35C1" w:rsidRPr="00170DF9">
        <w:rPr>
          <w:rStyle w:val="FootnoteReference"/>
          <w:rFonts w:ascii="Times New Roman" w:hAnsi="Times New Roman" w:cs="Times New Roman"/>
          <w:noProof/>
          <w:sz w:val="24"/>
          <w:szCs w:val="24"/>
        </w:rPr>
        <w:footnoteReference w:id="13"/>
      </w:r>
      <w:r>
        <w:rPr>
          <w:rFonts w:ascii="Times New Roman" w:hAnsi="Times New Roman"/>
          <w:noProof/>
          <w:sz w:val="24"/>
        </w:rPr>
        <w:t xml:space="preserve"> d’apporter une contribution globale plus importante à la réalisation de ces objectifs spécifiques par rapport à la période 2014-2022.</w:t>
      </w:r>
    </w:p>
    <w:p w14:paraId="189A998F" w14:textId="233BBC52" w:rsidR="006C1556" w:rsidRPr="00170DF9" w:rsidRDefault="006C1556" w:rsidP="00FC27A3">
      <w:pPr>
        <w:jc w:val="both"/>
        <w:rPr>
          <w:rFonts w:ascii="Times New Roman" w:hAnsi="Times New Roman" w:cs="Times New Roman"/>
          <w:noProof/>
          <w:sz w:val="24"/>
          <w:szCs w:val="24"/>
        </w:rPr>
      </w:pPr>
      <w:r>
        <w:rPr>
          <w:rFonts w:ascii="Times New Roman" w:hAnsi="Times New Roman"/>
          <w:b/>
          <w:noProof/>
          <w:sz w:val="24"/>
        </w:rPr>
        <w:t>Chaque État membre a choisi sa propre panoplie de mesures pour concevoir son architecture écologique.</w:t>
      </w:r>
      <w:r>
        <w:rPr>
          <w:rFonts w:ascii="Times New Roman" w:hAnsi="Times New Roman"/>
          <w:noProof/>
          <w:sz w:val="24"/>
        </w:rPr>
        <w:t xml:space="preserve"> Les interventions fondées sur la surface sont complétées par un soutien aux investissements verts, à la coopération ou aux projets de formation. </w:t>
      </w:r>
      <w:bookmarkStart w:id="4" w:name="_Hlk212708330"/>
      <w:r>
        <w:rPr>
          <w:rFonts w:ascii="Times New Roman" w:hAnsi="Times New Roman"/>
          <w:noProof/>
          <w:sz w:val="24"/>
        </w:rPr>
        <w:t xml:space="preserve">La PAC actuelle continue de soutenir les engagements et les investissements en matière de gestion, bien connus des agriculteurs et adaptés à leurs besoins. </w:t>
      </w:r>
      <w:bookmarkEnd w:id="4"/>
      <w:r>
        <w:rPr>
          <w:rFonts w:ascii="Times New Roman" w:hAnsi="Times New Roman"/>
          <w:noProof/>
          <w:sz w:val="24"/>
        </w:rPr>
        <w:t>En ce qui concerne les bonnes conditions agricoles et environnementales (BCAE), certains ajustements ont été introduits en 2024 afin de mieux adapter la mise en œuvre aux réalités de l’agriculture: des exemptions ciblées, des dérogations temporaires et l’obligation de récompenser le maintien et la création de zones non productives.</w:t>
      </w:r>
    </w:p>
    <w:p w14:paraId="7E01C28F" w14:textId="33D40251" w:rsidR="006C1556" w:rsidRPr="00170DF9" w:rsidRDefault="00040E9F" w:rsidP="000B46F8">
      <w:pPr>
        <w:jc w:val="both"/>
        <w:rPr>
          <w:rFonts w:ascii="Times New Roman" w:hAnsi="Times New Roman" w:cs="Times New Roman"/>
          <w:noProof/>
          <w:kern w:val="0"/>
          <w:sz w:val="24"/>
          <w:szCs w:val="24"/>
          <w14:ligatures w14:val="none"/>
        </w:rPr>
      </w:pPr>
      <w:r>
        <w:rPr>
          <w:rFonts w:ascii="Times New Roman" w:hAnsi="Times New Roman"/>
          <w:b/>
          <w:noProof/>
          <w:sz w:val="24"/>
        </w:rPr>
        <w:t>Nouveauté en 2023, les éco-régimes permettent d’intensifier les actions agroenvironnementales</w:t>
      </w:r>
      <w:r>
        <w:rPr>
          <w:rFonts w:ascii="Times New Roman" w:hAnsi="Times New Roman"/>
          <w:noProof/>
          <w:sz w:val="24"/>
        </w:rPr>
        <w:t xml:space="preserve"> au moyen d’un budget important et d’engagements annuels spécifiques. Certains États membres ont misé sur la participation de nombreux agriculteurs à un changement modéré et progressif, mais à grande échelle, des pratiques agricoles, tandis que d’autres ont conçu des interventions plus ciblées. Tous les États membres ont dû trouver le juste équilibre entre le niveau de la prime et l’ambition de garantir l’attractivité du régime. Dans la plupart des plans, l’éco-régime a été plus adopté que prévu, tandis que dans quelques autres, des changements ont été nécessaires pour adapter les interventions et encourager leur adoption par les agriculteurs. </w:t>
      </w:r>
      <w:r>
        <w:rPr>
          <w:rFonts w:ascii="Times New Roman" w:hAnsi="Times New Roman"/>
          <w:b/>
          <w:noProof/>
          <w:sz w:val="24"/>
        </w:rPr>
        <w:t>Au niveau de l’UE, 47 % des agriculteurs ont bénéficié d’un soutien au titre des éco-régimes au cours de l’exercice 2024, pour 58 % de la SAU.</w:t>
      </w:r>
    </w:p>
    <w:p w14:paraId="62D1BFAF" w14:textId="36CC92DB" w:rsidR="00FD06E4" w:rsidRPr="00170DF9" w:rsidRDefault="00A15126" w:rsidP="002F14C5">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Après deux ans de mise en œuvre, il est trop tôt pour mesurer les incidences réelles des interventions sur la réalisation des objectifs en matière d’environnement et de climat des plans relevant de la PAC. </w:t>
      </w:r>
      <w:bookmarkStart w:id="5" w:name="_Hlk212483470"/>
      <w:r>
        <w:rPr>
          <w:rFonts w:ascii="Times New Roman" w:hAnsi="Times New Roman"/>
          <w:noProof/>
          <w:sz w:val="24"/>
        </w:rPr>
        <w:t>Dans de nombreux cas, les incidences ne peuvent être mesurées qu’après plusieurs années (par exemple, régénération de la biodiversité, pollution de l’air et de l’eau, santé des sols, etc.).</w:t>
      </w:r>
      <w:bookmarkEnd w:id="5"/>
      <w:r>
        <w:rPr>
          <w:rFonts w:ascii="Times New Roman" w:hAnsi="Times New Roman"/>
          <w:noProof/>
          <w:sz w:val="24"/>
        </w:rPr>
        <w:t xml:space="preserve"> Toutefois, trois études récentes permettent d’estimer et de quantifier les contributions potentielles des interventions prévues à la réalisation de ces objectifs. Les études ont évalué chaque intervention de la PAC sur la base i) des pratiques (ou exigences) agricoles soutenues; ii) de la couverture prévue; et iii) de l’incidence de chaque pratique agricole sur le climat, la biodiversité, l’air pur et la santé des sols. </w:t>
      </w:r>
    </w:p>
    <w:p w14:paraId="0DBD43BF" w14:textId="5B05101B" w:rsidR="006C1556" w:rsidRPr="00170DF9" w:rsidRDefault="005373CB" w:rsidP="00FC27A3">
      <w:pPr>
        <w:jc w:val="both"/>
        <w:rPr>
          <w:rFonts w:ascii="Times New Roman" w:hAnsi="Times New Roman" w:cs="Times New Roman"/>
          <w:noProof/>
          <w:sz w:val="24"/>
          <w:szCs w:val="24"/>
        </w:rPr>
      </w:pPr>
      <w:r>
        <w:rPr>
          <w:rFonts w:ascii="Times New Roman" w:hAnsi="Times New Roman"/>
          <w:noProof/>
          <w:sz w:val="24"/>
        </w:rPr>
        <w:t>L’étude intitulée «Budget tracking of the CAP contribution to climate change, biodiversity and clean air action»</w:t>
      </w:r>
      <w:r w:rsidR="00704812" w:rsidRPr="00170DF9">
        <w:rPr>
          <w:rStyle w:val="FootnoteReference"/>
          <w:rFonts w:ascii="Times New Roman" w:hAnsi="Times New Roman" w:cs="Times New Roman"/>
          <w:noProof/>
          <w:sz w:val="24"/>
          <w:szCs w:val="24"/>
        </w:rPr>
        <w:footnoteReference w:id="14"/>
      </w:r>
      <w:r>
        <w:rPr>
          <w:rFonts w:ascii="Times New Roman" w:hAnsi="Times New Roman"/>
          <w:noProof/>
          <w:sz w:val="24"/>
        </w:rPr>
        <w:t xml:space="preserve"> (Suivi budgétaire de la contribution de la PAC au changement climatique, à la biodiversité et à l’action pour un air pur) montre que </w:t>
      </w:r>
      <w:r>
        <w:rPr>
          <w:rFonts w:ascii="Times New Roman" w:hAnsi="Times New Roman"/>
          <w:b/>
          <w:noProof/>
          <w:sz w:val="24"/>
        </w:rPr>
        <w:t>33 % du budget de la PAC apporte une contribution positive au climat, 39 % à la biodiversité et 20 % à l’air pur</w:t>
      </w:r>
      <w:r>
        <w:rPr>
          <w:rFonts w:ascii="Times New Roman" w:hAnsi="Times New Roman"/>
          <w:noProof/>
          <w:sz w:val="24"/>
        </w:rPr>
        <w:t>. En outre, l’étude montre que plusieurs interventions contribuent, et pas seulement celles relevant de l’architecture verte. Cette approche tient compte des définitions des interventions et du ciblage de l’aide</w:t>
      </w:r>
      <w:r w:rsidR="00F01138" w:rsidRPr="00170DF9">
        <w:rPr>
          <w:rStyle w:val="FootnoteReference"/>
          <w:rFonts w:ascii="Times New Roman" w:hAnsi="Times New Roman" w:cs="Times New Roman"/>
          <w:bCs/>
          <w:noProof/>
          <w:sz w:val="24"/>
          <w:szCs w:val="24"/>
        </w:rPr>
        <w:footnoteReference w:id="15"/>
      </w:r>
      <w:r>
        <w:rPr>
          <w:rFonts w:ascii="Times New Roman" w:hAnsi="Times New Roman"/>
          <w:noProof/>
          <w:sz w:val="24"/>
        </w:rPr>
        <w:t xml:space="preserve"> et se traduit par une contribution au climat légèrement inférieure, mais comparable, par rapport à l’utilisation des marqueurs de Rio</w:t>
      </w:r>
      <w:r w:rsidRPr="00170DF9">
        <w:rPr>
          <w:rStyle w:val="FootnoteReference"/>
          <w:rFonts w:ascii="Times New Roman" w:eastAsia="Times New Roman" w:hAnsi="Times New Roman" w:cs="Times New Roman"/>
          <w:noProof/>
          <w:sz w:val="24"/>
          <w:szCs w:val="24"/>
          <w:lang w:val="en-IE" w:eastAsia="en-IE"/>
        </w:rPr>
        <w:footnoteReference w:id="16"/>
      </w:r>
      <w:r>
        <w:rPr>
          <w:rFonts w:ascii="Times New Roman" w:hAnsi="Times New Roman"/>
          <w:noProof/>
          <w:sz w:val="24"/>
        </w:rPr>
        <w:t>. Cela prouve la pertinence des marqueurs de Rio, une approche simplifiée qui est nécessaire lors de la phase de planification. Ces méthodes de suivi budgétaire n’évaluent que les effets positifs, ce qu’il convient de garder à l’esprit lors de l’interprétation des résultats, qui devraient être complétés par des évaluations ex post.</w:t>
      </w:r>
    </w:p>
    <w:p w14:paraId="42B63AC2" w14:textId="55883F1F" w:rsidR="006C1556" w:rsidRPr="00170DF9" w:rsidRDefault="00363D1D" w:rsidP="00FC27A3">
      <w:pPr>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 xml:space="preserve">Les plans relevant de la PAC représentent une contribution potentielle importante à la réalisation des objectifs d’atténuation du changement climatique à l’horizon 2030. </w:t>
      </w:r>
      <w:r>
        <w:rPr>
          <w:rFonts w:ascii="Times New Roman" w:hAnsi="Times New Roman"/>
          <w:noProof/>
          <w:sz w:val="24"/>
        </w:rPr>
        <w:t>L’étude intitulée «Rough estimate of the climate change mitigation potential of the plans»</w:t>
      </w:r>
      <w:r w:rsidR="00E321EB" w:rsidRPr="00170DF9">
        <w:rPr>
          <w:rStyle w:val="FootnoteReference"/>
          <w:rFonts w:ascii="Times New Roman" w:hAnsi="Times New Roman" w:cs="Times New Roman"/>
          <w:noProof/>
          <w:sz w:val="24"/>
          <w:szCs w:val="24"/>
        </w:rPr>
        <w:footnoteReference w:id="17"/>
      </w:r>
      <w:r>
        <w:rPr>
          <w:rFonts w:ascii="Times New Roman" w:hAnsi="Times New Roman"/>
          <w:noProof/>
          <w:sz w:val="24"/>
        </w:rPr>
        <w:t xml:space="preserve"> (Estimation approximative du potentiel des plans en matière d’atténuation du changement climatique) indique une contribution positive potentielle des 28 plans à la réduction des émissions de gaz à effet de serre et à l’augmentation des 35 millions de tonnes d’équivalent CO</w:t>
      </w:r>
      <w:r>
        <w:rPr>
          <w:rFonts w:ascii="Times New Roman" w:hAnsi="Times New Roman"/>
          <w:noProof/>
          <w:sz w:val="24"/>
          <w:vertAlign w:val="subscript"/>
        </w:rPr>
        <w:t>2</w:t>
      </w:r>
      <w:r>
        <w:rPr>
          <w:rFonts w:ascii="Times New Roman" w:hAnsi="Times New Roman"/>
          <w:noProof/>
          <w:sz w:val="24"/>
        </w:rPr>
        <w:t xml:space="preserve"> absorbées par an en moyenne sur la période 2023-2027, réparties entre 5 millions de tonnes d’émissions autres que de CO</w:t>
      </w:r>
      <w:r>
        <w:rPr>
          <w:rFonts w:ascii="Times New Roman" w:hAnsi="Times New Roman"/>
          <w:noProof/>
          <w:sz w:val="24"/>
          <w:vertAlign w:val="subscript"/>
        </w:rPr>
        <w:t>2</w:t>
      </w:r>
      <w:r>
        <w:rPr>
          <w:rFonts w:ascii="Times New Roman" w:hAnsi="Times New Roman"/>
          <w:noProof/>
          <w:sz w:val="24"/>
        </w:rPr>
        <w:t xml:space="preserve"> et 30 millions de tonnes de carbone par an. L’estimation comporte une part d’incertitude, en particulier la mesure dans laquelle la contribution positive annuelle peut être cumulée jusqu’en 2027 dépend fortement de la complémentarité avec l’adoption effective des pratiques par les agriculteurs tout au long de la période.</w:t>
      </w:r>
    </w:p>
    <w:p w14:paraId="57CB84EA" w14:textId="6D7B1F93" w:rsidR="006C1556" w:rsidRPr="00170DF9" w:rsidRDefault="00983662" w:rsidP="00D324D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États membres</w:t>
      </w:r>
      <w:r>
        <w:rPr>
          <w:rFonts w:ascii="Times New Roman" w:hAnsi="Times New Roman"/>
          <w:b/>
          <w:noProof/>
          <w:sz w:val="24"/>
        </w:rPr>
        <w:t xml:space="preserve"> </w:t>
      </w:r>
      <w:r>
        <w:rPr>
          <w:rFonts w:ascii="Times New Roman" w:hAnsi="Times New Roman"/>
          <w:noProof/>
          <w:sz w:val="24"/>
        </w:rPr>
        <w:t xml:space="preserve">ont mis au point </w:t>
      </w:r>
      <w:r>
        <w:rPr>
          <w:rFonts w:ascii="Times New Roman" w:hAnsi="Times New Roman"/>
          <w:b/>
          <w:noProof/>
          <w:sz w:val="24"/>
        </w:rPr>
        <w:t xml:space="preserve">un large éventail d’interventions visant à améliorer la santé des sols qui contribuent à la réalisation des trois objectifs spécifiques. </w:t>
      </w:r>
      <w:r>
        <w:rPr>
          <w:rFonts w:ascii="Times New Roman" w:hAnsi="Times New Roman"/>
          <w:noProof/>
          <w:sz w:val="24"/>
        </w:rPr>
        <w:t>L’étude intitulée «Rough estimation of the soil protection potential of the CAP»</w:t>
      </w:r>
      <w:r w:rsidR="00C2020A" w:rsidRPr="00170DF9">
        <w:rPr>
          <w:rStyle w:val="FootnoteReference"/>
          <w:rFonts w:ascii="Times New Roman" w:hAnsi="Times New Roman" w:cs="Times New Roman"/>
          <w:noProof/>
          <w:sz w:val="24"/>
          <w:szCs w:val="24"/>
        </w:rPr>
        <w:footnoteReference w:id="18"/>
      </w:r>
      <w:r>
        <w:rPr>
          <w:rFonts w:ascii="Times New Roman" w:hAnsi="Times New Roman"/>
          <w:noProof/>
          <w:sz w:val="24"/>
        </w:rPr>
        <w:t xml:space="preserve"> (Estimation approximative du potentiel de protection des sols de la PAC) examine les choix de mise en œuvre de 13 plans représentant la diversité pédoclimatique de l’UE, dans lesquels la protection des sols est considérée comme une priorité. Elle évalue six caractéristiques des sols. Par exemple, l’augmentation potentielle de la teneur en carbone organique des sols agricoles est estimée à 0,92 % par an pour les interventions de la PAC et à 0,14 % par an pour les exigences relatives aux BCAE. La rotation et la diversification des cultures représentent la majeure partie de l’augmentation potentielle estimée de la teneur en matières organiques du sol. Il s’agit d’un résultat préliminaire, qui reste «approximatif» en raison de certaines limites, principalement la difficulté de tenir compte du contexte local, et qui ne couvre pas tous les aspects de la santé des sols (par exemple, la salinisation, le tassement du sous-sol, etc.).</w:t>
      </w:r>
    </w:p>
    <w:p w14:paraId="44DD6D81" w14:textId="593E1A08" w:rsidR="006C1556" w:rsidRPr="00170DF9" w:rsidRDefault="00585109" w:rsidP="00D324DC">
      <w:pPr>
        <w:jc w:val="both"/>
        <w:rPr>
          <w:rFonts w:ascii="Times New Roman" w:hAnsi="Times New Roman" w:cs="Times New Roman"/>
          <w:noProof/>
          <w:sz w:val="24"/>
          <w:szCs w:val="24"/>
        </w:rPr>
      </w:pPr>
      <w:r>
        <w:rPr>
          <w:rFonts w:ascii="Times New Roman" w:hAnsi="Times New Roman"/>
          <w:noProof/>
          <w:sz w:val="24"/>
        </w:rPr>
        <w:t>Les études susmentionnées estiment les contributions de la PAC sur la base des actions prévues, de sorte qu’elles ne peuvent préjuger des résultats finaux. Toutefois, la mise en œuvre des plans montre qu’</w:t>
      </w:r>
      <w:r>
        <w:rPr>
          <w:rFonts w:ascii="Times New Roman" w:hAnsi="Times New Roman"/>
          <w:b/>
          <w:noProof/>
          <w:sz w:val="24"/>
        </w:rPr>
        <w:t>en</w:t>
      </w:r>
      <w:r>
        <w:rPr>
          <w:rFonts w:ascii="Times New Roman" w:hAnsi="Times New Roman"/>
          <w:noProof/>
          <w:sz w:val="24"/>
        </w:rPr>
        <w:t xml:space="preserve"> </w:t>
      </w:r>
      <w:r>
        <w:rPr>
          <w:rFonts w:ascii="Times New Roman" w:hAnsi="Times New Roman"/>
          <w:b/>
          <w:noProof/>
          <w:sz w:val="24"/>
        </w:rPr>
        <w:t>moyenne dans l’UE, la plupart des valeurs intermédiaires annuelles liées à l’environnement et au climat ont été dépassées en 2024</w:t>
      </w:r>
      <w:r w:rsidR="00240B21" w:rsidRPr="00170DF9">
        <w:rPr>
          <w:rStyle w:val="FootnoteReference"/>
          <w:rFonts w:ascii="Times New Roman" w:hAnsi="Times New Roman" w:cs="Times New Roman"/>
          <w:b/>
          <w:noProof/>
          <w:sz w:val="24"/>
          <w:szCs w:val="24"/>
        </w:rPr>
        <w:footnoteReference w:id="19"/>
      </w:r>
      <w:r>
        <w:rPr>
          <w:rFonts w:ascii="Times New Roman" w:hAnsi="Times New Roman"/>
          <w:noProof/>
          <w:sz w:val="24"/>
        </w:rPr>
        <w:t>. En particulier, les interventions visant à améliorer et à protéger les sols couvrent 51 % de la SAU de l’UE et les actions visant à améliorer le stockage du carbone dans les sols et la biomasse couvrent 35 % de la SAU, ce qui augure bien de l’avenir.</w:t>
      </w:r>
    </w:p>
    <w:p w14:paraId="1848755D" w14:textId="050F7A95" w:rsidR="006C1556" w:rsidRPr="00170DF9" w:rsidRDefault="00163D49" w:rsidP="00D324DC">
      <w:pPr>
        <w:jc w:val="both"/>
        <w:rPr>
          <w:rFonts w:ascii="Times New Roman" w:eastAsia="Times New Roman" w:hAnsi="Times New Roman" w:cs="Times New Roman"/>
          <w:b/>
          <w:noProof/>
          <w:kern w:val="0"/>
          <w:sz w:val="24"/>
          <w:szCs w:val="24"/>
          <w14:ligatures w14:val="none"/>
        </w:rPr>
      </w:pPr>
      <w:r>
        <w:rPr>
          <w:rFonts w:ascii="Times New Roman" w:hAnsi="Times New Roman"/>
          <w:b/>
          <w:noProof/>
          <w:sz w:val="24"/>
        </w:rPr>
        <w:t>En ce qui concerne les objectifs du pacte vert pour l’Europe, certaines tendances positives peuvent être observées, même s’il est trop tôt pour évaluer la contribution de la PAC.</w:t>
      </w:r>
    </w:p>
    <w:p w14:paraId="66076594" w14:textId="0C7F478D" w:rsidR="00B37AFE" w:rsidRPr="00170DF9" w:rsidRDefault="00D225E0" w:rsidP="00D324D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En 2023, </w:t>
      </w:r>
      <w:r>
        <w:rPr>
          <w:rFonts w:ascii="Times New Roman" w:hAnsi="Times New Roman"/>
          <w:b/>
          <w:noProof/>
          <w:sz w:val="24"/>
        </w:rPr>
        <w:t>11 % de la SAU était cultivée selon le mode de production biologique</w:t>
      </w:r>
      <w:r>
        <w:rPr>
          <w:rFonts w:ascii="Times New Roman" w:hAnsi="Times New Roman"/>
          <w:noProof/>
          <w:sz w:val="24"/>
        </w:rPr>
        <w:t>, et 6 % bénéficiaient d’un soutien spécifique fondé sur la surface en faveur de la production biologique. Toutefois, certains États membres ont déclaré qu’ils éprouvaient des difficultés à atteindre leur objectif en ce qui concerne les terres cultivées selon le mode de production biologique en raison d’une demande de produits biologiques plus faible que prévu et d’une augmentation des coûts. Ils ont prévu des mesures correctives, mais</w:t>
      </w:r>
      <w:r>
        <w:rPr>
          <w:rFonts w:ascii="Times New Roman" w:hAnsi="Times New Roman"/>
          <w:b/>
          <w:noProof/>
          <w:sz w:val="24"/>
        </w:rPr>
        <w:t xml:space="preserve"> </w:t>
      </w:r>
      <w:r>
        <w:rPr>
          <w:rFonts w:ascii="Times New Roman" w:hAnsi="Times New Roman"/>
          <w:noProof/>
          <w:sz w:val="24"/>
        </w:rPr>
        <w:t>l’objectif de 25 % de terres agricoles biologiques ne peut être atteint qu’avec une forte augmentation également du côté de la demande de produits biologiques.</w:t>
      </w:r>
    </w:p>
    <w:p w14:paraId="4365A3C8" w14:textId="6D4A623E" w:rsidR="006C1556" w:rsidRPr="00170DF9" w:rsidRDefault="00865428" w:rsidP="00D324DC">
      <w:pPr>
        <w:jc w:val="both"/>
        <w:rPr>
          <w:rFonts w:ascii="Times New Roman" w:hAnsi="Times New Roman" w:cs="Times New Roman"/>
          <w:noProof/>
          <w:sz w:val="24"/>
          <w:szCs w:val="24"/>
        </w:rPr>
      </w:pPr>
      <w:r>
        <w:rPr>
          <w:rFonts w:ascii="Times New Roman" w:hAnsi="Times New Roman"/>
          <w:noProof/>
          <w:sz w:val="24"/>
        </w:rPr>
        <w:t xml:space="preserve">L’objectif du pacte vert pour l’Europe consistant à réduire de 50 % les </w:t>
      </w:r>
      <w:r>
        <w:rPr>
          <w:rFonts w:ascii="Times New Roman" w:hAnsi="Times New Roman"/>
          <w:b/>
          <w:noProof/>
          <w:sz w:val="24"/>
        </w:rPr>
        <w:t>pertes de nutriments</w:t>
      </w:r>
      <w:r>
        <w:rPr>
          <w:rFonts w:ascii="Times New Roman" w:hAnsi="Times New Roman"/>
          <w:noProof/>
          <w:sz w:val="24"/>
        </w:rPr>
        <w:t>, tout en préservant la fertilité des sols, est lié à une réduction de l’utilisation d’engrais d’au moins 20 % d’ici à 2030 par rapport à la moyenne de la période 2012-2014. Presque tous les plans soutiennent une fertilisation plus équilibrée et de meilleures pratiques, par exemple en interdisant les engrais de synthèse ou en les remplaçant par des engrais organiques, l’agriculture de précision ainsi que d’autres pratiques visant à limiter les pertes de nutriments dans l’air et dans l’eau. Des pratiques de gestion durable des nutriments ont été mises en œuvre pour 14 % de la SAU de l’UE au cours de l’exercice 2024. En moyenne, entre 2021 et 2023, les agriculteurs de l’UE ont utilisé 8,9 millions de tonnes d’engrais azotés, soit 9 % de moins qu’entre 2012 et 2014 (période de référence). Étant donné que la baisse récente est en partie due au coût élevé des engrais azotés de synthèse causé par la guerre en cours en Ukraine, il est trop tôt pour évaluer son incidence sur la réalisation de cet objectif ambitieux.</w:t>
      </w:r>
    </w:p>
    <w:p w14:paraId="64CD6C84" w14:textId="4B82259E" w:rsidR="006C1556" w:rsidRPr="00170DF9" w:rsidRDefault="006C1556" w:rsidP="00D324D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L’objectif du pacte vert pour l’Europe en matière d’</w:t>
      </w:r>
      <w:r>
        <w:rPr>
          <w:rFonts w:ascii="Times New Roman" w:hAnsi="Times New Roman"/>
          <w:b/>
          <w:noProof/>
          <w:sz w:val="24"/>
        </w:rPr>
        <w:t>antimicrobiens</w:t>
      </w:r>
      <w:r>
        <w:rPr>
          <w:rFonts w:ascii="Times New Roman" w:hAnsi="Times New Roman"/>
          <w:noProof/>
          <w:sz w:val="24"/>
        </w:rPr>
        <w:t xml:space="preserve"> consiste à parvenir à une réduction de 50 % des ventes</w:t>
      </w:r>
      <w:r>
        <w:rPr>
          <w:rFonts w:ascii="Times New Roman" w:hAnsi="Times New Roman"/>
          <w:b/>
          <w:noProof/>
          <w:sz w:val="24"/>
        </w:rPr>
        <w:t xml:space="preserve"> </w:t>
      </w:r>
      <w:r>
        <w:rPr>
          <w:rFonts w:ascii="Times New Roman" w:hAnsi="Times New Roman"/>
          <w:noProof/>
          <w:sz w:val="24"/>
        </w:rPr>
        <w:t>pour les animaux d’élevage et les animaux d’aquaculture d’ici à 2030 par rapport aux niveaux de 2018. L’Agence européenne des médicaments (EMA) a annoncé une baisse de 25 % des ventes globales d’antimicrobiens destinés à être utilisés chez les animaux producteurs de denrées alimentaires dans l’UE entre 2018 et 2023</w:t>
      </w:r>
      <w:r w:rsidR="0004588F" w:rsidRPr="00170DF9">
        <w:rPr>
          <w:rStyle w:val="FootnoteReference"/>
          <w:rFonts w:ascii="Times New Roman" w:hAnsi="Times New Roman" w:cs="Times New Roman"/>
          <w:noProof/>
          <w:sz w:val="24"/>
          <w:szCs w:val="24"/>
        </w:rPr>
        <w:footnoteReference w:id="20"/>
      </w:r>
      <w:r>
        <w:rPr>
          <w:rFonts w:ascii="Times New Roman" w:hAnsi="Times New Roman"/>
          <w:noProof/>
          <w:sz w:val="24"/>
        </w:rPr>
        <w:t xml:space="preserve">, ce qui rapproche l’UE de l’objectif de réduction fixé pour 2030. </w:t>
      </w:r>
    </w:p>
    <w:p w14:paraId="3D13CC2C" w14:textId="4B073B5B" w:rsidR="0038766A" w:rsidRPr="00170DF9" w:rsidRDefault="00904674" w:rsidP="00D324D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De nombreuses mesures ont été prises pour rendre l’utilisation de </w:t>
      </w:r>
      <w:r>
        <w:rPr>
          <w:rFonts w:ascii="Times New Roman" w:hAnsi="Times New Roman"/>
          <w:b/>
          <w:noProof/>
          <w:sz w:val="24"/>
        </w:rPr>
        <w:t>pesticides</w:t>
      </w:r>
      <w:r>
        <w:rPr>
          <w:rFonts w:ascii="Times New Roman" w:hAnsi="Times New Roman"/>
          <w:noProof/>
          <w:sz w:val="24"/>
        </w:rPr>
        <w:t xml:space="preserve"> plus durable et pour réduire leur utilisation, les pratiques en la matière couvrant 29 % de la SAU de l’UE au cours de l’exercice 2024, principalement au moyen d’engagements agro-environnementaux et climatiques et d’un soutien à l’agriculture biologique. La rotation des cultures et les bandes tampons jouent un rôle important dans la réduction de l’utilisation des pesticides. Il est cependant trop tôt pour déterminer la mesure dans laquelle les interventions de la PAC contribuent à la réalisation des objectifs du pacte vert pour l’Europe (réduction de 50 % de l’utilisation globale des pesticides chimiques et des risques qui y sont associés, ainsi que de l’utilisation des pesticides les plus dangereux par rapport à la période 2015-2017).</w:t>
      </w:r>
    </w:p>
    <w:p w14:paraId="20ACBEBA" w14:textId="7D43CFBF" w:rsidR="006C1556" w:rsidRPr="00170DF9" w:rsidRDefault="004F23B6" w:rsidP="00D324DC">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Au niveau de l’UE, les </w:t>
      </w:r>
      <w:r>
        <w:rPr>
          <w:rFonts w:ascii="Times New Roman" w:hAnsi="Times New Roman"/>
          <w:b/>
          <w:noProof/>
          <w:sz w:val="24"/>
        </w:rPr>
        <w:t>particularités topographiques</w:t>
      </w:r>
      <w:r>
        <w:rPr>
          <w:rFonts w:ascii="Times New Roman" w:hAnsi="Times New Roman"/>
          <w:noProof/>
          <w:sz w:val="24"/>
        </w:rPr>
        <w:t xml:space="preserve"> couvraient 5,6 % des terres agricoles en 2022</w:t>
      </w:r>
      <w:r w:rsidR="00E002F0" w:rsidRPr="00170DF9">
        <w:rPr>
          <w:rStyle w:val="FootnoteReference"/>
          <w:rFonts w:ascii="Times New Roman" w:hAnsi="Times New Roman" w:cs="Times New Roman"/>
          <w:noProof/>
          <w:sz w:val="24"/>
          <w:szCs w:val="24"/>
        </w:rPr>
        <w:footnoteReference w:id="21"/>
      </w:r>
      <w:r>
        <w:rPr>
          <w:rFonts w:ascii="Times New Roman" w:hAnsi="Times New Roman"/>
          <w:noProof/>
          <w:sz w:val="24"/>
        </w:rPr>
        <w:t xml:space="preserve"> et les terres en jachère 3,6 % en 2020, de sorte que ces deux éléments contribueront à atteindre l’objectif de 10 % de surface agricole couverte par des particularités topographiques à haute diversité. Les interventions en faveur des particularités topographiques dans les plans relevant de la PAC sont généralement plus larges et visent à renforcer la biodiversité, les habitats et les espèces grâce à une plus grande diversité structurelle. La valeur intermédiaire annuelle correspondante a été atteinte dans la plupart des plans, 1,5 % de la SAU de l’UE étant couverte par un soutien à la gestion des particularités topographiques au cours de l’exercice 2024. À partir de 2025, en raison des coûts supportés par les agriculteurs pour s’y conformer, l’obligation de réserver une part minimale de terres arables aux particularités topographiques et à la jachère au titre de la BCAE 8 a été remplacée par l’obligation pour les États membres de proposer un éco-régime équivalent soutenant le maintien et l’établissement de nouvelles particularités topographiques.</w:t>
      </w:r>
    </w:p>
    <w:p w14:paraId="4B4D6E69" w14:textId="77777777" w:rsidR="0018347F" w:rsidRPr="00D47DF1" w:rsidRDefault="0018347F" w:rsidP="00492007">
      <w:pPr>
        <w:rPr>
          <w:rFonts w:ascii="Times New Roman" w:hAnsi="Times New Roman" w:cs="Times New Roman"/>
          <w:smallCaps/>
          <w:noProof/>
          <w:color w:val="000000" w:themeColor="text1"/>
          <w:sz w:val="24"/>
          <w:szCs w:val="24"/>
          <w:lang w:val="fr-BE"/>
        </w:rPr>
      </w:pPr>
    </w:p>
    <w:p w14:paraId="6728A5B8" w14:textId="77777777" w:rsidR="00537E72" w:rsidRPr="00D47DF1" w:rsidRDefault="00537E72" w:rsidP="00492007">
      <w:pPr>
        <w:rPr>
          <w:rFonts w:ascii="Times New Roman" w:hAnsi="Times New Roman" w:cs="Times New Roman"/>
          <w:smallCaps/>
          <w:noProof/>
          <w:color w:val="000000" w:themeColor="text1"/>
          <w:sz w:val="24"/>
          <w:szCs w:val="24"/>
          <w:lang w:val="fr-BE"/>
        </w:rPr>
      </w:pPr>
    </w:p>
    <w:p w14:paraId="2B4F07ED" w14:textId="7E4229E0" w:rsidR="003C4FC2" w:rsidRPr="00170DF9" w:rsidRDefault="009B46F7" w:rsidP="00492007">
      <w:pPr>
        <w:rPr>
          <w:rFonts w:ascii="Times New Roman" w:eastAsia="Times New Roman" w:hAnsi="Times New Roman" w:cs="Times New Roman"/>
          <w:smallCaps/>
          <w:noProof/>
          <w:color w:val="000000" w:themeColor="text1"/>
          <w:kern w:val="0"/>
          <w:sz w:val="24"/>
          <w:szCs w:val="24"/>
          <w14:ligatures w14:val="none"/>
        </w:rPr>
      </w:pPr>
      <w:r>
        <w:rPr>
          <w:rFonts w:ascii="Times New Roman" w:hAnsi="Times New Roman"/>
          <w:smallCaps/>
          <w:noProof/>
          <w:color w:val="000000" w:themeColor="text1"/>
          <w:sz w:val="24"/>
        </w:rPr>
        <w:t xml:space="preserve">Conclusion </w:t>
      </w:r>
    </w:p>
    <w:p w14:paraId="5C02FBF1" w14:textId="18F7AC2F" w:rsidR="0036141E" w:rsidRPr="00170DF9" w:rsidRDefault="00C916A0" w:rsidP="0066128D">
      <w:pPr>
        <w:jc w:val="both"/>
        <w:rPr>
          <w:rFonts w:ascii="Times New Roman" w:hAnsi="Times New Roman" w:cs="Times New Roman"/>
          <w:noProof/>
          <w:sz w:val="24"/>
          <w:szCs w:val="24"/>
        </w:rPr>
      </w:pPr>
      <w:r>
        <w:rPr>
          <w:rFonts w:ascii="Times New Roman" w:hAnsi="Times New Roman"/>
          <w:noProof/>
          <w:sz w:val="24"/>
        </w:rPr>
        <w:t xml:space="preserve">Le caractère novateur du nouveau modèle de mise en œuvre réside dans son intégration plus stratégique des instruments, dans la plus grande flexibilité qu’il offre aux États membres pour adapter la conception des interventions à leurs besoins. La programmation stratégique fondée sur l’évaluation des besoins a été accueillie favorablement par les États membres et les bénéficiaires et le nouveau modèle de mise en œuvre a eu une incidence positive sur la gouvernance de la PAC (partenariat, utilisation de données probantes). L’introduction du système de suivi des surfaces offre également des possibilités d’alléger la charge administrative pesant sur les agriculteurs et les administrations. </w:t>
      </w:r>
    </w:p>
    <w:p w14:paraId="51A71273" w14:textId="1E64C886" w:rsidR="00713DA0" w:rsidRPr="00170DF9" w:rsidRDefault="1D67ACE9" w:rsidP="00AC4E65">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Toutefois, l’adoption tardive du cadre juridique de l’Union a compliqué les choses pour les États membres et ceux-ci ont souligné l’importance de recevoir des informations à temps pour permettre une approche intégrée et coordonnée de la boîte à outils de la PAC et éviter la surréglementation. Toute la flexibilité n’a pas été utilisée, y compris celle permettant aux États membres de simplifier les règles, afin d’éviter le risque de corrections financières. </w:t>
      </w:r>
    </w:p>
    <w:p w14:paraId="665504C8" w14:textId="1C3655B8" w:rsidR="00FD2BD2" w:rsidRPr="00170DF9" w:rsidRDefault="00F052D5">
      <w:pPr>
        <w:jc w:val="both"/>
        <w:rPr>
          <w:rFonts w:ascii="Times New Roman" w:hAnsi="Times New Roman" w:cs="Times New Roman"/>
          <w:noProof/>
          <w:sz w:val="24"/>
          <w:szCs w:val="24"/>
        </w:rPr>
      </w:pPr>
      <w:r>
        <w:rPr>
          <w:rFonts w:ascii="Times New Roman" w:hAnsi="Times New Roman"/>
          <w:noProof/>
          <w:sz w:val="24"/>
        </w:rPr>
        <w:t xml:space="preserve">Des complexités inutiles ont également été corrigées avec deux propositions de simplification présentées par la Commission en mars 2024 et en mai 2025, prévoyant notamment i) le remplacement de l’obligation de réserver une part minimale de terres arables aux particularités topographiques et à la jachère par un éco-régime équivalent et volontaire pour les agriculteurs et ii) l’abandon de l’exercice annuel d’apurement des performances.  </w:t>
      </w:r>
    </w:p>
    <w:p w14:paraId="014697BA" w14:textId="17ADC2AB" w:rsidR="00BB6BC5" w:rsidRPr="00170DF9" w:rsidRDefault="00FD2BD2">
      <w:pPr>
        <w:jc w:val="both"/>
        <w:rPr>
          <w:rFonts w:ascii="Times New Roman" w:hAnsi="Times New Roman" w:cs="Times New Roman"/>
          <w:noProof/>
          <w:sz w:val="24"/>
          <w:szCs w:val="24"/>
        </w:rPr>
      </w:pPr>
      <w:r>
        <w:rPr>
          <w:rFonts w:ascii="Times New Roman" w:hAnsi="Times New Roman"/>
          <w:noProof/>
          <w:sz w:val="24"/>
        </w:rPr>
        <w:t>L’expérience a montré que les États membres sont parvenus à corriger ou à adapter les plans au moyen de modifications. Afin de faciliter de nouvelles modifications, une procédure de notification des modifications non stratégiques a été introduite. Il convient de trouver un juste équilibre entre la simplification de la planification et des rapports et le niveau d’information nécessaire pour évaluer le respect du droit de l’Union et la contribution des plans aux objectifs spécifiques de la PAC, ainsi qu’entre la capacité d’adaptation des plans et l’accent mis à la fois sur la performance tout au long de la période de programmation et sur la sécurité pour les agriculteurs.</w:t>
      </w:r>
    </w:p>
    <w:p w14:paraId="701571F7" w14:textId="7DC9A51D" w:rsidR="00A265B2" w:rsidRPr="00170DF9" w:rsidRDefault="00A265B2" w:rsidP="00A265B2">
      <w:pPr>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À la suite du premier examen bisannuel des performances, la Commission a conclu que la mise en œuvre des plans était en bonne voie, les écarts restant dans les limites fixées par l’article 135 du règlement (UE) 2021/2115. Aucun des plans ne nécessite de mesures correctives. </w:t>
      </w:r>
    </w:p>
    <w:p w14:paraId="4525D8F4" w14:textId="1DF9E6CD" w:rsidR="001A4D68" w:rsidRPr="00170DF9" w:rsidRDefault="00ED72F1" w:rsidP="001A4D68">
      <w:pPr>
        <w:jc w:val="both"/>
        <w:rPr>
          <w:rFonts w:ascii="Times New Roman" w:eastAsia="Times New Roman" w:hAnsi="Times New Roman" w:cs="Times New Roman"/>
          <w:smallCaps/>
          <w:noProof/>
          <w:kern w:val="0"/>
          <w:sz w:val="24"/>
          <w:szCs w:val="24"/>
          <w14:ligatures w14:val="none"/>
        </w:rPr>
      </w:pPr>
      <w:r>
        <w:rPr>
          <w:rFonts w:ascii="Times New Roman" w:hAnsi="Times New Roman"/>
          <w:noProof/>
          <w:sz w:val="24"/>
        </w:rPr>
        <w:t>L’analyse confirme que les plans sont susceptibles de contribuer à la réalisation des objectifs de la PAC en matière d’environnement et de climat. La mise en œuvre des plans relevant de la PAC montre que, en moyenne dans l’UE, la plupart des valeurs intermédiaires des indicateurs de résultat annuels liés à l’environnement et au climat ont été dépassées en 2024. Toutefois, la quantification de la contribution des plans relevant de la PAC à la réalisation des objectifs en matière d’environnement et de climat nécessite une période d’évaluation plus longue et la prise en considération de l’incidence d’autres facteurs pertinents.</w:t>
      </w:r>
    </w:p>
    <w:p w14:paraId="7F13902D" w14:textId="1BA34650" w:rsidR="00E610D3" w:rsidRPr="00C468A5" w:rsidRDefault="00DA5081" w:rsidP="00891EDC">
      <w:pPr>
        <w:jc w:val="both"/>
        <w:rPr>
          <w:rFonts w:ascii="Times New Roman" w:hAnsi="Times New Roman" w:cs="Times New Roman"/>
          <w:smallCaps/>
          <w:noProof/>
          <w:color w:val="215E99" w:themeColor="text2" w:themeTint="BF"/>
          <w:sz w:val="24"/>
          <w:szCs w:val="24"/>
        </w:rPr>
      </w:pPr>
      <w:r>
        <w:rPr>
          <w:rFonts w:ascii="Times New Roman" w:hAnsi="Times New Roman"/>
          <w:noProof/>
          <w:sz w:val="24"/>
        </w:rPr>
        <w:t>Tout ce qui précède a été pris en considération lors de l’élaboration des propositions relatives au cadre financier pluriannuel et à la PAC 2028-2034.</w:t>
      </w:r>
    </w:p>
    <w:sectPr w:rsidR="00E610D3" w:rsidRPr="00C468A5" w:rsidSect="008D7A72">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CCB04" w14:textId="77777777" w:rsidR="00AF33F9" w:rsidRDefault="00AF33F9" w:rsidP="005820F7">
      <w:pPr>
        <w:spacing w:after="0" w:line="240" w:lineRule="auto"/>
      </w:pPr>
      <w:r>
        <w:separator/>
      </w:r>
    </w:p>
  </w:endnote>
  <w:endnote w:type="continuationSeparator" w:id="0">
    <w:p w14:paraId="5C29CE12" w14:textId="77777777" w:rsidR="00AF33F9" w:rsidRDefault="00AF33F9" w:rsidP="005820F7">
      <w:pPr>
        <w:spacing w:after="0" w:line="240" w:lineRule="auto"/>
      </w:pPr>
      <w:r>
        <w:continuationSeparator/>
      </w:r>
    </w:p>
  </w:endnote>
  <w:endnote w:type="continuationNotice" w:id="1">
    <w:p w14:paraId="2B3E0BBB" w14:textId="77777777" w:rsidR="00AF33F9" w:rsidRDefault="00AF33F9" w:rsidP="005820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250D6" w14:textId="09BE6AA9" w:rsidR="001E6B55" w:rsidRPr="001E6B55" w:rsidRDefault="001E6B55" w:rsidP="001E6B55">
    <w:pPr>
      <w:pStyle w:val="FooterCoverPage"/>
      <w:rPr>
        <w:rFonts w:ascii="Arial" w:hAnsi="Arial" w:cs="Arial"/>
        <w:b/>
        <w:sz w:val="48"/>
      </w:rPr>
    </w:pPr>
    <w:r w:rsidRPr="001E6B55">
      <w:rPr>
        <w:rFonts w:ascii="Arial" w:hAnsi="Arial" w:cs="Arial"/>
        <w:b/>
        <w:sz w:val="48"/>
      </w:rPr>
      <w:t>FR</w:t>
    </w:r>
    <w:r w:rsidRPr="001E6B55">
      <w:rPr>
        <w:rFonts w:ascii="Arial" w:hAnsi="Arial" w:cs="Arial"/>
        <w:b/>
        <w:sz w:val="48"/>
      </w:rPr>
      <w:tab/>
    </w:r>
    <w:r w:rsidRPr="001E6B55">
      <w:rPr>
        <w:rFonts w:ascii="Arial" w:hAnsi="Arial" w:cs="Arial"/>
        <w:b/>
        <w:sz w:val="48"/>
      </w:rPr>
      <w:tab/>
    </w:r>
    <w:r w:rsidRPr="001E6B55">
      <w:tab/>
    </w:r>
    <w:r w:rsidRPr="001E6B5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E3EF5" w14:textId="14FE2F71" w:rsidR="001E6B55" w:rsidRPr="001E6B55" w:rsidRDefault="001E6B55" w:rsidP="001E6B55">
    <w:pPr>
      <w:pStyle w:val="FooterCoverPage"/>
      <w:rPr>
        <w:rFonts w:ascii="Arial" w:hAnsi="Arial" w:cs="Arial"/>
        <w:b/>
        <w:sz w:val="48"/>
      </w:rPr>
    </w:pPr>
    <w:r w:rsidRPr="001E6B55">
      <w:rPr>
        <w:rFonts w:ascii="Arial" w:hAnsi="Arial" w:cs="Arial"/>
        <w:b/>
        <w:sz w:val="48"/>
      </w:rPr>
      <w:t>FR</w:t>
    </w:r>
    <w:r w:rsidRPr="001E6B55">
      <w:rPr>
        <w:rFonts w:ascii="Arial" w:hAnsi="Arial" w:cs="Arial"/>
        <w:b/>
        <w:sz w:val="48"/>
      </w:rPr>
      <w:tab/>
    </w:r>
    <w:r w:rsidRPr="001E6B55">
      <w:rPr>
        <w:rFonts w:ascii="Arial" w:hAnsi="Arial" w:cs="Arial"/>
        <w:b/>
        <w:sz w:val="48"/>
      </w:rPr>
      <w:tab/>
    </w:r>
    <w:r w:rsidRPr="001E6B55">
      <w:tab/>
    </w:r>
    <w:r w:rsidRPr="001E6B5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08056" w14:textId="77777777" w:rsidR="001E6B55" w:rsidRPr="001E6B55" w:rsidRDefault="001E6B55" w:rsidP="001E6B5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5A933" w14:textId="77777777" w:rsidR="00513D3C" w:rsidRDefault="00513D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366175"/>
      <w:docPartObj>
        <w:docPartGallery w:val="Page Numbers (Bottom of Page)"/>
        <w:docPartUnique/>
      </w:docPartObj>
    </w:sdtPr>
    <w:sdtEndPr>
      <w:rPr>
        <w:rFonts w:ascii="Times New Roman" w:hAnsi="Times New Roman" w:cs="Times New Roman"/>
      </w:rPr>
    </w:sdtEndPr>
    <w:sdtContent>
      <w:p w14:paraId="47E2D25D" w14:textId="3106019A" w:rsidR="00513D3C" w:rsidRPr="00B272DB" w:rsidRDefault="00D378EB" w:rsidP="008D7A72">
        <w:pPr>
          <w:pStyle w:val="Footer"/>
          <w:jc w:val="center"/>
          <w:rPr>
            <w:rFonts w:ascii="Times New Roman" w:hAnsi="Times New Roman" w:cs="Times New Roman"/>
          </w:rPr>
        </w:pPr>
        <w:r w:rsidRPr="00B272DB">
          <w:rPr>
            <w:rFonts w:ascii="Times New Roman" w:hAnsi="Times New Roman" w:cs="Times New Roman"/>
          </w:rPr>
          <w:fldChar w:fldCharType="begin"/>
        </w:r>
        <w:r w:rsidRPr="00B272DB">
          <w:rPr>
            <w:rFonts w:ascii="Times New Roman" w:hAnsi="Times New Roman" w:cs="Times New Roman"/>
          </w:rPr>
          <w:instrText xml:space="preserve"> PAGE   \* MERGEFORMAT </w:instrText>
        </w:r>
        <w:r w:rsidRPr="00B272DB">
          <w:rPr>
            <w:rFonts w:ascii="Times New Roman" w:hAnsi="Times New Roman" w:cs="Times New Roman"/>
          </w:rPr>
          <w:fldChar w:fldCharType="separate"/>
        </w:r>
        <w:r w:rsidR="001E6B55">
          <w:rPr>
            <w:rFonts w:ascii="Times New Roman" w:hAnsi="Times New Roman" w:cs="Times New Roman"/>
            <w:noProof/>
          </w:rPr>
          <w:t>1</w:t>
        </w:r>
        <w:r w:rsidRPr="00B272DB">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6055850"/>
      <w:docPartObj>
        <w:docPartGallery w:val="Page Numbers (Bottom of Page)"/>
        <w:docPartUnique/>
      </w:docPartObj>
    </w:sdtPr>
    <w:sdtEndPr>
      <w:rPr>
        <w:noProof/>
      </w:rPr>
    </w:sdtEndPr>
    <w:sdtContent>
      <w:p w14:paraId="7FDCFFFD" w14:textId="03E79CA5" w:rsidR="00513D3C" w:rsidRDefault="006E039A" w:rsidP="008D7A72">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F287A" w14:textId="77777777" w:rsidR="00AF33F9" w:rsidRDefault="00AF33F9" w:rsidP="005820F7">
      <w:pPr>
        <w:spacing w:after="0" w:line="240" w:lineRule="auto"/>
      </w:pPr>
      <w:r>
        <w:separator/>
      </w:r>
    </w:p>
  </w:footnote>
  <w:footnote w:type="continuationSeparator" w:id="0">
    <w:p w14:paraId="3875F5AA" w14:textId="77777777" w:rsidR="00AF33F9" w:rsidRDefault="00AF33F9" w:rsidP="005820F7">
      <w:pPr>
        <w:spacing w:after="0" w:line="240" w:lineRule="auto"/>
      </w:pPr>
      <w:r>
        <w:continuationSeparator/>
      </w:r>
    </w:p>
  </w:footnote>
  <w:footnote w:type="continuationNotice" w:id="1">
    <w:p w14:paraId="5EC918C7" w14:textId="77777777" w:rsidR="00AF33F9" w:rsidRDefault="00AF33F9" w:rsidP="005820F7">
      <w:pPr>
        <w:spacing w:after="0" w:line="240" w:lineRule="auto"/>
      </w:pPr>
    </w:p>
  </w:footnote>
  <w:footnote w:id="2">
    <w:p w14:paraId="4C0CB8A1" w14:textId="2382A216" w:rsidR="0352C5DF" w:rsidRDefault="0352C5DF" w:rsidP="004E6B03">
      <w:pPr>
        <w:pStyle w:val="FootnoteText"/>
      </w:pPr>
      <w:r>
        <w:rPr>
          <w:rStyle w:val="FootnoteReference"/>
        </w:rPr>
        <w:footnoteRef/>
      </w:r>
      <w:r>
        <w:tab/>
        <w:t>À l’exception de la Belgique.</w:t>
      </w:r>
    </w:p>
  </w:footnote>
  <w:footnote w:id="3">
    <w:p w14:paraId="6E71363A" w14:textId="5D4F6776" w:rsidR="002310D3" w:rsidRPr="00227505" w:rsidRDefault="002310D3" w:rsidP="002310D3">
      <w:pPr>
        <w:pStyle w:val="FootnoteText"/>
      </w:pPr>
      <w:r>
        <w:rPr>
          <w:rStyle w:val="FootnoteReference"/>
        </w:rPr>
        <w:footnoteRef/>
      </w:r>
      <w:r>
        <w:tab/>
        <w:t>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(Feader), et abrogeant les règlements (UE) nº 1305/2013 et (UE) nº 1307/2013 (JO L 435 du 6.12.2021, ELI:  </w:t>
      </w:r>
      <w:hyperlink r:id="rId1" w:tooltip="Donne accès à ce document grâce à son URI ELI." w:history="1">
        <w:r>
          <w:rPr>
            <w:rStyle w:val="Hyperlink"/>
          </w:rPr>
          <w:t>http://data.europa.eu/eli/reg/2021/2115/oj</w:t>
        </w:r>
      </w:hyperlink>
      <w:r>
        <w:t xml:space="preserve">). </w:t>
      </w:r>
    </w:p>
  </w:footnote>
  <w:footnote w:id="4">
    <w:p w14:paraId="25AB5B1F" w14:textId="2715ED95" w:rsidR="00E46B1F" w:rsidRPr="00E46B1F" w:rsidRDefault="00AE38A0" w:rsidP="00E46B1F">
      <w:pPr>
        <w:pStyle w:val="FootnoteText"/>
      </w:pPr>
      <w:r>
        <w:rPr>
          <w:rStyle w:val="FootnoteReference"/>
        </w:rPr>
        <w:footnoteRef/>
      </w:r>
      <w:r>
        <w:tab/>
        <w:t>Communication de la Commission au Parlement européen, au Conseil, au Comité économique et social européen et au Comité des régions, Recommandations aux États membres en ce qui concerne leur plan stratégique relevant de la politique agricole commune, COM/2020/846 final.</w:t>
      </w:r>
    </w:p>
    <w:p w14:paraId="3636DAE7" w14:textId="39D370BB" w:rsidR="00AE38A0" w:rsidRPr="00D47DF1" w:rsidRDefault="00AE38A0">
      <w:pPr>
        <w:pStyle w:val="FootnoteText"/>
        <w:rPr>
          <w:lang w:val="fr-BE"/>
        </w:rPr>
      </w:pPr>
    </w:p>
  </w:footnote>
  <w:footnote w:id="5">
    <w:p w14:paraId="5CEC6656" w14:textId="41FC96BA" w:rsidR="00C04617" w:rsidRPr="00063997" w:rsidRDefault="00C04617">
      <w:pPr>
        <w:pStyle w:val="FootnoteText"/>
      </w:pPr>
      <w:r>
        <w:rPr>
          <w:rStyle w:val="FootnoteReference"/>
        </w:rPr>
        <w:footnoteRef/>
      </w:r>
      <w:r>
        <w:tab/>
        <w:t>Voir annexe XIII du règlement (UE) 2021/2115.</w:t>
      </w:r>
    </w:p>
  </w:footnote>
  <w:footnote w:id="6">
    <w:p w14:paraId="1FFDD33A" w14:textId="1DB42D26" w:rsidR="002246E7" w:rsidRPr="00063997" w:rsidRDefault="002246E7">
      <w:pPr>
        <w:pStyle w:val="FootnoteText"/>
      </w:pPr>
      <w:r>
        <w:rPr>
          <w:rStyle w:val="FootnoteReference"/>
        </w:rPr>
        <w:footnoteRef/>
      </w:r>
      <w:r>
        <w:tab/>
        <w:t>Article 105 du règlement (UE) 2021/2155.</w:t>
      </w:r>
    </w:p>
  </w:footnote>
  <w:footnote w:id="7">
    <w:p w14:paraId="1A4E9F75" w14:textId="7D0A9249" w:rsidR="001B2C46" w:rsidRPr="00003CE7" w:rsidRDefault="001B2C46" w:rsidP="001B2C46">
      <w:pPr>
        <w:pStyle w:val="FootnoteText"/>
      </w:pPr>
      <w:r>
        <w:rPr>
          <w:rStyle w:val="FootnoteReference"/>
        </w:rPr>
        <w:footnoteRef/>
      </w:r>
      <w:r>
        <w:tab/>
        <w:t xml:space="preserve">Voir références 1, 2 et 9 dans le document de travail des services de la Commission qui accompagne le présent rapport. Des références, ainsi que des données supplémentaires, figurent dans le document de travail des services de la Commission qui accompagne le présent rapport. </w:t>
      </w:r>
    </w:p>
  </w:footnote>
  <w:footnote w:id="8">
    <w:p w14:paraId="257A73F9" w14:textId="0EAFAB6F" w:rsidR="00C2206B" w:rsidRPr="00134BB8" w:rsidRDefault="00C2206B">
      <w:pPr>
        <w:pStyle w:val="FootnoteText"/>
      </w:pPr>
      <w:r>
        <w:rPr>
          <w:rStyle w:val="FootnoteReference"/>
        </w:rPr>
        <w:footnoteRef/>
      </w:r>
      <w:r>
        <w:tab/>
        <w:t>Proposition de règlement du Parlement européen et du Conseil modifiant le règlement (UE) 2021/2115 en ce qui concerne le système de conditionnalité, les types d’intervention sous la forme de paiements directs, les types d’intervention dans certains secteurs et dans le cadre du développement rural et les rapports annuels de performance, ainsi que le règlement (UE) 2021/2116 en ce qui concerne la gouvernance des données et de</w:t>
      </w:r>
      <w:r>
        <w:rPr>
          <w:b/>
        </w:rPr>
        <w:t xml:space="preserve"> </w:t>
      </w:r>
      <w:r>
        <w:t>l’interopérabilité, la suspension des paiements liée à l’apurement annuel des performances et les contrôles et les sanctions, COM/2025/236 final.</w:t>
      </w:r>
    </w:p>
  </w:footnote>
  <w:footnote w:id="9">
    <w:p w14:paraId="45A0E7CE" w14:textId="543A1B70" w:rsidR="005F1567" w:rsidRPr="001F4887" w:rsidRDefault="005F1567">
      <w:pPr>
        <w:pStyle w:val="FootnoteText"/>
      </w:pPr>
      <w:r>
        <w:rPr>
          <w:rStyle w:val="FootnoteReference"/>
        </w:rPr>
        <w:footnoteRef/>
      </w:r>
      <w:r>
        <w:tab/>
        <w:t>Tous les deux ans, la Commission vérifie que les valeurs cibles prévues (valeurs intermédiaires) vont dans le sens des valeurs prévues pour les indicateurs de résultat. Un écart de plus de 35 % la première année et de 25 % par la suite devrait être justifié. Des mesures correctives pourraient être demandées par la Commission si les justifications fournies ne sont pas suffisamment convaincantes.</w:t>
      </w:r>
    </w:p>
  </w:footnote>
  <w:footnote w:id="10">
    <w:p w14:paraId="2880C618" w14:textId="16AAD138" w:rsidR="000D60EE" w:rsidRPr="003502D3" w:rsidRDefault="000D60EE">
      <w:pPr>
        <w:pStyle w:val="FootnoteText"/>
      </w:pPr>
      <w:r>
        <w:rPr>
          <w:rStyle w:val="FootnoteReference"/>
        </w:rPr>
        <w:footnoteRef/>
      </w:r>
      <w:r>
        <w:tab/>
        <w:t>Initiative Leader: liens entre les activités ou actions en faveur du développement de l’économie rurale.</w:t>
      </w:r>
    </w:p>
  </w:footnote>
  <w:footnote w:id="11">
    <w:p w14:paraId="3F071EAC" w14:textId="018F6FF4" w:rsidR="005826DC" w:rsidRPr="00A41DF8" w:rsidRDefault="005826DC">
      <w:pPr>
        <w:pStyle w:val="FootnoteText"/>
      </w:pPr>
      <w:r>
        <w:rPr>
          <w:rStyle w:val="FootnoteReference"/>
        </w:rPr>
        <w:footnoteRef/>
      </w:r>
      <w:r>
        <w:tab/>
        <w:t>Règlement (UE) 2025/2649 du Parlement européen et du Conseil du 19 décembre 2025 modifiant le règlement (UE) 2021/2115 en ce qui concerne le système de conditionnalité, les types d’intervention sous la forme de paiements directs, les types d’intervention dans certains secteurs et dans le cadre du développement rural et les rapports annuels de performance, ainsi que le règlement (UE) 2021/2116 en ce qui concerne la suspension des paiements, l’apurement annuel des performances, et les contrôles et les sanctions (JO L, 2025/2649, 31.12.2025, ELI: </w:t>
      </w:r>
      <w:hyperlink r:id="rId2" w:tgtFrame="_blank" w:tooltip="Donne accès à ce document grâce à son URI ELI." w:history="1">
        <w:r>
          <w:rPr>
            <w:rStyle w:val="Hyperlink"/>
          </w:rPr>
          <w:t>http://data.europa.eu/eli/reg/2025/2649/oj</w:t>
        </w:r>
      </w:hyperlink>
      <w:r>
        <w:t>).</w:t>
      </w:r>
    </w:p>
  </w:footnote>
  <w:footnote w:id="12">
    <w:p w14:paraId="043302C2" w14:textId="3E5CA4C0" w:rsidR="008D7748" w:rsidRPr="00A13533" w:rsidRDefault="008D7748" w:rsidP="008D7748">
      <w:pPr>
        <w:pStyle w:val="FootnoteText"/>
      </w:pPr>
      <w:r>
        <w:rPr>
          <w:rStyle w:val="FootnoteReference"/>
        </w:rPr>
        <w:footnoteRef/>
      </w:r>
      <w:r>
        <w:tab/>
        <w:t>Les interventions doivent être liées à tous les indicateurs de résultat auxquels elles contribuent directement et de manière significative.</w:t>
      </w:r>
    </w:p>
  </w:footnote>
  <w:footnote w:id="13">
    <w:p w14:paraId="4A50121A" w14:textId="09578B9E" w:rsidR="003A35C1" w:rsidRPr="00C2260F" w:rsidRDefault="003A35C1">
      <w:pPr>
        <w:pStyle w:val="FootnoteText"/>
      </w:pPr>
      <w:r>
        <w:rPr>
          <w:rStyle w:val="FootnoteReference"/>
        </w:rPr>
        <w:footnoteRef/>
      </w:r>
      <w:r>
        <w:tab/>
        <w:t>Article 105 du règlement (UE) 2021/2115.</w:t>
      </w:r>
    </w:p>
  </w:footnote>
  <w:footnote w:id="14">
    <w:p w14:paraId="2BCE1FC6" w14:textId="0C903D33" w:rsidR="00704812" w:rsidRPr="00C2260F" w:rsidRDefault="00704812">
      <w:pPr>
        <w:pStyle w:val="FootnoteText"/>
      </w:pPr>
      <w:r>
        <w:rPr>
          <w:rStyle w:val="FootnoteReference"/>
        </w:rPr>
        <w:footnoteRef/>
      </w:r>
      <w:r>
        <w:tab/>
        <w:t>Voir référence 3 et tableau 4 dans le document de travail des services de la Commission qui accompagne le présent rapport.</w:t>
      </w:r>
    </w:p>
  </w:footnote>
  <w:footnote w:id="15">
    <w:p w14:paraId="2A5DE0C1" w14:textId="77777777" w:rsidR="00F01138" w:rsidRPr="009C2222" w:rsidRDefault="00F01138" w:rsidP="00F01138">
      <w:pPr>
        <w:pStyle w:val="FootnoteText"/>
      </w:pPr>
      <w:r>
        <w:rPr>
          <w:rStyle w:val="FootnoteReference"/>
        </w:rPr>
        <w:footnoteRef/>
      </w:r>
      <w:r>
        <w:tab/>
        <w:t>La méthode de suivi appliquée dans l’étude est nettement</w:t>
      </w:r>
      <w:r>
        <w:rPr>
          <w:sz w:val="24"/>
        </w:rPr>
        <w:t xml:space="preserve"> </w:t>
      </w:r>
      <w:r>
        <w:t>plus scientifique et plus détaillée que la méthode actuelle de suivi de l’action pour le climat et devrait donc produire des résultats plus précis.</w:t>
      </w:r>
    </w:p>
  </w:footnote>
  <w:footnote w:id="16">
    <w:p w14:paraId="7607B8E3" w14:textId="564B9C67" w:rsidR="3C2A47B8" w:rsidRDefault="3C2A47B8" w:rsidP="2C779313">
      <w:pPr>
        <w:pStyle w:val="FootnoteText"/>
      </w:pPr>
      <w:r>
        <w:rPr>
          <w:rStyle w:val="FootnoteReference"/>
        </w:rPr>
        <w:footnoteRef/>
      </w:r>
      <w:r>
        <w:tab/>
        <w:t xml:space="preserve">Les marqueurs de Rio sont des indicateurs qualitatifs élaborés par l’OCDE pour aider les pays donateurs et les agences de développement à déterminer dans quelle mesure l’aide au développement soutient les objectifs environnementaux des conventions de Rio, tels que la biodiversité, la désertification et le changement climatique (atténuation &amp; adaptation). </w:t>
      </w:r>
    </w:p>
  </w:footnote>
  <w:footnote w:id="17">
    <w:p w14:paraId="7EDD4A46" w14:textId="51B466E7" w:rsidR="00E321EB" w:rsidRPr="00CC0042" w:rsidRDefault="00E321EB">
      <w:pPr>
        <w:pStyle w:val="FootnoteText"/>
      </w:pPr>
      <w:r>
        <w:rPr>
          <w:rStyle w:val="FootnoteReference"/>
        </w:rPr>
        <w:footnoteRef/>
      </w:r>
      <w:r>
        <w:tab/>
        <w:t>Voir référence 4 dans le document de travail des services de la Commission qui accompagne le présent rapport.</w:t>
      </w:r>
    </w:p>
  </w:footnote>
  <w:footnote w:id="18">
    <w:p w14:paraId="5C482328" w14:textId="3349DF0B" w:rsidR="00C2020A" w:rsidRPr="00492007" w:rsidRDefault="00C2020A">
      <w:pPr>
        <w:pStyle w:val="FootnoteText"/>
      </w:pPr>
      <w:r>
        <w:rPr>
          <w:rStyle w:val="FootnoteReference"/>
        </w:rPr>
        <w:footnoteRef/>
      </w:r>
      <w:r>
        <w:tab/>
        <w:t>Voir référence 5 dans le document de travail des services de la Commission qui accompagne le présent rapport.</w:t>
      </w:r>
    </w:p>
  </w:footnote>
  <w:footnote w:id="19">
    <w:p w14:paraId="50C9820A" w14:textId="10DC9C04" w:rsidR="00240B21" w:rsidRPr="00E764B4" w:rsidRDefault="00240B21">
      <w:pPr>
        <w:pStyle w:val="FootnoteText"/>
      </w:pPr>
      <w:r>
        <w:rPr>
          <w:rStyle w:val="FootnoteReference"/>
        </w:rPr>
        <w:footnoteRef/>
      </w:r>
      <w:r>
        <w:tab/>
        <w:t>Voir référence 8 dans le document de travail des services de la Commission qui accompagne le présent rapport.</w:t>
      </w:r>
    </w:p>
  </w:footnote>
  <w:footnote w:id="20">
    <w:p w14:paraId="07112313" w14:textId="08420293" w:rsidR="0004588F" w:rsidRPr="00E764B4" w:rsidRDefault="0004588F">
      <w:pPr>
        <w:pStyle w:val="FootnoteText"/>
      </w:pPr>
      <w:r>
        <w:rPr>
          <w:rStyle w:val="FootnoteReference"/>
        </w:rPr>
        <w:footnoteRef/>
      </w:r>
      <w:r>
        <w:tab/>
        <w:t>Voir référence 6 dans le document de travail des services de la Commission qui accompagne le présent rapport.</w:t>
      </w:r>
    </w:p>
  </w:footnote>
  <w:footnote w:id="21">
    <w:p w14:paraId="25A9E18B" w14:textId="40F7E7E9" w:rsidR="00E002F0" w:rsidRPr="00E764B4" w:rsidRDefault="00E002F0">
      <w:pPr>
        <w:pStyle w:val="FootnoteText"/>
      </w:pPr>
      <w:r>
        <w:rPr>
          <w:rStyle w:val="FootnoteReference"/>
        </w:rPr>
        <w:footnoteRef/>
      </w:r>
      <w:r>
        <w:tab/>
        <w:t>Voir référence 7 dans le document de travail des services de la Commission qui accompagne le présent rapport.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C902F" w14:textId="77777777" w:rsidR="001E6B55" w:rsidRPr="001E6B55" w:rsidRDefault="001E6B55" w:rsidP="001E6B5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15BD5" w14:textId="77777777" w:rsidR="001E6B55" w:rsidRPr="001E6B55" w:rsidRDefault="001E6B55" w:rsidP="001E6B5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E6B7C" w14:textId="77777777" w:rsidR="001E6B55" w:rsidRPr="001E6B55" w:rsidRDefault="001E6B55" w:rsidP="001E6B5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196DE" w14:textId="77777777" w:rsidR="00513D3C" w:rsidRDefault="00513D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2148B" w14:textId="77777777" w:rsidR="00513D3C" w:rsidRDefault="00513D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Letterhead"/>
      <w:tblW w:w="9480" w:type="dxa"/>
      <w:tblLook w:val="0620" w:firstRow="1" w:lastRow="0" w:firstColumn="0" w:lastColumn="0" w:noHBand="1" w:noVBand="1"/>
      <w:tblDescription w:val="Ce tableau contient le logo de la Commission européenne dans la colonne de gauche et des informations sur l’entité organisationnelle du signataire ou du rédacteur dans la colonne de droite."/>
    </w:tblPr>
    <w:tblGrid>
      <w:gridCol w:w="2400"/>
      <w:gridCol w:w="7080"/>
    </w:tblGrid>
    <w:tr w:rsidR="00261BEA" w14:paraId="473BABC8" w14:textId="77777777" w:rsidTr="004D5A70">
      <w:trPr>
        <w:cantSplit/>
      </w:trPr>
      <w:tc>
        <w:tcPr>
          <w:tcW w:w="2400" w:type="dxa"/>
        </w:tcPr>
        <w:p w14:paraId="45670E0B" w14:textId="0B3F8671" w:rsidR="00261BEA" w:rsidRDefault="00261BEA" w:rsidP="00261BEA">
          <w:pPr>
            <w:pStyle w:val="ZFlag"/>
          </w:pPr>
        </w:p>
      </w:tc>
      <w:tc>
        <w:tcPr>
          <w:tcW w:w="7080" w:type="dxa"/>
        </w:tcPr>
        <w:p w14:paraId="2D4EE889" w14:textId="5A7642CF" w:rsidR="00261BEA" w:rsidRDefault="00261BEA" w:rsidP="00261BEA">
          <w:pPr>
            <w:pStyle w:val="ZDGName"/>
            <w:rPr>
              <w:b/>
            </w:rPr>
          </w:pPr>
        </w:p>
      </w:tc>
    </w:tr>
  </w:tbl>
  <w:p w14:paraId="2FAC9AF3" w14:textId="77777777" w:rsidR="00513D3C" w:rsidRDefault="00513D3C" w:rsidP="00A23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2501"/>
    <w:multiLevelType w:val="hybridMultilevel"/>
    <w:tmpl w:val="A968A3DC"/>
    <w:lvl w:ilvl="0" w:tplc="27600244">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B841D8"/>
    <w:multiLevelType w:val="hybridMultilevel"/>
    <w:tmpl w:val="75B631F8"/>
    <w:lvl w:ilvl="0" w:tplc="69CE9A3E">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2900F7"/>
    <w:multiLevelType w:val="multilevel"/>
    <w:tmpl w:val="86725F6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89C24CF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1E65D6E"/>
    <w:multiLevelType w:val="hybridMultilevel"/>
    <w:tmpl w:val="FA82E65C"/>
    <w:lvl w:ilvl="0" w:tplc="1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0B7201"/>
    <w:multiLevelType w:val="multilevel"/>
    <w:tmpl w:val="2666A52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D214D75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BF48E7F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CB78701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862254E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8CE4F15"/>
    <w:multiLevelType w:val="hybridMultilevel"/>
    <w:tmpl w:val="E2904A2C"/>
    <w:lvl w:ilvl="0" w:tplc="F4B08548">
      <w:start w:val="1"/>
      <w:numFmt w:val="upperLetter"/>
      <w:lvlText w:val="%1."/>
      <w:lvlJc w:val="left"/>
      <w:pPr>
        <w:ind w:left="1080" w:hanging="360"/>
      </w:pPr>
      <w:rPr>
        <w:rFonts w:ascii="Times New Roman Bold" w:hAnsi="Times New Roman Bold" w:hint="default"/>
        <w:color w:val="000000" w:themeColor="text1"/>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C7B624F"/>
    <w:multiLevelType w:val="multilevel"/>
    <w:tmpl w:val="4526412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43E06CC"/>
    <w:multiLevelType w:val="hybridMultilevel"/>
    <w:tmpl w:val="5A1410D0"/>
    <w:lvl w:ilvl="0" w:tplc="FB5476CE">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9A9734C"/>
    <w:multiLevelType w:val="hybridMultilevel"/>
    <w:tmpl w:val="4E5C85A8"/>
    <w:lvl w:ilvl="0" w:tplc="18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8DFDF8"/>
    <w:multiLevelType w:val="multilevel"/>
    <w:tmpl w:val="281E576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33CA3F6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F4BEE1B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32A07DF"/>
    <w:multiLevelType w:val="hybridMultilevel"/>
    <w:tmpl w:val="3A287122"/>
    <w:lvl w:ilvl="0" w:tplc="112E85DC">
      <w:start w:val="2"/>
      <w:numFmt w:val="upperRoman"/>
      <w:lvlText w:val="%1."/>
      <w:lvlJc w:val="righ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324F1E"/>
    <w:multiLevelType w:val="multilevel"/>
    <w:tmpl w:val="62D283C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7CB1E1C"/>
    <w:multiLevelType w:val="multilevel"/>
    <w:tmpl w:val="6694D5B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7730C4"/>
    <w:multiLevelType w:val="multilevel"/>
    <w:tmpl w:val="EF3C6EB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1CC70B4"/>
    <w:multiLevelType w:val="hybridMultilevel"/>
    <w:tmpl w:val="92EA9DB6"/>
    <w:lvl w:ilvl="0" w:tplc="A5182132">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9E662A"/>
    <w:multiLevelType w:val="multilevel"/>
    <w:tmpl w:val="313AC36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63DF"/>
    <w:multiLevelType w:val="multilevel"/>
    <w:tmpl w:val="6D1A0BA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1A982C"/>
    <w:multiLevelType w:val="multilevel"/>
    <w:tmpl w:val="64B25F5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619B"/>
    <w:multiLevelType w:val="multilevel"/>
    <w:tmpl w:val="5F7ED2C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1BC0F2F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4091C66"/>
    <w:multiLevelType w:val="hybridMultilevel"/>
    <w:tmpl w:val="15C0BA92"/>
    <w:lvl w:ilvl="0" w:tplc="12E4F57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FA205EC"/>
    <w:multiLevelType w:val="hybridMultilevel"/>
    <w:tmpl w:val="0F942550"/>
    <w:lvl w:ilvl="0" w:tplc="B18017C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1787124"/>
    <w:multiLevelType w:val="hybridMultilevel"/>
    <w:tmpl w:val="C77C9CC4"/>
    <w:lvl w:ilvl="0" w:tplc="C37E6216">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977472E"/>
    <w:multiLevelType w:val="multilevel"/>
    <w:tmpl w:val="94D2B53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E836FA9"/>
    <w:multiLevelType w:val="hybridMultilevel"/>
    <w:tmpl w:val="022A6994"/>
    <w:lvl w:ilvl="0" w:tplc="59F0A406">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0"/>
  </w:num>
  <w:num w:numId="2">
    <w:abstractNumId w:val="2"/>
  </w:num>
  <w:num w:numId="3">
    <w:abstractNumId w:val="18"/>
  </w:num>
  <w:num w:numId="4">
    <w:abstractNumId w:val="11"/>
  </w:num>
  <w:num w:numId="5">
    <w:abstractNumId w:val="19"/>
  </w:num>
  <w:num w:numId="6">
    <w:abstractNumId w:val="25"/>
  </w:num>
  <w:num w:numId="7">
    <w:abstractNumId w:val="30"/>
  </w:num>
  <w:num w:numId="8">
    <w:abstractNumId w:val="3"/>
  </w:num>
  <w:num w:numId="9">
    <w:abstractNumId w:val="9"/>
  </w:num>
  <w:num w:numId="10">
    <w:abstractNumId w:val="22"/>
  </w:num>
  <w:num w:numId="11">
    <w:abstractNumId w:val="5"/>
  </w:num>
  <w:num w:numId="12">
    <w:abstractNumId w:val="7"/>
  </w:num>
  <w:num w:numId="13">
    <w:abstractNumId w:val="8"/>
  </w:num>
  <w:num w:numId="14">
    <w:abstractNumId w:val="14"/>
  </w:num>
  <w:num w:numId="15">
    <w:abstractNumId w:val="20"/>
  </w:num>
  <w:num w:numId="16">
    <w:abstractNumId w:val="24"/>
  </w:num>
  <w:num w:numId="17">
    <w:abstractNumId w:val="15"/>
  </w:num>
  <w:num w:numId="18">
    <w:abstractNumId w:val="16"/>
  </w:num>
  <w:num w:numId="19">
    <w:abstractNumId w:val="32"/>
  </w:num>
  <w:num w:numId="20">
    <w:abstractNumId w:val="23"/>
  </w:num>
  <w:num w:numId="21">
    <w:abstractNumId w:val="26"/>
  </w:num>
  <w:num w:numId="22">
    <w:abstractNumId w:val="6"/>
  </w:num>
  <w:num w:numId="23">
    <w:abstractNumId w:val="29"/>
  </w:num>
  <w:num w:numId="24">
    <w:abstractNumId w:val="28"/>
  </w:num>
  <w:num w:numId="25">
    <w:abstractNumId w:val="12"/>
  </w:num>
  <w:num w:numId="26">
    <w:abstractNumId w:val="13"/>
  </w:num>
  <w:num w:numId="27">
    <w:abstractNumId w:val="1"/>
  </w:num>
  <w:num w:numId="28">
    <w:abstractNumId w:val="0"/>
  </w:num>
  <w:num w:numId="29">
    <w:abstractNumId w:val="4"/>
  </w:num>
  <w:num w:numId="30">
    <w:abstractNumId w:val="17"/>
  </w:num>
  <w:num w:numId="31">
    <w:abstractNumId w:val="27"/>
  </w:num>
  <w:num w:numId="32">
    <w:abstractNumId w:val="21"/>
  </w:num>
  <w:num w:numId="33">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ECAD88B-1FA4-46A0-9673-EC90A7F13779"/>
    <w:docVar w:name="LW_COVERPAGE_TYPE" w:val="1"/>
    <w:docVar w:name="LW_CROSSREFERENCE" w:val="{SWD(2026) 19 final}"/>
    <w:docVar w:name="LW_DocType" w:val="NORMAL"/>
    <w:docVar w:name="LW_EMISSION" w:val="26.1.2026"/>
    <w:docVar w:name="LW_EMISSION_ISODATE" w:val="2026-01-26"/>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 fonctionnement du nouveau modèle de mise en \u339?uvre par les États membres et la contribution des plans stratégiques relevant de la PAC des États membres au respect des engagements pris par l'Union en matière d'environnement et de climat_x000d__x000d__x000d__x000d__x000b__x000d__x000d__x000d__x000d__x000b__x000d__x000d__x000d__x000d__x000b_"/>
    <w:docVar w:name="LW_TYPE.DOC.CP" w:val="RAPPORT DE LA COMMISSION AU PARLEMENT EUROPÉEN ET AU CONSEIL"/>
    <w:docVar w:name="LwApiVersions" w:val="LW4CoDe 1.24.5.0; LW 9.2, Build 20251112"/>
  </w:docVars>
  <w:rsids>
    <w:rsidRoot w:val="00B02EB3"/>
    <w:rsid w:val="00000048"/>
    <w:rsid w:val="0000089C"/>
    <w:rsid w:val="00000DB6"/>
    <w:rsid w:val="00000E33"/>
    <w:rsid w:val="00000ED7"/>
    <w:rsid w:val="00001040"/>
    <w:rsid w:val="000014C0"/>
    <w:rsid w:val="00001639"/>
    <w:rsid w:val="000016A6"/>
    <w:rsid w:val="000019BA"/>
    <w:rsid w:val="0000262C"/>
    <w:rsid w:val="000028DC"/>
    <w:rsid w:val="00002A2E"/>
    <w:rsid w:val="00002C7C"/>
    <w:rsid w:val="00002C86"/>
    <w:rsid w:val="00002CA8"/>
    <w:rsid w:val="00002F1F"/>
    <w:rsid w:val="0000326B"/>
    <w:rsid w:val="000038EF"/>
    <w:rsid w:val="00003C33"/>
    <w:rsid w:val="00003CE7"/>
    <w:rsid w:val="00003E3C"/>
    <w:rsid w:val="00004058"/>
    <w:rsid w:val="000041C9"/>
    <w:rsid w:val="000045D0"/>
    <w:rsid w:val="000048A4"/>
    <w:rsid w:val="000049E3"/>
    <w:rsid w:val="00004E41"/>
    <w:rsid w:val="00004F2A"/>
    <w:rsid w:val="000052E3"/>
    <w:rsid w:val="00005B14"/>
    <w:rsid w:val="00007279"/>
    <w:rsid w:val="00007382"/>
    <w:rsid w:val="000079CB"/>
    <w:rsid w:val="00007B15"/>
    <w:rsid w:val="00007D3A"/>
    <w:rsid w:val="00010235"/>
    <w:rsid w:val="00010BF4"/>
    <w:rsid w:val="000116F0"/>
    <w:rsid w:val="0001197F"/>
    <w:rsid w:val="00011BD8"/>
    <w:rsid w:val="00011D9A"/>
    <w:rsid w:val="0001220C"/>
    <w:rsid w:val="00012210"/>
    <w:rsid w:val="00012815"/>
    <w:rsid w:val="00013178"/>
    <w:rsid w:val="00013492"/>
    <w:rsid w:val="0001353C"/>
    <w:rsid w:val="000136AA"/>
    <w:rsid w:val="00013750"/>
    <w:rsid w:val="00013B53"/>
    <w:rsid w:val="00013C68"/>
    <w:rsid w:val="00014F88"/>
    <w:rsid w:val="00015566"/>
    <w:rsid w:val="00015CDE"/>
    <w:rsid w:val="00015E45"/>
    <w:rsid w:val="00015F0B"/>
    <w:rsid w:val="00015F9F"/>
    <w:rsid w:val="000165F9"/>
    <w:rsid w:val="000166D4"/>
    <w:rsid w:val="00016911"/>
    <w:rsid w:val="00016A7C"/>
    <w:rsid w:val="0001731C"/>
    <w:rsid w:val="0002009D"/>
    <w:rsid w:val="000201BF"/>
    <w:rsid w:val="0002066E"/>
    <w:rsid w:val="00020A39"/>
    <w:rsid w:val="00021337"/>
    <w:rsid w:val="00021564"/>
    <w:rsid w:val="00021D9E"/>
    <w:rsid w:val="00021FB8"/>
    <w:rsid w:val="00022441"/>
    <w:rsid w:val="000224B8"/>
    <w:rsid w:val="000224DB"/>
    <w:rsid w:val="00022891"/>
    <w:rsid w:val="00022BF5"/>
    <w:rsid w:val="00022FFF"/>
    <w:rsid w:val="0002324D"/>
    <w:rsid w:val="000236C9"/>
    <w:rsid w:val="00023B09"/>
    <w:rsid w:val="00023CD3"/>
    <w:rsid w:val="00024129"/>
    <w:rsid w:val="0002444A"/>
    <w:rsid w:val="00024973"/>
    <w:rsid w:val="00024F1C"/>
    <w:rsid w:val="000257DB"/>
    <w:rsid w:val="00025A4C"/>
    <w:rsid w:val="00025C81"/>
    <w:rsid w:val="00026254"/>
    <w:rsid w:val="00026736"/>
    <w:rsid w:val="000267BE"/>
    <w:rsid w:val="00026C00"/>
    <w:rsid w:val="00026D57"/>
    <w:rsid w:val="0002731D"/>
    <w:rsid w:val="00027685"/>
    <w:rsid w:val="000276D9"/>
    <w:rsid w:val="000277C4"/>
    <w:rsid w:val="00027C00"/>
    <w:rsid w:val="00030413"/>
    <w:rsid w:val="000304DF"/>
    <w:rsid w:val="000313FE"/>
    <w:rsid w:val="000322E7"/>
    <w:rsid w:val="000326EF"/>
    <w:rsid w:val="00032912"/>
    <w:rsid w:val="00032B55"/>
    <w:rsid w:val="00032BD1"/>
    <w:rsid w:val="00032EB1"/>
    <w:rsid w:val="00032F90"/>
    <w:rsid w:val="00033169"/>
    <w:rsid w:val="000333F4"/>
    <w:rsid w:val="0003446C"/>
    <w:rsid w:val="0003455B"/>
    <w:rsid w:val="00035354"/>
    <w:rsid w:val="0003565A"/>
    <w:rsid w:val="00035927"/>
    <w:rsid w:val="00035994"/>
    <w:rsid w:val="00035C3A"/>
    <w:rsid w:val="00035D27"/>
    <w:rsid w:val="00036618"/>
    <w:rsid w:val="00036AFE"/>
    <w:rsid w:val="00036CF9"/>
    <w:rsid w:val="00037465"/>
    <w:rsid w:val="00037BB5"/>
    <w:rsid w:val="00040733"/>
    <w:rsid w:val="000407E4"/>
    <w:rsid w:val="00040B78"/>
    <w:rsid w:val="00040C03"/>
    <w:rsid w:val="00040E9F"/>
    <w:rsid w:val="00041092"/>
    <w:rsid w:val="0004147D"/>
    <w:rsid w:val="0004188F"/>
    <w:rsid w:val="00041E67"/>
    <w:rsid w:val="00042D9D"/>
    <w:rsid w:val="00042EC4"/>
    <w:rsid w:val="00042EEA"/>
    <w:rsid w:val="00043104"/>
    <w:rsid w:val="00043239"/>
    <w:rsid w:val="000435AB"/>
    <w:rsid w:val="0004370D"/>
    <w:rsid w:val="00043AB3"/>
    <w:rsid w:val="00043E20"/>
    <w:rsid w:val="00043EE1"/>
    <w:rsid w:val="000440A4"/>
    <w:rsid w:val="00044226"/>
    <w:rsid w:val="00044355"/>
    <w:rsid w:val="00045443"/>
    <w:rsid w:val="0004583D"/>
    <w:rsid w:val="0004588F"/>
    <w:rsid w:val="00045A5C"/>
    <w:rsid w:val="00045A9D"/>
    <w:rsid w:val="00045F2C"/>
    <w:rsid w:val="00046287"/>
    <w:rsid w:val="00046A53"/>
    <w:rsid w:val="00046B2F"/>
    <w:rsid w:val="00046D7A"/>
    <w:rsid w:val="00047302"/>
    <w:rsid w:val="00047753"/>
    <w:rsid w:val="00047938"/>
    <w:rsid w:val="000479AE"/>
    <w:rsid w:val="00047A95"/>
    <w:rsid w:val="00047BF4"/>
    <w:rsid w:val="00047CFA"/>
    <w:rsid w:val="000500A4"/>
    <w:rsid w:val="00050193"/>
    <w:rsid w:val="000503A8"/>
    <w:rsid w:val="00051406"/>
    <w:rsid w:val="00051684"/>
    <w:rsid w:val="000516BE"/>
    <w:rsid w:val="0005180C"/>
    <w:rsid w:val="000518AB"/>
    <w:rsid w:val="00051CEA"/>
    <w:rsid w:val="000521E7"/>
    <w:rsid w:val="00052365"/>
    <w:rsid w:val="0005242C"/>
    <w:rsid w:val="000524FD"/>
    <w:rsid w:val="0005268A"/>
    <w:rsid w:val="00052AA0"/>
    <w:rsid w:val="00052C0B"/>
    <w:rsid w:val="00053994"/>
    <w:rsid w:val="00053C12"/>
    <w:rsid w:val="00053CE6"/>
    <w:rsid w:val="00053F20"/>
    <w:rsid w:val="0005446A"/>
    <w:rsid w:val="0005452E"/>
    <w:rsid w:val="00054742"/>
    <w:rsid w:val="00054C16"/>
    <w:rsid w:val="00054E62"/>
    <w:rsid w:val="00054E7D"/>
    <w:rsid w:val="00054F9A"/>
    <w:rsid w:val="00055BB8"/>
    <w:rsid w:val="00055E24"/>
    <w:rsid w:val="00056229"/>
    <w:rsid w:val="000564E1"/>
    <w:rsid w:val="0005671D"/>
    <w:rsid w:val="00056FA4"/>
    <w:rsid w:val="000570FD"/>
    <w:rsid w:val="000571E1"/>
    <w:rsid w:val="00057542"/>
    <w:rsid w:val="00057732"/>
    <w:rsid w:val="00057BF0"/>
    <w:rsid w:val="000603D1"/>
    <w:rsid w:val="000605C9"/>
    <w:rsid w:val="000607CB"/>
    <w:rsid w:val="000607FF"/>
    <w:rsid w:val="000610A3"/>
    <w:rsid w:val="00061538"/>
    <w:rsid w:val="00061878"/>
    <w:rsid w:val="0006192B"/>
    <w:rsid w:val="00061B5F"/>
    <w:rsid w:val="0006206F"/>
    <w:rsid w:val="000624E0"/>
    <w:rsid w:val="000625C9"/>
    <w:rsid w:val="00063125"/>
    <w:rsid w:val="000633A3"/>
    <w:rsid w:val="00063651"/>
    <w:rsid w:val="000637E6"/>
    <w:rsid w:val="00063997"/>
    <w:rsid w:val="00063D89"/>
    <w:rsid w:val="00063E28"/>
    <w:rsid w:val="00063FE9"/>
    <w:rsid w:val="00064B13"/>
    <w:rsid w:val="00064DE8"/>
    <w:rsid w:val="000650AC"/>
    <w:rsid w:val="000652C1"/>
    <w:rsid w:val="000655F4"/>
    <w:rsid w:val="00066138"/>
    <w:rsid w:val="0006716A"/>
    <w:rsid w:val="00067A6B"/>
    <w:rsid w:val="00067BD6"/>
    <w:rsid w:val="00067CE6"/>
    <w:rsid w:val="00067D43"/>
    <w:rsid w:val="00067D82"/>
    <w:rsid w:val="00070023"/>
    <w:rsid w:val="00070345"/>
    <w:rsid w:val="00070606"/>
    <w:rsid w:val="0007070A"/>
    <w:rsid w:val="0007073D"/>
    <w:rsid w:val="0007097C"/>
    <w:rsid w:val="00070A39"/>
    <w:rsid w:val="00071851"/>
    <w:rsid w:val="00071928"/>
    <w:rsid w:val="00071CF6"/>
    <w:rsid w:val="0007200F"/>
    <w:rsid w:val="000721AC"/>
    <w:rsid w:val="000722B1"/>
    <w:rsid w:val="00072420"/>
    <w:rsid w:val="00072482"/>
    <w:rsid w:val="00072B15"/>
    <w:rsid w:val="00072BCB"/>
    <w:rsid w:val="00072E9C"/>
    <w:rsid w:val="0007304D"/>
    <w:rsid w:val="00073168"/>
    <w:rsid w:val="000732E7"/>
    <w:rsid w:val="000734DE"/>
    <w:rsid w:val="000734EC"/>
    <w:rsid w:val="000739CC"/>
    <w:rsid w:val="00073BBF"/>
    <w:rsid w:val="00073EAC"/>
    <w:rsid w:val="0007462C"/>
    <w:rsid w:val="000746A6"/>
    <w:rsid w:val="00074AB8"/>
    <w:rsid w:val="00074D13"/>
    <w:rsid w:val="00075834"/>
    <w:rsid w:val="00075DE1"/>
    <w:rsid w:val="00076058"/>
    <w:rsid w:val="000767BC"/>
    <w:rsid w:val="000767CC"/>
    <w:rsid w:val="00076A51"/>
    <w:rsid w:val="000770FB"/>
    <w:rsid w:val="000771B8"/>
    <w:rsid w:val="00077302"/>
    <w:rsid w:val="0007731C"/>
    <w:rsid w:val="00077443"/>
    <w:rsid w:val="000774D1"/>
    <w:rsid w:val="00077F4D"/>
    <w:rsid w:val="0008006D"/>
    <w:rsid w:val="00080527"/>
    <w:rsid w:val="00080613"/>
    <w:rsid w:val="00080C1F"/>
    <w:rsid w:val="000812A6"/>
    <w:rsid w:val="00081968"/>
    <w:rsid w:val="00081A95"/>
    <w:rsid w:val="00081E6F"/>
    <w:rsid w:val="00081FA1"/>
    <w:rsid w:val="0008234B"/>
    <w:rsid w:val="00082C2C"/>
    <w:rsid w:val="00082F6A"/>
    <w:rsid w:val="000831E7"/>
    <w:rsid w:val="000834C5"/>
    <w:rsid w:val="00083F4F"/>
    <w:rsid w:val="00084170"/>
    <w:rsid w:val="00084303"/>
    <w:rsid w:val="0008446F"/>
    <w:rsid w:val="000849D1"/>
    <w:rsid w:val="000851A8"/>
    <w:rsid w:val="000851E4"/>
    <w:rsid w:val="000855CB"/>
    <w:rsid w:val="00085606"/>
    <w:rsid w:val="00085707"/>
    <w:rsid w:val="00085FC2"/>
    <w:rsid w:val="000868FD"/>
    <w:rsid w:val="00086B40"/>
    <w:rsid w:val="00086E58"/>
    <w:rsid w:val="00086EF3"/>
    <w:rsid w:val="0008741B"/>
    <w:rsid w:val="00090246"/>
    <w:rsid w:val="00090317"/>
    <w:rsid w:val="000909A5"/>
    <w:rsid w:val="00090A18"/>
    <w:rsid w:val="00090D76"/>
    <w:rsid w:val="00091191"/>
    <w:rsid w:val="000915E0"/>
    <w:rsid w:val="00091FE5"/>
    <w:rsid w:val="0009265C"/>
    <w:rsid w:val="00092833"/>
    <w:rsid w:val="00092B96"/>
    <w:rsid w:val="00092F46"/>
    <w:rsid w:val="00092FDA"/>
    <w:rsid w:val="000932C3"/>
    <w:rsid w:val="000934E8"/>
    <w:rsid w:val="00093BAC"/>
    <w:rsid w:val="000944A2"/>
    <w:rsid w:val="00094C62"/>
    <w:rsid w:val="00094E28"/>
    <w:rsid w:val="00095BCB"/>
    <w:rsid w:val="00095BE6"/>
    <w:rsid w:val="00095F77"/>
    <w:rsid w:val="00095FE3"/>
    <w:rsid w:val="00096392"/>
    <w:rsid w:val="00096860"/>
    <w:rsid w:val="000968A4"/>
    <w:rsid w:val="000977F9"/>
    <w:rsid w:val="00097EBC"/>
    <w:rsid w:val="00099084"/>
    <w:rsid w:val="000A00C0"/>
    <w:rsid w:val="000A0161"/>
    <w:rsid w:val="000A0613"/>
    <w:rsid w:val="000A07B6"/>
    <w:rsid w:val="000A0BEC"/>
    <w:rsid w:val="000A11D4"/>
    <w:rsid w:val="000A1A12"/>
    <w:rsid w:val="000A1A4E"/>
    <w:rsid w:val="000A1F4E"/>
    <w:rsid w:val="000A3E1D"/>
    <w:rsid w:val="000A3F57"/>
    <w:rsid w:val="000A4259"/>
    <w:rsid w:val="000A4497"/>
    <w:rsid w:val="000A45F0"/>
    <w:rsid w:val="000A4A49"/>
    <w:rsid w:val="000A4CD9"/>
    <w:rsid w:val="000A5168"/>
    <w:rsid w:val="000A5A92"/>
    <w:rsid w:val="000A5C1F"/>
    <w:rsid w:val="000A601D"/>
    <w:rsid w:val="000A60C8"/>
    <w:rsid w:val="000A61E7"/>
    <w:rsid w:val="000A6D33"/>
    <w:rsid w:val="000A7289"/>
    <w:rsid w:val="000A74BA"/>
    <w:rsid w:val="000A74DA"/>
    <w:rsid w:val="000A7603"/>
    <w:rsid w:val="000A7823"/>
    <w:rsid w:val="000A7874"/>
    <w:rsid w:val="000A7B2F"/>
    <w:rsid w:val="000A7D39"/>
    <w:rsid w:val="000B0082"/>
    <w:rsid w:val="000B023C"/>
    <w:rsid w:val="000B05A4"/>
    <w:rsid w:val="000B0B9A"/>
    <w:rsid w:val="000B17D1"/>
    <w:rsid w:val="000B1A56"/>
    <w:rsid w:val="000B1BD2"/>
    <w:rsid w:val="000B1E7B"/>
    <w:rsid w:val="000B236C"/>
    <w:rsid w:val="000B26F6"/>
    <w:rsid w:val="000B27A3"/>
    <w:rsid w:val="000B2B66"/>
    <w:rsid w:val="000B2EE4"/>
    <w:rsid w:val="000B31E8"/>
    <w:rsid w:val="000B3252"/>
    <w:rsid w:val="000B3318"/>
    <w:rsid w:val="000B379F"/>
    <w:rsid w:val="000B3FA4"/>
    <w:rsid w:val="000B464C"/>
    <w:rsid w:val="000B46F8"/>
    <w:rsid w:val="000B4DB9"/>
    <w:rsid w:val="000B53A0"/>
    <w:rsid w:val="000B548F"/>
    <w:rsid w:val="000B5BD6"/>
    <w:rsid w:val="000B5F17"/>
    <w:rsid w:val="000B608C"/>
    <w:rsid w:val="000B670E"/>
    <w:rsid w:val="000B6E21"/>
    <w:rsid w:val="000B754F"/>
    <w:rsid w:val="000B78DD"/>
    <w:rsid w:val="000B7A4C"/>
    <w:rsid w:val="000B7B1E"/>
    <w:rsid w:val="000B7BF9"/>
    <w:rsid w:val="000C00A1"/>
    <w:rsid w:val="000C04A1"/>
    <w:rsid w:val="000C08CC"/>
    <w:rsid w:val="000C0951"/>
    <w:rsid w:val="000C0AF1"/>
    <w:rsid w:val="000C0B43"/>
    <w:rsid w:val="000C0BA5"/>
    <w:rsid w:val="000C10EC"/>
    <w:rsid w:val="000C1129"/>
    <w:rsid w:val="000C1496"/>
    <w:rsid w:val="000C14FF"/>
    <w:rsid w:val="000C1729"/>
    <w:rsid w:val="000C1C68"/>
    <w:rsid w:val="000C1CA5"/>
    <w:rsid w:val="000C20C3"/>
    <w:rsid w:val="000C29F2"/>
    <w:rsid w:val="000C2A0A"/>
    <w:rsid w:val="000C2CEF"/>
    <w:rsid w:val="000C2E08"/>
    <w:rsid w:val="000C4145"/>
    <w:rsid w:val="000C47A4"/>
    <w:rsid w:val="000C485B"/>
    <w:rsid w:val="000C4B2B"/>
    <w:rsid w:val="000C4DE6"/>
    <w:rsid w:val="000C4F74"/>
    <w:rsid w:val="000C534D"/>
    <w:rsid w:val="000C5717"/>
    <w:rsid w:val="000C597B"/>
    <w:rsid w:val="000C5987"/>
    <w:rsid w:val="000C5B2A"/>
    <w:rsid w:val="000C5CBB"/>
    <w:rsid w:val="000C64E3"/>
    <w:rsid w:val="000C6DEB"/>
    <w:rsid w:val="000C6F03"/>
    <w:rsid w:val="000C6FB3"/>
    <w:rsid w:val="000C700A"/>
    <w:rsid w:val="000C7283"/>
    <w:rsid w:val="000C7464"/>
    <w:rsid w:val="000C7CCB"/>
    <w:rsid w:val="000D0755"/>
    <w:rsid w:val="000D0BF0"/>
    <w:rsid w:val="000D1DDC"/>
    <w:rsid w:val="000D1E1B"/>
    <w:rsid w:val="000D2067"/>
    <w:rsid w:val="000D23D9"/>
    <w:rsid w:val="000D2846"/>
    <w:rsid w:val="000D2D62"/>
    <w:rsid w:val="000D2D76"/>
    <w:rsid w:val="000D2FBB"/>
    <w:rsid w:val="000D350D"/>
    <w:rsid w:val="000D3DA3"/>
    <w:rsid w:val="000D3E8C"/>
    <w:rsid w:val="000D3F61"/>
    <w:rsid w:val="000D41B2"/>
    <w:rsid w:val="000D42D1"/>
    <w:rsid w:val="000D44B5"/>
    <w:rsid w:val="000D45D6"/>
    <w:rsid w:val="000D4828"/>
    <w:rsid w:val="000D4EFB"/>
    <w:rsid w:val="000D5327"/>
    <w:rsid w:val="000D53D3"/>
    <w:rsid w:val="000D570C"/>
    <w:rsid w:val="000D5B2F"/>
    <w:rsid w:val="000D5B8D"/>
    <w:rsid w:val="000D60EE"/>
    <w:rsid w:val="000D6137"/>
    <w:rsid w:val="000D6569"/>
    <w:rsid w:val="000D66B5"/>
    <w:rsid w:val="000D69D9"/>
    <w:rsid w:val="000D72F0"/>
    <w:rsid w:val="000D75BA"/>
    <w:rsid w:val="000D79E0"/>
    <w:rsid w:val="000D7A8D"/>
    <w:rsid w:val="000D7F46"/>
    <w:rsid w:val="000E0591"/>
    <w:rsid w:val="000E0977"/>
    <w:rsid w:val="000E0AA4"/>
    <w:rsid w:val="000E0ABA"/>
    <w:rsid w:val="000E0E9F"/>
    <w:rsid w:val="000E0EC4"/>
    <w:rsid w:val="000E1876"/>
    <w:rsid w:val="000E18B7"/>
    <w:rsid w:val="000E25A4"/>
    <w:rsid w:val="000E25BD"/>
    <w:rsid w:val="000E2626"/>
    <w:rsid w:val="000E2916"/>
    <w:rsid w:val="000E2AAF"/>
    <w:rsid w:val="000E2AC3"/>
    <w:rsid w:val="000E2CD9"/>
    <w:rsid w:val="000E3536"/>
    <w:rsid w:val="000E36A0"/>
    <w:rsid w:val="000E38DB"/>
    <w:rsid w:val="000E3959"/>
    <w:rsid w:val="000E3997"/>
    <w:rsid w:val="000E3CD1"/>
    <w:rsid w:val="000E3FCC"/>
    <w:rsid w:val="000E3FD0"/>
    <w:rsid w:val="000E4813"/>
    <w:rsid w:val="000E4E4E"/>
    <w:rsid w:val="000E553A"/>
    <w:rsid w:val="000E5853"/>
    <w:rsid w:val="000E642C"/>
    <w:rsid w:val="000E646D"/>
    <w:rsid w:val="000E680F"/>
    <w:rsid w:val="000E71C9"/>
    <w:rsid w:val="000E723A"/>
    <w:rsid w:val="000E7C5E"/>
    <w:rsid w:val="000E7DB8"/>
    <w:rsid w:val="000F03C5"/>
    <w:rsid w:val="000F15F6"/>
    <w:rsid w:val="000F16BF"/>
    <w:rsid w:val="000F16CC"/>
    <w:rsid w:val="000F180A"/>
    <w:rsid w:val="000F21D3"/>
    <w:rsid w:val="000F2312"/>
    <w:rsid w:val="000F265A"/>
    <w:rsid w:val="000F283C"/>
    <w:rsid w:val="000F2903"/>
    <w:rsid w:val="000F2F37"/>
    <w:rsid w:val="000F30F9"/>
    <w:rsid w:val="000F32D6"/>
    <w:rsid w:val="000F35EC"/>
    <w:rsid w:val="000F3768"/>
    <w:rsid w:val="000F3DB6"/>
    <w:rsid w:val="000F3EC1"/>
    <w:rsid w:val="000F4149"/>
    <w:rsid w:val="000F4930"/>
    <w:rsid w:val="000F4AF5"/>
    <w:rsid w:val="000F5324"/>
    <w:rsid w:val="000F5802"/>
    <w:rsid w:val="000F596D"/>
    <w:rsid w:val="000F5A4D"/>
    <w:rsid w:val="000F5BE9"/>
    <w:rsid w:val="000F5F35"/>
    <w:rsid w:val="000F5F67"/>
    <w:rsid w:val="000F6093"/>
    <w:rsid w:val="000F6286"/>
    <w:rsid w:val="000F64DB"/>
    <w:rsid w:val="000F67B0"/>
    <w:rsid w:val="000F6876"/>
    <w:rsid w:val="000F6D02"/>
    <w:rsid w:val="000F6DB0"/>
    <w:rsid w:val="000F701D"/>
    <w:rsid w:val="000F7592"/>
    <w:rsid w:val="000F75B7"/>
    <w:rsid w:val="000FF2E0"/>
    <w:rsid w:val="00100124"/>
    <w:rsid w:val="0010074A"/>
    <w:rsid w:val="00100819"/>
    <w:rsid w:val="00100C90"/>
    <w:rsid w:val="00100FD1"/>
    <w:rsid w:val="00101190"/>
    <w:rsid w:val="001011D5"/>
    <w:rsid w:val="001017B1"/>
    <w:rsid w:val="00101F13"/>
    <w:rsid w:val="0010234D"/>
    <w:rsid w:val="00102456"/>
    <w:rsid w:val="00102479"/>
    <w:rsid w:val="00102720"/>
    <w:rsid w:val="00102721"/>
    <w:rsid w:val="00102C1E"/>
    <w:rsid w:val="00102EA7"/>
    <w:rsid w:val="00103034"/>
    <w:rsid w:val="00103702"/>
    <w:rsid w:val="001043B1"/>
    <w:rsid w:val="001045A5"/>
    <w:rsid w:val="00104BE4"/>
    <w:rsid w:val="001058AE"/>
    <w:rsid w:val="00105970"/>
    <w:rsid w:val="0010608C"/>
    <w:rsid w:val="001063E3"/>
    <w:rsid w:val="00106D40"/>
    <w:rsid w:val="00107B4A"/>
    <w:rsid w:val="00110603"/>
    <w:rsid w:val="0011078A"/>
    <w:rsid w:val="00110947"/>
    <w:rsid w:val="00110FAC"/>
    <w:rsid w:val="00111504"/>
    <w:rsid w:val="00111637"/>
    <w:rsid w:val="001117AB"/>
    <w:rsid w:val="0011181B"/>
    <w:rsid w:val="00111949"/>
    <w:rsid w:val="001119D3"/>
    <w:rsid w:val="00112798"/>
    <w:rsid w:val="00112886"/>
    <w:rsid w:val="00112976"/>
    <w:rsid w:val="00112E28"/>
    <w:rsid w:val="00113329"/>
    <w:rsid w:val="00113620"/>
    <w:rsid w:val="0011381B"/>
    <w:rsid w:val="00113992"/>
    <w:rsid w:val="00113A3F"/>
    <w:rsid w:val="00113A42"/>
    <w:rsid w:val="00113B31"/>
    <w:rsid w:val="00113F6D"/>
    <w:rsid w:val="001140C1"/>
    <w:rsid w:val="001154F0"/>
    <w:rsid w:val="00115548"/>
    <w:rsid w:val="00115845"/>
    <w:rsid w:val="001159BE"/>
    <w:rsid w:val="00115CFB"/>
    <w:rsid w:val="00115E62"/>
    <w:rsid w:val="00115F42"/>
    <w:rsid w:val="00116103"/>
    <w:rsid w:val="0011684A"/>
    <w:rsid w:val="00116C7C"/>
    <w:rsid w:val="00116D08"/>
    <w:rsid w:val="0011717A"/>
    <w:rsid w:val="00117A88"/>
    <w:rsid w:val="00117C86"/>
    <w:rsid w:val="00117D59"/>
    <w:rsid w:val="00117E5C"/>
    <w:rsid w:val="00120774"/>
    <w:rsid w:val="00120E5B"/>
    <w:rsid w:val="001210B5"/>
    <w:rsid w:val="001217A9"/>
    <w:rsid w:val="001219DF"/>
    <w:rsid w:val="00121B06"/>
    <w:rsid w:val="001226C6"/>
    <w:rsid w:val="0012278D"/>
    <w:rsid w:val="00122823"/>
    <w:rsid w:val="00122AE9"/>
    <w:rsid w:val="00122C45"/>
    <w:rsid w:val="00123898"/>
    <w:rsid w:val="00123B9D"/>
    <w:rsid w:val="001247AB"/>
    <w:rsid w:val="0012496B"/>
    <w:rsid w:val="00124DDE"/>
    <w:rsid w:val="00124F90"/>
    <w:rsid w:val="001251D2"/>
    <w:rsid w:val="0012542D"/>
    <w:rsid w:val="001258EC"/>
    <w:rsid w:val="00125D97"/>
    <w:rsid w:val="00125F02"/>
    <w:rsid w:val="0012607F"/>
    <w:rsid w:val="001262C5"/>
    <w:rsid w:val="001262D6"/>
    <w:rsid w:val="001263A4"/>
    <w:rsid w:val="001266F5"/>
    <w:rsid w:val="00126CCF"/>
    <w:rsid w:val="001271EC"/>
    <w:rsid w:val="001274E3"/>
    <w:rsid w:val="00127792"/>
    <w:rsid w:val="00127B7C"/>
    <w:rsid w:val="00127BD8"/>
    <w:rsid w:val="00130655"/>
    <w:rsid w:val="00130814"/>
    <w:rsid w:val="00130CAF"/>
    <w:rsid w:val="00130EFB"/>
    <w:rsid w:val="00131162"/>
    <w:rsid w:val="001318F0"/>
    <w:rsid w:val="00131ADD"/>
    <w:rsid w:val="00131F57"/>
    <w:rsid w:val="00132104"/>
    <w:rsid w:val="0013242F"/>
    <w:rsid w:val="00132F23"/>
    <w:rsid w:val="0013310A"/>
    <w:rsid w:val="00133574"/>
    <w:rsid w:val="00133DFF"/>
    <w:rsid w:val="00134546"/>
    <w:rsid w:val="001348FA"/>
    <w:rsid w:val="00134BB8"/>
    <w:rsid w:val="00134E88"/>
    <w:rsid w:val="00134EF7"/>
    <w:rsid w:val="00134FB1"/>
    <w:rsid w:val="001353FC"/>
    <w:rsid w:val="00135FFD"/>
    <w:rsid w:val="001368C8"/>
    <w:rsid w:val="00136D63"/>
    <w:rsid w:val="00137250"/>
    <w:rsid w:val="0013781E"/>
    <w:rsid w:val="00137B80"/>
    <w:rsid w:val="00140221"/>
    <w:rsid w:val="00140275"/>
    <w:rsid w:val="001405A9"/>
    <w:rsid w:val="00140820"/>
    <w:rsid w:val="00140BB8"/>
    <w:rsid w:val="00140F89"/>
    <w:rsid w:val="00141302"/>
    <w:rsid w:val="00142FBA"/>
    <w:rsid w:val="0014304A"/>
    <w:rsid w:val="0014340F"/>
    <w:rsid w:val="00143803"/>
    <w:rsid w:val="00143896"/>
    <w:rsid w:val="00143916"/>
    <w:rsid w:val="00143A4F"/>
    <w:rsid w:val="00143D79"/>
    <w:rsid w:val="00144456"/>
    <w:rsid w:val="00144478"/>
    <w:rsid w:val="001444C1"/>
    <w:rsid w:val="00144642"/>
    <w:rsid w:val="00144717"/>
    <w:rsid w:val="00144835"/>
    <w:rsid w:val="00145158"/>
    <w:rsid w:val="001451D7"/>
    <w:rsid w:val="001457B3"/>
    <w:rsid w:val="00145953"/>
    <w:rsid w:val="00145BD2"/>
    <w:rsid w:val="00145C76"/>
    <w:rsid w:val="00145D9F"/>
    <w:rsid w:val="00146994"/>
    <w:rsid w:val="00146B16"/>
    <w:rsid w:val="00146CAA"/>
    <w:rsid w:val="0014740B"/>
    <w:rsid w:val="00150AA7"/>
    <w:rsid w:val="00150EA9"/>
    <w:rsid w:val="00150F66"/>
    <w:rsid w:val="0015122B"/>
    <w:rsid w:val="001512A9"/>
    <w:rsid w:val="0015157B"/>
    <w:rsid w:val="001516A0"/>
    <w:rsid w:val="001518DD"/>
    <w:rsid w:val="00151AA0"/>
    <w:rsid w:val="00151E32"/>
    <w:rsid w:val="00151E8D"/>
    <w:rsid w:val="00152156"/>
    <w:rsid w:val="00152679"/>
    <w:rsid w:val="0015280C"/>
    <w:rsid w:val="00152B9F"/>
    <w:rsid w:val="00152C57"/>
    <w:rsid w:val="001531D0"/>
    <w:rsid w:val="0015372F"/>
    <w:rsid w:val="001542F1"/>
    <w:rsid w:val="0015487F"/>
    <w:rsid w:val="00154A0D"/>
    <w:rsid w:val="00154A96"/>
    <w:rsid w:val="00154BC6"/>
    <w:rsid w:val="00154F48"/>
    <w:rsid w:val="00155039"/>
    <w:rsid w:val="0015510A"/>
    <w:rsid w:val="00155134"/>
    <w:rsid w:val="001555DC"/>
    <w:rsid w:val="0015586C"/>
    <w:rsid w:val="00155A3C"/>
    <w:rsid w:val="00155FA9"/>
    <w:rsid w:val="00156082"/>
    <w:rsid w:val="00156108"/>
    <w:rsid w:val="00156491"/>
    <w:rsid w:val="001564D5"/>
    <w:rsid w:val="00156578"/>
    <w:rsid w:val="00156D03"/>
    <w:rsid w:val="00156E78"/>
    <w:rsid w:val="00157155"/>
    <w:rsid w:val="00157672"/>
    <w:rsid w:val="001576DC"/>
    <w:rsid w:val="0015780A"/>
    <w:rsid w:val="00157A00"/>
    <w:rsid w:val="00157DD6"/>
    <w:rsid w:val="00157EA1"/>
    <w:rsid w:val="00160125"/>
    <w:rsid w:val="00160C4E"/>
    <w:rsid w:val="00161617"/>
    <w:rsid w:val="00161C5B"/>
    <w:rsid w:val="00161FC0"/>
    <w:rsid w:val="00162493"/>
    <w:rsid w:val="001626A5"/>
    <w:rsid w:val="00162D34"/>
    <w:rsid w:val="00162F34"/>
    <w:rsid w:val="00162FE7"/>
    <w:rsid w:val="00163713"/>
    <w:rsid w:val="001637C4"/>
    <w:rsid w:val="00163996"/>
    <w:rsid w:val="00163B84"/>
    <w:rsid w:val="00163D49"/>
    <w:rsid w:val="00163F8F"/>
    <w:rsid w:val="0016439E"/>
    <w:rsid w:val="001643A7"/>
    <w:rsid w:val="00164983"/>
    <w:rsid w:val="00164A00"/>
    <w:rsid w:val="00164E92"/>
    <w:rsid w:val="001658F1"/>
    <w:rsid w:val="001659A0"/>
    <w:rsid w:val="001670B6"/>
    <w:rsid w:val="001675E8"/>
    <w:rsid w:val="00167991"/>
    <w:rsid w:val="001702E4"/>
    <w:rsid w:val="001705F4"/>
    <w:rsid w:val="0017099B"/>
    <w:rsid w:val="00170B8F"/>
    <w:rsid w:val="00170D3A"/>
    <w:rsid w:val="00170DF9"/>
    <w:rsid w:val="00171398"/>
    <w:rsid w:val="0017139B"/>
    <w:rsid w:val="001714D3"/>
    <w:rsid w:val="001716B8"/>
    <w:rsid w:val="001726D7"/>
    <w:rsid w:val="00172767"/>
    <w:rsid w:val="001728E0"/>
    <w:rsid w:val="00172C15"/>
    <w:rsid w:val="0017319B"/>
    <w:rsid w:val="00173D6E"/>
    <w:rsid w:val="00174760"/>
    <w:rsid w:val="00174B34"/>
    <w:rsid w:val="00174F0D"/>
    <w:rsid w:val="0017552A"/>
    <w:rsid w:val="0017572D"/>
    <w:rsid w:val="00175912"/>
    <w:rsid w:val="00175A18"/>
    <w:rsid w:val="00175C7B"/>
    <w:rsid w:val="00175D72"/>
    <w:rsid w:val="001761E5"/>
    <w:rsid w:val="001763C7"/>
    <w:rsid w:val="00176619"/>
    <w:rsid w:val="00176AF1"/>
    <w:rsid w:val="00176D21"/>
    <w:rsid w:val="0017758A"/>
    <w:rsid w:val="0017770B"/>
    <w:rsid w:val="001802D3"/>
    <w:rsid w:val="001809C7"/>
    <w:rsid w:val="00180CB4"/>
    <w:rsid w:val="00180DF6"/>
    <w:rsid w:val="0018146C"/>
    <w:rsid w:val="001816F8"/>
    <w:rsid w:val="0018176D"/>
    <w:rsid w:val="00181BF2"/>
    <w:rsid w:val="00181D48"/>
    <w:rsid w:val="00181F8F"/>
    <w:rsid w:val="0018203C"/>
    <w:rsid w:val="001821B4"/>
    <w:rsid w:val="001825F6"/>
    <w:rsid w:val="00182937"/>
    <w:rsid w:val="00182BC8"/>
    <w:rsid w:val="00182EC8"/>
    <w:rsid w:val="00182FE9"/>
    <w:rsid w:val="0018347F"/>
    <w:rsid w:val="001834F9"/>
    <w:rsid w:val="001835A6"/>
    <w:rsid w:val="0018380A"/>
    <w:rsid w:val="00183BBE"/>
    <w:rsid w:val="00184017"/>
    <w:rsid w:val="001842AF"/>
    <w:rsid w:val="0018449E"/>
    <w:rsid w:val="001847B9"/>
    <w:rsid w:val="00185922"/>
    <w:rsid w:val="001859D7"/>
    <w:rsid w:val="00185DC1"/>
    <w:rsid w:val="00185FE3"/>
    <w:rsid w:val="00185FEF"/>
    <w:rsid w:val="0018662F"/>
    <w:rsid w:val="00186819"/>
    <w:rsid w:val="00186BF0"/>
    <w:rsid w:val="00186D45"/>
    <w:rsid w:val="0018743E"/>
    <w:rsid w:val="00187C39"/>
    <w:rsid w:val="00187C53"/>
    <w:rsid w:val="00187EF7"/>
    <w:rsid w:val="0019087C"/>
    <w:rsid w:val="00190A0D"/>
    <w:rsid w:val="00190D14"/>
    <w:rsid w:val="00191233"/>
    <w:rsid w:val="001913B3"/>
    <w:rsid w:val="001914EE"/>
    <w:rsid w:val="00191512"/>
    <w:rsid w:val="00191A6F"/>
    <w:rsid w:val="00192B0B"/>
    <w:rsid w:val="00192D52"/>
    <w:rsid w:val="0019309C"/>
    <w:rsid w:val="001933E7"/>
    <w:rsid w:val="0019347A"/>
    <w:rsid w:val="0019364C"/>
    <w:rsid w:val="001938F7"/>
    <w:rsid w:val="00193E54"/>
    <w:rsid w:val="001942DB"/>
    <w:rsid w:val="0019470C"/>
    <w:rsid w:val="00194770"/>
    <w:rsid w:val="001952FD"/>
    <w:rsid w:val="001958BF"/>
    <w:rsid w:val="00195D6C"/>
    <w:rsid w:val="0019608E"/>
    <w:rsid w:val="00196186"/>
    <w:rsid w:val="00196369"/>
    <w:rsid w:val="00196CFC"/>
    <w:rsid w:val="00196D2D"/>
    <w:rsid w:val="00197A07"/>
    <w:rsid w:val="00197FEE"/>
    <w:rsid w:val="001A0872"/>
    <w:rsid w:val="001A0E01"/>
    <w:rsid w:val="001A10AE"/>
    <w:rsid w:val="001A12AA"/>
    <w:rsid w:val="001A1567"/>
    <w:rsid w:val="001A169C"/>
    <w:rsid w:val="001A183A"/>
    <w:rsid w:val="001A1BF2"/>
    <w:rsid w:val="001A1D7C"/>
    <w:rsid w:val="001A1F21"/>
    <w:rsid w:val="001A2912"/>
    <w:rsid w:val="001A2B5B"/>
    <w:rsid w:val="001A2F79"/>
    <w:rsid w:val="001A3358"/>
    <w:rsid w:val="001A35BD"/>
    <w:rsid w:val="001A366B"/>
    <w:rsid w:val="001A46C2"/>
    <w:rsid w:val="001A473A"/>
    <w:rsid w:val="001A4A10"/>
    <w:rsid w:val="001A4D68"/>
    <w:rsid w:val="001A5376"/>
    <w:rsid w:val="001A5404"/>
    <w:rsid w:val="001A57DC"/>
    <w:rsid w:val="001A59CA"/>
    <w:rsid w:val="001A5BE0"/>
    <w:rsid w:val="001A5D61"/>
    <w:rsid w:val="001A609B"/>
    <w:rsid w:val="001A6EBF"/>
    <w:rsid w:val="001A729D"/>
    <w:rsid w:val="001A73FA"/>
    <w:rsid w:val="001A7695"/>
    <w:rsid w:val="001A780B"/>
    <w:rsid w:val="001A78EB"/>
    <w:rsid w:val="001B0421"/>
    <w:rsid w:val="001B05AC"/>
    <w:rsid w:val="001B05F2"/>
    <w:rsid w:val="001B0D4E"/>
    <w:rsid w:val="001B123E"/>
    <w:rsid w:val="001B190D"/>
    <w:rsid w:val="001B1EB5"/>
    <w:rsid w:val="001B2C46"/>
    <w:rsid w:val="001B381F"/>
    <w:rsid w:val="001B38A5"/>
    <w:rsid w:val="001B3BD1"/>
    <w:rsid w:val="001B452D"/>
    <w:rsid w:val="001B46DE"/>
    <w:rsid w:val="001B533C"/>
    <w:rsid w:val="001B5BEE"/>
    <w:rsid w:val="001B5F74"/>
    <w:rsid w:val="001B6352"/>
    <w:rsid w:val="001B67AC"/>
    <w:rsid w:val="001B6893"/>
    <w:rsid w:val="001B6B73"/>
    <w:rsid w:val="001B6D6B"/>
    <w:rsid w:val="001B6DE3"/>
    <w:rsid w:val="001B740A"/>
    <w:rsid w:val="001B7BCC"/>
    <w:rsid w:val="001B7D12"/>
    <w:rsid w:val="001B7D33"/>
    <w:rsid w:val="001B7E28"/>
    <w:rsid w:val="001C0089"/>
    <w:rsid w:val="001C05D5"/>
    <w:rsid w:val="001C0782"/>
    <w:rsid w:val="001C0D96"/>
    <w:rsid w:val="001C0FC8"/>
    <w:rsid w:val="001C109F"/>
    <w:rsid w:val="001C12AE"/>
    <w:rsid w:val="001C1439"/>
    <w:rsid w:val="001C16F0"/>
    <w:rsid w:val="001C1860"/>
    <w:rsid w:val="001C1A6D"/>
    <w:rsid w:val="001C1B9D"/>
    <w:rsid w:val="001C1CD7"/>
    <w:rsid w:val="001C1E97"/>
    <w:rsid w:val="001C2A29"/>
    <w:rsid w:val="001C3AC9"/>
    <w:rsid w:val="001C3C0B"/>
    <w:rsid w:val="001C4328"/>
    <w:rsid w:val="001C4B4D"/>
    <w:rsid w:val="001C54C8"/>
    <w:rsid w:val="001C54E9"/>
    <w:rsid w:val="001C5A60"/>
    <w:rsid w:val="001C5A75"/>
    <w:rsid w:val="001C5B85"/>
    <w:rsid w:val="001C5FFC"/>
    <w:rsid w:val="001C6048"/>
    <w:rsid w:val="001C6658"/>
    <w:rsid w:val="001C691C"/>
    <w:rsid w:val="001C6C2F"/>
    <w:rsid w:val="001C6FB5"/>
    <w:rsid w:val="001C7840"/>
    <w:rsid w:val="001C7A70"/>
    <w:rsid w:val="001C7D39"/>
    <w:rsid w:val="001C7FD7"/>
    <w:rsid w:val="001D02D7"/>
    <w:rsid w:val="001D0927"/>
    <w:rsid w:val="001D0EE9"/>
    <w:rsid w:val="001D10FE"/>
    <w:rsid w:val="001D18AB"/>
    <w:rsid w:val="001D1B2C"/>
    <w:rsid w:val="001D1B41"/>
    <w:rsid w:val="001D1BFD"/>
    <w:rsid w:val="001D1D15"/>
    <w:rsid w:val="001D1F2A"/>
    <w:rsid w:val="001D2289"/>
    <w:rsid w:val="001D2AA5"/>
    <w:rsid w:val="001D2D69"/>
    <w:rsid w:val="001D39BD"/>
    <w:rsid w:val="001D3D9F"/>
    <w:rsid w:val="001D3E38"/>
    <w:rsid w:val="001D3ECD"/>
    <w:rsid w:val="001D4D5E"/>
    <w:rsid w:val="001D4F87"/>
    <w:rsid w:val="001D5A09"/>
    <w:rsid w:val="001D614D"/>
    <w:rsid w:val="001D7B16"/>
    <w:rsid w:val="001D7EA2"/>
    <w:rsid w:val="001E0E29"/>
    <w:rsid w:val="001E12ED"/>
    <w:rsid w:val="001E1697"/>
    <w:rsid w:val="001E16EE"/>
    <w:rsid w:val="001E1708"/>
    <w:rsid w:val="001E1B19"/>
    <w:rsid w:val="001E1C71"/>
    <w:rsid w:val="001E2099"/>
    <w:rsid w:val="001E3079"/>
    <w:rsid w:val="001E4107"/>
    <w:rsid w:val="001E424E"/>
    <w:rsid w:val="001E47BB"/>
    <w:rsid w:val="001E4DB0"/>
    <w:rsid w:val="001E4F11"/>
    <w:rsid w:val="001E55C6"/>
    <w:rsid w:val="001E5BC7"/>
    <w:rsid w:val="001E61B2"/>
    <w:rsid w:val="001E630F"/>
    <w:rsid w:val="001E6473"/>
    <w:rsid w:val="001E64B7"/>
    <w:rsid w:val="001E665E"/>
    <w:rsid w:val="001E68A7"/>
    <w:rsid w:val="001E6965"/>
    <w:rsid w:val="001E6B55"/>
    <w:rsid w:val="001E6BD3"/>
    <w:rsid w:val="001E6D6A"/>
    <w:rsid w:val="001E727F"/>
    <w:rsid w:val="001E77F1"/>
    <w:rsid w:val="001E7BC3"/>
    <w:rsid w:val="001E7E4B"/>
    <w:rsid w:val="001E91C8"/>
    <w:rsid w:val="001F005F"/>
    <w:rsid w:val="001F1176"/>
    <w:rsid w:val="001F17B2"/>
    <w:rsid w:val="001F19A2"/>
    <w:rsid w:val="001F1AF9"/>
    <w:rsid w:val="001F1C2A"/>
    <w:rsid w:val="001F2146"/>
    <w:rsid w:val="001F30A9"/>
    <w:rsid w:val="001F3106"/>
    <w:rsid w:val="001F34D7"/>
    <w:rsid w:val="001F3ABE"/>
    <w:rsid w:val="001F420B"/>
    <w:rsid w:val="001F426B"/>
    <w:rsid w:val="001F4887"/>
    <w:rsid w:val="001F4979"/>
    <w:rsid w:val="001F5088"/>
    <w:rsid w:val="001F5369"/>
    <w:rsid w:val="001F537A"/>
    <w:rsid w:val="001F54F1"/>
    <w:rsid w:val="001F5C78"/>
    <w:rsid w:val="001F5F7C"/>
    <w:rsid w:val="001F6344"/>
    <w:rsid w:val="001F6778"/>
    <w:rsid w:val="001F71F1"/>
    <w:rsid w:val="001F7A27"/>
    <w:rsid w:val="001F7AEF"/>
    <w:rsid w:val="001F7D10"/>
    <w:rsid w:val="001F7D3A"/>
    <w:rsid w:val="00200871"/>
    <w:rsid w:val="00201281"/>
    <w:rsid w:val="002016CC"/>
    <w:rsid w:val="002017ED"/>
    <w:rsid w:val="002018EB"/>
    <w:rsid w:val="0020206D"/>
    <w:rsid w:val="002021FE"/>
    <w:rsid w:val="002026E9"/>
    <w:rsid w:val="00202AA5"/>
    <w:rsid w:val="00202C88"/>
    <w:rsid w:val="00202E0A"/>
    <w:rsid w:val="002033CC"/>
    <w:rsid w:val="002045B5"/>
    <w:rsid w:val="00204DDD"/>
    <w:rsid w:val="00204E09"/>
    <w:rsid w:val="002055B8"/>
    <w:rsid w:val="002055C0"/>
    <w:rsid w:val="00205822"/>
    <w:rsid w:val="00205F88"/>
    <w:rsid w:val="002065A7"/>
    <w:rsid w:val="00206861"/>
    <w:rsid w:val="00206C54"/>
    <w:rsid w:val="00206CC3"/>
    <w:rsid w:val="00206CCD"/>
    <w:rsid w:val="00206CF9"/>
    <w:rsid w:val="00207071"/>
    <w:rsid w:val="002073A2"/>
    <w:rsid w:val="002079FF"/>
    <w:rsid w:val="00207A58"/>
    <w:rsid w:val="00207FA1"/>
    <w:rsid w:val="0021010A"/>
    <w:rsid w:val="002102A2"/>
    <w:rsid w:val="0021073F"/>
    <w:rsid w:val="00210A36"/>
    <w:rsid w:val="00210AFF"/>
    <w:rsid w:val="00210D42"/>
    <w:rsid w:val="00210E1B"/>
    <w:rsid w:val="002112EC"/>
    <w:rsid w:val="0021167C"/>
    <w:rsid w:val="002117ED"/>
    <w:rsid w:val="00211A06"/>
    <w:rsid w:val="00211ED8"/>
    <w:rsid w:val="002126F3"/>
    <w:rsid w:val="00212A60"/>
    <w:rsid w:val="00212ACF"/>
    <w:rsid w:val="00212CDB"/>
    <w:rsid w:val="0021346F"/>
    <w:rsid w:val="00213984"/>
    <w:rsid w:val="00213D49"/>
    <w:rsid w:val="00214144"/>
    <w:rsid w:val="0021436E"/>
    <w:rsid w:val="00214541"/>
    <w:rsid w:val="00214A5B"/>
    <w:rsid w:val="00214F48"/>
    <w:rsid w:val="00215532"/>
    <w:rsid w:val="00215AD9"/>
    <w:rsid w:val="00215B4D"/>
    <w:rsid w:val="00216989"/>
    <w:rsid w:val="00216C15"/>
    <w:rsid w:val="00217BBC"/>
    <w:rsid w:val="00217E5A"/>
    <w:rsid w:val="00217F6D"/>
    <w:rsid w:val="00220053"/>
    <w:rsid w:val="00220412"/>
    <w:rsid w:val="00220FF2"/>
    <w:rsid w:val="00221108"/>
    <w:rsid w:val="00221A17"/>
    <w:rsid w:val="00221CBE"/>
    <w:rsid w:val="00221E99"/>
    <w:rsid w:val="00222453"/>
    <w:rsid w:val="00222C64"/>
    <w:rsid w:val="00222E77"/>
    <w:rsid w:val="00223182"/>
    <w:rsid w:val="00223C68"/>
    <w:rsid w:val="00223D17"/>
    <w:rsid w:val="0022428A"/>
    <w:rsid w:val="00224653"/>
    <w:rsid w:val="002246E7"/>
    <w:rsid w:val="00224779"/>
    <w:rsid w:val="0022477A"/>
    <w:rsid w:val="00224B8C"/>
    <w:rsid w:val="00224FB3"/>
    <w:rsid w:val="00225693"/>
    <w:rsid w:val="00226D30"/>
    <w:rsid w:val="002270C2"/>
    <w:rsid w:val="002277D1"/>
    <w:rsid w:val="00227B5F"/>
    <w:rsid w:val="00227CD6"/>
    <w:rsid w:val="00227FD5"/>
    <w:rsid w:val="00230607"/>
    <w:rsid w:val="00230836"/>
    <w:rsid w:val="002309FD"/>
    <w:rsid w:val="00230D1E"/>
    <w:rsid w:val="00230F29"/>
    <w:rsid w:val="00231096"/>
    <w:rsid w:val="002310D3"/>
    <w:rsid w:val="0023126C"/>
    <w:rsid w:val="0023193B"/>
    <w:rsid w:val="00231ADE"/>
    <w:rsid w:val="00231B09"/>
    <w:rsid w:val="00231BB9"/>
    <w:rsid w:val="00232895"/>
    <w:rsid w:val="00232C2A"/>
    <w:rsid w:val="00232EE6"/>
    <w:rsid w:val="00232EE9"/>
    <w:rsid w:val="00233404"/>
    <w:rsid w:val="00233489"/>
    <w:rsid w:val="00233757"/>
    <w:rsid w:val="0023385B"/>
    <w:rsid w:val="0023390F"/>
    <w:rsid w:val="00233C78"/>
    <w:rsid w:val="00234044"/>
    <w:rsid w:val="00234133"/>
    <w:rsid w:val="002343CC"/>
    <w:rsid w:val="0023445E"/>
    <w:rsid w:val="00234585"/>
    <w:rsid w:val="00234920"/>
    <w:rsid w:val="00234C4E"/>
    <w:rsid w:val="002350E2"/>
    <w:rsid w:val="002351A5"/>
    <w:rsid w:val="002355B2"/>
    <w:rsid w:val="00235A4D"/>
    <w:rsid w:val="00235A6C"/>
    <w:rsid w:val="00235F67"/>
    <w:rsid w:val="0023641F"/>
    <w:rsid w:val="0023689F"/>
    <w:rsid w:val="002370B1"/>
    <w:rsid w:val="002372CC"/>
    <w:rsid w:val="00237668"/>
    <w:rsid w:val="0023783A"/>
    <w:rsid w:val="002378AF"/>
    <w:rsid w:val="00237976"/>
    <w:rsid w:val="00237CF4"/>
    <w:rsid w:val="002402A4"/>
    <w:rsid w:val="0024060A"/>
    <w:rsid w:val="00240777"/>
    <w:rsid w:val="00240942"/>
    <w:rsid w:val="00240B21"/>
    <w:rsid w:val="002413CA"/>
    <w:rsid w:val="00241E67"/>
    <w:rsid w:val="00241E71"/>
    <w:rsid w:val="002422FA"/>
    <w:rsid w:val="00242643"/>
    <w:rsid w:val="00242687"/>
    <w:rsid w:val="00243379"/>
    <w:rsid w:val="002441D0"/>
    <w:rsid w:val="0024442A"/>
    <w:rsid w:val="00244E18"/>
    <w:rsid w:val="00244F4F"/>
    <w:rsid w:val="0024504B"/>
    <w:rsid w:val="0024518A"/>
    <w:rsid w:val="002451C7"/>
    <w:rsid w:val="00245501"/>
    <w:rsid w:val="00245BBF"/>
    <w:rsid w:val="00245E26"/>
    <w:rsid w:val="00246062"/>
    <w:rsid w:val="002464A4"/>
    <w:rsid w:val="00246623"/>
    <w:rsid w:val="002468E8"/>
    <w:rsid w:val="00246BD1"/>
    <w:rsid w:val="002477C5"/>
    <w:rsid w:val="00247E56"/>
    <w:rsid w:val="00247F4C"/>
    <w:rsid w:val="00250041"/>
    <w:rsid w:val="002500D1"/>
    <w:rsid w:val="00250201"/>
    <w:rsid w:val="002506C3"/>
    <w:rsid w:val="0025094D"/>
    <w:rsid w:val="002510D5"/>
    <w:rsid w:val="002511DD"/>
    <w:rsid w:val="0025138F"/>
    <w:rsid w:val="00251B67"/>
    <w:rsid w:val="00251E11"/>
    <w:rsid w:val="00252B54"/>
    <w:rsid w:val="00252BF4"/>
    <w:rsid w:val="00253287"/>
    <w:rsid w:val="00253294"/>
    <w:rsid w:val="002532F5"/>
    <w:rsid w:val="00253F00"/>
    <w:rsid w:val="00254058"/>
    <w:rsid w:val="002543D7"/>
    <w:rsid w:val="00254733"/>
    <w:rsid w:val="00255248"/>
    <w:rsid w:val="00255402"/>
    <w:rsid w:val="002554D4"/>
    <w:rsid w:val="00255589"/>
    <w:rsid w:val="00255B91"/>
    <w:rsid w:val="00255ECE"/>
    <w:rsid w:val="00255FB8"/>
    <w:rsid w:val="0025613F"/>
    <w:rsid w:val="002563D9"/>
    <w:rsid w:val="00256410"/>
    <w:rsid w:val="002564FF"/>
    <w:rsid w:val="002568C9"/>
    <w:rsid w:val="00257D58"/>
    <w:rsid w:val="00260476"/>
    <w:rsid w:val="00260A87"/>
    <w:rsid w:val="00260C63"/>
    <w:rsid w:val="00260C99"/>
    <w:rsid w:val="002615E3"/>
    <w:rsid w:val="00261634"/>
    <w:rsid w:val="0026192F"/>
    <w:rsid w:val="00261BEA"/>
    <w:rsid w:val="002622B6"/>
    <w:rsid w:val="002625A3"/>
    <w:rsid w:val="00262DA7"/>
    <w:rsid w:val="00263204"/>
    <w:rsid w:val="00263442"/>
    <w:rsid w:val="00263478"/>
    <w:rsid w:val="0026373E"/>
    <w:rsid w:val="00263A4A"/>
    <w:rsid w:val="00263B86"/>
    <w:rsid w:val="002648C1"/>
    <w:rsid w:val="0026519F"/>
    <w:rsid w:val="00265236"/>
    <w:rsid w:val="00265392"/>
    <w:rsid w:val="002656BA"/>
    <w:rsid w:val="0026571F"/>
    <w:rsid w:val="00265D07"/>
    <w:rsid w:val="00265DD5"/>
    <w:rsid w:val="00266391"/>
    <w:rsid w:val="002665D4"/>
    <w:rsid w:val="00266736"/>
    <w:rsid w:val="00266DC2"/>
    <w:rsid w:val="00267DD9"/>
    <w:rsid w:val="00267FEB"/>
    <w:rsid w:val="0027037B"/>
    <w:rsid w:val="002709F7"/>
    <w:rsid w:val="00270C41"/>
    <w:rsid w:val="0027117F"/>
    <w:rsid w:val="002719D0"/>
    <w:rsid w:val="00271BA1"/>
    <w:rsid w:val="00272551"/>
    <w:rsid w:val="00272563"/>
    <w:rsid w:val="00272756"/>
    <w:rsid w:val="002732C4"/>
    <w:rsid w:val="00273555"/>
    <w:rsid w:val="002736F6"/>
    <w:rsid w:val="00273877"/>
    <w:rsid w:val="00274117"/>
    <w:rsid w:val="00274261"/>
    <w:rsid w:val="00274A05"/>
    <w:rsid w:val="00274DE8"/>
    <w:rsid w:val="00275059"/>
    <w:rsid w:val="0027529F"/>
    <w:rsid w:val="00275CCA"/>
    <w:rsid w:val="0027621D"/>
    <w:rsid w:val="00276682"/>
    <w:rsid w:val="0027673B"/>
    <w:rsid w:val="00276A6E"/>
    <w:rsid w:val="00276FDC"/>
    <w:rsid w:val="00280137"/>
    <w:rsid w:val="0028041E"/>
    <w:rsid w:val="002804B3"/>
    <w:rsid w:val="00280BDA"/>
    <w:rsid w:val="002814DC"/>
    <w:rsid w:val="002818B5"/>
    <w:rsid w:val="00281982"/>
    <w:rsid w:val="00282064"/>
    <w:rsid w:val="002820C2"/>
    <w:rsid w:val="002820E8"/>
    <w:rsid w:val="0028240F"/>
    <w:rsid w:val="0028299A"/>
    <w:rsid w:val="00282C0E"/>
    <w:rsid w:val="0028345F"/>
    <w:rsid w:val="00283851"/>
    <w:rsid w:val="00283DC9"/>
    <w:rsid w:val="00283E1E"/>
    <w:rsid w:val="002844FC"/>
    <w:rsid w:val="00284B52"/>
    <w:rsid w:val="00284E0B"/>
    <w:rsid w:val="002850AA"/>
    <w:rsid w:val="002854F1"/>
    <w:rsid w:val="002856C3"/>
    <w:rsid w:val="0028583D"/>
    <w:rsid w:val="00285B44"/>
    <w:rsid w:val="00285C42"/>
    <w:rsid w:val="00285E73"/>
    <w:rsid w:val="0028660E"/>
    <w:rsid w:val="00286A41"/>
    <w:rsid w:val="00287146"/>
    <w:rsid w:val="0028749C"/>
    <w:rsid w:val="002878C9"/>
    <w:rsid w:val="00290158"/>
    <w:rsid w:val="00290685"/>
    <w:rsid w:val="00290DDD"/>
    <w:rsid w:val="0029110E"/>
    <w:rsid w:val="00291EB7"/>
    <w:rsid w:val="00292310"/>
    <w:rsid w:val="00292433"/>
    <w:rsid w:val="002924D8"/>
    <w:rsid w:val="00292532"/>
    <w:rsid w:val="00292537"/>
    <w:rsid w:val="002929C3"/>
    <w:rsid w:val="00292DC2"/>
    <w:rsid w:val="00292E11"/>
    <w:rsid w:val="00293209"/>
    <w:rsid w:val="002936BB"/>
    <w:rsid w:val="00293782"/>
    <w:rsid w:val="0029378A"/>
    <w:rsid w:val="00293840"/>
    <w:rsid w:val="00293873"/>
    <w:rsid w:val="00293D18"/>
    <w:rsid w:val="00293D88"/>
    <w:rsid w:val="002945A6"/>
    <w:rsid w:val="002947B9"/>
    <w:rsid w:val="00294ABE"/>
    <w:rsid w:val="00294DB1"/>
    <w:rsid w:val="00294E77"/>
    <w:rsid w:val="00295A72"/>
    <w:rsid w:val="002963B3"/>
    <w:rsid w:val="00296A82"/>
    <w:rsid w:val="00296C4A"/>
    <w:rsid w:val="00297368"/>
    <w:rsid w:val="00297A9B"/>
    <w:rsid w:val="00297ED3"/>
    <w:rsid w:val="00297F0C"/>
    <w:rsid w:val="002A0372"/>
    <w:rsid w:val="002A069E"/>
    <w:rsid w:val="002A07E2"/>
    <w:rsid w:val="002A0BF7"/>
    <w:rsid w:val="002A0D23"/>
    <w:rsid w:val="002A1A0B"/>
    <w:rsid w:val="002A1C12"/>
    <w:rsid w:val="002A2637"/>
    <w:rsid w:val="002A2D12"/>
    <w:rsid w:val="002A32AC"/>
    <w:rsid w:val="002A362F"/>
    <w:rsid w:val="002A3717"/>
    <w:rsid w:val="002A39C9"/>
    <w:rsid w:val="002A4064"/>
    <w:rsid w:val="002A42E7"/>
    <w:rsid w:val="002A452B"/>
    <w:rsid w:val="002A45A4"/>
    <w:rsid w:val="002A46BD"/>
    <w:rsid w:val="002A4825"/>
    <w:rsid w:val="002A4EC1"/>
    <w:rsid w:val="002A5057"/>
    <w:rsid w:val="002A515C"/>
    <w:rsid w:val="002A53E8"/>
    <w:rsid w:val="002A5641"/>
    <w:rsid w:val="002A5719"/>
    <w:rsid w:val="002A5C1F"/>
    <w:rsid w:val="002A731D"/>
    <w:rsid w:val="002A743A"/>
    <w:rsid w:val="002A7735"/>
    <w:rsid w:val="002A7A8D"/>
    <w:rsid w:val="002A7D77"/>
    <w:rsid w:val="002A7F81"/>
    <w:rsid w:val="002B0680"/>
    <w:rsid w:val="002B07B7"/>
    <w:rsid w:val="002B0A5E"/>
    <w:rsid w:val="002B16D1"/>
    <w:rsid w:val="002B1D92"/>
    <w:rsid w:val="002B1D94"/>
    <w:rsid w:val="002B22A5"/>
    <w:rsid w:val="002B23F4"/>
    <w:rsid w:val="002B2434"/>
    <w:rsid w:val="002B24AB"/>
    <w:rsid w:val="002B24F8"/>
    <w:rsid w:val="002B250A"/>
    <w:rsid w:val="002B285E"/>
    <w:rsid w:val="002B2B3E"/>
    <w:rsid w:val="002B447D"/>
    <w:rsid w:val="002B4676"/>
    <w:rsid w:val="002B4B5D"/>
    <w:rsid w:val="002B4C83"/>
    <w:rsid w:val="002B4D48"/>
    <w:rsid w:val="002B510E"/>
    <w:rsid w:val="002B5812"/>
    <w:rsid w:val="002B5E62"/>
    <w:rsid w:val="002B6221"/>
    <w:rsid w:val="002B669A"/>
    <w:rsid w:val="002B771B"/>
    <w:rsid w:val="002B778F"/>
    <w:rsid w:val="002B7917"/>
    <w:rsid w:val="002B79D7"/>
    <w:rsid w:val="002B7DD2"/>
    <w:rsid w:val="002C0427"/>
    <w:rsid w:val="002C0530"/>
    <w:rsid w:val="002C0A01"/>
    <w:rsid w:val="002C0B49"/>
    <w:rsid w:val="002C0F54"/>
    <w:rsid w:val="002C1BA4"/>
    <w:rsid w:val="002C1BDC"/>
    <w:rsid w:val="002C1F2E"/>
    <w:rsid w:val="002C29BE"/>
    <w:rsid w:val="002C2A04"/>
    <w:rsid w:val="002C3030"/>
    <w:rsid w:val="002C3224"/>
    <w:rsid w:val="002C3383"/>
    <w:rsid w:val="002C35A8"/>
    <w:rsid w:val="002C3737"/>
    <w:rsid w:val="002C3AA3"/>
    <w:rsid w:val="002C3C6B"/>
    <w:rsid w:val="002C3F94"/>
    <w:rsid w:val="002C3FF1"/>
    <w:rsid w:val="002C424A"/>
    <w:rsid w:val="002C45F7"/>
    <w:rsid w:val="002C4629"/>
    <w:rsid w:val="002C5346"/>
    <w:rsid w:val="002C544E"/>
    <w:rsid w:val="002C5710"/>
    <w:rsid w:val="002C57E9"/>
    <w:rsid w:val="002C5AF6"/>
    <w:rsid w:val="002C5B19"/>
    <w:rsid w:val="002C7224"/>
    <w:rsid w:val="002C75F8"/>
    <w:rsid w:val="002D0227"/>
    <w:rsid w:val="002D02BB"/>
    <w:rsid w:val="002D0417"/>
    <w:rsid w:val="002D0553"/>
    <w:rsid w:val="002D0620"/>
    <w:rsid w:val="002D083A"/>
    <w:rsid w:val="002D094A"/>
    <w:rsid w:val="002D0B4B"/>
    <w:rsid w:val="002D0EB0"/>
    <w:rsid w:val="002D100F"/>
    <w:rsid w:val="002D10D0"/>
    <w:rsid w:val="002D14AA"/>
    <w:rsid w:val="002D1943"/>
    <w:rsid w:val="002D1BAC"/>
    <w:rsid w:val="002D1D45"/>
    <w:rsid w:val="002D1F4E"/>
    <w:rsid w:val="002D20F6"/>
    <w:rsid w:val="002D21DB"/>
    <w:rsid w:val="002D24CA"/>
    <w:rsid w:val="002D2700"/>
    <w:rsid w:val="002D296D"/>
    <w:rsid w:val="002D2A7B"/>
    <w:rsid w:val="002D2C26"/>
    <w:rsid w:val="002D2EE5"/>
    <w:rsid w:val="002D2FCF"/>
    <w:rsid w:val="002D337A"/>
    <w:rsid w:val="002D385A"/>
    <w:rsid w:val="002D3A32"/>
    <w:rsid w:val="002D3A4B"/>
    <w:rsid w:val="002D3B87"/>
    <w:rsid w:val="002D4604"/>
    <w:rsid w:val="002D4734"/>
    <w:rsid w:val="002D567F"/>
    <w:rsid w:val="002D58C0"/>
    <w:rsid w:val="002D5A35"/>
    <w:rsid w:val="002D5B9F"/>
    <w:rsid w:val="002D5BE1"/>
    <w:rsid w:val="002D62EE"/>
    <w:rsid w:val="002D6343"/>
    <w:rsid w:val="002D6682"/>
    <w:rsid w:val="002D6726"/>
    <w:rsid w:val="002D678B"/>
    <w:rsid w:val="002D6A78"/>
    <w:rsid w:val="002D6E92"/>
    <w:rsid w:val="002D7028"/>
    <w:rsid w:val="002D7128"/>
    <w:rsid w:val="002D73A1"/>
    <w:rsid w:val="002E03F4"/>
    <w:rsid w:val="002E089A"/>
    <w:rsid w:val="002E0C42"/>
    <w:rsid w:val="002E0FD6"/>
    <w:rsid w:val="002E0FF3"/>
    <w:rsid w:val="002E13AC"/>
    <w:rsid w:val="002E18A5"/>
    <w:rsid w:val="002E21E5"/>
    <w:rsid w:val="002E24EB"/>
    <w:rsid w:val="002E2611"/>
    <w:rsid w:val="002E28C4"/>
    <w:rsid w:val="002E2960"/>
    <w:rsid w:val="002E2A9B"/>
    <w:rsid w:val="002E2DBD"/>
    <w:rsid w:val="002E2EEC"/>
    <w:rsid w:val="002E2F62"/>
    <w:rsid w:val="002E2FDA"/>
    <w:rsid w:val="002E3113"/>
    <w:rsid w:val="002E388E"/>
    <w:rsid w:val="002E3CBD"/>
    <w:rsid w:val="002E426F"/>
    <w:rsid w:val="002E458C"/>
    <w:rsid w:val="002E46A9"/>
    <w:rsid w:val="002E46CE"/>
    <w:rsid w:val="002E479E"/>
    <w:rsid w:val="002E4B99"/>
    <w:rsid w:val="002E4D94"/>
    <w:rsid w:val="002E4EC9"/>
    <w:rsid w:val="002E507B"/>
    <w:rsid w:val="002E5874"/>
    <w:rsid w:val="002E5F8B"/>
    <w:rsid w:val="002E6226"/>
    <w:rsid w:val="002E6906"/>
    <w:rsid w:val="002E6967"/>
    <w:rsid w:val="002E6B47"/>
    <w:rsid w:val="002E7360"/>
    <w:rsid w:val="002E7665"/>
    <w:rsid w:val="002E7749"/>
    <w:rsid w:val="002E78C9"/>
    <w:rsid w:val="002E7CBB"/>
    <w:rsid w:val="002F008F"/>
    <w:rsid w:val="002F01B0"/>
    <w:rsid w:val="002F076E"/>
    <w:rsid w:val="002F07C4"/>
    <w:rsid w:val="002F0A5D"/>
    <w:rsid w:val="002F0E4B"/>
    <w:rsid w:val="002F1013"/>
    <w:rsid w:val="002F1067"/>
    <w:rsid w:val="002F14C5"/>
    <w:rsid w:val="002F1C31"/>
    <w:rsid w:val="002F2779"/>
    <w:rsid w:val="002F29C7"/>
    <w:rsid w:val="002F315B"/>
    <w:rsid w:val="002F392D"/>
    <w:rsid w:val="002F45D4"/>
    <w:rsid w:val="002F4959"/>
    <w:rsid w:val="002F50B6"/>
    <w:rsid w:val="002F54CA"/>
    <w:rsid w:val="002F5936"/>
    <w:rsid w:val="002F5C97"/>
    <w:rsid w:val="002F5F44"/>
    <w:rsid w:val="002F635F"/>
    <w:rsid w:val="002F6443"/>
    <w:rsid w:val="002F64C8"/>
    <w:rsid w:val="002F66AD"/>
    <w:rsid w:val="002F6B75"/>
    <w:rsid w:val="002F6CBC"/>
    <w:rsid w:val="002F7050"/>
    <w:rsid w:val="002F7145"/>
    <w:rsid w:val="002F7303"/>
    <w:rsid w:val="002F7329"/>
    <w:rsid w:val="002F790C"/>
    <w:rsid w:val="002F7A7A"/>
    <w:rsid w:val="002F7FD1"/>
    <w:rsid w:val="003003F4"/>
    <w:rsid w:val="003004A3"/>
    <w:rsid w:val="0030050E"/>
    <w:rsid w:val="003006FC"/>
    <w:rsid w:val="00300E99"/>
    <w:rsid w:val="00300F70"/>
    <w:rsid w:val="00301551"/>
    <w:rsid w:val="00301806"/>
    <w:rsid w:val="00301E54"/>
    <w:rsid w:val="003023E1"/>
    <w:rsid w:val="00302550"/>
    <w:rsid w:val="0030288D"/>
    <w:rsid w:val="003032FC"/>
    <w:rsid w:val="0030331E"/>
    <w:rsid w:val="003033F4"/>
    <w:rsid w:val="003035C5"/>
    <w:rsid w:val="00303ED6"/>
    <w:rsid w:val="003047B2"/>
    <w:rsid w:val="00304CDB"/>
    <w:rsid w:val="0030507A"/>
    <w:rsid w:val="003052CB"/>
    <w:rsid w:val="00305636"/>
    <w:rsid w:val="00305AA2"/>
    <w:rsid w:val="00305B45"/>
    <w:rsid w:val="00305E00"/>
    <w:rsid w:val="0030650A"/>
    <w:rsid w:val="00306BCA"/>
    <w:rsid w:val="00306D33"/>
    <w:rsid w:val="00307033"/>
    <w:rsid w:val="00307223"/>
    <w:rsid w:val="00307E62"/>
    <w:rsid w:val="0031042A"/>
    <w:rsid w:val="003105E8"/>
    <w:rsid w:val="00310E38"/>
    <w:rsid w:val="00311343"/>
    <w:rsid w:val="003122AA"/>
    <w:rsid w:val="003122FD"/>
    <w:rsid w:val="0031239C"/>
    <w:rsid w:val="003124E6"/>
    <w:rsid w:val="0031254A"/>
    <w:rsid w:val="00312754"/>
    <w:rsid w:val="003129EF"/>
    <w:rsid w:val="00312AC0"/>
    <w:rsid w:val="00312CB3"/>
    <w:rsid w:val="00313668"/>
    <w:rsid w:val="00313C4C"/>
    <w:rsid w:val="00314752"/>
    <w:rsid w:val="0031484A"/>
    <w:rsid w:val="003149D9"/>
    <w:rsid w:val="003152D5"/>
    <w:rsid w:val="00315B2A"/>
    <w:rsid w:val="00315E6F"/>
    <w:rsid w:val="00316445"/>
    <w:rsid w:val="003165C9"/>
    <w:rsid w:val="0031681E"/>
    <w:rsid w:val="00316EBC"/>
    <w:rsid w:val="00316F2D"/>
    <w:rsid w:val="0031701C"/>
    <w:rsid w:val="00317176"/>
    <w:rsid w:val="003171AB"/>
    <w:rsid w:val="0031755F"/>
    <w:rsid w:val="00317971"/>
    <w:rsid w:val="00317A51"/>
    <w:rsid w:val="00320005"/>
    <w:rsid w:val="003205EE"/>
    <w:rsid w:val="00320DFA"/>
    <w:rsid w:val="00320E07"/>
    <w:rsid w:val="00320ED1"/>
    <w:rsid w:val="0032102A"/>
    <w:rsid w:val="0032131F"/>
    <w:rsid w:val="003213EA"/>
    <w:rsid w:val="00322470"/>
    <w:rsid w:val="003224B5"/>
    <w:rsid w:val="00322508"/>
    <w:rsid w:val="00322A64"/>
    <w:rsid w:val="0032315C"/>
    <w:rsid w:val="0032435E"/>
    <w:rsid w:val="00324480"/>
    <w:rsid w:val="00324639"/>
    <w:rsid w:val="003246F7"/>
    <w:rsid w:val="00325B9D"/>
    <w:rsid w:val="00326154"/>
    <w:rsid w:val="0032620E"/>
    <w:rsid w:val="003263DF"/>
    <w:rsid w:val="00326408"/>
    <w:rsid w:val="003267DA"/>
    <w:rsid w:val="00326D4C"/>
    <w:rsid w:val="00326E19"/>
    <w:rsid w:val="00326E77"/>
    <w:rsid w:val="003277DC"/>
    <w:rsid w:val="00327CCC"/>
    <w:rsid w:val="00327D18"/>
    <w:rsid w:val="00327DA5"/>
    <w:rsid w:val="0033058C"/>
    <w:rsid w:val="003305A5"/>
    <w:rsid w:val="003306EC"/>
    <w:rsid w:val="003308CE"/>
    <w:rsid w:val="003309D3"/>
    <w:rsid w:val="0033104B"/>
    <w:rsid w:val="00331240"/>
    <w:rsid w:val="00331365"/>
    <w:rsid w:val="00331409"/>
    <w:rsid w:val="003314F8"/>
    <w:rsid w:val="00331E05"/>
    <w:rsid w:val="00332138"/>
    <w:rsid w:val="003324B1"/>
    <w:rsid w:val="00332513"/>
    <w:rsid w:val="00332692"/>
    <w:rsid w:val="00332C1C"/>
    <w:rsid w:val="003332EB"/>
    <w:rsid w:val="00333DBF"/>
    <w:rsid w:val="00334080"/>
    <w:rsid w:val="003341B0"/>
    <w:rsid w:val="00334AB6"/>
    <w:rsid w:val="00334CDC"/>
    <w:rsid w:val="00334DFC"/>
    <w:rsid w:val="0033546B"/>
    <w:rsid w:val="003356BB"/>
    <w:rsid w:val="003359A1"/>
    <w:rsid w:val="00335AE8"/>
    <w:rsid w:val="00335BC7"/>
    <w:rsid w:val="00335C21"/>
    <w:rsid w:val="00335FA8"/>
    <w:rsid w:val="003369B0"/>
    <w:rsid w:val="00336DD9"/>
    <w:rsid w:val="003372D2"/>
    <w:rsid w:val="0033736B"/>
    <w:rsid w:val="003401B6"/>
    <w:rsid w:val="00340306"/>
    <w:rsid w:val="0034063B"/>
    <w:rsid w:val="00340745"/>
    <w:rsid w:val="00340849"/>
    <w:rsid w:val="00340B8F"/>
    <w:rsid w:val="00340D31"/>
    <w:rsid w:val="00340DC3"/>
    <w:rsid w:val="003411AA"/>
    <w:rsid w:val="00341219"/>
    <w:rsid w:val="003417AD"/>
    <w:rsid w:val="00341A74"/>
    <w:rsid w:val="00341CB2"/>
    <w:rsid w:val="0034254F"/>
    <w:rsid w:val="003428BA"/>
    <w:rsid w:val="00342C12"/>
    <w:rsid w:val="003438DA"/>
    <w:rsid w:val="00343DE0"/>
    <w:rsid w:val="003447DC"/>
    <w:rsid w:val="003449D7"/>
    <w:rsid w:val="00344B96"/>
    <w:rsid w:val="003452B1"/>
    <w:rsid w:val="00345683"/>
    <w:rsid w:val="003456AF"/>
    <w:rsid w:val="00345763"/>
    <w:rsid w:val="0034585D"/>
    <w:rsid w:val="00345F34"/>
    <w:rsid w:val="0034690F"/>
    <w:rsid w:val="00346A93"/>
    <w:rsid w:val="00347108"/>
    <w:rsid w:val="00347176"/>
    <w:rsid w:val="00347FE5"/>
    <w:rsid w:val="003502D3"/>
    <w:rsid w:val="003503AA"/>
    <w:rsid w:val="00350FA4"/>
    <w:rsid w:val="0035113D"/>
    <w:rsid w:val="0035118D"/>
    <w:rsid w:val="00351493"/>
    <w:rsid w:val="003516BA"/>
    <w:rsid w:val="00351C32"/>
    <w:rsid w:val="00352165"/>
    <w:rsid w:val="003524A5"/>
    <w:rsid w:val="0035256C"/>
    <w:rsid w:val="0035269F"/>
    <w:rsid w:val="00352993"/>
    <w:rsid w:val="00352D4B"/>
    <w:rsid w:val="003537A6"/>
    <w:rsid w:val="00353AFC"/>
    <w:rsid w:val="00353D53"/>
    <w:rsid w:val="00353DCE"/>
    <w:rsid w:val="00354221"/>
    <w:rsid w:val="0035428F"/>
    <w:rsid w:val="00354A3F"/>
    <w:rsid w:val="00354C09"/>
    <w:rsid w:val="00354EC1"/>
    <w:rsid w:val="00354F74"/>
    <w:rsid w:val="00355138"/>
    <w:rsid w:val="00355949"/>
    <w:rsid w:val="00355A30"/>
    <w:rsid w:val="00355EF8"/>
    <w:rsid w:val="00355FC6"/>
    <w:rsid w:val="00356200"/>
    <w:rsid w:val="003566E0"/>
    <w:rsid w:val="00356A73"/>
    <w:rsid w:val="00356C4C"/>
    <w:rsid w:val="00356C66"/>
    <w:rsid w:val="00357429"/>
    <w:rsid w:val="003574AE"/>
    <w:rsid w:val="0035757B"/>
    <w:rsid w:val="00357B91"/>
    <w:rsid w:val="00357C33"/>
    <w:rsid w:val="00360005"/>
    <w:rsid w:val="00360842"/>
    <w:rsid w:val="003609E8"/>
    <w:rsid w:val="00360C24"/>
    <w:rsid w:val="00360CCC"/>
    <w:rsid w:val="0036141E"/>
    <w:rsid w:val="003621B3"/>
    <w:rsid w:val="00362E80"/>
    <w:rsid w:val="00362EDE"/>
    <w:rsid w:val="00362F4A"/>
    <w:rsid w:val="00363104"/>
    <w:rsid w:val="003633E3"/>
    <w:rsid w:val="0036373C"/>
    <w:rsid w:val="00363882"/>
    <w:rsid w:val="00363CA9"/>
    <w:rsid w:val="00363CFC"/>
    <w:rsid w:val="00363D1D"/>
    <w:rsid w:val="003640BE"/>
    <w:rsid w:val="0036437C"/>
    <w:rsid w:val="00364729"/>
    <w:rsid w:val="003647AD"/>
    <w:rsid w:val="00364C99"/>
    <w:rsid w:val="003652FB"/>
    <w:rsid w:val="003654AC"/>
    <w:rsid w:val="00366097"/>
    <w:rsid w:val="00366564"/>
    <w:rsid w:val="0036660D"/>
    <w:rsid w:val="003669F9"/>
    <w:rsid w:val="003675B3"/>
    <w:rsid w:val="00367917"/>
    <w:rsid w:val="00367CB6"/>
    <w:rsid w:val="00370001"/>
    <w:rsid w:val="00370799"/>
    <w:rsid w:val="00370BC7"/>
    <w:rsid w:val="003718E7"/>
    <w:rsid w:val="00371CFF"/>
    <w:rsid w:val="00371DBD"/>
    <w:rsid w:val="00371E98"/>
    <w:rsid w:val="003722EB"/>
    <w:rsid w:val="0037240E"/>
    <w:rsid w:val="00372899"/>
    <w:rsid w:val="0037305A"/>
    <w:rsid w:val="00373972"/>
    <w:rsid w:val="0037445F"/>
    <w:rsid w:val="00374C8B"/>
    <w:rsid w:val="0037583F"/>
    <w:rsid w:val="00375B3D"/>
    <w:rsid w:val="00375DAC"/>
    <w:rsid w:val="003760C6"/>
    <w:rsid w:val="00376382"/>
    <w:rsid w:val="00376439"/>
    <w:rsid w:val="00376DE1"/>
    <w:rsid w:val="00376F6A"/>
    <w:rsid w:val="0037761F"/>
    <w:rsid w:val="003778AC"/>
    <w:rsid w:val="0037799C"/>
    <w:rsid w:val="00377E9B"/>
    <w:rsid w:val="00380206"/>
    <w:rsid w:val="00380D1F"/>
    <w:rsid w:val="00380E2D"/>
    <w:rsid w:val="00381121"/>
    <w:rsid w:val="003813E1"/>
    <w:rsid w:val="0038187B"/>
    <w:rsid w:val="00381C30"/>
    <w:rsid w:val="00382048"/>
    <w:rsid w:val="0038287B"/>
    <w:rsid w:val="00382BBA"/>
    <w:rsid w:val="00382E5F"/>
    <w:rsid w:val="00382F4B"/>
    <w:rsid w:val="003830F3"/>
    <w:rsid w:val="0038343A"/>
    <w:rsid w:val="003835AC"/>
    <w:rsid w:val="0038363C"/>
    <w:rsid w:val="0038394C"/>
    <w:rsid w:val="00383D1F"/>
    <w:rsid w:val="0038448E"/>
    <w:rsid w:val="0038466D"/>
    <w:rsid w:val="00384830"/>
    <w:rsid w:val="00384BE2"/>
    <w:rsid w:val="00384CF3"/>
    <w:rsid w:val="0038500E"/>
    <w:rsid w:val="003851B1"/>
    <w:rsid w:val="00385574"/>
    <w:rsid w:val="0038561F"/>
    <w:rsid w:val="00385FF8"/>
    <w:rsid w:val="00386A63"/>
    <w:rsid w:val="00386C25"/>
    <w:rsid w:val="00387045"/>
    <w:rsid w:val="003872AF"/>
    <w:rsid w:val="003874CC"/>
    <w:rsid w:val="0038766A"/>
    <w:rsid w:val="00387CE8"/>
    <w:rsid w:val="00387F6D"/>
    <w:rsid w:val="00390272"/>
    <w:rsid w:val="00390595"/>
    <w:rsid w:val="00390A7E"/>
    <w:rsid w:val="00390C9B"/>
    <w:rsid w:val="00391AAD"/>
    <w:rsid w:val="00391C3E"/>
    <w:rsid w:val="00391C4D"/>
    <w:rsid w:val="00391F39"/>
    <w:rsid w:val="0039211E"/>
    <w:rsid w:val="0039214F"/>
    <w:rsid w:val="00392218"/>
    <w:rsid w:val="0039290E"/>
    <w:rsid w:val="00392941"/>
    <w:rsid w:val="0039299B"/>
    <w:rsid w:val="003934C1"/>
    <w:rsid w:val="003938F7"/>
    <w:rsid w:val="00393CC7"/>
    <w:rsid w:val="0039408A"/>
    <w:rsid w:val="003942E6"/>
    <w:rsid w:val="00394382"/>
    <w:rsid w:val="003944AD"/>
    <w:rsid w:val="00394708"/>
    <w:rsid w:val="00394ACE"/>
    <w:rsid w:val="00394C4B"/>
    <w:rsid w:val="00394CE6"/>
    <w:rsid w:val="003953AA"/>
    <w:rsid w:val="00395697"/>
    <w:rsid w:val="00395741"/>
    <w:rsid w:val="003959B6"/>
    <w:rsid w:val="00395F7F"/>
    <w:rsid w:val="0039617D"/>
    <w:rsid w:val="003961D6"/>
    <w:rsid w:val="003961E0"/>
    <w:rsid w:val="003961E3"/>
    <w:rsid w:val="00396B02"/>
    <w:rsid w:val="00396DBE"/>
    <w:rsid w:val="003970AD"/>
    <w:rsid w:val="00397140"/>
    <w:rsid w:val="00397A43"/>
    <w:rsid w:val="00397B19"/>
    <w:rsid w:val="00397C15"/>
    <w:rsid w:val="00397FB9"/>
    <w:rsid w:val="003A02D0"/>
    <w:rsid w:val="003A03DB"/>
    <w:rsid w:val="003A0743"/>
    <w:rsid w:val="003A0861"/>
    <w:rsid w:val="003A0EE2"/>
    <w:rsid w:val="003A149A"/>
    <w:rsid w:val="003A183C"/>
    <w:rsid w:val="003A1BF2"/>
    <w:rsid w:val="003A1E1F"/>
    <w:rsid w:val="003A2119"/>
    <w:rsid w:val="003A2382"/>
    <w:rsid w:val="003A269F"/>
    <w:rsid w:val="003A2848"/>
    <w:rsid w:val="003A293B"/>
    <w:rsid w:val="003A299F"/>
    <w:rsid w:val="003A2CA9"/>
    <w:rsid w:val="003A3170"/>
    <w:rsid w:val="003A35C1"/>
    <w:rsid w:val="003A35D5"/>
    <w:rsid w:val="003A4674"/>
    <w:rsid w:val="003A4942"/>
    <w:rsid w:val="003A4ABE"/>
    <w:rsid w:val="003A4D5A"/>
    <w:rsid w:val="003A5CD8"/>
    <w:rsid w:val="003A5D78"/>
    <w:rsid w:val="003A6204"/>
    <w:rsid w:val="003A6782"/>
    <w:rsid w:val="003A67EA"/>
    <w:rsid w:val="003A68FA"/>
    <w:rsid w:val="003A6A09"/>
    <w:rsid w:val="003A6D55"/>
    <w:rsid w:val="003A6FDB"/>
    <w:rsid w:val="003A705D"/>
    <w:rsid w:val="003A77CD"/>
    <w:rsid w:val="003A7B16"/>
    <w:rsid w:val="003A7B5D"/>
    <w:rsid w:val="003A7D83"/>
    <w:rsid w:val="003A7F0A"/>
    <w:rsid w:val="003A7FD0"/>
    <w:rsid w:val="003B0E59"/>
    <w:rsid w:val="003B1508"/>
    <w:rsid w:val="003B1587"/>
    <w:rsid w:val="003B1674"/>
    <w:rsid w:val="003B1963"/>
    <w:rsid w:val="003B1A32"/>
    <w:rsid w:val="003B1E6E"/>
    <w:rsid w:val="003B21E2"/>
    <w:rsid w:val="003B2575"/>
    <w:rsid w:val="003B3569"/>
    <w:rsid w:val="003B36B5"/>
    <w:rsid w:val="003B3D2A"/>
    <w:rsid w:val="003B3F08"/>
    <w:rsid w:val="003B3FAA"/>
    <w:rsid w:val="003B408D"/>
    <w:rsid w:val="003B428C"/>
    <w:rsid w:val="003B4326"/>
    <w:rsid w:val="003B43C5"/>
    <w:rsid w:val="003B47A4"/>
    <w:rsid w:val="003B5282"/>
    <w:rsid w:val="003B534D"/>
    <w:rsid w:val="003B5531"/>
    <w:rsid w:val="003B575E"/>
    <w:rsid w:val="003B6112"/>
    <w:rsid w:val="003B6218"/>
    <w:rsid w:val="003B6322"/>
    <w:rsid w:val="003B636C"/>
    <w:rsid w:val="003B6AFD"/>
    <w:rsid w:val="003B6D4B"/>
    <w:rsid w:val="003B6FEE"/>
    <w:rsid w:val="003B7135"/>
    <w:rsid w:val="003B75F0"/>
    <w:rsid w:val="003B7943"/>
    <w:rsid w:val="003B7956"/>
    <w:rsid w:val="003B7B06"/>
    <w:rsid w:val="003B7BE8"/>
    <w:rsid w:val="003B7E4C"/>
    <w:rsid w:val="003B7FBD"/>
    <w:rsid w:val="003C0173"/>
    <w:rsid w:val="003C01C8"/>
    <w:rsid w:val="003C0302"/>
    <w:rsid w:val="003C069E"/>
    <w:rsid w:val="003C0BA4"/>
    <w:rsid w:val="003C0C45"/>
    <w:rsid w:val="003C1987"/>
    <w:rsid w:val="003C1ED3"/>
    <w:rsid w:val="003C2E9C"/>
    <w:rsid w:val="003C314C"/>
    <w:rsid w:val="003C33A7"/>
    <w:rsid w:val="003C39B1"/>
    <w:rsid w:val="003C3A5E"/>
    <w:rsid w:val="003C3CE6"/>
    <w:rsid w:val="003C40A5"/>
    <w:rsid w:val="003C4A39"/>
    <w:rsid w:val="003C4FC2"/>
    <w:rsid w:val="003C500A"/>
    <w:rsid w:val="003C5186"/>
    <w:rsid w:val="003C5DE3"/>
    <w:rsid w:val="003C6023"/>
    <w:rsid w:val="003C6A46"/>
    <w:rsid w:val="003C6D73"/>
    <w:rsid w:val="003C72CB"/>
    <w:rsid w:val="003C7B2D"/>
    <w:rsid w:val="003C7CAD"/>
    <w:rsid w:val="003D0256"/>
    <w:rsid w:val="003D0A50"/>
    <w:rsid w:val="003D0AC7"/>
    <w:rsid w:val="003D0AE8"/>
    <w:rsid w:val="003D0B96"/>
    <w:rsid w:val="003D156B"/>
    <w:rsid w:val="003D19A5"/>
    <w:rsid w:val="003D1ED6"/>
    <w:rsid w:val="003D2727"/>
    <w:rsid w:val="003D295C"/>
    <w:rsid w:val="003D2AC3"/>
    <w:rsid w:val="003D2AD7"/>
    <w:rsid w:val="003D2B7E"/>
    <w:rsid w:val="003D349D"/>
    <w:rsid w:val="003D380F"/>
    <w:rsid w:val="003D3A8A"/>
    <w:rsid w:val="003D3AA9"/>
    <w:rsid w:val="003D3D9D"/>
    <w:rsid w:val="003D43E1"/>
    <w:rsid w:val="003D450A"/>
    <w:rsid w:val="003D4630"/>
    <w:rsid w:val="003D4751"/>
    <w:rsid w:val="003D506F"/>
    <w:rsid w:val="003D50D7"/>
    <w:rsid w:val="003D57B9"/>
    <w:rsid w:val="003D5BBB"/>
    <w:rsid w:val="003D6B4C"/>
    <w:rsid w:val="003D6DC9"/>
    <w:rsid w:val="003D6F43"/>
    <w:rsid w:val="003D72CD"/>
    <w:rsid w:val="003D75C8"/>
    <w:rsid w:val="003E00C4"/>
    <w:rsid w:val="003E0397"/>
    <w:rsid w:val="003E03FE"/>
    <w:rsid w:val="003E08DB"/>
    <w:rsid w:val="003E0B33"/>
    <w:rsid w:val="003E0D68"/>
    <w:rsid w:val="003E1FC1"/>
    <w:rsid w:val="003E219D"/>
    <w:rsid w:val="003E29A6"/>
    <w:rsid w:val="003E3109"/>
    <w:rsid w:val="003E3513"/>
    <w:rsid w:val="003E3607"/>
    <w:rsid w:val="003E3E33"/>
    <w:rsid w:val="003E3EF7"/>
    <w:rsid w:val="003E3F4F"/>
    <w:rsid w:val="003E4043"/>
    <w:rsid w:val="003E408C"/>
    <w:rsid w:val="003E40B2"/>
    <w:rsid w:val="003E4253"/>
    <w:rsid w:val="003E437C"/>
    <w:rsid w:val="003E4524"/>
    <w:rsid w:val="003E486D"/>
    <w:rsid w:val="003E4BBC"/>
    <w:rsid w:val="003E4D2A"/>
    <w:rsid w:val="003E59FE"/>
    <w:rsid w:val="003E5A3B"/>
    <w:rsid w:val="003E5ECA"/>
    <w:rsid w:val="003E6030"/>
    <w:rsid w:val="003E6A60"/>
    <w:rsid w:val="003E6A8E"/>
    <w:rsid w:val="003E7555"/>
    <w:rsid w:val="003E75A7"/>
    <w:rsid w:val="003E7668"/>
    <w:rsid w:val="003E7932"/>
    <w:rsid w:val="003E7BF9"/>
    <w:rsid w:val="003E7F96"/>
    <w:rsid w:val="003F03A9"/>
    <w:rsid w:val="003F03B1"/>
    <w:rsid w:val="003F0783"/>
    <w:rsid w:val="003F0A52"/>
    <w:rsid w:val="003F101A"/>
    <w:rsid w:val="003F137D"/>
    <w:rsid w:val="003F17AC"/>
    <w:rsid w:val="003F1F8F"/>
    <w:rsid w:val="003F1FC7"/>
    <w:rsid w:val="003F21AE"/>
    <w:rsid w:val="003F250E"/>
    <w:rsid w:val="003F286A"/>
    <w:rsid w:val="003F2C20"/>
    <w:rsid w:val="003F3089"/>
    <w:rsid w:val="003F3369"/>
    <w:rsid w:val="003F345F"/>
    <w:rsid w:val="003F3613"/>
    <w:rsid w:val="003F3E7F"/>
    <w:rsid w:val="003F439F"/>
    <w:rsid w:val="003F49F1"/>
    <w:rsid w:val="003F4BDF"/>
    <w:rsid w:val="003F4E62"/>
    <w:rsid w:val="003F5EA7"/>
    <w:rsid w:val="003F60E2"/>
    <w:rsid w:val="003F6C68"/>
    <w:rsid w:val="003F6D69"/>
    <w:rsid w:val="003F6EF8"/>
    <w:rsid w:val="003F6F4F"/>
    <w:rsid w:val="003F7125"/>
    <w:rsid w:val="003F7450"/>
    <w:rsid w:val="003F7670"/>
    <w:rsid w:val="003F7E57"/>
    <w:rsid w:val="003F7F48"/>
    <w:rsid w:val="004001A3"/>
    <w:rsid w:val="004002DF"/>
    <w:rsid w:val="004006BE"/>
    <w:rsid w:val="0040072A"/>
    <w:rsid w:val="00400CCD"/>
    <w:rsid w:val="00400ED4"/>
    <w:rsid w:val="00400F88"/>
    <w:rsid w:val="0040132F"/>
    <w:rsid w:val="00402096"/>
    <w:rsid w:val="00402367"/>
    <w:rsid w:val="00402836"/>
    <w:rsid w:val="00402840"/>
    <w:rsid w:val="0040294B"/>
    <w:rsid w:val="00402AA1"/>
    <w:rsid w:val="00402B08"/>
    <w:rsid w:val="00402BA1"/>
    <w:rsid w:val="004038F0"/>
    <w:rsid w:val="004038FA"/>
    <w:rsid w:val="00403C7B"/>
    <w:rsid w:val="00403DEE"/>
    <w:rsid w:val="00403EDE"/>
    <w:rsid w:val="00404F0A"/>
    <w:rsid w:val="004052FF"/>
    <w:rsid w:val="0040587D"/>
    <w:rsid w:val="004059E4"/>
    <w:rsid w:val="00405A83"/>
    <w:rsid w:val="00405FDC"/>
    <w:rsid w:val="0040605B"/>
    <w:rsid w:val="0040697C"/>
    <w:rsid w:val="00406A94"/>
    <w:rsid w:val="00406CB4"/>
    <w:rsid w:val="004078D8"/>
    <w:rsid w:val="00407A7D"/>
    <w:rsid w:val="00407F6A"/>
    <w:rsid w:val="0041022E"/>
    <w:rsid w:val="004103DF"/>
    <w:rsid w:val="004105FB"/>
    <w:rsid w:val="00410FE8"/>
    <w:rsid w:val="004111B5"/>
    <w:rsid w:val="004123CC"/>
    <w:rsid w:val="004124B9"/>
    <w:rsid w:val="00412526"/>
    <w:rsid w:val="0041252E"/>
    <w:rsid w:val="004126F5"/>
    <w:rsid w:val="00414260"/>
    <w:rsid w:val="00414575"/>
    <w:rsid w:val="00414C90"/>
    <w:rsid w:val="00414E4A"/>
    <w:rsid w:val="00415D47"/>
    <w:rsid w:val="00416544"/>
    <w:rsid w:val="004165D6"/>
    <w:rsid w:val="00416940"/>
    <w:rsid w:val="00417524"/>
    <w:rsid w:val="00417585"/>
    <w:rsid w:val="004176F9"/>
    <w:rsid w:val="00420204"/>
    <w:rsid w:val="0042075A"/>
    <w:rsid w:val="00420F27"/>
    <w:rsid w:val="00421C86"/>
    <w:rsid w:val="00421DB2"/>
    <w:rsid w:val="00422200"/>
    <w:rsid w:val="0042289C"/>
    <w:rsid w:val="0042299F"/>
    <w:rsid w:val="00422CF0"/>
    <w:rsid w:val="00422D27"/>
    <w:rsid w:val="00422E89"/>
    <w:rsid w:val="00423064"/>
    <w:rsid w:val="00423EF4"/>
    <w:rsid w:val="00424057"/>
    <w:rsid w:val="00424AC9"/>
    <w:rsid w:val="00424F54"/>
    <w:rsid w:val="004253B4"/>
    <w:rsid w:val="0042575F"/>
    <w:rsid w:val="00425859"/>
    <w:rsid w:val="00425E0E"/>
    <w:rsid w:val="00425F7D"/>
    <w:rsid w:val="0042601A"/>
    <w:rsid w:val="0042665A"/>
    <w:rsid w:val="00426846"/>
    <w:rsid w:val="00426919"/>
    <w:rsid w:val="00426A01"/>
    <w:rsid w:val="00426EB8"/>
    <w:rsid w:val="00426FDC"/>
    <w:rsid w:val="0042703F"/>
    <w:rsid w:val="00427261"/>
    <w:rsid w:val="00427276"/>
    <w:rsid w:val="004273D7"/>
    <w:rsid w:val="00427C38"/>
    <w:rsid w:val="00427E45"/>
    <w:rsid w:val="00427FF8"/>
    <w:rsid w:val="0043085A"/>
    <w:rsid w:val="00430AF3"/>
    <w:rsid w:val="00430F38"/>
    <w:rsid w:val="00430FE5"/>
    <w:rsid w:val="004310F0"/>
    <w:rsid w:val="004314C7"/>
    <w:rsid w:val="004319CC"/>
    <w:rsid w:val="004322AB"/>
    <w:rsid w:val="0043247F"/>
    <w:rsid w:val="00432503"/>
    <w:rsid w:val="004339CC"/>
    <w:rsid w:val="00433B19"/>
    <w:rsid w:val="00433D6A"/>
    <w:rsid w:val="00433FEA"/>
    <w:rsid w:val="004341BF"/>
    <w:rsid w:val="0043470E"/>
    <w:rsid w:val="004347FD"/>
    <w:rsid w:val="00434AF2"/>
    <w:rsid w:val="00434D00"/>
    <w:rsid w:val="00434D2E"/>
    <w:rsid w:val="004351F1"/>
    <w:rsid w:val="0043545E"/>
    <w:rsid w:val="00435937"/>
    <w:rsid w:val="00435F29"/>
    <w:rsid w:val="00435FA3"/>
    <w:rsid w:val="004361D6"/>
    <w:rsid w:val="004375E9"/>
    <w:rsid w:val="00437877"/>
    <w:rsid w:val="00437E4C"/>
    <w:rsid w:val="00437F1B"/>
    <w:rsid w:val="00440038"/>
    <w:rsid w:val="0044020C"/>
    <w:rsid w:val="00440253"/>
    <w:rsid w:val="0044048B"/>
    <w:rsid w:val="00440684"/>
    <w:rsid w:val="00440904"/>
    <w:rsid w:val="00440A9B"/>
    <w:rsid w:val="00440B62"/>
    <w:rsid w:val="00440CCF"/>
    <w:rsid w:val="00441412"/>
    <w:rsid w:val="00441CAB"/>
    <w:rsid w:val="004421A9"/>
    <w:rsid w:val="004423E2"/>
    <w:rsid w:val="004426F9"/>
    <w:rsid w:val="00442A1A"/>
    <w:rsid w:val="00442C76"/>
    <w:rsid w:val="00442ECA"/>
    <w:rsid w:val="00443133"/>
    <w:rsid w:val="004437BA"/>
    <w:rsid w:val="004438DF"/>
    <w:rsid w:val="00443C52"/>
    <w:rsid w:val="00443E0D"/>
    <w:rsid w:val="0044404F"/>
    <w:rsid w:val="00444665"/>
    <w:rsid w:val="00444987"/>
    <w:rsid w:val="004449ED"/>
    <w:rsid w:val="00444D7B"/>
    <w:rsid w:val="0044535F"/>
    <w:rsid w:val="0044565F"/>
    <w:rsid w:val="0044578C"/>
    <w:rsid w:val="004457E1"/>
    <w:rsid w:val="0044598E"/>
    <w:rsid w:val="00445B1B"/>
    <w:rsid w:val="0044641F"/>
    <w:rsid w:val="004465F8"/>
    <w:rsid w:val="00447106"/>
    <w:rsid w:val="004471C7"/>
    <w:rsid w:val="004474F2"/>
    <w:rsid w:val="00447F96"/>
    <w:rsid w:val="00450383"/>
    <w:rsid w:val="004508D1"/>
    <w:rsid w:val="004509A3"/>
    <w:rsid w:val="00450BFB"/>
    <w:rsid w:val="00451090"/>
    <w:rsid w:val="00451772"/>
    <w:rsid w:val="00451E1B"/>
    <w:rsid w:val="00451E6A"/>
    <w:rsid w:val="0045210B"/>
    <w:rsid w:val="00452126"/>
    <w:rsid w:val="00452D44"/>
    <w:rsid w:val="00452D49"/>
    <w:rsid w:val="0045370B"/>
    <w:rsid w:val="00453D0A"/>
    <w:rsid w:val="00453FE0"/>
    <w:rsid w:val="0045423A"/>
    <w:rsid w:val="00454B88"/>
    <w:rsid w:val="00454FFF"/>
    <w:rsid w:val="00455028"/>
    <w:rsid w:val="00455181"/>
    <w:rsid w:val="0045530D"/>
    <w:rsid w:val="00455374"/>
    <w:rsid w:val="004555A9"/>
    <w:rsid w:val="0045565E"/>
    <w:rsid w:val="00455E24"/>
    <w:rsid w:val="00455F82"/>
    <w:rsid w:val="004563AA"/>
    <w:rsid w:val="00456401"/>
    <w:rsid w:val="00456B60"/>
    <w:rsid w:val="00456EC2"/>
    <w:rsid w:val="004571F8"/>
    <w:rsid w:val="0045757B"/>
    <w:rsid w:val="00457868"/>
    <w:rsid w:val="00457A65"/>
    <w:rsid w:val="00457FA8"/>
    <w:rsid w:val="00460256"/>
    <w:rsid w:val="004604BF"/>
    <w:rsid w:val="00460792"/>
    <w:rsid w:val="004608D0"/>
    <w:rsid w:val="004608D8"/>
    <w:rsid w:val="00461709"/>
    <w:rsid w:val="00461748"/>
    <w:rsid w:val="0046174D"/>
    <w:rsid w:val="0046186B"/>
    <w:rsid w:val="00461C1D"/>
    <w:rsid w:val="00461CDC"/>
    <w:rsid w:val="00461ECB"/>
    <w:rsid w:val="004623EF"/>
    <w:rsid w:val="00462870"/>
    <w:rsid w:val="00462B52"/>
    <w:rsid w:val="00462C8A"/>
    <w:rsid w:val="00462E5B"/>
    <w:rsid w:val="004633C8"/>
    <w:rsid w:val="00463456"/>
    <w:rsid w:val="00463906"/>
    <w:rsid w:val="0046405E"/>
    <w:rsid w:val="004642A0"/>
    <w:rsid w:val="00464806"/>
    <w:rsid w:val="00464AF9"/>
    <w:rsid w:val="00465412"/>
    <w:rsid w:val="004655B8"/>
    <w:rsid w:val="004657E4"/>
    <w:rsid w:val="004661D0"/>
    <w:rsid w:val="00466284"/>
    <w:rsid w:val="0046639B"/>
    <w:rsid w:val="004668CD"/>
    <w:rsid w:val="00466B53"/>
    <w:rsid w:val="00466B7E"/>
    <w:rsid w:val="00466E0C"/>
    <w:rsid w:val="00467392"/>
    <w:rsid w:val="00467482"/>
    <w:rsid w:val="00467CF7"/>
    <w:rsid w:val="004707EF"/>
    <w:rsid w:val="00470AC1"/>
    <w:rsid w:val="00470ADF"/>
    <w:rsid w:val="00471401"/>
    <w:rsid w:val="0047166C"/>
    <w:rsid w:val="004717FD"/>
    <w:rsid w:val="00471E74"/>
    <w:rsid w:val="00471EA6"/>
    <w:rsid w:val="0047257A"/>
    <w:rsid w:val="00472EF5"/>
    <w:rsid w:val="00473173"/>
    <w:rsid w:val="0047356C"/>
    <w:rsid w:val="0047373A"/>
    <w:rsid w:val="00473744"/>
    <w:rsid w:val="00474505"/>
    <w:rsid w:val="004746E9"/>
    <w:rsid w:val="00474A3E"/>
    <w:rsid w:val="0047564B"/>
    <w:rsid w:val="00475EA3"/>
    <w:rsid w:val="00476173"/>
    <w:rsid w:val="0047647A"/>
    <w:rsid w:val="00476A75"/>
    <w:rsid w:val="00476C91"/>
    <w:rsid w:val="00477B27"/>
    <w:rsid w:val="00480311"/>
    <w:rsid w:val="0048074C"/>
    <w:rsid w:val="00480DFA"/>
    <w:rsid w:val="00481095"/>
    <w:rsid w:val="00481AFD"/>
    <w:rsid w:val="00481D6B"/>
    <w:rsid w:val="0048200C"/>
    <w:rsid w:val="0048219F"/>
    <w:rsid w:val="004826D1"/>
    <w:rsid w:val="0048278A"/>
    <w:rsid w:val="00482830"/>
    <w:rsid w:val="00482FC8"/>
    <w:rsid w:val="00483AF5"/>
    <w:rsid w:val="00483B07"/>
    <w:rsid w:val="00483D96"/>
    <w:rsid w:val="004845B7"/>
    <w:rsid w:val="00484620"/>
    <w:rsid w:val="00485184"/>
    <w:rsid w:val="004857A3"/>
    <w:rsid w:val="00486127"/>
    <w:rsid w:val="004863CC"/>
    <w:rsid w:val="004868F8"/>
    <w:rsid w:val="0048694B"/>
    <w:rsid w:val="00486AD6"/>
    <w:rsid w:val="00486E25"/>
    <w:rsid w:val="00486F9C"/>
    <w:rsid w:val="004874E1"/>
    <w:rsid w:val="00487817"/>
    <w:rsid w:val="004878E7"/>
    <w:rsid w:val="00487C40"/>
    <w:rsid w:val="00490141"/>
    <w:rsid w:val="0049079C"/>
    <w:rsid w:val="004908DD"/>
    <w:rsid w:val="00490AD8"/>
    <w:rsid w:val="00490BD5"/>
    <w:rsid w:val="00491689"/>
    <w:rsid w:val="00491DF0"/>
    <w:rsid w:val="00492007"/>
    <w:rsid w:val="00492080"/>
    <w:rsid w:val="00492320"/>
    <w:rsid w:val="00492BBD"/>
    <w:rsid w:val="00492DDD"/>
    <w:rsid w:val="00492F4E"/>
    <w:rsid w:val="00493174"/>
    <w:rsid w:val="00493B4D"/>
    <w:rsid w:val="004943EB"/>
    <w:rsid w:val="00494BFA"/>
    <w:rsid w:val="00494CB3"/>
    <w:rsid w:val="00494DD7"/>
    <w:rsid w:val="004956F1"/>
    <w:rsid w:val="00495989"/>
    <w:rsid w:val="00495E7C"/>
    <w:rsid w:val="00496167"/>
    <w:rsid w:val="00496946"/>
    <w:rsid w:val="00496DDC"/>
    <w:rsid w:val="004974CD"/>
    <w:rsid w:val="00497A7A"/>
    <w:rsid w:val="00497B4B"/>
    <w:rsid w:val="004A030C"/>
    <w:rsid w:val="004A0477"/>
    <w:rsid w:val="004A0A4C"/>
    <w:rsid w:val="004A0DB9"/>
    <w:rsid w:val="004A11FF"/>
    <w:rsid w:val="004A164D"/>
    <w:rsid w:val="004A2769"/>
    <w:rsid w:val="004A39EA"/>
    <w:rsid w:val="004A3A03"/>
    <w:rsid w:val="004A3BCE"/>
    <w:rsid w:val="004A3FC6"/>
    <w:rsid w:val="004A4146"/>
    <w:rsid w:val="004A44FD"/>
    <w:rsid w:val="004A4871"/>
    <w:rsid w:val="004A4875"/>
    <w:rsid w:val="004A4A8F"/>
    <w:rsid w:val="004A5291"/>
    <w:rsid w:val="004A53DD"/>
    <w:rsid w:val="004A5496"/>
    <w:rsid w:val="004A558B"/>
    <w:rsid w:val="004A5860"/>
    <w:rsid w:val="004A59E2"/>
    <w:rsid w:val="004A5F48"/>
    <w:rsid w:val="004A69A7"/>
    <w:rsid w:val="004A6AFF"/>
    <w:rsid w:val="004A6C0F"/>
    <w:rsid w:val="004A7802"/>
    <w:rsid w:val="004B03C6"/>
    <w:rsid w:val="004B06D2"/>
    <w:rsid w:val="004B07B7"/>
    <w:rsid w:val="004B1342"/>
    <w:rsid w:val="004B18A4"/>
    <w:rsid w:val="004B1C32"/>
    <w:rsid w:val="004B2460"/>
    <w:rsid w:val="004B2504"/>
    <w:rsid w:val="004B288E"/>
    <w:rsid w:val="004B2940"/>
    <w:rsid w:val="004B2C67"/>
    <w:rsid w:val="004B2C97"/>
    <w:rsid w:val="004B2EE6"/>
    <w:rsid w:val="004B33AE"/>
    <w:rsid w:val="004B33DD"/>
    <w:rsid w:val="004B3441"/>
    <w:rsid w:val="004B3632"/>
    <w:rsid w:val="004B3641"/>
    <w:rsid w:val="004B3870"/>
    <w:rsid w:val="004B397C"/>
    <w:rsid w:val="004B3DBD"/>
    <w:rsid w:val="004B40B2"/>
    <w:rsid w:val="004B4425"/>
    <w:rsid w:val="004B4526"/>
    <w:rsid w:val="004B4546"/>
    <w:rsid w:val="004B46A2"/>
    <w:rsid w:val="004B48DC"/>
    <w:rsid w:val="004B492C"/>
    <w:rsid w:val="004B5418"/>
    <w:rsid w:val="004B55C3"/>
    <w:rsid w:val="004B56AA"/>
    <w:rsid w:val="004B575C"/>
    <w:rsid w:val="004B5851"/>
    <w:rsid w:val="004B5B71"/>
    <w:rsid w:val="004B5FB2"/>
    <w:rsid w:val="004B5FF2"/>
    <w:rsid w:val="004B6125"/>
    <w:rsid w:val="004B6B81"/>
    <w:rsid w:val="004B6BB3"/>
    <w:rsid w:val="004B6D73"/>
    <w:rsid w:val="004B7009"/>
    <w:rsid w:val="004B752D"/>
    <w:rsid w:val="004B755E"/>
    <w:rsid w:val="004B7952"/>
    <w:rsid w:val="004B79D7"/>
    <w:rsid w:val="004C00DD"/>
    <w:rsid w:val="004C0137"/>
    <w:rsid w:val="004C0331"/>
    <w:rsid w:val="004C04AF"/>
    <w:rsid w:val="004C0AB4"/>
    <w:rsid w:val="004C1068"/>
    <w:rsid w:val="004C1668"/>
    <w:rsid w:val="004C179D"/>
    <w:rsid w:val="004C1A62"/>
    <w:rsid w:val="004C1AB7"/>
    <w:rsid w:val="004C1C74"/>
    <w:rsid w:val="004C2359"/>
    <w:rsid w:val="004C27CA"/>
    <w:rsid w:val="004C280E"/>
    <w:rsid w:val="004C2855"/>
    <w:rsid w:val="004C28F1"/>
    <w:rsid w:val="004C293D"/>
    <w:rsid w:val="004C299A"/>
    <w:rsid w:val="004C3030"/>
    <w:rsid w:val="004C3227"/>
    <w:rsid w:val="004C357B"/>
    <w:rsid w:val="004C3E32"/>
    <w:rsid w:val="004C43E3"/>
    <w:rsid w:val="004C4435"/>
    <w:rsid w:val="004C4808"/>
    <w:rsid w:val="004C5043"/>
    <w:rsid w:val="004C5108"/>
    <w:rsid w:val="004C57EA"/>
    <w:rsid w:val="004C58A0"/>
    <w:rsid w:val="004C5EE4"/>
    <w:rsid w:val="004C62D4"/>
    <w:rsid w:val="004C62DF"/>
    <w:rsid w:val="004C6425"/>
    <w:rsid w:val="004C6610"/>
    <w:rsid w:val="004C6619"/>
    <w:rsid w:val="004C697E"/>
    <w:rsid w:val="004C6DB0"/>
    <w:rsid w:val="004C7413"/>
    <w:rsid w:val="004C7885"/>
    <w:rsid w:val="004C79AE"/>
    <w:rsid w:val="004D00A0"/>
    <w:rsid w:val="004D03ED"/>
    <w:rsid w:val="004D05C5"/>
    <w:rsid w:val="004D1D32"/>
    <w:rsid w:val="004D1E6D"/>
    <w:rsid w:val="004D1F0D"/>
    <w:rsid w:val="004D2765"/>
    <w:rsid w:val="004D277F"/>
    <w:rsid w:val="004D3507"/>
    <w:rsid w:val="004D3951"/>
    <w:rsid w:val="004D3C4F"/>
    <w:rsid w:val="004D3EA6"/>
    <w:rsid w:val="004D40A6"/>
    <w:rsid w:val="004D4490"/>
    <w:rsid w:val="004D477C"/>
    <w:rsid w:val="004D4B43"/>
    <w:rsid w:val="004D50A3"/>
    <w:rsid w:val="004D5A70"/>
    <w:rsid w:val="004D5BC2"/>
    <w:rsid w:val="004D5DA5"/>
    <w:rsid w:val="004D5E18"/>
    <w:rsid w:val="004D6567"/>
    <w:rsid w:val="004D6A7A"/>
    <w:rsid w:val="004D6C6B"/>
    <w:rsid w:val="004D7128"/>
    <w:rsid w:val="004D75E0"/>
    <w:rsid w:val="004D786E"/>
    <w:rsid w:val="004D7E4B"/>
    <w:rsid w:val="004E05A4"/>
    <w:rsid w:val="004E0AD6"/>
    <w:rsid w:val="004E12AA"/>
    <w:rsid w:val="004E12B1"/>
    <w:rsid w:val="004E19D0"/>
    <w:rsid w:val="004E1FCE"/>
    <w:rsid w:val="004E1FEB"/>
    <w:rsid w:val="004E257D"/>
    <w:rsid w:val="004E27A3"/>
    <w:rsid w:val="004E2D5C"/>
    <w:rsid w:val="004E3AAC"/>
    <w:rsid w:val="004E3BDB"/>
    <w:rsid w:val="004E3CA6"/>
    <w:rsid w:val="004E3FC7"/>
    <w:rsid w:val="004E43FC"/>
    <w:rsid w:val="004E4C26"/>
    <w:rsid w:val="004E4D3A"/>
    <w:rsid w:val="004E4E7D"/>
    <w:rsid w:val="004E4FB6"/>
    <w:rsid w:val="004E509F"/>
    <w:rsid w:val="004E52DB"/>
    <w:rsid w:val="004E58B1"/>
    <w:rsid w:val="004E59D5"/>
    <w:rsid w:val="004E59D7"/>
    <w:rsid w:val="004E5B1F"/>
    <w:rsid w:val="004E64F1"/>
    <w:rsid w:val="004E6825"/>
    <w:rsid w:val="004E6986"/>
    <w:rsid w:val="004E69CE"/>
    <w:rsid w:val="004E69E6"/>
    <w:rsid w:val="004E6B03"/>
    <w:rsid w:val="004E6B19"/>
    <w:rsid w:val="004E6C87"/>
    <w:rsid w:val="004E6CDD"/>
    <w:rsid w:val="004E6DC1"/>
    <w:rsid w:val="004E78C0"/>
    <w:rsid w:val="004E7DBA"/>
    <w:rsid w:val="004E7F74"/>
    <w:rsid w:val="004EB471"/>
    <w:rsid w:val="004F003A"/>
    <w:rsid w:val="004F1356"/>
    <w:rsid w:val="004F1B7A"/>
    <w:rsid w:val="004F1D8A"/>
    <w:rsid w:val="004F23B6"/>
    <w:rsid w:val="004F2538"/>
    <w:rsid w:val="004F255E"/>
    <w:rsid w:val="004F2F4C"/>
    <w:rsid w:val="004F2FF2"/>
    <w:rsid w:val="004F33BF"/>
    <w:rsid w:val="004F3F18"/>
    <w:rsid w:val="004F3FFF"/>
    <w:rsid w:val="004F41A2"/>
    <w:rsid w:val="004F44B1"/>
    <w:rsid w:val="004F459B"/>
    <w:rsid w:val="004F475A"/>
    <w:rsid w:val="004F487B"/>
    <w:rsid w:val="004F4DC1"/>
    <w:rsid w:val="004F4DE6"/>
    <w:rsid w:val="004F555C"/>
    <w:rsid w:val="004F55C0"/>
    <w:rsid w:val="004F5AC0"/>
    <w:rsid w:val="004F5C92"/>
    <w:rsid w:val="004F624B"/>
    <w:rsid w:val="004F6AE3"/>
    <w:rsid w:val="004F6C7A"/>
    <w:rsid w:val="004F7187"/>
    <w:rsid w:val="004F73A2"/>
    <w:rsid w:val="004F752A"/>
    <w:rsid w:val="004F76C0"/>
    <w:rsid w:val="004F7A21"/>
    <w:rsid w:val="004F7FF5"/>
    <w:rsid w:val="00500035"/>
    <w:rsid w:val="0050015B"/>
    <w:rsid w:val="00500F3F"/>
    <w:rsid w:val="00501134"/>
    <w:rsid w:val="005011B2"/>
    <w:rsid w:val="005014D3"/>
    <w:rsid w:val="00501A67"/>
    <w:rsid w:val="00501A94"/>
    <w:rsid w:val="00501F05"/>
    <w:rsid w:val="00502302"/>
    <w:rsid w:val="0050287F"/>
    <w:rsid w:val="00502AF6"/>
    <w:rsid w:val="00502FAA"/>
    <w:rsid w:val="005035CE"/>
    <w:rsid w:val="00503770"/>
    <w:rsid w:val="00503B9A"/>
    <w:rsid w:val="00503D94"/>
    <w:rsid w:val="00504BF0"/>
    <w:rsid w:val="00504FE0"/>
    <w:rsid w:val="00505819"/>
    <w:rsid w:val="005058F3"/>
    <w:rsid w:val="00505BBF"/>
    <w:rsid w:val="00505EB6"/>
    <w:rsid w:val="0050612A"/>
    <w:rsid w:val="005064EC"/>
    <w:rsid w:val="00506762"/>
    <w:rsid w:val="00506BA8"/>
    <w:rsid w:val="00506EB2"/>
    <w:rsid w:val="00507249"/>
    <w:rsid w:val="00507326"/>
    <w:rsid w:val="00507410"/>
    <w:rsid w:val="005074BE"/>
    <w:rsid w:val="005075E7"/>
    <w:rsid w:val="00507B3E"/>
    <w:rsid w:val="00507DBC"/>
    <w:rsid w:val="005102F4"/>
    <w:rsid w:val="005106E2"/>
    <w:rsid w:val="0051192C"/>
    <w:rsid w:val="00512896"/>
    <w:rsid w:val="00512A30"/>
    <w:rsid w:val="005131F9"/>
    <w:rsid w:val="005138AF"/>
    <w:rsid w:val="005138F9"/>
    <w:rsid w:val="00513D3C"/>
    <w:rsid w:val="00513FD3"/>
    <w:rsid w:val="0051428B"/>
    <w:rsid w:val="00514C9C"/>
    <w:rsid w:val="00515009"/>
    <w:rsid w:val="0051535A"/>
    <w:rsid w:val="00515610"/>
    <w:rsid w:val="00515855"/>
    <w:rsid w:val="00516384"/>
    <w:rsid w:val="0051653F"/>
    <w:rsid w:val="00516A0C"/>
    <w:rsid w:val="00516F39"/>
    <w:rsid w:val="00517697"/>
    <w:rsid w:val="00517CE4"/>
    <w:rsid w:val="00520361"/>
    <w:rsid w:val="0052053D"/>
    <w:rsid w:val="005205A3"/>
    <w:rsid w:val="00520B21"/>
    <w:rsid w:val="00520C12"/>
    <w:rsid w:val="00520C56"/>
    <w:rsid w:val="00521025"/>
    <w:rsid w:val="00521BAA"/>
    <w:rsid w:val="00521F17"/>
    <w:rsid w:val="00522037"/>
    <w:rsid w:val="0052246B"/>
    <w:rsid w:val="00522968"/>
    <w:rsid w:val="0052298C"/>
    <w:rsid w:val="00522B05"/>
    <w:rsid w:val="00522D74"/>
    <w:rsid w:val="00522D95"/>
    <w:rsid w:val="005230B4"/>
    <w:rsid w:val="00523A08"/>
    <w:rsid w:val="00523AE7"/>
    <w:rsid w:val="00524155"/>
    <w:rsid w:val="005242DE"/>
    <w:rsid w:val="00524453"/>
    <w:rsid w:val="00524A1A"/>
    <w:rsid w:val="00524AA7"/>
    <w:rsid w:val="00524DC9"/>
    <w:rsid w:val="00525779"/>
    <w:rsid w:val="005257B4"/>
    <w:rsid w:val="00525809"/>
    <w:rsid w:val="00525B74"/>
    <w:rsid w:val="0052636E"/>
    <w:rsid w:val="00526666"/>
    <w:rsid w:val="00526CE2"/>
    <w:rsid w:val="00526F9C"/>
    <w:rsid w:val="00527121"/>
    <w:rsid w:val="00527334"/>
    <w:rsid w:val="005274B4"/>
    <w:rsid w:val="00527702"/>
    <w:rsid w:val="00527E7B"/>
    <w:rsid w:val="00530922"/>
    <w:rsid w:val="00530F63"/>
    <w:rsid w:val="00531111"/>
    <w:rsid w:val="005315A8"/>
    <w:rsid w:val="00531B4B"/>
    <w:rsid w:val="005322A8"/>
    <w:rsid w:val="00532B1A"/>
    <w:rsid w:val="00532B4D"/>
    <w:rsid w:val="00532BAE"/>
    <w:rsid w:val="00532CAD"/>
    <w:rsid w:val="005330F4"/>
    <w:rsid w:val="00533B89"/>
    <w:rsid w:val="00533CF2"/>
    <w:rsid w:val="00534009"/>
    <w:rsid w:val="00534499"/>
    <w:rsid w:val="00534889"/>
    <w:rsid w:val="00535127"/>
    <w:rsid w:val="0053523E"/>
    <w:rsid w:val="00535272"/>
    <w:rsid w:val="00535593"/>
    <w:rsid w:val="0053564E"/>
    <w:rsid w:val="00536763"/>
    <w:rsid w:val="00536DBE"/>
    <w:rsid w:val="00536E83"/>
    <w:rsid w:val="00536FD0"/>
    <w:rsid w:val="0053732B"/>
    <w:rsid w:val="005373CB"/>
    <w:rsid w:val="00537562"/>
    <w:rsid w:val="00537634"/>
    <w:rsid w:val="005376B8"/>
    <w:rsid w:val="00537B1F"/>
    <w:rsid w:val="00537CC5"/>
    <w:rsid w:val="00537E72"/>
    <w:rsid w:val="00540076"/>
    <w:rsid w:val="00540290"/>
    <w:rsid w:val="005402B0"/>
    <w:rsid w:val="00540A1A"/>
    <w:rsid w:val="005411EF"/>
    <w:rsid w:val="005415C9"/>
    <w:rsid w:val="005416D4"/>
    <w:rsid w:val="00541718"/>
    <w:rsid w:val="005417DF"/>
    <w:rsid w:val="0054185A"/>
    <w:rsid w:val="0054241B"/>
    <w:rsid w:val="0054280E"/>
    <w:rsid w:val="005437F0"/>
    <w:rsid w:val="005440C4"/>
    <w:rsid w:val="0054410B"/>
    <w:rsid w:val="00544251"/>
    <w:rsid w:val="00544423"/>
    <w:rsid w:val="005448A5"/>
    <w:rsid w:val="005453B8"/>
    <w:rsid w:val="00545EDE"/>
    <w:rsid w:val="0054673F"/>
    <w:rsid w:val="00547265"/>
    <w:rsid w:val="00547674"/>
    <w:rsid w:val="005476F6"/>
    <w:rsid w:val="00547F8F"/>
    <w:rsid w:val="005504E3"/>
    <w:rsid w:val="005506C1"/>
    <w:rsid w:val="00550801"/>
    <w:rsid w:val="005510AD"/>
    <w:rsid w:val="00551571"/>
    <w:rsid w:val="00551C14"/>
    <w:rsid w:val="00551CAA"/>
    <w:rsid w:val="00551F32"/>
    <w:rsid w:val="005520C1"/>
    <w:rsid w:val="005521B5"/>
    <w:rsid w:val="0055260B"/>
    <w:rsid w:val="00552A8B"/>
    <w:rsid w:val="00552C5B"/>
    <w:rsid w:val="00552E0E"/>
    <w:rsid w:val="00553273"/>
    <w:rsid w:val="00553716"/>
    <w:rsid w:val="00553BC8"/>
    <w:rsid w:val="00554291"/>
    <w:rsid w:val="005543E6"/>
    <w:rsid w:val="0055444D"/>
    <w:rsid w:val="00554AE4"/>
    <w:rsid w:val="00554DB1"/>
    <w:rsid w:val="00554E6B"/>
    <w:rsid w:val="0055520A"/>
    <w:rsid w:val="0055522A"/>
    <w:rsid w:val="00555B23"/>
    <w:rsid w:val="00555B45"/>
    <w:rsid w:val="005562FA"/>
    <w:rsid w:val="00556BB7"/>
    <w:rsid w:val="005572E5"/>
    <w:rsid w:val="00557589"/>
    <w:rsid w:val="0055793C"/>
    <w:rsid w:val="00557F22"/>
    <w:rsid w:val="0056018A"/>
    <w:rsid w:val="005601F0"/>
    <w:rsid w:val="00560353"/>
    <w:rsid w:val="005604B5"/>
    <w:rsid w:val="0056094D"/>
    <w:rsid w:val="005609FE"/>
    <w:rsid w:val="00560A27"/>
    <w:rsid w:val="00560BCA"/>
    <w:rsid w:val="00560EA5"/>
    <w:rsid w:val="00560FE4"/>
    <w:rsid w:val="00561596"/>
    <w:rsid w:val="0056172A"/>
    <w:rsid w:val="00561798"/>
    <w:rsid w:val="00562188"/>
    <w:rsid w:val="0056237D"/>
    <w:rsid w:val="005623BE"/>
    <w:rsid w:val="00562AC6"/>
    <w:rsid w:val="00562B70"/>
    <w:rsid w:val="0056343C"/>
    <w:rsid w:val="005635F2"/>
    <w:rsid w:val="00563A60"/>
    <w:rsid w:val="00563BF1"/>
    <w:rsid w:val="00564277"/>
    <w:rsid w:val="005649C4"/>
    <w:rsid w:val="00564B76"/>
    <w:rsid w:val="00565272"/>
    <w:rsid w:val="00565DFE"/>
    <w:rsid w:val="00565F5A"/>
    <w:rsid w:val="00566748"/>
    <w:rsid w:val="005667AD"/>
    <w:rsid w:val="00566B18"/>
    <w:rsid w:val="00567579"/>
    <w:rsid w:val="005678EB"/>
    <w:rsid w:val="00567EAB"/>
    <w:rsid w:val="00570136"/>
    <w:rsid w:val="005705BB"/>
    <w:rsid w:val="00570FDE"/>
    <w:rsid w:val="00571230"/>
    <w:rsid w:val="00571BEF"/>
    <w:rsid w:val="00571DE1"/>
    <w:rsid w:val="00572642"/>
    <w:rsid w:val="00572840"/>
    <w:rsid w:val="00572D94"/>
    <w:rsid w:val="005737B0"/>
    <w:rsid w:val="00574084"/>
    <w:rsid w:val="005740BA"/>
    <w:rsid w:val="0057421D"/>
    <w:rsid w:val="00574A53"/>
    <w:rsid w:val="00575648"/>
    <w:rsid w:val="0057572F"/>
    <w:rsid w:val="00575810"/>
    <w:rsid w:val="005758B3"/>
    <w:rsid w:val="005759E9"/>
    <w:rsid w:val="00575B2B"/>
    <w:rsid w:val="00575B6B"/>
    <w:rsid w:val="00575F82"/>
    <w:rsid w:val="00576073"/>
    <w:rsid w:val="00576957"/>
    <w:rsid w:val="00576B7B"/>
    <w:rsid w:val="00576F2E"/>
    <w:rsid w:val="005774FC"/>
    <w:rsid w:val="005775CA"/>
    <w:rsid w:val="0057769F"/>
    <w:rsid w:val="0057775F"/>
    <w:rsid w:val="00577899"/>
    <w:rsid w:val="00577B6E"/>
    <w:rsid w:val="00577DAD"/>
    <w:rsid w:val="00577FC3"/>
    <w:rsid w:val="00580A71"/>
    <w:rsid w:val="00581741"/>
    <w:rsid w:val="00581927"/>
    <w:rsid w:val="005820F7"/>
    <w:rsid w:val="00582100"/>
    <w:rsid w:val="00582315"/>
    <w:rsid w:val="0058248A"/>
    <w:rsid w:val="005826DC"/>
    <w:rsid w:val="00582B0B"/>
    <w:rsid w:val="00582B27"/>
    <w:rsid w:val="00582E2E"/>
    <w:rsid w:val="005831A6"/>
    <w:rsid w:val="005833AB"/>
    <w:rsid w:val="005836E7"/>
    <w:rsid w:val="00583EE6"/>
    <w:rsid w:val="00584013"/>
    <w:rsid w:val="00584319"/>
    <w:rsid w:val="005845EC"/>
    <w:rsid w:val="00584768"/>
    <w:rsid w:val="00585109"/>
    <w:rsid w:val="00585270"/>
    <w:rsid w:val="005856BD"/>
    <w:rsid w:val="00585F11"/>
    <w:rsid w:val="00585FE8"/>
    <w:rsid w:val="005864AD"/>
    <w:rsid w:val="0058650A"/>
    <w:rsid w:val="00586A40"/>
    <w:rsid w:val="0058714B"/>
    <w:rsid w:val="005907DB"/>
    <w:rsid w:val="00590958"/>
    <w:rsid w:val="00590967"/>
    <w:rsid w:val="0059142C"/>
    <w:rsid w:val="005914F3"/>
    <w:rsid w:val="00591897"/>
    <w:rsid w:val="0059198F"/>
    <w:rsid w:val="00591F91"/>
    <w:rsid w:val="0059225B"/>
    <w:rsid w:val="005927F8"/>
    <w:rsid w:val="00592E82"/>
    <w:rsid w:val="005933CA"/>
    <w:rsid w:val="00593495"/>
    <w:rsid w:val="005936A2"/>
    <w:rsid w:val="005936C5"/>
    <w:rsid w:val="005938C0"/>
    <w:rsid w:val="00593D35"/>
    <w:rsid w:val="00593E04"/>
    <w:rsid w:val="00593F0D"/>
    <w:rsid w:val="005943B3"/>
    <w:rsid w:val="0059467C"/>
    <w:rsid w:val="00594E4F"/>
    <w:rsid w:val="0059505E"/>
    <w:rsid w:val="005953F0"/>
    <w:rsid w:val="0059541A"/>
    <w:rsid w:val="005957F3"/>
    <w:rsid w:val="00595AB3"/>
    <w:rsid w:val="005960BF"/>
    <w:rsid w:val="00596A1F"/>
    <w:rsid w:val="00597054"/>
    <w:rsid w:val="00597513"/>
    <w:rsid w:val="005975A8"/>
    <w:rsid w:val="00597A61"/>
    <w:rsid w:val="00597DE0"/>
    <w:rsid w:val="005A0B34"/>
    <w:rsid w:val="005A0B62"/>
    <w:rsid w:val="005A0DC7"/>
    <w:rsid w:val="005A11C2"/>
    <w:rsid w:val="005A14E0"/>
    <w:rsid w:val="005A155B"/>
    <w:rsid w:val="005A1894"/>
    <w:rsid w:val="005A1911"/>
    <w:rsid w:val="005A1E37"/>
    <w:rsid w:val="005A21C6"/>
    <w:rsid w:val="005A26D0"/>
    <w:rsid w:val="005A26F7"/>
    <w:rsid w:val="005A29F6"/>
    <w:rsid w:val="005A2D6C"/>
    <w:rsid w:val="005A2EA9"/>
    <w:rsid w:val="005A347A"/>
    <w:rsid w:val="005A3611"/>
    <w:rsid w:val="005A3FE9"/>
    <w:rsid w:val="005A406C"/>
    <w:rsid w:val="005A447A"/>
    <w:rsid w:val="005A4C69"/>
    <w:rsid w:val="005A5151"/>
    <w:rsid w:val="005A5375"/>
    <w:rsid w:val="005A53BE"/>
    <w:rsid w:val="005A5525"/>
    <w:rsid w:val="005A5B49"/>
    <w:rsid w:val="005A6032"/>
    <w:rsid w:val="005A6143"/>
    <w:rsid w:val="005A635A"/>
    <w:rsid w:val="005A640A"/>
    <w:rsid w:val="005A6C2C"/>
    <w:rsid w:val="005A72AB"/>
    <w:rsid w:val="005A7359"/>
    <w:rsid w:val="005A73AA"/>
    <w:rsid w:val="005A7522"/>
    <w:rsid w:val="005A7567"/>
    <w:rsid w:val="005A76DF"/>
    <w:rsid w:val="005A7837"/>
    <w:rsid w:val="005A7CF7"/>
    <w:rsid w:val="005B00D7"/>
    <w:rsid w:val="005B05DD"/>
    <w:rsid w:val="005B0F32"/>
    <w:rsid w:val="005B0F3D"/>
    <w:rsid w:val="005B14EA"/>
    <w:rsid w:val="005B1503"/>
    <w:rsid w:val="005B1AC4"/>
    <w:rsid w:val="005B2D17"/>
    <w:rsid w:val="005B2D67"/>
    <w:rsid w:val="005B2FD1"/>
    <w:rsid w:val="005B3F90"/>
    <w:rsid w:val="005B42DA"/>
    <w:rsid w:val="005B47F3"/>
    <w:rsid w:val="005B4915"/>
    <w:rsid w:val="005B49AC"/>
    <w:rsid w:val="005B5BFB"/>
    <w:rsid w:val="005B5D2F"/>
    <w:rsid w:val="005B63D1"/>
    <w:rsid w:val="005B64EA"/>
    <w:rsid w:val="005B723D"/>
    <w:rsid w:val="005B74B8"/>
    <w:rsid w:val="005B7600"/>
    <w:rsid w:val="005B7FF8"/>
    <w:rsid w:val="005C02D5"/>
    <w:rsid w:val="005C054D"/>
    <w:rsid w:val="005C0C9A"/>
    <w:rsid w:val="005C0E45"/>
    <w:rsid w:val="005C1522"/>
    <w:rsid w:val="005C1686"/>
    <w:rsid w:val="005C1A60"/>
    <w:rsid w:val="005C1B08"/>
    <w:rsid w:val="005C1CFA"/>
    <w:rsid w:val="005C1E92"/>
    <w:rsid w:val="005C2523"/>
    <w:rsid w:val="005C270E"/>
    <w:rsid w:val="005C279A"/>
    <w:rsid w:val="005C2B64"/>
    <w:rsid w:val="005C3007"/>
    <w:rsid w:val="005C31F9"/>
    <w:rsid w:val="005C32A6"/>
    <w:rsid w:val="005C37B6"/>
    <w:rsid w:val="005C3AFC"/>
    <w:rsid w:val="005C3CAB"/>
    <w:rsid w:val="005C405B"/>
    <w:rsid w:val="005C4877"/>
    <w:rsid w:val="005C48A9"/>
    <w:rsid w:val="005C4A68"/>
    <w:rsid w:val="005C4BB1"/>
    <w:rsid w:val="005C4BC8"/>
    <w:rsid w:val="005C5A63"/>
    <w:rsid w:val="005C5F8C"/>
    <w:rsid w:val="005C5FC1"/>
    <w:rsid w:val="005C5FC7"/>
    <w:rsid w:val="005C5FEF"/>
    <w:rsid w:val="005C671C"/>
    <w:rsid w:val="005C6B72"/>
    <w:rsid w:val="005C6EEF"/>
    <w:rsid w:val="005C730B"/>
    <w:rsid w:val="005C74CC"/>
    <w:rsid w:val="005C7563"/>
    <w:rsid w:val="005C7899"/>
    <w:rsid w:val="005D0565"/>
    <w:rsid w:val="005D07A6"/>
    <w:rsid w:val="005D0E40"/>
    <w:rsid w:val="005D1484"/>
    <w:rsid w:val="005D2115"/>
    <w:rsid w:val="005D22DE"/>
    <w:rsid w:val="005D2815"/>
    <w:rsid w:val="005D2950"/>
    <w:rsid w:val="005D2B04"/>
    <w:rsid w:val="005D2E62"/>
    <w:rsid w:val="005D3A1A"/>
    <w:rsid w:val="005D3E24"/>
    <w:rsid w:val="005D408C"/>
    <w:rsid w:val="005D42EC"/>
    <w:rsid w:val="005D43AD"/>
    <w:rsid w:val="005D44CC"/>
    <w:rsid w:val="005D47B1"/>
    <w:rsid w:val="005D488E"/>
    <w:rsid w:val="005D4F9F"/>
    <w:rsid w:val="005D5437"/>
    <w:rsid w:val="005D5459"/>
    <w:rsid w:val="005D56E6"/>
    <w:rsid w:val="005D5A9B"/>
    <w:rsid w:val="005D5BF1"/>
    <w:rsid w:val="005D6314"/>
    <w:rsid w:val="005D6407"/>
    <w:rsid w:val="005D65DC"/>
    <w:rsid w:val="005D665F"/>
    <w:rsid w:val="005D671A"/>
    <w:rsid w:val="005D6B4B"/>
    <w:rsid w:val="005D70A2"/>
    <w:rsid w:val="005D7453"/>
    <w:rsid w:val="005D74DF"/>
    <w:rsid w:val="005D75A9"/>
    <w:rsid w:val="005D771B"/>
    <w:rsid w:val="005D7BD2"/>
    <w:rsid w:val="005D7F7C"/>
    <w:rsid w:val="005E022D"/>
    <w:rsid w:val="005E02D6"/>
    <w:rsid w:val="005E05CA"/>
    <w:rsid w:val="005E0776"/>
    <w:rsid w:val="005E0AF9"/>
    <w:rsid w:val="005E0D20"/>
    <w:rsid w:val="005E1546"/>
    <w:rsid w:val="005E15BB"/>
    <w:rsid w:val="005E17F6"/>
    <w:rsid w:val="005E1EA3"/>
    <w:rsid w:val="005E2184"/>
    <w:rsid w:val="005E28E6"/>
    <w:rsid w:val="005E3523"/>
    <w:rsid w:val="005E3D3D"/>
    <w:rsid w:val="005E465E"/>
    <w:rsid w:val="005E4C99"/>
    <w:rsid w:val="005E4FD7"/>
    <w:rsid w:val="005E50C1"/>
    <w:rsid w:val="005E512D"/>
    <w:rsid w:val="005E5998"/>
    <w:rsid w:val="005E5B69"/>
    <w:rsid w:val="005E6683"/>
    <w:rsid w:val="005E6CDC"/>
    <w:rsid w:val="005E72A9"/>
    <w:rsid w:val="005E7954"/>
    <w:rsid w:val="005E79B0"/>
    <w:rsid w:val="005E7CB8"/>
    <w:rsid w:val="005E7EB5"/>
    <w:rsid w:val="005F129D"/>
    <w:rsid w:val="005F1330"/>
    <w:rsid w:val="005F137E"/>
    <w:rsid w:val="005F148E"/>
    <w:rsid w:val="005F1567"/>
    <w:rsid w:val="005F1992"/>
    <w:rsid w:val="005F1E6D"/>
    <w:rsid w:val="005F1EC3"/>
    <w:rsid w:val="005F24CF"/>
    <w:rsid w:val="005F2895"/>
    <w:rsid w:val="005F29FE"/>
    <w:rsid w:val="005F321E"/>
    <w:rsid w:val="005F333F"/>
    <w:rsid w:val="005F3628"/>
    <w:rsid w:val="005F3A09"/>
    <w:rsid w:val="005F3ED6"/>
    <w:rsid w:val="005F420C"/>
    <w:rsid w:val="005F57CC"/>
    <w:rsid w:val="005F5E46"/>
    <w:rsid w:val="005F5EB2"/>
    <w:rsid w:val="005F611E"/>
    <w:rsid w:val="005F624B"/>
    <w:rsid w:val="005F6766"/>
    <w:rsid w:val="005F6EAA"/>
    <w:rsid w:val="005F7217"/>
    <w:rsid w:val="005F732D"/>
    <w:rsid w:val="005F76AD"/>
    <w:rsid w:val="005F7B88"/>
    <w:rsid w:val="005F7EAD"/>
    <w:rsid w:val="005F7FC5"/>
    <w:rsid w:val="00600052"/>
    <w:rsid w:val="00600E55"/>
    <w:rsid w:val="0060174C"/>
    <w:rsid w:val="00601B51"/>
    <w:rsid w:val="00601BED"/>
    <w:rsid w:val="00601C88"/>
    <w:rsid w:val="00601F3D"/>
    <w:rsid w:val="00601F8E"/>
    <w:rsid w:val="00601FCE"/>
    <w:rsid w:val="00602494"/>
    <w:rsid w:val="006028F2"/>
    <w:rsid w:val="00602C0C"/>
    <w:rsid w:val="00602CC4"/>
    <w:rsid w:val="00603286"/>
    <w:rsid w:val="006038A7"/>
    <w:rsid w:val="00603902"/>
    <w:rsid w:val="00603A43"/>
    <w:rsid w:val="00603B88"/>
    <w:rsid w:val="006046E6"/>
    <w:rsid w:val="00604B8D"/>
    <w:rsid w:val="00604E64"/>
    <w:rsid w:val="00604FB4"/>
    <w:rsid w:val="0060531B"/>
    <w:rsid w:val="00605A13"/>
    <w:rsid w:val="00605DDD"/>
    <w:rsid w:val="00605E6F"/>
    <w:rsid w:val="00606C44"/>
    <w:rsid w:val="00606DA7"/>
    <w:rsid w:val="006070A2"/>
    <w:rsid w:val="0060744D"/>
    <w:rsid w:val="00607765"/>
    <w:rsid w:val="00607DDF"/>
    <w:rsid w:val="006102A4"/>
    <w:rsid w:val="0061072C"/>
    <w:rsid w:val="00610B29"/>
    <w:rsid w:val="00611574"/>
    <w:rsid w:val="006118E9"/>
    <w:rsid w:val="00612615"/>
    <w:rsid w:val="0061272E"/>
    <w:rsid w:val="00613172"/>
    <w:rsid w:val="0061324A"/>
    <w:rsid w:val="00613554"/>
    <w:rsid w:val="006144CE"/>
    <w:rsid w:val="00614913"/>
    <w:rsid w:val="00614A77"/>
    <w:rsid w:val="0061508C"/>
    <w:rsid w:val="0061518B"/>
    <w:rsid w:val="00615534"/>
    <w:rsid w:val="00616346"/>
    <w:rsid w:val="00616872"/>
    <w:rsid w:val="0061695F"/>
    <w:rsid w:val="00616FA5"/>
    <w:rsid w:val="006172C7"/>
    <w:rsid w:val="00617F69"/>
    <w:rsid w:val="00620178"/>
    <w:rsid w:val="006203CD"/>
    <w:rsid w:val="00620656"/>
    <w:rsid w:val="0062102B"/>
    <w:rsid w:val="00621079"/>
    <w:rsid w:val="006216B1"/>
    <w:rsid w:val="00622252"/>
    <w:rsid w:val="006223A5"/>
    <w:rsid w:val="00622A39"/>
    <w:rsid w:val="00622AA5"/>
    <w:rsid w:val="00623414"/>
    <w:rsid w:val="006235A4"/>
    <w:rsid w:val="0062373B"/>
    <w:rsid w:val="00623B83"/>
    <w:rsid w:val="00623C38"/>
    <w:rsid w:val="00623FE0"/>
    <w:rsid w:val="006240AE"/>
    <w:rsid w:val="006252AB"/>
    <w:rsid w:val="006254B6"/>
    <w:rsid w:val="006255C4"/>
    <w:rsid w:val="006257AF"/>
    <w:rsid w:val="00625AE5"/>
    <w:rsid w:val="00625C72"/>
    <w:rsid w:val="0062623E"/>
    <w:rsid w:val="006263DA"/>
    <w:rsid w:val="00626BD5"/>
    <w:rsid w:val="00627060"/>
    <w:rsid w:val="00627129"/>
    <w:rsid w:val="00627479"/>
    <w:rsid w:val="006274A6"/>
    <w:rsid w:val="006274F9"/>
    <w:rsid w:val="0063112B"/>
    <w:rsid w:val="0063142D"/>
    <w:rsid w:val="0063154A"/>
    <w:rsid w:val="0063182A"/>
    <w:rsid w:val="00631879"/>
    <w:rsid w:val="00632036"/>
    <w:rsid w:val="006322C9"/>
    <w:rsid w:val="0063237B"/>
    <w:rsid w:val="00632566"/>
    <w:rsid w:val="00632861"/>
    <w:rsid w:val="00632C25"/>
    <w:rsid w:val="00632E52"/>
    <w:rsid w:val="00633128"/>
    <w:rsid w:val="00633196"/>
    <w:rsid w:val="006333AA"/>
    <w:rsid w:val="00633C66"/>
    <w:rsid w:val="00633FCA"/>
    <w:rsid w:val="00634210"/>
    <w:rsid w:val="00634792"/>
    <w:rsid w:val="00634D7A"/>
    <w:rsid w:val="00634EF1"/>
    <w:rsid w:val="006352D6"/>
    <w:rsid w:val="0063562D"/>
    <w:rsid w:val="006358EF"/>
    <w:rsid w:val="0063595F"/>
    <w:rsid w:val="0063599A"/>
    <w:rsid w:val="00636384"/>
    <w:rsid w:val="00636BA2"/>
    <w:rsid w:val="00636DA1"/>
    <w:rsid w:val="00637A96"/>
    <w:rsid w:val="0063B7F9"/>
    <w:rsid w:val="006401DF"/>
    <w:rsid w:val="006401F3"/>
    <w:rsid w:val="00640399"/>
    <w:rsid w:val="006405CD"/>
    <w:rsid w:val="00640836"/>
    <w:rsid w:val="00640B10"/>
    <w:rsid w:val="00640DB3"/>
    <w:rsid w:val="00641134"/>
    <w:rsid w:val="00641370"/>
    <w:rsid w:val="006425EC"/>
    <w:rsid w:val="00642980"/>
    <w:rsid w:val="00642C19"/>
    <w:rsid w:val="006437D7"/>
    <w:rsid w:val="00643BCA"/>
    <w:rsid w:val="00643BF5"/>
    <w:rsid w:val="00643C65"/>
    <w:rsid w:val="00643D65"/>
    <w:rsid w:val="00644A13"/>
    <w:rsid w:val="00644C3D"/>
    <w:rsid w:val="0064521F"/>
    <w:rsid w:val="00645BCC"/>
    <w:rsid w:val="00646080"/>
    <w:rsid w:val="00646782"/>
    <w:rsid w:val="00646994"/>
    <w:rsid w:val="00647025"/>
    <w:rsid w:val="0064775E"/>
    <w:rsid w:val="00647AF8"/>
    <w:rsid w:val="00647D06"/>
    <w:rsid w:val="00650324"/>
    <w:rsid w:val="00650777"/>
    <w:rsid w:val="00650AE0"/>
    <w:rsid w:val="00651001"/>
    <w:rsid w:val="006510D9"/>
    <w:rsid w:val="00651235"/>
    <w:rsid w:val="00651785"/>
    <w:rsid w:val="00651BEE"/>
    <w:rsid w:val="006523A0"/>
    <w:rsid w:val="006526B1"/>
    <w:rsid w:val="00652708"/>
    <w:rsid w:val="00652C24"/>
    <w:rsid w:val="0065336B"/>
    <w:rsid w:val="0065367B"/>
    <w:rsid w:val="00653686"/>
    <w:rsid w:val="00653D6B"/>
    <w:rsid w:val="00654357"/>
    <w:rsid w:val="00654501"/>
    <w:rsid w:val="00654705"/>
    <w:rsid w:val="006547E5"/>
    <w:rsid w:val="006547FB"/>
    <w:rsid w:val="006548AB"/>
    <w:rsid w:val="006551AC"/>
    <w:rsid w:val="006556B3"/>
    <w:rsid w:val="006557D2"/>
    <w:rsid w:val="00655B5E"/>
    <w:rsid w:val="00655E36"/>
    <w:rsid w:val="00656263"/>
    <w:rsid w:val="00656657"/>
    <w:rsid w:val="0065717C"/>
    <w:rsid w:val="00657DAC"/>
    <w:rsid w:val="00660FFA"/>
    <w:rsid w:val="006610E8"/>
    <w:rsid w:val="0066128D"/>
    <w:rsid w:val="00661984"/>
    <w:rsid w:val="00661C37"/>
    <w:rsid w:val="00661EB6"/>
    <w:rsid w:val="00662158"/>
    <w:rsid w:val="006627FE"/>
    <w:rsid w:val="00662802"/>
    <w:rsid w:val="006630D9"/>
    <w:rsid w:val="0066324C"/>
    <w:rsid w:val="00663993"/>
    <w:rsid w:val="00663E31"/>
    <w:rsid w:val="006641DC"/>
    <w:rsid w:val="00664400"/>
    <w:rsid w:val="006644E0"/>
    <w:rsid w:val="00664632"/>
    <w:rsid w:val="006649EB"/>
    <w:rsid w:val="00664BD2"/>
    <w:rsid w:val="00664C5D"/>
    <w:rsid w:val="00664F98"/>
    <w:rsid w:val="00664FFD"/>
    <w:rsid w:val="0066527C"/>
    <w:rsid w:val="0066530D"/>
    <w:rsid w:val="006653EC"/>
    <w:rsid w:val="006659A5"/>
    <w:rsid w:val="00665B87"/>
    <w:rsid w:val="00665F95"/>
    <w:rsid w:val="0066609D"/>
    <w:rsid w:val="0066614F"/>
    <w:rsid w:val="006664A9"/>
    <w:rsid w:val="00666AC7"/>
    <w:rsid w:val="006678EE"/>
    <w:rsid w:val="00667CFF"/>
    <w:rsid w:val="00667F41"/>
    <w:rsid w:val="00670030"/>
    <w:rsid w:val="00670297"/>
    <w:rsid w:val="006703A8"/>
    <w:rsid w:val="00670582"/>
    <w:rsid w:val="00670BF2"/>
    <w:rsid w:val="006715C0"/>
    <w:rsid w:val="00671AF3"/>
    <w:rsid w:val="0067235D"/>
    <w:rsid w:val="006727D7"/>
    <w:rsid w:val="00672ABE"/>
    <w:rsid w:val="00672D20"/>
    <w:rsid w:val="00673147"/>
    <w:rsid w:val="006731AB"/>
    <w:rsid w:val="006734B3"/>
    <w:rsid w:val="00673519"/>
    <w:rsid w:val="006736E3"/>
    <w:rsid w:val="00673A4D"/>
    <w:rsid w:val="00673D96"/>
    <w:rsid w:val="00673EBD"/>
    <w:rsid w:val="006742F9"/>
    <w:rsid w:val="0067451D"/>
    <w:rsid w:val="00674720"/>
    <w:rsid w:val="006747A7"/>
    <w:rsid w:val="00674B05"/>
    <w:rsid w:val="00674B43"/>
    <w:rsid w:val="00674DCB"/>
    <w:rsid w:val="00674E33"/>
    <w:rsid w:val="00674FEA"/>
    <w:rsid w:val="006754CE"/>
    <w:rsid w:val="006754D3"/>
    <w:rsid w:val="00676445"/>
    <w:rsid w:val="00676564"/>
    <w:rsid w:val="006765E0"/>
    <w:rsid w:val="00676CD9"/>
    <w:rsid w:val="006770C3"/>
    <w:rsid w:val="00677193"/>
    <w:rsid w:val="006771D7"/>
    <w:rsid w:val="006772E7"/>
    <w:rsid w:val="006773BC"/>
    <w:rsid w:val="006775BA"/>
    <w:rsid w:val="006777EB"/>
    <w:rsid w:val="00680171"/>
    <w:rsid w:val="00680A3A"/>
    <w:rsid w:val="00681258"/>
    <w:rsid w:val="0068126B"/>
    <w:rsid w:val="00681698"/>
    <w:rsid w:val="00682002"/>
    <w:rsid w:val="006823A1"/>
    <w:rsid w:val="006826E7"/>
    <w:rsid w:val="00682E2D"/>
    <w:rsid w:val="006833F8"/>
    <w:rsid w:val="0068353C"/>
    <w:rsid w:val="00683581"/>
    <w:rsid w:val="00683A14"/>
    <w:rsid w:val="00684477"/>
    <w:rsid w:val="00684636"/>
    <w:rsid w:val="006846D3"/>
    <w:rsid w:val="0068474F"/>
    <w:rsid w:val="00684891"/>
    <w:rsid w:val="006848D1"/>
    <w:rsid w:val="006849DD"/>
    <w:rsid w:val="00684BE2"/>
    <w:rsid w:val="00685209"/>
    <w:rsid w:val="00685287"/>
    <w:rsid w:val="006854C4"/>
    <w:rsid w:val="00685BD1"/>
    <w:rsid w:val="00685D7A"/>
    <w:rsid w:val="00686387"/>
    <w:rsid w:val="00686777"/>
    <w:rsid w:val="006871EB"/>
    <w:rsid w:val="0068759F"/>
    <w:rsid w:val="0068797E"/>
    <w:rsid w:val="00687FC4"/>
    <w:rsid w:val="00690084"/>
    <w:rsid w:val="00690227"/>
    <w:rsid w:val="006903F0"/>
    <w:rsid w:val="006904C4"/>
    <w:rsid w:val="0069054C"/>
    <w:rsid w:val="0069092D"/>
    <w:rsid w:val="00690AEB"/>
    <w:rsid w:val="00690DC8"/>
    <w:rsid w:val="00690ECB"/>
    <w:rsid w:val="006912D2"/>
    <w:rsid w:val="0069153B"/>
    <w:rsid w:val="0069195D"/>
    <w:rsid w:val="00691F9D"/>
    <w:rsid w:val="006921AF"/>
    <w:rsid w:val="00692673"/>
    <w:rsid w:val="00692822"/>
    <w:rsid w:val="00692C75"/>
    <w:rsid w:val="006937E0"/>
    <w:rsid w:val="006937E2"/>
    <w:rsid w:val="00693987"/>
    <w:rsid w:val="00693A3B"/>
    <w:rsid w:val="00693B6B"/>
    <w:rsid w:val="006942B2"/>
    <w:rsid w:val="00694D63"/>
    <w:rsid w:val="006954D8"/>
    <w:rsid w:val="006955F7"/>
    <w:rsid w:val="0069590D"/>
    <w:rsid w:val="00695B97"/>
    <w:rsid w:val="00695E47"/>
    <w:rsid w:val="00696CB6"/>
    <w:rsid w:val="00696F00"/>
    <w:rsid w:val="00697054"/>
    <w:rsid w:val="0069743A"/>
    <w:rsid w:val="00697657"/>
    <w:rsid w:val="006A006B"/>
    <w:rsid w:val="006A01FF"/>
    <w:rsid w:val="006A039B"/>
    <w:rsid w:val="006A0A30"/>
    <w:rsid w:val="006A0D69"/>
    <w:rsid w:val="006A1009"/>
    <w:rsid w:val="006A10B6"/>
    <w:rsid w:val="006A1513"/>
    <w:rsid w:val="006A1949"/>
    <w:rsid w:val="006A2320"/>
    <w:rsid w:val="006A2C8D"/>
    <w:rsid w:val="006A2EB7"/>
    <w:rsid w:val="006A2EF8"/>
    <w:rsid w:val="006A2F21"/>
    <w:rsid w:val="006A2FEB"/>
    <w:rsid w:val="006A33C9"/>
    <w:rsid w:val="006A3AFF"/>
    <w:rsid w:val="006A3D23"/>
    <w:rsid w:val="006A42C2"/>
    <w:rsid w:val="006A4760"/>
    <w:rsid w:val="006A4DDA"/>
    <w:rsid w:val="006A5FA7"/>
    <w:rsid w:val="006A63FA"/>
    <w:rsid w:val="006A7139"/>
    <w:rsid w:val="006A76A6"/>
    <w:rsid w:val="006A78AB"/>
    <w:rsid w:val="006A7946"/>
    <w:rsid w:val="006A79CE"/>
    <w:rsid w:val="006A7F76"/>
    <w:rsid w:val="006B014D"/>
    <w:rsid w:val="006B0153"/>
    <w:rsid w:val="006B05C2"/>
    <w:rsid w:val="006B0FBA"/>
    <w:rsid w:val="006B1334"/>
    <w:rsid w:val="006B15E4"/>
    <w:rsid w:val="006B1A30"/>
    <w:rsid w:val="006B1DEE"/>
    <w:rsid w:val="006B1DF6"/>
    <w:rsid w:val="006B20CD"/>
    <w:rsid w:val="006B21CA"/>
    <w:rsid w:val="006B293E"/>
    <w:rsid w:val="006B30A1"/>
    <w:rsid w:val="006B3B90"/>
    <w:rsid w:val="006B3DBB"/>
    <w:rsid w:val="006B3DE8"/>
    <w:rsid w:val="006B4A3B"/>
    <w:rsid w:val="006B4B17"/>
    <w:rsid w:val="006B4B79"/>
    <w:rsid w:val="006B4D3E"/>
    <w:rsid w:val="006B51E9"/>
    <w:rsid w:val="006B5403"/>
    <w:rsid w:val="006B5DD8"/>
    <w:rsid w:val="006B6D7B"/>
    <w:rsid w:val="006B6E48"/>
    <w:rsid w:val="006B72AC"/>
    <w:rsid w:val="006B7873"/>
    <w:rsid w:val="006B7948"/>
    <w:rsid w:val="006B7AD1"/>
    <w:rsid w:val="006B7AFE"/>
    <w:rsid w:val="006B7C2D"/>
    <w:rsid w:val="006B7F16"/>
    <w:rsid w:val="006BB662"/>
    <w:rsid w:val="006C0DF7"/>
    <w:rsid w:val="006C0F80"/>
    <w:rsid w:val="006C1025"/>
    <w:rsid w:val="006C11BF"/>
    <w:rsid w:val="006C1285"/>
    <w:rsid w:val="006C12F2"/>
    <w:rsid w:val="006C1349"/>
    <w:rsid w:val="006C14BA"/>
    <w:rsid w:val="006C1556"/>
    <w:rsid w:val="006C1819"/>
    <w:rsid w:val="006C18AF"/>
    <w:rsid w:val="006C18C7"/>
    <w:rsid w:val="006C1C79"/>
    <w:rsid w:val="006C1E1B"/>
    <w:rsid w:val="006C22AD"/>
    <w:rsid w:val="006C246B"/>
    <w:rsid w:val="006C27C2"/>
    <w:rsid w:val="006C3389"/>
    <w:rsid w:val="006C3EC8"/>
    <w:rsid w:val="006C412F"/>
    <w:rsid w:val="006C41EE"/>
    <w:rsid w:val="006C4664"/>
    <w:rsid w:val="006C4CB6"/>
    <w:rsid w:val="006C500F"/>
    <w:rsid w:val="006C520A"/>
    <w:rsid w:val="006C52C2"/>
    <w:rsid w:val="006C540A"/>
    <w:rsid w:val="006C5727"/>
    <w:rsid w:val="006C57DE"/>
    <w:rsid w:val="006C57F4"/>
    <w:rsid w:val="006C5E9D"/>
    <w:rsid w:val="006C67DD"/>
    <w:rsid w:val="006C6E56"/>
    <w:rsid w:val="006C6EB9"/>
    <w:rsid w:val="006C75AB"/>
    <w:rsid w:val="006C78BF"/>
    <w:rsid w:val="006C7A8F"/>
    <w:rsid w:val="006C7C8A"/>
    <w:rsid w:val="006D03AD"/>
    <w:rsid w:val="006D08DE"/>
    <w:rsid w:val="006D0DC6"/>
    <w:rsid w:val="006D0F4D"/>
    <w:rsid w:val="006D1ACF"/>
    <w:rsid w:val="006D1FCD"/>
    <w:rsid w:val="006D20A8"/>
    <w:rsid w:val="006D21A4"/>
    <w:rsid w:val="006D2252"/>
    <w:rsid w:val="006D23D0"/>
    <w:rsid w:val="006D26D3"/>
    <w:rsid w:val="006D276D"/>
    <w:rsid w:val="006D2BF4"/>
    <w:rsid w:val="006D2D0B"/>
    <w:rsid w:val="006D32FF"/>
    <w:rsid w:val="006D3DE7"/>
    <w:rsid w:val="006D44D7"/>
    <w:rsid w:val="006D4A72"/>
    <w:rsid w:val="006D517E"/>
    <w:rsid w:val="006D51E7"/>
    <w:rsid w:val="006D54BE"/>
    <w:rsid w:val="006D56F5"/>
    <w:rsid w:val="006D5A96"/>
    <w:rsid w:val="006D5BE3"/>
    <w:rsid w:val="006D5E5A"/>
    <w:rsid w:val="006D65AB"/>
    <w:rsid w:val="006D6760"/>
    <w:rsid w:val="006D742E"/>
    <w:rsid w:val="006D76B1"/>
    <w:rsid w:val="006D773D"/>
    <w:rsid w:val="006E039A"/>
    <w:rsid w:val="006E0908"/>
    <w:rsid w:val="006E09E2"/>
    <w:rsid w:val="006E0A11"/>
    <w:rsid w:val="006E1459"/>
    <w:rsid w:val="006E154A"/>
    <w:rsid w:val="006E1843"/>
    <w:rsid w:val="006E1B20"/>
    <w:rsid w:val="006E1C29"/>
    <w:rsid w:val="006E1D42"/>
    <w:rsid w:val="006E1FD0"/>
    <w:rsid w:val="006E20C6"/>
    <w:rsid w:val="006E246A"/>
    <w:rsid w:val="006E252D"/>
    <w:rsid w:val="006E2733"/>
    <w:rsid w:val="006E29CE"/>
    <w:rsid w:val="006E2A8D"/>
    <w:rsid w:val="006E327A"/>
    <w:rsid w:val="006E3394"/>
    <w:rsid w:val="006E3945"/>
    <w:rsid w:val="006E3999"/>
    <w:rsid w:val="006E39F0"/>
    <w:rsid w:val="006E3A3D"/>
    <w:rsid w:val="006E3DC7"/>
    <w:rsid w:val="006E41D0"/>
    <w:rsid w:val="006E4378"/>
    <w:rsid w:val="006E4704"/>
    <w:rsid w:val="006E4EE4"/>
    <w:rsid w:val="006E5ACC"/>
    <w:rsid w:val="006E62F8"/>
    <w:rsid w:val="006E6CC8"/>
    <w:rsid w:val="006E6EE7"/>
    <w:rsid w:val="006E7159"/>
    <w:rsid w:val="006E71A2"/>
    <w:rsid w:val="006E71FE"/>
    <w:rsid w:val="006E73C1"/>
    <w:rsid w:val="006E75F1"/>
    <w:rsid w:val="006F0171"/>
    <w:rsid w:val="006F08F3"/>
    <w:rsid w:val="006F0A9B"/>
    <w:rsid w:val="006F1298"/>
    <w:rsid w:val="006F169B"/>
    <w:rsid w:val="006F19B7"/>
    <w:rsid w:val="006F1F6B"/>
    <w:rsid w:val="006F1FA0"/>
    <w:rsid w:val="006F231B"/>
    <w:rsid w:val="006F29F1"/>
    <w:rsid w:val="006F2A4F"/>
    <w:rsid w:val="006F3215"/>
    <w:rsid w:val="006F3B41"/>
    <w:rsid w:val="006F3B48"/>
    <w:rsid w:val="006F417D"/>
    <w:rsid w:val="006F4204"/>
    <w:rsid w:val="006F4442"/>
    <w:rsid w:val="006F44A7"/>
    <w:rsid w:val="006F45DE"/>
    <w:rsid w:val="006F4C32"/>
    <w:rsid w:val="006F5182"/>
    <w:rsid w:val="006F5A89"/>
    <w:rsid w:val="006F5D9E"/>
    <w:rsid w:val="006F6F0E"/>
    <w:rsid w:val="006F730D"/>
    <w:rsid w:val="006F788C"/>
    <w:rsid w:val="006F7A8C"/>
    <w:rsid w:val="006F7C82"/>
    <w:rsid w:val="007004F7"/>
    <w:rsid w:val="00700C14"/>
    <w:rsid w:val="007016EB"/>
    <w:rsid w:val="00701886"/>
    <w:rsid w:val="00701A5D"/>
    <w:rsid w:val="007024BE"/>
    <w:rsid w:val="007024D0"/>
    <w:rsid w:val="00702ADE"/>
    <w:rsid w:val="00702B83"/>
    <w:rsid w:val="00703C9F"/>
    <w:rsid w:val="00704812"/>
    <w:rsid w:val="00704BCA"/>
    <w:rsid w:val="00705208"/>
    <w:rsid w:val="00705870"/>
    <w:rsid w:val="007058B2"/>
    <w:rsid w:val="00705B96"/>
    <w:rsid w:val="00705CBB"/>
    <w:rsid w:val="00705D80"/>
    <w:rsid w:val="007060FF"/>
    <w:rsid w:val="00706144"/>
    <w:rsid w:val="007066C6"/>
    <w:rsid w:val="00706D38"/>
    <w:rsid w:val="0070714F"/>
    <w:rsid w:val="00707177"/>
    <w:rsid w:val="0070725C"/>
    <w:rsid w:val="007074B5"/>
    <w:rsid w:val="007077F1"/>
    <w:rsid w:val="007078D6"/>
    <w:rsid w:val="007105C8"/>
    <w:rsid w:val="00710FF3"/>
    <w:rsid w:val="0071126E"/>
    <w:rsid w:val="0071145C"/>
    <w:rsid w:val="00711811"/>
    <w:rsid w:val="0071182E"/>
    <w:rsid w:val="007118C4"/>
    <w:rsid w:val="00711AD2"/>
    <w:rsid w:val="00711C8C"/>
    <w:rsid w:val="00711E40"/>
    <w:rsid w:val="007126C7"/>
    <w:rsid w:val="00712EB9"/>
    <w:rsid w:val="0071333A"/>
    <w:rsid w:val="007136F0"/>
    <w:rsid w:val="00713964"/>
    <w:rsid w:val="00713DA0"/>
    <w:rsid w:val="00713FF5"/>
    <w:rsid w:val="00714185"/>
    <w:rsid w:val="0071426C"/>
    <w:rsid w:val="0071498A"/>
    <w:rsid w:val="00715122"/>
    <w:rsid w:val="007154C4"/>
    <w:rsid w:val="00715A3E"/>
    <w:rsid w:val="00715ED8"/>
    <w:rsid w:val="0071609F"/>
    <w:rsid w:val="0071616A"/>
    <w:rsid w:val="00716287"/>
    <w:rsid w:val="0071668A"/>
    <w:rsid w:val="00716B8E"/>
    <w:rsid w:val="00716F69"/>
    <w:rsid w:val="00716FF4"/>
    <w:rsid w:val="0071702B"/>
    <w:rsid w:val="00717438"/>
    <w:rsid w:val="0071778C"/>
    <w:rsid w:val="00717992"/>
    <w:rsid w:val="0072031D"/>
    <w:rsid w:val="00720467"/>
    <w:rsid w:val="007205F4"/>
    <w:rsid w:val="00720AB1"/>
    <w:rsid w:val="00720B29"/>
    <w:rsid w:val="00720FF8"/>
    <w:rsid w:val="0072102F"/>
    <w:rsid w:val="00721377"/>
    <w:rsid w:val="00721BBD"/>
    <w:rsid w:val="00721C11"/>
    <w:rsid w:val="00721EEB"/>
    <w:rsid w:val="00721FA3"/>
    <w:rsid w:val="007227EC"/>
    <w:rsid w:val="00722C5C"/>
    <w:rsid w:val="0072392F"/>
    <w:rsid w:val="00723D3A"/>
    <w:rsid w:val="00723E68"/>
    <w:rsid w:val="00724174"/>
    <w:rsid w:val="00724532"/>
    <w:rsid w:val="00724D05"/>
    <w:rsid w:val="00724D7A"/>
    <w:rsid w:val="00724FCD"/>
    <w:rsid w:val="00725516"/>
    <w:rsid w:val="007256CF"/>
    <w:rsid w:val="00725726"/>
    <w:rsid w:val="007258E1"/>
    <w:rsid w:val="00725F63"/>
    <w:rsid w:val="00726231"/>
    <w:rsid w:val="00727121"/>
    <w:rsid w:val="00727446"/>
    <w:rsid w:val="00727546"/>
    <w:rsid w:val="00727861"/>
    <w:rsid w:val="00727AF9"/>
    <w:rsid w:val="00727CE8"/>
    <w:rsid w:val="00727E9C"/>
    <w:rsid w:val="00730069"/>
    <w:rsid w:val="00730379"/>
    <w:rsid w:val="00730481"/>
    <w:rsid w:val="007307BA"/>
    <w:rsid w:val="0073080C"/>
    <w:rsid w:val="00730896"/>
    <w:rsid w:val="0073097A"/>
    <w:rsid w:val="007309F1"/>
    <w:rsid w:val="007311B1"/>
    <w:rsid w:val="00731C6D"/>
    <w:rsid w:val="00732F35"/>
    <w:rsid w:val="007335D9"/>
    <w:rsid w:val="007336A6"/>
    <w:rsid w:val="00733F2E"/>
    <w:rsid w:val="00734AD5"/>
    <w:rsid w:val="00734BEB"/>
    <w:rsid w:val="00735783"/>
    <w:rsid w:val="00735874"/>
    <w:rsid w:val="00735B05"/>
    <w:rsid w:val="00735B42"/>
    <w:rsid w:val="00735BE1"/>
    <w:rsid w:val="00735F97"/>
    <w:rsid w:val="007366B3"/>
    <w:rsid w:val="00736716"/>
    <w:rsid w:val="00736BEE"/>
    <w:rsid w:val="00736D08"/>
    <w:rsid w:val="00737A15"/>
    <w:rsid w:val="00737A94"/>
    <w:rsid w:val="007402AC"/>
    <w:rsid w:val="007404C1"/>
    <w:rsid w:val="007404D4"/>
    <w:rsid w:val="00740961"/>
    <w:rsid w:val="00740A09"/>
    <w:rsid w:val="00740D2A"/>
    <w:rsid w:val="00741226"/>
    <w:rsid w:val="007419A1"/>
    <w:rsid w:val="00741AA2"/>
    <w:rsid w:val="00741AB0"/>
    <w:rsid w:val="00742407"/>
    <w:rsid w:val="0074243A"/>
    <w:rsid w:val="00742445"/>
    <w:rsid w:val="0074279C"/>
    <w:rsid w:val="0074281A"/>
    <w:rsid w:val="007428F0"/>
    <w:rsid w:val="007429BB"/>
    <w:rsid w:val="00743338"/>
    <w:rsid w:val="00743519"/>
    <w:rsid w:val="00743F14"/>
    <w:rsid w:val="00743F7C"/>
    <w:rsid w:val="00744316"/>
    <w:rsid w:val="007448FF"/>
    <w:rsid w:val="0074492F"/>
    <w:rsid w:val="00744B12"/>
    <w:rsid w:val="00744CC3"/>
    <w:rsid w:val="0074534D"/>
    <w:rsid w:val="0074535D"/>
    <w:rsid w:val="00746652"/>
    <w:rsid w:val="007472B2"/>
    <w:rsid w:val="00747411"/>
    <w:rsid w:val="00747FBD"/>
    <w:rsid w:val="00750849"/>
    <w:rsid w:val="00750950"/>
    <w:rsid w:val="00750B73"/>
    <w:rsid w:val="007513D5"/>
    <w:rsid w:val="00752C4C"/>
    <w:rsid w:val="00753225"/>
    <w:rsid w:val="007535DD"/>
    <w:rsid w:val="007539F8"/>
    <w:rsid w:val="00753B69"/>
    <w:rsid w:val="00753DE6"/>
    <w:rsid w:val="00753ECB"/>
    <w:rsid w:val="00754571"/>
    <w:rsid w:val="007546AF"/>
    <w:rsid w:val="00754710"/>
    <w:rsid w:val="007555EE"/>
    <w:rsid w:val="007556C4"/>
    <w:rsid w:val="00755D6C"/>
    <w:rsid w:val="00756188"/>
    <w:rsid w:val="007561A3"/>
    <w:rsid w:val="007567A9"/>
    <w:rsid w:val="007571B9"/>
    <w:rsid w:val="00757206"/>
    <w:rsid w:val="0075732F"/>
    <w:rsid w:val="00757680"/>
    <w:rsid w:val="0075785F"/>
    <w:rsid w:val="007579BC"/>
    <w:rsid w:val="00760302"/>
    <w:rsid w:val="00760C04"/>
    <w:rsid w:val="007615AC"/>
    <w:rsid w:val="00761606"/>
    <w:rsid w:val="00761BDF"/>
    <w:rsid w:val="007621BA"/>
    <w:rsid w:val="00762FCD"/>
    <w:rsid w:val="00763170"/>
    <w:rsid w:val="00763397"/>
    <w:rsid w:val="0076367C"/>
    <w:rsid w:val="00763976"/>
    <w:rsid w:val="00763AF5"/>
    <w:rsid w:val="00764655"/>
    <w:rsid w:val="007646A2"/>
    <w:rsid w:val="007652CB"/>
    <w:rsid w:val="007652D7"/>
    <w:rsid w:val="00765A8B"/>
    <w:rsid w:val="0076610E"/>
    <w:rsid w:val="00766807"/>
    <w:rsid w:val="00766B69"/>
    <w:rsid w:val="00767109"/>
    <w:rsid w:val="007672D9"/>
    <w:rsid w:val="00767355"/>
    <w:rsid w:val="007675EE"/>
    <w:rsid w:val="007676D8"/>
    <w:rsid w:val="00767826"/>
    <w:rsid w:val="00770205"/>
    <w:rsid w:val="00770ADF"/>
    <w:rsid w:val="00770BBC"/>
    <w:rsid w:val="00770F35"/>
    <w:rsid w:val="007715BC"/>
    <w:rsid w:val="0077162C"/>
    <w:rsid w:val="00771A72"/>
    <w:rsid w:val="00771DA9"/>
    <w:rsid w:val="00771E74"/>
    <w:rsid w:val="00771E78"/>
    <w:rsid w:val="00773502"/>
    <w:rsid w:val="00773592"/>
    <w:rsid w:val="007738D0"/>
    <w:rsid w:val="007739FA"/>
    <w:rsid w:val="00774319"/>
    <w:rsid w:val="00774569"/>
    <w:rsid w:val="00774919"/>
    <w:rsid w:val="00774C04"/>
    <w:rsid w:val="00775086"/>
    <w:rsid w:val="00775570"/>
    <w:rsid w:val="00775643"/>
    <w:rsid w:val="00776327"/>
    <w:rsid w:val="0077642A"/>
    <w:rsid w:val="00776B5B"/>
    <w:rsid w:val="00776DBA"/>
    <w:rsid w:val="007777D1"/>
    <w:rsid w:val="00777979"/>
    <w:rsid w:val="0078045E"/>
    <w:rsid w:val="00780485"/>
    <w:rsid w:val="00780550"/>
    <w:rsid w:val="0078083B"/>
    <w:rsid w:val="007809F6"/>
    <w:rsid w:val="00780AA9"/>
    <w:rsid w:val="00780D12"/>
    <w:rsid w:val="007814D2"/>
    <w:rsid w:val="00781A76"/>
    <w:rsid w:val="00781B6A"/>
    <w:rsid w:val="00781C71"/>
    <w:rsid w:val="00781D28"/>
    <w:rsid w:val="0078209F"/>
    <w:rsid w:val="00782CC6"/>
    <w:rsid w:val="00782FC2"/>
    <w:rsid w:val="007831C5"/>
    <w:rsid w:val="007838F1"/>
    <w:rsid w:val="00783D43"/>
    <w:rsid w:val="00784107"/>
    <w:rsid w:val="0078456A"/>
    <w:rsid w:val="007847B6"/>
    <w:rsid w:val="00784B9B"/>
    <w:rsid w:val="00784C17"/>
    <w:rsid w:val="00784E17"/>
    <w:rsid w:val="00785F48"/>
    <w:rsid w:val="0078617C"/>
    <w:rsid w:val="007861F7"/>
    <w:rsid w:val="00786467"/>
    <w:rsid w:val="00786892"/>
    <w:rsid w:val="00786EBA"/>
    <w:rsid w:val="00787226"/>
    <w:rsid w:val="0078751E"/>
    <w:rsid w:val="00787D2E"/>
    <w:rsid w:val="007909F4"/>
    <w:rsid w:val="00790A5A"/>
    <w:rsid w:val="00790BC7"/>
    <w:rsid w:val="00790CC8"/>
    <w:rsid w:val="0079176C"/>
    <w:rsid w:val="00791F3D"/>
    <w:rsid w:val="00792398"/>
    <w:rsid w:val="00792485"/>
    <w:rsid w:val="00792794"/>
    <w:rsid w:val="00792A91"/>
    <w:rsid w:val="00792FF1"/>
    <w:rsid w:val="0079595F"/>
    <w:rsid w:val="00795BC9"/>
    <w:rsid w:val="00795F41"/>
    <w:rsid w:val="0079649B"/>
    <w:rsid w:val="007964F8"/>
    <w:rsid w:val="007966E4"/>
    <w:rsid w:val="00796E31"/>
    <w:rsid w:val="00796F95"/>
    <w:rsid w:val="00797386"/>
    <w:rsid w:val="00797532"/>
    <w:rsid w:val="007976AC"/>
    <w:rsid w:val="007A00C2"/>
    <w:rsid w:val="007A00D4"/>
    <w:rsid w:val="007A0262"/>
    <w:rsid w:val="007A055C"/>
    <w:rsid w:val="007A2376"/>
    <w:rsid w:val="007A2B71"/>
    <w:rsid w:val="007A300D"/>
    <w:rsid w:val="007A34E4"/>
    <w:rsid w:val="007A3941"/>
    <w:rsid w:val="007A4894"/>
    <w:rsid w:val="007A4974"/>
    <w:rsid w:val="007A5074"/>
    <w:rsid w:val="007A5654"/>
    <w:rsid w:val="007A5914"/>
    <w:rsid w:val="007A653C"/>
    <w:rsid w:val="007A66CC"/>
    <w:rsid w:val="007A7099"/>
    <w:rsid w:val="007A7658"/>
    <w:rsid w:val="007A7A9F"/>
    <w:rsid w:val="007A7F1C"/>
    <w:rsid w:val="007A7FE3"/>
    <w:rsid w:val="007B02C4"/>
    <w:rsid w:val="007B0484"/>
    <w:rsid w:val="007B04DF"/>
    <w:rsid w:val="007B0695"/>
    <w:rsid w:val="007B0834"/>
    <w:rsid w:val="007B15CB"/>
    <w:rsid w:val="007B1866"/>
    <w:rsid w:val="007B1EB7"/>
    <w:rsid w:val="007B2370"/>
    <w:rsid w:val="007B2766"/>
    <w:rsid w:val="007B290B"/>
    <w:rsid w:val="007B2AC1"/>
    <w:rsid w:val="007B2E26"/>
    <w:rsid w:val="007B3292"/>
    <w:rsid w:val="007B3777"/>
    <w:rsid w:val="007B3806"/>
    <w:rsid w:val="007B3F97"/>
    <w:rsid w:val="007B3FA8"/>
    <w:rsid w:val="007B4526"/>
    <w:rsid w:val="007B4BBC"/>
    <w:rsid w:val="007B4EF9"/>
    <w:rsid w:val="007B5429"/>
    <w:rsid w:val="007B56C9"/>
    <w:rsid w:val="007B5EEA"/>
    <w:rsid w:val="007B6203"/>
    <w:rsid w:val="007B63C4"/>
    <w:rsid w:val="007B64D1"/>
    <w:rsid w:val="007B6947"/>
    <w:rsid w:val="007B71AF"/>
    <w:rsid w:val="007B73BF"/>
    <w:rsid w:val="007B7923"/>
    <w:rsid w:val="007B79C1"/>
    <w:rsid w:val="007B7C03"/>
    <w:rsid w:val="007C02C4"/>
    <w:rsid w:val="007C054A"/>
    <w:rsid w:val="007C0614"/>
    <w:rsid w:val="007C0963"/>
    <w:rsid w:val="007C10BE"/>
    <w:rsid w:val="007C1393"/>
    <w:rsid w:val="007C193B"/>
    <w:rsid w:val="007C1EC9"/>
    <w:rsid w:val="007C2631"/>
    <w:rsid w:val="007C2786"/>
    <w:rsid w:val="007C2D78"/>
    <w:rsid w:val="007C2F6E"/>
    <w:rsid w:val="007C3097"/>
    <w:rsid w:val="007C35E3"/>
    <w:rsid w:val="007C3824"/>
    <w:rsid w:val="007C3A0D"/>
    <w:rsid w:val="007C4622"/>
    <w:rsid w:val="007C4650"/>
    <w:rsid w:val="007C48C9"/>
    <w:rsid w:val="007C4FE2"/>
    <w:rsid w:val="007C5361"/>
    <w:rsid w:val="007C55C9"/>
    <w:rsid w:val="007C5624"/>
    <w:rsid w:val="007C564D"/>
    <w:rsid w:val="007C5B60"/>
    <w:rsid w:val="007C6199"/>
    <w:rsid w:val="007C61FC"/>
    <w:rsid w:val="007C6546"/>
    <w:rsid w:val="007C688A"/>
    <w:rsid w:val="007C6D2B"/>
    <w:rsid w:val="007C7166"/>
    <w:rsid w:val="007C767D"/>
    <w:rsid w:val="007C76FA"/>
    <w:rsid w:val="007C7D88"/>
    <w:rsid w:val="007D005D"/>
    <w:rsid w:val="007D015E"/>
    <w:rsid w:val="007D05CC"/>
    <w:rsid w:val="007D1088"/>
    <w:rsid w:val="007D16EC"/>
    <w:rsid w:val="007D1C5A"/>
    <w:rsid w:val="007D24E4"/>
    <w:rsid w:val="007D259F"/>
    <w:rsid w:val="007D25A1"/>
    <w:rsid w:val="007D263C"/>
    <w:rsid w:val="007D2C05"/>
    <w:rsid w:val="007D2C7B"/>
    <w:rsid w:val="007D305B"/>
    <w:rsid w:val="007D31B1"/>
    <w:rsid w:val="007D368A"/>
    <w:rsid w:val="007D3A9D"/>
    <w:rsid w:val="007D3B42"/>
    <w:rsid w:val="007D3C0F"/>
    <w:rsid w:val="007D42D3"/>
    <w:rsid w:val="007D4339"/>
    <w:rsid w:val="007D45CC"/>
    <w:rsid w:val="007D4640"/>
    <w:rsid w:val="007D4E7D"/>
    <w:rsid w:val="007D4EC5"/>
    <w:rsid w:val="007D536E"/>
    <w:rsid w:val="007D5DB5"/>
    <w:rsid w:val="007D5DEE"/>
    <w:rsid w:val="007D5E62"/>
    <w:rsid w:val="007D5FDF"/>
    <w:rsid w:val="007D6032"/>
    <w:rsid w:val="007D60B9"/>
    <w:rsid w:val="007D6209"/>
    <w:rsid w:val="007D6417"/>
    <w:rsid w:val="007D660C"/>
    <w:rsid w:val="007D6796"/>
    <w:rsid w:val="007D67F3"/>
    <w:rsid w:val="007D67FD"/>
    <w:rsid w:val="007D6ACA"/>
    <w:rsid w:val="007D7742"/>
    <w:rsid w:val="007D7902"/>
    <w:rsid w:val="007D7EE4"/>
    <w:rsid w:val="007E005F"/>
    <w:rsid w:val="007E07E2"/>
    <w:rsid w:val="007E0994"/>
    <w:rsid w:val="007E0B2D"/>
    <w:rsid w:val="007E0CED"/>
    <w:rsid w:val="007E1153"/>
    <w:rsid w:val="007E1344"/>
    <w:rsid w:val="007E2B2D"/>
    <w:rsid w:val="007E2B51"/>
    <w:rsid w:val="007E2DE3"/>
    <w:rsid w:val="007E2FCD"/>
    <w:rsid w:val="007E313E"/>
    <w:rsid w:val="007E33D0"/>
    <w:rsid w:val="007E40D1"/>
    <w:rsid w:val="007E42C6"/>
    <w:rsid w:val="007E4687"/>
    <w:rsid w:val="007E4848"/>
    <w:rsid w:val="007E48A0"/>
    <w:rsid w:val="007E4B31"/>
    <w:rsid w:val="007E500F"/>
    <w:rsid w:val="007E5225"/>
    <w:rsid w:val="007E55B5"/>
    <w:rsid w:val="007E57E1"/>
    <w:rsid w:val="007E57EC"/>
    <w:rsid w:val="007E5A8C"/>
    <w:rsid w:val="007E5BC8"/>
    <w:rsid w:val="007E5C34"/>
    <w:rsid w:val="007E5F2C"/>
    <w:rsid w:val="007E6314"/>
    <w:rsid w:val="007E636D"/>
    <w:rsid w:val="007E63FA"/>
    <w:rsid w:val="007E71CE"/>
    <w:rsid w:val="007E774F"/>
    <w:rsid w:val="007E775A"/>
    <w:rsid w:val="007E7B3D"/>
    <w:rsid w:val="007E7B91"/>
    <w:rsid w:val="007F078D"/>
    <w:rsid w:val="007F08E3"/>
    <w:rsid w:val="007F0A51"/>
    <w:rsid w:val="007F0AEC"/>
    <w:rsid w:val="007F0D59"/>
    <w:rsid w:val="007F0F37"/>
    <w:rsid w:val="007F1557"/>
    <w:rsid w:val="007F18C6"/>
    <w:rsid w:val="007F1B35"/>
    <w:rsid w:val="007F1D97"/>
    <w:rsid w:val="007F31DC"/>
    <w:rsid w:val="007F32C3"/>
    <w:rsid w:val="007F3BF4"/>
    <w:rsid w:val="007F3CDF"/>
    <w:rsid w:val="007F400D"/>
    <w:rsid w:val="007F4234"/>
    <w:rsid w:val="007F42CA"/>
    <w:rsid w:val="007F4813"/>
    <w:rsid w:val="007F485E"/>
    <w:rsid w:val="007F4F11"/>
    <w:rsid w:val="007F4F3A"/>
    <w:rsid w:val="007F5328"/>
    <w:rsid w:val="007F556F"/>
    <w:rsid w:val="007F55DE"/>
    <w:rsid w:val="007F6112"/>
    <w:rsid w:val="007F636F"/>
    <w:rsid w:val="007F7225"/>
    <w:rsid w:val="007F7397"/>
    <w:rsid w:val="007F7564"/>
    <w:rsid w:val="007F79C2"/>
    <w:rsid w:val="007F7A68"/>
    <w:rsid w:val="007F7BA3"/>
    <w:rsid w:val="007F7DA6"/>
    <w:rsid w:val="007F8E32"/>
    <w:rsid w:val="0080063A"/>
    <w:rsid w:val="00800BB4"/>
    <w:rsid w:val="0080122C"/>
    <w:rsid w:val="008013E2"/>
    <w:rsid w:val="008017DA"/>
    <w:rsid w:val="0080188D"/>
    <w:rsid w:val="00801DB7"/>
    <w:rsid w:val="00801E13"/>
    <w:rsid w:val="00801F81"/>
    <w:rsid w:val="00802488"/>
    <w:rsid w:val="00802A5E"/>
    <w:rsid w:val="00802C5C"/>
    <w:rsid w:val="0080412B"/>
    <w:rsid w:val="0080426E"/>
    <w:rsid w:val="0080499E"/>
    <w:rsid w:val="008049A1"/>
    <w:rsid w:val="00804DF7"/>
    <w:rsid w:val="00804FD3"/>
    <w:rsid w:val="00805222"/>
    <w:rsid w:val="008052E7"/>
    <w:rsid w:val="00805660"/>
    <w:rsid w:val="00805B7E"/>
    <w:rsid w:val="00805E76"/>
    <w:rsid w:val="0080644E"/>
    <w:rsid w:val="008065CD"/>
    <w:rsid w:val="008076B3"/>
    <w:rsid w:val="00807C72"/>
    <w:rsid w:val="00807CFE"/>
    <w:rsid w:val="00807F64"/>
    <w:rsid w:val="00810713"/>
    <w:rsid w:val="00810833"/>
    <w:rsid w:val="00810F27"/>
    <w:rsid w:val="00811022"/>
    <w:rsid w:val="00811703"/>
    <w:rsid w:val="0081173A"/>
    <w:rsid w:val="008125EB"/>
    <w:rsid w:val="00812B71"/>
    <w:rsid w:val="008132D1"/>
    <w:rsid w:val="00813378"/>
    <w:rsid w:val="008136EF"/>
    <w:rsid w:val="00814383"/>
    <w:rsid w:val="008144E9"/>
    <w:rsid w:val="008150C4"/>
    <w:rsid w:val="00815268"/>
    <w:rsid w:val="008153DC"/>
    <w:rsid w:val="00815D0A"/>
    <w:rsid w:val="008166E2"/>
    <w:rsid w:val="00817276"/>
    <w:rsid w:val="00817735"/>
    <w:rsid w:val="008203BC"/>
    <w:rsid w:val="00820BDF"/>
    <w:rsid w:val="008221A2"/>
    <w:rsid w:val="00822362"/>
    <w:rsid w:val="0082240C"/>
    <w:rsid w:val="0082245C"/>
    <w:rsid w:val="008225D4"/>
    <w:rsid w:val="00822ACB"/>
    <w:rsid w:val="00822B59"/>
    <w:rsid w:val="00822FEB"/>
    <w:rsid w:val="00823097"/>
    <w:rsid w:val="00823194"/>
    <w:rsid w:val="00823A76"/>
    <w:rsid w:val="00823C2B"/>
    <w:rsid w:val="00823F19"/>
    <w:rsid w:val="00823F68"/>
    <w:rsid w:val="008240FE"/>
    <w:rsid w:val="008241F9"/>
    <w:rsid w:val="00824CF8"/>
    <w:rsid w:val="00824D98"/>
    <w:rsid w:val="00825394"/>
    <w:rsid w:val="00825EFC"/>
    <w:rsid w:val="00826440"/>
    <w:rsid w:val="0082658F"/>
    <w:rsid w:val="00826819"/>
    <w:rsid w:val="0082681E"/>
    <w:rsid w:val="00826947"/>
    <w:rsid w:val="0082758D"/>
    <w:rsid w:val="008276DC"/>
    <w:rsid w:val="00827B85"/>
    <w:rsid w:val="00827BF8"/>
    <w:rsid w:val="00827E29"/>
    <w:rsid w:val="00827FFE"/>
    <w:rsid w:val="0083093C"/>
    <w:rsid w:val="00830A96"/>
    <w:rsid w:val="00830D81"/>
    <w:rsid w:val="00830DCE"/>
    <w:rsid w:val="008310F5"/>
    <w:rsid w:val="00831276"/>
    <w:rsid w:val="0083142E"/>
    <w:rsid w:val="0083177E"/>
    <w:rsid w:val="0083197C"/>
    <w:rsid w:val="00831F72"/>
    <w:rsid w:val="00832027"/>
    <w:rsid w:val="0083212F"/>
    <w:rsid w:val="00832360"/>
    <w:rsid w:val="00832396"/>
    <w:rsid w:val="008323D4"/>
    <w:rsid w:val="00832B70"/>
    <w:rsid w:val="0083308A"/>
    <w:rsid w:val="00833840"/>
    <w:rsid w:val="00833944"/>
    <w:rsid w:val="008339CA"/>
    <w:rsid w:val="00833A3C"/>
    <w:rsid w:val="00833C38"/>
    <w:rsid w:val="008344C1"/>
    <w:rsid w:val="0083455E"/>
    <w:rsid w:val="0083462D"/>
    <w:rsid w:val="00834830"/>
    <w:rsid w:val="00834841"/>
    <w:rsid w:val="00834FE0"/>
    <w:rsid w:val="00835134"/>
    <w:rsid w:val="0083522B"/>
    <w:rsid w:val="00835806"/>
    <w:rsid w:val="00835C06"/>
    <w:rsid w:val="00835F79"/>
    <w:rsid w:val="0083655F"/>
    <w:rsid w:val="00836597"/>
    <w:rsid w:val="008374A8"/>
    <w:rsid w:val="00837531"/>
    <w:rsid w:val="008379C9"/>
    <w:rsid w:val="00837BBA"/>
    <w:rsid w:val="0084015F"/>
    <w:rsid w:val="00840528"/>
    <w:rsid w:val="00840C92"/>
    <w:rsid w:val="0084139D"/>
    <w:rsid w:val="00841956"/>
    <w:rsid w:val="00841B37"/>
    <w:rsid w:val="00841C43"/>
    <w:rsid w:val="00841D62"/>
    <w:rsid w:val="00842166"/>
    <w:rsid w:val="00842720"/>
    <w:rsid w:val="008429E1"/>
    <w:rsid w:val="00842D59"/>
    <w:rsid w:val="00842F7C"/>
    <w:rsid w:val="00843253"/>
    <w:rsid w:val="0084387B"/>
    <w:rsid w:val="00843BA9"/>
    <w:rsid w:val="00843D9F"/>
    <w:rsid w:val="00844613"/>
    <w:rsid w:val="008446AB"/>
    <w:rsid w:val="00844BAE"/>
    <w:rsid w:val="0084519E"/>
    <w:rsid w:val="00845CBB"/>
    <w:rsid w:val="0084649B"/>
    <w:rsid w:val="0084650B"/>
    <w:rsid w:val="008467BC"/>
    <w:rsid w:val="00846B0F"/>
    <w:rsid w:val="00847066"/>
    <w:rsid w:val="00847A33"/>
    <w:rsid w:val="008501F7"/>
    <w:rsid w:val="00850388"/>
    <w:rsid w:val="008503CD"/>
    <w:rsid w:val="008509E4"/>
    <w:rsid w:val="0085114E"/>
    <w:rsid w:val="008518B4"/>
    <w:rsid w:val="00851A42"/>
    <w:rsid w:val="008521B1"/>
    <w:rsid w:val="008523A5"/>
    <w:rsid w:val="008525EC"/>
    <w:rsid w:val="00852631"/>
    <w:rsid w:val="00852D57"/>
    <w:rsid w:val="00852FCD"/>
    <w:rsid w:val="00853262"/>
    <w:rsid w:val="0085369A"/>
    <w:rsid w:val="008539C0"/>
    <w:rsid w:val="00853B95"/>
    <w:rsid w:val="00853EDF"/>
    <w:rsid w:val="00853F77"/>
    <w:rsid w:val="008542C4"/>
    <w:rsid w:val="008544E7"/>
    <w:rsid w:val="00854C14"/>
    <w:rsid w:val="00855523"/>
    <w:rsid w:val="00855742"/>
    <w:rsid w:val="0085610B"/>
    <w:rsid w:val="008567D5"/>
    <w:rsid w:val="0085748E"/>
    <w:rsid w:val="00857D87"/>
    <w:rsid w:val="00860AED"/>
    <w:rsid w:val="00860E6E"/>
    <w:rsid w:val="00860EE3"/>
    <w:rsid w:val="00860F08"/>
    <w:rsid w:val="00860FE6"/>
    <w:rsid w:val="008616C6"/>
    <w:rsid w:val="00861809"/>
    <w:rsid w:val="00861863"/>
    <w:rsid w:val="00861D23"/>
    <w:rsid w:val="008624E6"/>
    <w:rsid w:val="0086252F"/>
    <w:rsid w:val="008630C5"/>
    <w:rsid w:val="0086312A"/>
    <w:rsid w:val="00863866"/>
    <w:rsid w:val="008643F9"/>
    <w:rsid w:val="00864602"/>
    <w:rsid w:val="0086474A"/>
    <w:rsid w:val="00864AE8"/>
    <w:rsid w:val="00864BB5"/>
    <w:rsid w:val="00864E38"/>
    <w:rsid w:val="0086523E"/>
    <w:rsid w:val="008652DE"/>
    <w:rsid w:val="00865428"/>
    <w:rsid w:val="00865740"/>
    <w:rsid w:val="008658F7"/>
    <w:rsid w:val="00865BEC"/>
    <w:rsid w:val="00865E98"/>
    <w:rsid w:val="0086668D"/>
    <w:rsid w:val="0086681B"/>
    <w:rsid w:val="00866CA2"/>
    <w:rsid w:val="00866EDE"/>
    <w:rsid w:val="00867289"/>
    <w:rsid w:val="0087016E"/>
    <w:rsid w:val="008702AC"/>
    <w:rsid w:val="008705CB"/>
    <w:rsid w:val="00870BB7"/>
    <w:rsid w:val="0087119E"/>
    <w:rsid w:val="00871691"/>
    <w:rsid w:val="008717BE"/>
    <w:rsid w:val="008719D4"/>
    <w:rsid w:val="0087255D"/>
    <w:rsid w:val="008727FC"/>
    <w:rsid w:val="00872A5B"/>
    <w:rsid w:val="00872E8F"/>
    <w:rsid w:val="00872EC6"/>
    <w:rsid w:val="00873046"/>
    <w:rsid w:val="00873523"/>
    <w:rsid w:val="008737AA"/>
    <w:rsid w:val="0087388F"/>
    <w:rsid w:val="008739FE"/>
    <w:rsid w:val="00873F7C"/>
    <w:rsid w:val="00874044"/>
    <w:rsid w:val="0087443A"/>
    <w:rsid w:val="00874A66"/>
    <w:rsid w:val="00874C17"/>
    <w:rsid w:val="00874DD4"/>
    <w:rsid w:val="00874EB1"/>
    <w:rsid w:val="00875A08"/>
    <w:rsid w:val="008764D5"/>
    <w:rsid w:val="008765EF"/>
    <w:rsid w:val="00876EBE"/>
    <w:rsid w:val="0087724E"/>
    <w:rsid w:val="008772F5"/>
    <w:rsid w:val="00877A98"/>
    <w:rsid w:val="00877DEA"/>
    <w:rsid w:val="00880294"/>
    <w:rsid w:val="00880295"/>
    <w:rsid w:val="00880A2A"/>
    <w:rsid w:val="00880EE9"/>
    <w:rsid w:val="00880F56"/>
    <w:rsid w:val="00881457"/>
    <w:rsid w:val="0088163A"/>
    <w:rsid w:val="0088164F"/>
    <w:rsid w:val="00881686"/>
    <w:rsid w:val="008819E7"/>
    <w:rsid w:val="00881B1A"/>
    <w:rsid w:val="008826E6"/>
    <w:rsid w:val="00882F21"/>
    <w:rsid w:val="008830D5"/>
    <w:rsid w:val="008832A1"/>
    <w:rsid w:val="00883B16"/>
    <w:rsid w:val="00883E95"/>
    <w:rsid w:val="0088421A"/>
    <w:rsid w:val="0088428B"/>
    <w:rsid w:val="008847B4"/>
    <w:rsid w:val="00884921"/>
    <w:rsid w:val="00884C39"/>
    <w:rsid w:val="00884C75"/>
    <w:rsid w:val="00884D48"/>
    <w:rsid w:val="00884FD2"/>
    <w:rsid w:val="00885247"/>
    <w:rsid w:val="00885396"/>
    <w:rsid w:val="008856F8"/>
    <w:rsid w:val="008859F7"/>
    <w:rsid w:val="0088602B"/>
    <w:rsid w:val="00886198"/>
    <w:rsid w:val="008861AA"/>
    <w:rsid w:val="00886378"/>
    <w:rsid w:val="00886C2D"/>
    <w:rsid w:val="00887144"/>
    <w:rsid w:val="0088764C"/>
    <w:rsid w:val="00887C3F"/>
    <w:rsid w:val="00890087"/>
    <w:rsid w:val="008902A5"/>
    <w:rsid w:val="008906B8"/>
    <w:rsid w:val="00890992"/>
    <w:rsid w:val="008909BB"/>
    <w:rsid w:val="008909C6"/>
    <w:rsid w:val="00890C8E"/>
    <w:rsid w:val="00891114"/>
    <w:rsid w:val="00891234"/>
    <w:rsid w:val="0089156B"/>
    <w:rsid w:val="0089162D"/>
    <w:rsid w:val="00891778"/>
    <w:rsid w:val="0089177E"/>
    <w:rsid w:val="00891EDC"/>
    <w:rsid w:val="008933B5"/>
    <w:rsid w:val="00893461"/>
    <w:rsid w:val="008936A7"/>
    <w:rsid w:val="00893ABF"/>
    <w:rsid w:val="0089457A"/>
    <w:rsid w:val="00894C90"/>
    <w:rsid w:val="0089521C"/>
    <w:rsid w:val="00895901"/>
    <w:rsid w:val="00895B0C"/>
    <w:rsid w:val="00895B27"/>
    <w:rsid w:val="00895E5E"/>
    <w:rsid w:val="0089620C"/>
    <w:rsid w:val="008966A1"/>
    <w:rsid w:val="00896771"/>
    <w:rsid w:val="00896E61"/>
    <w:rsid w:val="008A0696"/>
    <w:rsid w:val="008A0BCB"/>
    <w:rsid w:val="008A0C00"/>
    <w:rsid w:val="008A0DBE"/>
    <w:rsid w:val="008A1248"/>
    <w:rsid w:val="008A129E"/>
    <w:rsid w:val="008A132D"/>
    <w:rsid w:val="008A1686"/>
    <w:rsid w:val="008A17CF"/>
    <w:rsid w:val="008A1D9D"/>
    <w:rsid w:val="008A1E97"/>
    <w:rsid w:val="008A260F"/>
    <w:rsid w:val="008A2640"/>
    <w:rsid w:val="008A2E67"/>
    <w:rsid w:val="008A3470"/>
    <w:rsid w:val="008A4099"/>
    <w:rsid w:val="008A4546"/>
    <w:rsid w:val="008A49E9"/>
    <w:rsid w:val="008A4ABD"/>
    <w:rsid w:val="008A4B21"/>
    <w:rsid w:val="008A4BE3"/>
    <w:rsid w:val="008A5C4E"/>
    <w:rsid w:val="008A5E15"/>
    <w:rsid w:val="008A60B9"/>
    <w:rsid w:val="008A64DC"/>
    <w:rsid w:val="008A67AB"/>
    <w:rsid w:val="008A6987"/>
    <w:rsid w:val="008A6DDA"/>
    <w:rsid w:val="008A6E0C"/>
    <w:rsid w:val="008A745F"/>
    <w:rsid w:val="008A76B3"/>
    <w:rsid w:val="008B0293"/>
    <w:rsid w:val="008B0352"/>
    <w:rsid w:val="008B0977"/>
    <w:rsid w:val="008B10B3"/>
    <w:rsid w:val="008B10DC"/>
    <w:rsid w:val="008B13CB"/>
    <w:rsid w:val="008B157E"/>
    <w:rsid w:val="008B180E"/>
    <w:rsid w:val="008B1FDE"/>
    <w:rsid w:val="008B21E7"/>
    <w:rsid w:val="008B25B7"/>
    <w:rsid w:val="008B4B24"/>
    <w:rsid w:val="008B4C09"/>
    <w:rsid w:val="008B4C3B"/>
    <w:rsid w:val="008B4C44"/>
    <w:rsid w:val="008B514D"/>
    <w:rsid w:val="008B5842"/>
    <w:rsid w:val="008B5A40"/>
    <w:rsid w:val="008B6021"/>
    <w:rsid w:val="008B68FE"/>
    <w:rsid w:val="008B6FDC"/>
    <w:rsid w:val="008B770C"/>
    <w:rsid w:val="008B77A3"/>
    <w:rsid w:val="008B7842"/>
    <w:rsid w:val="008B7CB9"/>
    <w:rsid w:val="008C00D9"/>
    <w:rsid w:val="008C0787"/>
    <w:rsid w:val="008C0902"/>
    <w:rsid w:val="008C10F6"/>
    <w:rsid w:val="008C1242"/>
    <w:rsid w:val="008C139F"/>
    <w:rsid w:val="008C16CD"/>
    <w:rsid w:val="008C175D"/>
    <w:rsid w:val="008C17BB"/>
    <w:rsid w:val="008C18E0"/>
    <w:rsid w:val="008C1A04"/>
    <w:rsid w:val="008C225D"/>
    <w:rsid w:val="008C2322"/>
    <w:rsid w:val="008C2851"/>
    <w:rsid w:val="008C2CA3"/>
    <w:rsid w:val="008C2E29"/>
    <w:rsid w:val="008C36AA"/>
    <w:rsid w:val="008C3700"/>
    <w:rsid w:val="008C382F"/>
    <w:rsid w:val="008C38E0"/>
    <w:rsid w:val="008C393F"/>
    <w:rsid w:val="008C3B43"/>
    <w:rsid w:val="008C3E26"/>
    <w:rsid w:val="008C41C4"/>
    <w:rsid w:val="008C4340"/>
    <w:rsid w:val="008C45F8"/>
    <w:rsid w:val="008C51E2"/>
    <w:rsid w:val="008C52BB"/>
    <w:rsid w:val="008C55F4"/>
    <w:rsid w:val="008C5EEC"/>
    <w:rsid w:val="008C61C9"/>
    <w:rsid w:val="008C6458"/>
    <w:rsid w:val="008C732F"/>
    <w:rsid w:val="008C7B76"/>
    <w:rsid w:val="008C7C78"/>
    <w:rsid w:val="008D0289"/>
    <w:rsid w:val="008D05A3"/>
    <w:rsid w:val="008D0A72"/>
    <w:rsid w:val="008D1B4F"/>
    <w:rsid w:val="008D28C2"/>
    <w:rsid w:val="008D2C20"/>
    <w:rsid w:val="008D3421"/>
    <w:rsid w:val="008D34BE"/>
    <w:rsid w:val="008D3806"/>
    <w:rsid w:val="008D3EE4"/>
    <w:rsid w:val="008D3F4E"/>
    <w:rsid w:val="008D4215"/>
    <w:rsid w:val="008D4367"/>
    <w:rsid w:val="008D4725"/>
    <w:rsid w:val="008D48CF"/>
    <w:rsid w:val="008D4F14"/>
    <w:rsid w:val="008D4F36"/>
    <w:rsid w:val="008D570C"/>
    <w:rsid w:val="008D5889"/>
    <w:rsid w:val="008D5B00"/>
    <w:rsid w:val="008D5D8A"/>
    <w:rsid w:val="008D5EFD"/>
    <w:rsid w:val="008D63D5"/>
    <w:rsid w:val="008D652D"/>
    <w:rsid w:val="008D6C65"/>
    <w:rsid w:val="008D7618"/>
    <w:rsid w:val="008D7748"/>
    <w:rsid w:val="008D7968"/>
    <w:rsid w:val="008D79A4"/>
    <w:rsid w:val="008D7A1F"/>
    <w:rsid w:val="008D7A72"/>
    <w:rsid w:val="008D7B69"/>
    <w:rsid w:val="008E03FF"/>
    <w:rsid w:val="008E10A8"/>
    <w:rsid w:val="008E1798"/>
    <w:rsid w:val="008E1C09"/>
    <w:rsid w:val="008E1D4E"/>
    <w:rsid w:val="008E20F4"/>
    <w:rsid w:val="008E2410"/>
    <w:rsid w:val="008E2BF6"/>
    <w:rsid w:val="008E2DC2"/>
    <w:rsid w:val="008E2F39"/>
    <w:rsid w:val="008E2F7D"/>
    <w:rsid w:val="008E332D"/>
    <w:rsid w:val="008E3528"/>
    <w:rsid w:val="008E3C6C"/>
    <w:rsid w:val="008E440C"/>
    <w:rsid w:val="008E47A2"/>
    <w:rsid w:val="008E489A"/>
    <w:rsid w:val="008E4EAF"/>
    <w:rsid w:val="008E59DD"/>
    <w:rsid w:val="008E5B4F"/>
    <w:rsid w:val="008E6140"/>
    <w:rsid w:val="008E6710"/>
    <w:rsid w:val="008E6874"/>
    <w:rsid w:val="008E72EB"/>
    <w:rsid w:val="008E7395"/>
    <w:rsid w:val="008E75DB"/>
    <w:rsid w:val="008E79E4"/>
    <w:rsid w:val="008F0229"/>
    <w:rsid w:val="008F02BE"/>
    <w:rsid w:val="008F090B"/>
    <w:rsid w:val="008F0DCB"/>
    <w:rsid w:val="008F0F14"/>
    <w:rsid w:val="008F1656"/>
    <w:rsid w:val="008F1D9D"/>
    <w:rsid w:val="008F1FEC"/>
    <w:rsid w:val="008F20E0"/>
    <w:rsid w:val="008F20EA"/>
    <w:rsid w:val="008F2335"/>
    <w:rsid w:val="008F275D"/>
    <w:rsid w:val="008F2E8D"/>
    <w:rsid w:val="008F2FE5"/>
    <w:rsid w:val="008F32BB"/>
    <w:rsid w:val="008F353D"/>
    <w:rsid w:val="008F3901"/>
    <w:rsid w:val="008F3B20"/>
    <w:rsid w:val="008F4330"/>
    <w:rsid w:val="008F49A1"/>
    <w:rsid w:val="008F4A82"/>
    <w:rsid w:val="008F4DB8"/>
    <w:rsid w:val="008F581F"/>
    <w:rsid w:val="008F5973"/>
    <w:rsid w:val="008F6739"/>
    <w:rsid w:val="008F6831"/>
    <w:rsid w:val="008F6B05"/>
    <w:rsid w:val="008F6C99"/>
    <w:rsid w:val="008F71A0"/>
    <w:rsid w:val="008F71F0"/>
    <w:rsid w:val="008F724B"/>
    <w:rsid w:val="008F7326"/>
    <w:rsid w:val="008F7C5A"/>
    <w:rsid w:val="008F7F05"/>
    <w:rsid w:val="008F7F77"/>
    <w:rsid w:val="0090009B"/>
    <w:rsid w:val="009002CD"/>
    <w:rsid w:val="00900545"/>
    <w:rsid w:val="00900A08"/>
    <w:rsid w:val="00900CC8"/>
    <w:rsid w:val="0090113C"/>
    <w:rsid w:val="00901264"/>
    <w:rsid w:val="0090156E"/>
    <w:rsid w:val="00901E01"/>
    <w:rsid w:val="009023F5"/>
    <w:rsid w:val="009027AD"/>
    <w:rsid w:val="009028A9"/>
    <w:rsid w:val="00902975"/>
    <w:rsid w:val="009029C2"/>
    <w:rsid w:val="00902A82"/>
    <w:rsid w:val="00902B41"/>
    <w:rsid w:val="00902B47"/>
    <w:rsid w:val="00903C9A"/>
    <w:rsid w:val="00903E9D"/>
    <w:rsid w:val="0090402A"/>
    <w:rsid w:val="00904159"/>
    <w:rsid w:val="00904448"/>
    <w:rsid w:val="00904674"/>
    <w:rsid w:val="009046CD"/>
    <w:rsid w:val="00904AB1"/>
    <w:rsid w:val="00904CA6"/>
    <w:rsid w:val="00904E83"/>
    <w:rsid w:val="009051C7"/>
    <w:rsid w:val="00905311"/>
    <w:rsid w:val="00905400"/>
    <w:rsid w:val="009055EE"/>
    <w:rsid w:val="009057DF"/>
    <w:rsid w:val="00905B3E"/>
    <w:rsid w:val="00905DC4"/>
    <w:rsid w:val="009060CC"/>
    <w:rsid w:val="0090624C"/>
    <w:rsid w:val="00906BC6"/>
    <w:rsid w:val="00906E88"/>
    <w:rsid w:val="00907383"/>
    <w:rsid w:val="009075B7"/>
    <w:rsid w:val="00907DAA"/>
    <w:rsid w:val="00910144"/>
    <w:rsid w:val="00910937"/>
    <w:rsid w:val="00910B54"/>
    <w:rsid w:val="00910EA3"/>
    <w:rsid w:val="00910FA4"/>
    <w:rsid w:val="009111A8"/>
    <w:rsid w:val="0091221B"/>
    <w:rsid w:val="009127D1"/>
    <w:rsid w:val="00912860"/>
    <w:rsid w:val="009128C2"/>
    <w:rsid w:val="00912923"/>
    <w:rsid w:val="00912C26"/>
    <w:rsid w:val="00912F98"/>
    <w:rsid w:val="00913160"/>
    <w:rsid w:val="0091332E"/>
    <w:rsid w:val="009136C4"/>
    <w:rsid w:val="00913840"/>
    <w:rsid w:val="00913E05"/>
    <w:rsid w:val="0091462A"/>
    <w:rsid w:val="00914888"/>
    <w:rsid w:val="00914924"/>
    <w:rsid w:val="00914E1C"/>
    <w:rsid w:val="009150E0"/>
    <w:rsid w:val="0091562A"/>
    <w:rsid w:val="00916448"/>
    <w:rsid w:val="00916FA8"/>
    <w:rsid w:val="009176AA"/>
    <w:rsid w:val="00917761"/>
    <w:rsid w:val="00917B7A"/>
    <w:rsid w:val="00917D39"/>
    <w:rsid w:val="00917D90"/>
    <w:rsid w:val="00920233"/>
    <w:rsid w:val="0092029D"/>
    <w:rsid w:val="00920707"/>
    <w:rsid w:val="009212EE"/>
    <w:rsid w:val="009214E3"/>
    <w:rsid w:val="009219CC"/>
    <w:rsid w:val="0092210C"/>
    <w:rsid w:val="009222CE"/>
    <w:rsid w:val="009223A4"/>
    <w:rsid w:val="00922764"/>
    <w:rsid w:val="0092297E"/>
    <w:rsid w:val="00922ACD"/>
    <w:rsid w:val="00922B04"/>
    <w:rsid w:val="009230FD"/>
    <w:rsid w:val="00923929"/>
    <w:rsid w:val="00923AC5"/>
    <w:rsid w:val="00923ADC"/>
    <w:rsid w:val="00923DCE"/>
    <w:rsid w:val="00923F8F"/>
    <w:rsid w:val="00923FA3"/>
    <w:rsid w:val="00924371"/>
    <w:rsid w:val="00924CC0"/>
    <w:rsid w:val="00924DA2"/>
    <w:rsid w:val="0092515F"/>
    <w:rsid w:val="0092516B"/>
    <w:rsid w:val="00925647"/>
    <w:rsid w:val="009259A3"/>
    <w:rsid w:val="00925AA7"/>
    <w:rsid w:val="00925D6C"/>
    <w:rsid w:val="00925EEA"/>
    <w:rsid w:val="009260AE"/>
    <w:rsid w:val="00926938"/>
    <w:rsid w:val="00927839"/>
    <w:rsid w:val="00927BC4"/>
    <w:rsid w:val="00927EC9"/>
    <w:rsid w:val="009305C2"/>
    <w:rsid w:val="009313C7"/>
    <w:rsid w:val="00931487"/>
    <w:rsid w:val="00932305"/>
    <w:rsid w:val="00932327"/>
    <w:rsid w:val="00932A4F"/>
    <w:rsid w:val="00933792"/>
    <w:rsid w:val="00933B57"/>
    <w:rsid w:val="00934035"/>
    <w:rsid w:val="00934058"/>
    <w:rsid w:val="009343F8"/>
    <w:rsid w:val="009348A4"/>
    <w:rsid w:val="00934A45"/>
    <w:rsid w:val="00934AC8"/>
    <w:rsid w:val="009350AB"/>
    <w:rsid w:val="00935256"/>
    <w:rsid w:val="00935501"/>
    <w:rsid w:val="00935803"/>
    <w:rsid w:val="0093630B"/>
    <w:rsid w:val="0093669E"/>
    <w:rsid w:val="00936DD6"/>
    <w:rsid w:val="00936F56"/>
    <w:rsid w:val="0093701A"/>
    <w:rsid w:val="009373B1"/>
    <w:rsid w:val="0093743A"/>
    <w:rsid w:val="00937578"/>
    <w:rsid w:val="009376CB"/>
    <w:rsid w:val="00937C63"/>
    <w:rsid w:val="0094062F"/>
    <w:rsid w:val="00942067"/>
    <w:rsid w:val="00942282"/>
    <w:rsid w:val="00942421"/>
    <w:rsid w:val="009424B4"/>
    <w:rsid w:val="009424E6"/>
    <w:rsid w:val="009427D5"/>
    <w:rsid w:val="00942A3E"/>
    <w:rsid w:val="00942A9C"/>
    <w:rsid w:val="00942C12"/>
    <w:rsid w:val="009432FF"/>
    <w:rsid w:val="0094377C"/>
    <w:rsid w:val="009444A0"/>
    <w:rsid w:val="0094474D"/>
    <w:rsid w:val="00944A12"/>
    <w:rsid w:val="00944CB8"/>
    <w:rsid w:val="0094530F"/>
    <w:rsid w:val="009459A9"/>
    <w:rsid w:val="00945E72"/>
    <w:rsid w:val="00945E83"/>
    <w:rsid w:val="009462B6"/>
    <w:rsid w:val="00946D64"/>
    <w:rsid w:val="0094702D"/>
    <w:rsid w:val="00947285"/>
    <w:rsid w:val="0094766C"/>
    <w:rsid w:val="00947EC8"/>
    <w:rsid w:val="009503B4"/>
    <w:rsid w:val="00950538"/>
    <w:rsid w:val="009508AF"/>
    <w:rsid w:val="00950A3D"/>
    <w:rsid w:val="00951416"/>
    <w:rsid w:val="00951E59"/>
    <w:rsid w:val="00951ED7"/>
    <w:rsid w:val="009525F0"/>
    <w:rsid w:val="009525F2"/>
    <w:rsid w:val="00953002"/>
    <w:rsid w:val="00953049"/>
    <w:rsid w:val="0095313A"/>
    <w:rsid w:val="009541C7"/>
    <w:rsid w:val="009543ED"/>
    <w:rsid w:val="009546D9"/>
    <w:rsid w:val="00954ADF"/>
    <w:rsid w:val="00954C3B"/>
    <w:rsid w:val="00954D13"/>
    <w:rsid w:val="00955018"/>
    <w:rsid w:val="00955341"/>
    <w:rsid w:val="00955749"/>
    <w:rsid w:val="00955F44"/>
    <w:rsid w:val="00955FC7"/>
    <w:rsid w:val="0095616A"/>
    <w:rsid w:val="00956427"/>
    <w:rsid w:val="0095679E"/>
    <w:rsid w:val="00956B05"/>
    <w:rsid w:val="00956C89"/>
    <w:rsid w:val="00956DBC"/>
    <w:rsid w:val="009575E4"/>
    <w:rsid w:val="00957D01"/>
    <w:rsid w:val="00957ECA"/>
    <w:rsid w:val="00957F06"/>
    <w:rsid w:val="0096006F"/>
    <w:rsid w:val="00960D7A"/>
    <w:rsid w:val="00961042"/>
    <w:rsid w:val="0096109B"/>
    <w:rsid w:val="0096127B"/>
    <w:rsid w:val="009613D5"/>
    <w:rsid w:val="00962415"/>
    <w:rsid w:val="00962E80"/>
    <w:rsid w:val="00962F2B"/>
    <w:rsid w:val="00963222"/>
    <w:rsid w:val="00963596"/>
    <w:rsid w:val="0096393B"/>
    <w:rsid w:val="00963F1C"/>
    <w:rsid w:val="00964295"/>
    <w:rsid w:val="00964BD2"/>
    <w:rsid w:val="00964C44"/>
    <w:rsid w:val="0096500A"/>
    <w:rsid w:val="00965690"/>
    <w:rsid w:val="009662BE"/>
    <w:rsid w:val="0096691F"/>
    <w:rsid w:val="00966D67"/>
    <w:rsid w:val="00966DDE"/>
    <w:rsid w:val="00967010"/>
    <w:rsid w:val="00967670"/>
    <w:rsid w:val="00967906"/>
    <w:rsid w:val="00967AA2"/>
    <w:rsid w:val="009705CE"/>
    <w:rsid w:val="009705CF"/>
    <w:rsid w:val="00970DEA"/>
    <w:rsid w:val="009718B0"/>
    <w:rsid w:val="00971D27"/>
    <w:rsid w:val="009721E7"/>
    <w:rsid w:val="00972486"/>
    <w:rsid w:val="009727C5"/>
    <w:rsid w:val="009731D2"/>
    <w:rsid w:val="009732B6"/>
    <w:rsid w:val="00973442"/>
    <w:rsid w:val="0097352E"/>
    <w:rsid w:val="00973EDE"/>
    <w:rsid w:val="0097412E"/>
    <w:rsid w:val="00974912"/>
    <w:rsid w:val="00974A89"/>
    <w:rsid w:val="00974CC5"/>
    <w:rsid w:val="00974FEA"/>
    <w:rsid w:val="00975004"/>
    <w:rsid w:val="00975160"/>
    <w:rsid w:val="00975EFF"/>
    <w:rsid w:val="0097612F"/>
    <w:rsid w:val="00976588"/>
    <w:rsid w:val="009767DE"/>
    <w:rsid w:val="00977552"/>
    <w:rsid w:val="00977602"/>
    <w:rsid w:val="00977C85"/>
    <w:rsid w:val="009802E4"/>
    <w:rsid w:val="0098061C"/>
    <w:rsid w:val="00980832"/>
    <w:rsid w:val="00980AC9"/>
    <w:rsid w:val="00980C87"/>
    <w:rsid w:val="00981047"/>
    <w:rsid w:val="00981180"/>
    <w:rsid w:val="009811CE"/>
    <w:rsid w:val="0098136D"/>
    <w:rsid w:val="009817D7"/>
    <w:rsid w:val="009817E9"/>
    <w:rsid w:val="00981908"/>
    <w:rsid w:val="00981943"/>
    <w:rsid w:val="00981FF9"/>
    <w:rsid w:val="00982026"/>
    <w:rsid w:val="0098213D"/>
    <w:rsid w:val="00982527"/>
    <w:rsid w:val="00983250"/>
    <w:rsid w:val="00983662"/>
    <w:rsid w:val="00983913"/>
    <w:rsid w:val="00983AD1"/>
    <w:rsid w:val="0098486A"/>
    <w:rsid w:val="009852F0"/>
    <w:rsid w:val="009856DB"/>
    <w:rsid w:val="00985899"/>
    <w:rsid w:val="0098643E"/>
    <w:rsid w:val="00987055"/>
    <w:rsid w:val="00987141"/>
    <w:rsid w:val="009874B6"/>
    <w:rsid w:val="009874FC"/>
    <w:rsid w:val="00987563"/>
    <w:rsid w:val="00987A3D"/>
    <w:rsid w:val="009901EC"/>
    <w:rsid w:val="0099027F"/>
    <w:rsid w:val="00990873"/>
    <w:rsid w:val="0099151E"/>
    <w:rsid w:val="00991546"/>
    <w:rsid w:val="009919F0"/>
    <w:rsid w:val="00991BAE"/>
    <w:rsid w:val="00992496"/>
    <w:rsid w:val="009925A3"/>
    <w:rsid w:val="00992B88"/>
    <w:rsid w:val="00992F7E"/>
    <w:rsid w:val="00992F85"/>
    <w:rsid w:val="009932F8"/>
    <w:rsid w:val="00993AA4"/>
    <w:rsid w:val="0099401A"/>
    <w:rsid w:val="00994069"/>
    <w:rsid w:val="009942F4"/>
    <w:rsid w:val="00994816"/>
    <w:rsid w:val="00994976"/>
    <w:rsid w:val="009951BB"/>
    <w:rsid w:val="00995383"/>
    <w:rsid w:val="00995789"/>
    <w:rsid w:val="00996254"/>
    <w:rsid w:val="009964CE"/>
    <w:rsid w:val="00996752"/>
    <w:rsid w:val="00996BDA"/>
    <w:rsid w:val="00996BE7"/>
    <w:rsid w:val="00996BF9"/>
    <w:rsid w:val="00996E21"/>
    <w:rsid w:val="00996FCC"/>
    <w:rsid w:val="00997235"/>
    <w:rsid w:val="0099732D"/>
    <w:rsid w:val="00997474"/>
    <w:rsid w:val="00997513"/>
    <w:rsid w:val="009975FB"/>
    <w:rsid w:val="00997ADC"/>
    <w:rsid w:val="00997B7D"/>
    <w:rsid w:val="00997D12"/>
    <w:rsid w:val="00997F16"/>
    <w:rsid w:val="009A08A3"/>
    <w:rsid w:val="009A0AF6"/>
    <w:rsid w:val="009A0B8C"/>
    <w:rsid w:val="009A12CD"/>
    <w:rsid w:val="009A2083"/>
    <w:rsid w:val="009A25AF"/>
    <w:rsid w:val="009A26E6"/>
    <w:rsid w:val="009A2A16"/>
    <w:rsid w:val="009A2ACD"/>
    <w:rsid w:val="009A2CE1"/>
    <w:rsid w:val="009A3037"/>
    <w:rsid w:val="009A3156"/>
    <w:rsid w:val="009A31C2"/>
    <w:rsid w:val="009A3E0E"/>
    <w:rsid w:val="009A3F08"/>
    <w:rsid w:val="009A41DA"/>
    <w:rsid w:val="009A5174"/>
    <w:rsid w:val="009A51C4"/>
    <w:rsid w:val="009A562B"/>
    <w:rsid w:val="009A595E"/>
    <w:rsid w:val="009A64F4"/>
    <w:rsid w:val="009A668E"/>
    <w:rsid w:val="009A6F46"/>
    <w:rsid w:val="009A754E"/>
    <w:rsid w:val="009A7E67"/>
    <w:rsid w:val="009A7EAC"/>
    <w:rsid w:val="009B0222"/>
    <w:rsid w:val="009B0A13"/>
    <w:rsid w:val="009B0A4A"/>
    <w:rsid w:val="009B1020"/>
    <w:rsid w:val="009B13C9"/>
    <w:rsid w:val="009B2053"/>
    <w:rsid w:val="009B2151"/>
    <w:rsid w:val="009B25B7"/>
    <w:rsid w:val="009B2734"/>
    <w:rsid w:val="009B2894"/>
    <w:rsid w:val="009B2934"/>
    <w:rsid w:val="009B2BE6"/>
    <w:rsid w:val="009B2C9A"/>
    <w:rsid w:val="009B2ED9"/>
    <w:rsid w:val="009B2EF0"/>
    <w:rsid w:val="009B2F69"/>
    <w:rsid w:val="009B2FEC"/>
    <w:rsid w:val="009B345A"/>
    <w:rsid w:val="009B34A6"/>
    <w:rsid w:val="009B3554"/>
    <w:rsid w:val="009B3ECE"/>
    <w:rsid w:val="009B46F7"/>
    <w:rsid w:val="009B4996"/>
    <w:rsid w:val="009B500B"/>
    <w:rsid w:val="009B5516"/>
    <w:rsid w:val="009B5B47"/>
    <w:rsid w:val="009B6B4C"/>
    <w:rsid w:val="009B6C95"/>
    <w:rsid w:val="009B6ECA"/>
    <w:rsid w:val="009B70A4"/>
    <w:rsid w:val="009B727A"/>
    <w:rsid w:val="009B775C"/>
    <w:rsid w:val="009C078F"/>
    <w:rsid w:val="009C1B15"/>
    <w:rsid w:val="009C1CC9"/>
    <w:rsid w:val="009C1F8F"/>
    <w:rsid w:val="009C2222"/>
    <w:rsid w:val="009C286B"/>
    <w:rsid w:val="009C28B2"/>
    <w:rsid w:val="009C2937"/>
    <w:rsid w:val="009C29E6"/>
    <w:rsid w:val="009C2D44"/>
    <w:rsid w:val="009C2F73"/>
    <w:rsid w:val="009C3AA3"/>
    <w:rsid w:val="009C3EAE"/>
    <w:rsid w:val="009C476B"/>
    <w:rsid w:val="009C493C"/>
    <w:rsid w:val="009C4AD2"/>
    <w:rsid w:val="009C4EB6"/>
    <w:rsid w:val="009C4ECF"/>
    <w:rsid w:val="009C52DE"/>
    <w:rsid w:val="009C5D4A"/>
    <w:rsid w:val="009C619A"/>
    <w:rsid w:val="009C63CA"/>
    <w:rsid w:val="009C6758"/>
    <w:rsid w:val="009C6D47"/>
    <w:rsid w:val="009C7847"/>
    <w:rsid w:val="009C7DE4"/>
    <w:rsid w:val="009D012C"/>
    <w:rsid w:val="009D023B"/>
    <w:rsid w:val="009D033C"/>
    <w:rsid w:val="009D05E7"/>
    <w:rsid w:val="009D0A70"/>
    <w:rsid w:val="009D0CE7"/>
    <w:rsid w:val="009D0D3F"/>
    <w:rsid w:val="009D1113"/>
    <w:rsid w:val="009D13D0"/>
    <w:rsid w:val="009D195A"/>
    <w:rsid w:val="009D22E1"/>
    <w:rsid w:val="009D22FB"/>
    <w:rsid w:val="009D24B1"/>
    <w:rsid w:val="009D295E"/>
    <w:rsid w:val="009D2E05"/>
    <w:rsid w:val="009D3066"/>
    <w:rsid w:val="009D310F"/>
    <w:rsid w:val="009D316D"/>
    <w:rsid w:val="009D33E8"/>
    <w:rsid w:val="009D3552"/>
    <w:rsid w:val="009D3C90"/>
    <w:rsid w:val="009D3ECA"/>
    <w:rsid w:val="009D422D"/>
    <w:rsid w:val="009D42DE"/>
    <w:rsid w:val="009D4661"/>
    <w:rsid w:val="009D4A72"/>
    <w:rsid w:val="009D4F79"/>
    <w:rsid w:val="009D52BF"/>
    <w:rsid w:val="009D5465"/>
    <w:rsid w:val="009D594D"/>
    <w:rsid w:val="009D5EDF"/>
    <w:rsid w:val="009D5FB7"/>
    <w:rsid w:val="009D6100"/>
    <w:rsid w:val="009D6E1A"/>
    <w:rsid w:val="009D6F4E"/>
    <w:rsid w:val="009D7923"/>
    <w:rsid w:val="009D7DFB"/>
    <w:rsid w:val="009E0264"/>
    <w:rsid w:val="009E0523"/>
    <w:rsid w:val="009E089F"/>
    <w:rsid w:val="009E0EE8"/>
    <w:rsid w:val="009E144B"/>
    <w:rsid w:val="009E1E4D"/>
    <w:rsid w:val="009E2E8E"/>
    <w:rsid w:val="009E33E4"/>
    <w:rsid w:val="009E37F3"/>
    <w:rsid w:val="009E380B"/>
    <w:rsid w:val="009E465A"/>
    <w:rsid w:val="009E4734"/>
    <w:rsid w:val="009E4F2F"/>
    <w:rsid w:val="009E5B0D"/>
    <w:rsid w:val="009E5BAF"/>
    <w:rsid w:val="009E619C"/>
    <w:rsid w:val="009E658A"/>
    <w:rsid w:val="009E6814"/>
    <w:rsid w:val="009E6EA8"/>
    <w:rsid w:val="009E734D"/>
    <w:rsid w:val="009F0140"/>
    <w:rsid w:val="009F0294"/>
    <w:rsid w:val="009F06CE"/>
    <w:rsid w:val="009F07DA"/>
    <w:rsid w:val="009F08F1"/>
    <w:rsid w:val="009F0BAE"/>
    <w:rsid w:val="009F140A"/>
    <w:rsid w:val="009F1E14"/>
    <w:rsid w:val="009F22DE"/>
    <w:rsid w:val="009F2521"/>
    <w:rsid w:val="009F262D"/>
    <w:rsid w:val="009F2812"/>
    <w:rsid w:val="009F3266"/>
    <w:rsid w:val="009F38C4"/>
    <w:rsid w:val="009F3E8B"/>
    <w:rsid w:val="009F402B"/>
    <w:rsid w:val="009F423F"/>
    <w:rsid w:val="009F46E7"/>
    <w:rsid w:val="009F489D"/>
    <w:rsid w:val="009F49BB"/>
    <w:rsid w:val="009F4A1C"/>
    <w:rsid w:val="009F4C13"/>
    <w:rsid w:val="009F4C3F"/>
    <w:rsid w:val="009F547C"/>
    <w:rsid w:val="009F54A6"/>
    <w:rsid w:val="009F56CE"/>
    <w:rsid w:val="009F58CE"/>
    <w:rsid w:val="009F7414"/>
    <w:rsid w:val="009F786E"/>
    <w:rsid w:val="009F7FFC"/>
    <w:rsid w:val="00A00523"/>
    <w:rsid w:val="00A007EF"/>
    <w:rsid w:val="00A0080D"/>
    <w:rsid w:val="00A008D1"/>
    <w:rsid w:val="00A00C84"/>
    <w:rsid w:val="00A00EF3"/>
    <w:rsid w:val="00A00F8D"/>
    <w:rsid w:val="00A010F5"/>
    <w:rsid w:val="00A0120A"/>
    <w:rsid w:val="00A01CD3"/>
    <w:rsid w:val="00A02698"/>
    <w:rsid w:val="00A029DE"/>
    <w:rsid w:val="00A02D82"/>
    <w:rsid w:val="00A02DBD"/>
    <w:rsid w:val="00A030E6"/>
    <w:rsid w:val="00A03189"/>
    <w:rsid w:val="00A03440"/>
    <w:rsid w:val="00A0431B"/>
    <w:rsid w:val="00A04A2C"/>
    <w:rsid w:val="00A04DA9"/>
    <w:rsid w:val="00A0507E"/>
    <w:rsid w:val="00A055C3"/>
    <w:rsid w:val="00A0561D"/>
    <w:rsid w:val="00A05809"/>
    <w:rsid w:val="00A058F5"/>
    <w:rsid w:val="00A06554"/>
    <w:rsid w:val="00A06706"/>
    <w:rsid w:val="00A06AB3"/>
    <w:rsid w:val="00A06C21"/>
    <w:rsid w:val="00A06E85"/>
    <w:rsid w:val="00A0739C"/>
    <w:rsid w:val="00A073B6"/>
    <w:rsid w:val="00A07418"/>
    <w:rsid w:val="00A1074D"/>
    <w:rsid w:val="00A10F47"/>
    <w:rsid w:val="00A11BC2"/>
    <w:rsid w:val="00A11D1D"/>
    <w:rsid w:val="00A11DFF"/>
    <w:rsid w:val="00A11E95"/>
    <w:rsid w:val="00A11F76"/>
    <w:rsid w:val="00A12289"/>
    <w:rsid w:val="00A1236B"/>
    <w:rsid w:val="00A12381"/>
    <w:rsid w:val="00A12395"/>
    <w:rsid w:val="00A12571"/>
    <w:rsid w:val="00A131A5"/>
    <w:rsid w:val="00A13533"/>
    <w:rsid w:val="00A1366F"/>
    <w:rsid w:val="00A13721"/>
    <w:rsid w:val="00A137E5"/>
    <w:rsid w:val="00A13993"/>
    <w:rsid w:val="00A14653"/>
    <w:rsid w:val="00A14AF3"/>
    <w:rsid w:val="00A14C71"/>
    <w:rsid w:val="00A15126"/>
    <w:rsid w:val="00A151D2"/>
    <w:rsid w:val="00A155D5"/>
    <w:rsid w:val="00A158D8"/>
    <w:rsid w:val="00A15A84"/>
    <w:rsid w:val="00A15D37"/>
    <w:rsid w:val="00A15D55"/>
    <w:rsid w:val="00A166AC"/>
    <w:rsid w:val="00A1674C"/>
    <w:rsid w:val="00A16B59"/>
    <w:rsid w:val="00A1723B"/>
    <w:rsid w:val="00A1773A"/>
    <w:rsid w:val="00A17865"/>
    <w:rsid w:val="00A17A7B"/>
    <w:rsid w:val="00A204C6"/>
    <w:rsid w:val="00A209CB"/>
    <w:rsid w:val="00A21308"/>
    <w:rsid w:val="00A2136A"/>
    <w:rsid w:val="00A21AE3"/>
    <w:rsid w:val="00A21B7B"/>
    <w:rsid w:val="00A21EBD"/>
    <w:rsid w:val="00A22193"/>
    <w:rsid w:val="00A2272E"/>
    <w:rsid w:val="00A22C5E"/>
    <w:rsid w:val="00A22CA6"/>
    <w:rsid w:val="00A22F22"/>
    <w:rsid w:val="00A23113"/>
    <w:rsid w:val="00A23187"/>
    <w:rsid w:val="00A23726"/>
    <w:rsid w:val="00A23937"/>
    <w:rsid w:val="00A23B7E"/>
    <w:rsid w:val="00A23BD9"/>
    <w:rsid w:val="00A24265"/>
    <w:rsid w:val="00A242B7"/>
    <w:rsid w:val="00A2433E"/>
    <w:rsid w:val="00A244DB"/>
    <w:rsid w:val="00A24532"/>
    <w:rsid w:val="00A247E6"/>
    <w:rsid w:val="00A24990"/>
    <w:rsid w:val="00A24A04"/>
    <w:rsid w:val="00A24A4E"/>
    <w:rsid w:val="00A25627"/>
    <w:rsid w:val="00A2590A"/>
    <w:rsid w:val="00A25A3F"/>
    <w:rsid w:val="00A25DCF"/>
    <w:rsid w:val="00A25EAF"/>
    <w:rsid w:val="00A25EC9"/>
    <w:rsid w:val="00A264D4"/>
    <w:rsid w:val="00A265B2"/>
    <w:rsid w:val="00A26A48"/>
    <w:rsid w:val="00A26E1B"/>
    <w:rsid w:val="00A27137"/>
    <w:rsid w:val="00A27518"/>
    <w:rsid w:val="00A276B4"/>
    <w:rsid w:val="00A27C1C"/>
    <w:rsid w:val="00A27FE7"/>
    <w:rsid w:val="00A3048B"/>
    <w:rsid w:val="00A30616"/>
    <w:rsid w:val="00A30D40"/>
    <w:rsid w:val="00A30F50"/>
    <w:rsid w:val="00A313C0"/>
    <w:rsid w:val="00A314A3"/>
    <w:rsid w:val="00A318D6"/>
    <w:rsid w:val="00A31D45"/>
    <w:rsid w:val="00A32462"/>
    <w:rsid w:val="00A32876"/>
    <w:rsid w:val="00A328DB"/>
    <w:rsid w:val="00A33317"/>
    <w:rsid w:val="00A337D6"/>
    <w:rsid w:val="00A342C0"/>
    <w:rsid w:val="00A34828"/>
    <w:rsid w:val="00A34D9A"/>
    <w:rsid w:val="00A34F27"/>
    <w:rsid w:val="00A35CE5"/>
    <w:rsid w:val="00A35E76"/>
    <w:rsid w:val="00A362AD"/>
    <w:rsid w:val="00A366D1"/>
    <w:rsid w:val="00A36798"/>
    <w:rsid w:val="00A378ED"/>
    <w:rsid w:val="00A403D3"/>
    <w:rsid w:val="00A403FC"/>
    <w:rsid w:val="00A407EF"/>
    <w:rsid w:val="00A408DE"/>
    <w:rsid w:val="00A4098E"/>
    <w:rsid w:val="00A40CA6"/>
    <w:rsid w:val="00A40DBB"/>
    <w:rsid w:val="00A40FF3"/>
    <w:rsid w:val="00A41363"/>
    <w:rsid w:val="00A4194F"/>
    <w:rsid w:val="00A41DF8"/>
    <w:rsid w:val="00A41FCD"/>
    <w:rsid w:val="00A4288D"/>
    <w:rsid w:val="00A429E9"/>
    <w:rsid w:val="00A42A87"/>
    <w:rsid w:val="00A42ACF"/>
    <w:rsid w:val="00A42ED6"/>
    <w:rsid w:val="00A437F2"/>
    <w:rsid w:val="00A43C0F"/>
    <w:rsid w:val="00A43C8F"/>
    <w:rsid w:val="00A43CC1"/>
    <w:rsid w:val="00A43E82"/>
    <w:rsid w:val="00A4445C"/>
    <w:rsid w:val="00A4483C"/>
    <w:rsid w:val="00A44887"/>
    <w:rsid w:val="00A44C62"/>
    <w:rsid w:val="00A44CDB"/>
    <w:rsid w:val="00A44F13"/>
    <w:rsid w:val="00A45157"/>
    <w:rsid w:val="00A45519"/>
    <w:rsid w:val="00A457B8"/>
    <w:rsid w:val="00A45E6F"/>
    <w:rsid w:val="00A46707"/>
    <w:rsid w:val="00A469EE"/>
    <w:rsid w:val="00A469F9"/>
    <w:rsid w:val="00A46D0D"/>
    <w:rsid w:val="00A4720B"/>
    <w:rsid w:val="00A473CA"/>
    <w:rsid w:val="00A4787D"/>
    <w:rsid w:val="00A478A8"/>
    <w:rsid w:val="00A479A2"/>
    <w:rsid w:val="00A47B2B"/>
    <w:rsid w:val="00A47E99"/>
    <w:rsid w:val="00A50020"/>
    <w:rsid w:val="00A5019B"/>
    <w:rsid w:val="00A50D2B"/>
    <w:rsid w:val="00A50E55"/>
    <w:rsid w:val="00A50F90"/>
    <w:rsid w:val="00A51346"/>
    <w:rsid w:val="00A5184A"/>
    <w:rsid w:val="00A51CC9"/>
    <w:rsid w:val="00A51F61"/>
    <w:rsid w:val="00A521A9"/>
    <w:rsid w:val="00A5272D"/>
    <w:rsid w:val="00A5297E"/>
    <w:rsid w:val="00A52F7F"/>
    <w:rsid w:val="00A531BE"/>
    <w:rsid w:val="00A5324F"/>
    <w:rsid w:val="00A53263"/>
    <w:rsid w:val="00A532AE"/>
    <w:rsid w:val="00A53803"/>
    <w:rsid w:val="00A53900"/>
    <w:rsid w:val="00A539D5"/>
    <w:rsid w:val="00A53E23"/>
    <w:rsid w:val="00A54440"/>
    <w:rsid w:val="00A5498D"/>
    <w:rsid w:val="00A551FD"/>
    <w:rsid w:val="00A553DD"/>
    <w:rsid w:val="00A556FC"/>
    <w:rsid w:val="00A5570C"/>
    <w:rsid w:val="00A55727"/>
    <w:rsid w:val="00A55B71"/>
    <w:rsid w:val="00A55DDA"/>
    <w:rsid w:val="00A55E5C"/>
    <w:rsid w:val="00A5634C"/>
    <w:rsid w:val="00A56599"/>
    <w:rsid w:val="00A56F41"/>
    <w:rsid w:val="00A56FD5"/>
    <w:rsid w:val="00A57342"/>
    <w:rsid w:val="00A57635"/>
    <w:rsid w:val="00A5771F"/>
    <w:rsid w:val="00A60242"/>
    <w:rsid w:val="00A6048D"/>
    <w:rsid w:val="00A60515"/>
    <w:rsid w:val="00A60D2B"/>
    <w:rsid w:val="00A60D36"/>
    <w:rsid w:val="00A614FB"/>
    <w:rsid w:val="00A618B8"/>
    <w:rsid w:val="00A6196B"/>
    <w:rsid w:val="00A626AA"/>
    <w:rsid w:val="00A62863"/>
    <w:rsid w:val="00A628A0"/>
    <w:rsid w:val="00A62B3A"/>
    <w:rsid w:val="00A62F53"/>
    <w:rsid w:val="00A635C7"/>
    <w:rsid w:val="00A63661"/>
    <w:rsid w:val="00A63B50"/>
    <w:rsid w:val="00A640EC"/>
    <w:rsid w:val="00A646D3"/>
    <w:rsid w:val="00A6477B"/>
    <w:rsid w:val="00A64E32"/>
    <w:rsid w:val="00A64F69"/>
    <w:rsid w:val="00A65246"/>
    <w:rsid w:val="00A65545"/>
    <w:rsid w:val="00A658F5"/>
    <w:rsid w:val="00A66B35"/>
    <w:rsid w:val="00A66B6E"/>
    <w:rsid w:val="00A67C4D"/>
    <w:rsid w:val="00A67E8C"/>
    <w:rsid w:val="00A702B1"/>
    <w:rsid w:val="00A70354"/>
    <w:rsid w:val="00A704EA"/>
    <w:rsid w:val="00A71093"/>
    <w:rsid w:val="00A710A6"/>
    <w:rsid w:val="00A7182D"/>
    <w:rsid w:val="00A718D0"/>
    <w:rsid w:val="00A71BC2"/>
    <w:rsid w:val="00A71C84"/>
    <w:rsid w:val="00A71F68"/>
    <w:rsid w:val="00A724DE"/>
    <w:rsid w:val="00A725C2"/>
    <w:rsid w:val="00A731F9"/>
    <w:rsid w:val="00A733A5"/>
    <w:rsid w:val="00A73F20"/>
    <w:rsid w:val="00A7433E"/>
    <w:rsid w:val="00A74787"/>
    <w:rsid w:val="00A74FC1"/>
    <w:rsid w:val="00A750BD"/>
    <w:rsid w:val="00A75187"/>
    <w:rsid w:val="00A75478"/>
    <w:rsid w:val="00A75624"/>
    <w:rsid w:val="00A75E2F"/>
    <w:rsid w:val="00A75ED1"/>
    <w:rsid w:val="00A7607A"/>
    <w:rsid w:val="00A7650D"/>
    <w:rsid w:val="00A76846"/>
    <w:rsid w:val="00A773F5"/>
    <w:rsid w:val="00A77802"/>
    <w:rsid w:val="00A77A56"/>
    <w:rsid w:val="00A77B35"/>
    <w:rsid w:val="00A77C92"/>
    <w:rsid w:val="00A77D33"/>
    <w:rsid w:val="00A77F16"/>
    <w:rsid w:val="00A8054C"/>
    <w:rsid w:val="00A80645"/>
    <w:rsid w:val="00A80F67"/>
    <w:rsid w:val="00A8134F"/>
    <w:rsid w:val="00A8143C"/>
    <w:rsid w:val="00A81740"/>
    <w:rsid w:val="00A81AA2"/>
    <w:rsid w:val="00A81EE6"/>
    <w:rsid w:val="00A822FF"/>
    <w:rsid w:val="00A827C1"/>
    <w:rsid w:val="00A83094"/>
    <w:rsid w:val="00A83235"/>
    <w:rsid w:val="00A8333D"/>
    <w:rsid w:val="00A838E0"/>
    <w:rsid w:val="00A83D53"/>
    <w:rsid w:val="00A83E3E"/>
    <w:rsid w:val="00A83E7C"/>
    <w:rsid w:val="00A83ED7"/>
    <w:rsid w:val="00A83FD0"/>
    <w:rsid w:val="00A84028"/>
    <w:rsid w:val="00A8497E"/>
    <w:rsid w:val="00A84AF6"/>
    <w:rsid w:val="00A8506B"/>
    <w:rsid w:val="00A851A2"/>
    <w:rsid w:val="00A85422"/>
    <w:rsid w:val="00A85A63"/>
    <w:rsid w:val="00A85D2B"/>
    <w:rsid w:val="00A86595"/>
    <w:rsid w:val="00A86B00"/>
    <w:rsid w:val="00A86B87"/>
    <w:rsid w:val="00A8700B"/>
    <w:rsid w:val="00A8716F"/>
    <w:rsid w:val="00A872D3"/>
    <w:rsid w:val="00A87A0C"/>
    <w:rsid w:val="00A87C17"/>
    <w:rsid w:val="00A87DC6"/>
    <w:rsid w:val="00A90002"/>
    <w:rsid w:val="00A90119"/>
    <w:rsid w:val="00A905E1"/>
    <w:rsid w:val="00A905FA"/>
    <w:rsid w:val="00A9115F"/>
    <w:rsid w:val="00A91628"/>
    <w:rsid w:val="00A91E02"/>
    <w:rsid w:val="00A92402"/>
    <w:rsid w:val="00A9240E"/>
    <w:rsid w:val="00A92AC8"/>
    <w:rsid w:val="00A9310F"/>
    <w:rsid w:val="00A93175"/>
    <w:rsid w:val="00A93626"/>
    <w:rsid w:val="00A9393A"/>
    <w:rsid w:val="00A939FB"/>
    <w:rsid w:val="00A941BD"/>
    <w:rsid w:val="00A9445B"/>
    <w:rsid w:val="00A944A7"/>
    <w:rsid w:val="00A945FA"/>
    <w:rsid w:val="00A951EE"/>
    <w:rsid w:val="00A95B84"/>
    <w:rsid w:val="00A95C7C"/>
    <w:rsid w:val="00A95D92"/>
    <w:rsid w:val="00A95F7D"/>
    <w:rsid w:val="00A96121"/>
    <w:rsid w:val="00A9646C"/>
    <w:rsid w:val="00A9714C"/>
    <w:rsid w:val="00A976D9"/>
    <w:rsid w:val="00A97C2B"/>
    <w:rsid w:val="00A97FDA"/>
    <w:rsid w:val="00AA026B"/>
    <w:rsid w:val="00AA02E5"/>
    <w:rsid w:val="00AA06E7"/>
    <w:rsid w:val="00AA0C3E"/>
    <w:rsid w:val="00AA0D2B"/>
    <w:rsid w:val="00AA0F09"/>
    <w:rsid w:val="00AA11E3"/>
    <w:rsid w:val="00AA1390"/>
    <w:rsid w:val="00AA198E"/>
    <w:rsid w:val="00AA1B15"/>
    <w:rsid w:val="00AA1E0C"/>
    <w:rsid w:val="00AA1EFD"/>
    <w:rsid w:val="00AA2010"/>
    <w:rsid w:val="00AA23FB"/>
    <w:rsid w:val="00AA2698"/>
    <w:rsid w:val="00AA28AF"/>
    <w:rsid w:val="00AA2907"/>
    <w:rsid w:val="00AA310D"/>
    <w:rsid w:val="00AA36FF"/>
    <w:rsid w:val="00AA41E1"/>
    <w:rsid w:val="00AA4229"/>
    <w:rsid w:val="00AA43CB"/>
    <w:rsid w:val="00AA455B"/>
    <w:rsid w:val="00AA4BBB"/>
    <w:rsid w:val="00AA4D94"/>
    <w:rsid w:val="00AA4F9E"/>
    <w:rsid w:val="00AA5DA2"/>
    <w:rsid w:val="00AA5F9C"/>
    <w:rsid w:val="00AA60C2"/>
    <w:rsid w:val="00AA60CB"/>
    <w:rsid w:val="00AA65DF"/>
    <w:rsid w:val="00AA67CB"/>
    <w:rsid w:val="00AA6D11"/>
    <w:rsid w:val="00AA6D4C"/>
    <w:rsid w:val="00AA7143"/>
    <w:rsid w:val="00AA7537"/>
    <w:rsid w:val="00AA75FF"/>
    <w:rsid w:val="00AA77FB"/>
    <w:rsid w:val="00AA788C"/>
    <w:rsid w:val="00AA7D1B"/>
    <w:rsid w:val="00AB03A5"/>
    <w:rsid w:val="00AB07E8"/>
    <w:rsid w:val="00AB12E5"/>
    <w:rsid w:val="00AB12EA"/>
    <w:rsid w:val="00AB200D"/>
    <w:rsid w:val="00AB2554"/>
    <w:rsid w:val="00AB2765"/>
    <w:rsid w:val="00AB2ED6"/>
    <w:rsid w:val="00AB30A3"/>
    <w:rsid w:val="00AB3538"/>
    <w:rsid w:val="00AB3D44"/>
    <w:rsid w:val="00AB3DBE"/>
    <w:rsid w:val="00AB48A0"/>
    <w:rsid w:val="00AB48CF"/>
    <w:rsid w:val="00AB4BFE"/>
    <w:rsid w:val="00AB5274"/>
    <w:rsid w:val="00AB593B"/>
    <w:rsid w:val="00AB5DF7"/>
    <w:rsid w:val="00AB6110"/>
    <w:rsid w:val="00AB6250"/>
    <w:rsid w:val="00AB64E8"/>
    <w:rsid w:val="00AB6596"/>
    <w:rsid w:val="00AB699C"/>
    <w:rsid w:val="00AB71A0"/>
    <w:rsid w:val="00AB7C97"/>
    <w:rsid w:val="00AC00FB"/>
    <w:rsid w:val="00AC021C"/>
    <w:rsid w:val="00AC05D1"/>
    <w:rsid w:val="00AC064F"/>
    <w:rsid w:val="00AC09E4"/>
    <w:rsid w:val="00AC0C3D"/>
    <w:rsid w:val="00AC1591"/>
    <w:rsid w:val="00AC17F4"/>
    <w:rsid w:val="00AC1C57"/>
    <w:rsid w:val="00AC2D6D"/>
    <w:rsid w:val="00AC2DCD"/>
    <w:rsid w:val="00AC320D"/>
    <w:rsid w:val="00AC37BF"/>
    <w:rsid w:val="00AC3AD4"/>
    <w:rsid w:val="00AC3B0C"/>
    <w:rsid w:val="00AC3BF9"/>
    <w:rsid w:val="00AC4365"/>
    <w:rsid w:val="00AC4A72"/>
    <w:rsid w:val="00AC4E65"/>
    <w:rsid w:val="00AC54AD"/>
    <w:rsid w:val="00AC56E7"/>
    <w:rsid w:val="00AC56F0"/>
    <w:rsid w:val="00AC57B1"/>
    <w:rsid w:val="00AC59AE"/>
    <w:rsid w:val="00AC5D2E"/>
    <w:rsid w:val="00AC5EC1"/>
    <w:rsid w:val="00AC7258"/>
    <w:rsid w:val="00AC730B"/>
    <w:rsid w:val="00AC730E"/>
    <w:rsid w:val="00AC7879"/>
    <w:rsid w:val="00AC78B2"/>
    <w:rsid w:val="00AC7D5B"/>
    <w:rsid w:val="00AC7F6C"/>
    <w:rsid w:val="00AD01B3"/>
    <w:rsid w:val="00AD0982"/>
    <w:rsid w:val="00AD09EF"/>
    <w:rsid w:val="00AD0A91"/>
    <w:rsid w:val="00AD1084"/>
    <w:rsid w:val="00AD1255"/>
    <w:rsid w:val="00AD15DE"/>
    <w:rsid w:val="00AD1613"/>
    <w:rsid w:val="00AD21E2"/>
    <w:rsid w:val="00AD2F83"/>
    <w:rsid w:val="00AD33B1"/>
    <w:rsid w:val="00AD3896"/>
    <w:rsid w:val="00AD3C48"/>
    <w:rsid w:val="00AD4B4A"/>
    <w:rsid w:val="00AD51BF"/>
    <w:rsid w:val="00AD5CBB"/>
    <w:rsid w:val="00AD632F"/>
    <w:rsid w:val="00AD6DB9"/>
    <w:rsid w:val="00AD6FF4"/>
    <w:rsid w:val="00AD7118"/>
    <w:rsid w:val="00AD7398"/>
    <w:rsid w:val="00AD7E9F"/>
    <w:rsid w:val="00AE06C9"/>
    <w:rsid w:val="00AE0C53"/>
    <w:rsid w:val="00AE0E17"/>
    <w:rsid w:val="00AE0ED7"/>
    <w:rsid w:val="00AE0F3E"/>
    <w:rsid w:val="00AE0FBB"/>
    <w:rsid w:val="00AE11DF"/>
    <w:rsid w:val="00AE174B"/>
    <w:rsid w:val="00AE18C3"/>
    <w:rsid w:val="00AE1A6E"/>
    <w:rsid w:val="00AE28A1"/>
    <w:rsid w:val="00AE2AB3"/>
    <w:rsid w:val="00AE339F"/>
    <w:rsid w:val="00AE38A0"/>
    <w:rsid w:val="00AE4372"/>
    <w:rsid w:val="00AE456C"/>
    <w:rsid w:val="00AE461D"/>
    <w:rsid w:val="00AE4A1D"/>
    <w:rsid w:val="00AE508F"/>
    <w:rsid w:val="00AE53FC"/>
    <w:rsid w:val="00AE5709"/>
    <w:rsid w:val="00AE7C14"/>
    <w:rsid w:val="00AF07CE"/>
    <w:rsid w:val="00AF08F7"/>
    <w:rsid w:val="00AF0A59"/>
    <w:rsid w:val="00AF0AE0"/>
    <w:rsid w:val="00AF0C3A"/>
    <w:rsid w:val="00AF0C6D"/>
    <w:rsid w:val="00AF0CAA"/>
    <w:rsid w:val="00AF0F48"/>
    <w:rsid w:val="00AF17FD"/>
    <w:rsid w:val="00AF18A6"/>
    <w:rsid w:val="00AF1C42"/>
    <w:rsid w:val="00AF1D22"/>
    <w:rsid w:val="00AF1EB1"/>
    <w:rsid w:val="00AF2188"/>
    <w:rsid w:val="00AF2AA7"/>
    <w:rsid w:val="00AF2E3B"/>
    <w:rsid w:val="00AF2EA0"/>
    <w:rsid w:val="00AF33F9"/>
    <w:rsid w:val="00AF3991"/>
    <w:rsid w:val="00AF4AB4"/>
    <w:rsid w:val="00AF4E09"/>
    <w:rsid w:val="00AF4EC2"/>
    <w:rsid w:val="00AF595B"/>
    <w:rsid w:val="00AF5A5D"/>
    <w:rsid w:val="00AF5EA0"/>
    <w:rsid w:val="00AF5FEC"/>
    <w:rsid w:val="00AF60B5"/>
    <w:rsid w:val="00AF652F"/>
    <w:rsid w:val="00AF65E2"/>
    <w:rsid w:val="00AF682E"/>
    <w:rsid w:val="00AF68AC"/>
    <w:rsid w:val="00AF6B3F"/>
    <w:rsid w:val="00AF7F2C"/>
    <w:rsid w:val="00B0045F"/>
    <w:rsid w:val="00B00746"/>
    <w:rsid w:val="00B009C3"/>
    <w:rsid w:val="00B00B46"/>
    <w:rsid w:val="00B00DE2"/>
    <w:rsid w:val="00B00EE4"/>
    <w:rsid w:val="00B0180D"/>
    <w:rsid w:val="00B01E75"/>
    <w:rsid w:val="00B020D0"/>
    <w:rsid w:val="00B02775"/>
    <w:rsid w:val="00B0281D"/>
    <w:rsid w:val="00B02977"/>
    <w:rsid w:val="00B029FD"/>
    <w:rsid w:val="00B02EB3"/>
    <w:rsid w:val="00B036B1"/>
    <w:rsid w:val="00B03D88"/>
    <w:rsid w:val="00B04BAA"/>
    <w:rsid w:val="00B04D19"/>
    <w:rsid w:val="00B0502C"/>
    <w:rsid w:val="00B05057"/>
    <w:rsid w:val="00B050B8"/>
    <w:rsid w:val="00B05794"/>
    <w:rsid w:val="00B058F6"/>
    <w:rsid w:val="00B05A1A"/>
    <w:rsid w:val="00B06041"/>
    <w:rsid w:val="00B06459"/>
    <w:rsid w:val="00B068F7"/>
    <w:rsid w:val="00B06976"/>
    <w:rsid w:val="00B06B47"/>
    <w:rsid w:val="00B06E03"/>
    <w:rsid w:val="00B074C1"/>
    <w:rsid w:val="00B07DA8"/>
    <w:rsid w:val="00B07EEA"/>
    <w:rsid w:val="00B10451"/>
    <w:rsid w:val="00B10ABB"/>
    <w:rsid w:val="00B10B32"/>
    <w:rsid w:val="00B10E04"/>
    <w:rsid w:val="00B10EEB"/>
    <w:rsid w:val="00B11408"/>
    <w:rsid w:val="00B11453"/>
    <w:rsid w:val="00B118C8"/>
    <w:rsid w:val="00B11EFD"/>
    <w:rsid w:val="00B11FB3"/>
    <w:rsid w:val="00B123DD"/>
    <w:rsid w:val="00B12489"/>
    <w:rsid w:val="00B12616"/>
    <w:rsid w:val="00B12620"/>
    <w:rsid w:val="00B12742"/>
    <w:rsid w:val="00B12754"/>
    <w:rsid w:val="00B12925"/>
    <w:rsid w:val="00B12D3E"/>
    <w:rsid w:val="00B13109"/>
    <w:rsid w:val="00B13212"/>
    <w:rsid w:val="00B13339"/>
    <w:rsid w:val="00B133ED"/>
    <w:rsid w:val="00B13458"/>
    <w:rsid w:val="00B140FF"/>
    <w:rsid w:val="00B141F7"/>
    <w:rsid w:val="00B1428A"/>
    <w:rsid w:val="00B14320"/>
    <w:rsid w:val="00B14379"/>
    <w:rsid w:val="00B15444"/>
    <w:rsid w:val="00B15511"/>
    <w:rsid w:val="00B15664"/>
    <w:rsid w:val="00B158EE"/>
    <w:rsid w:val="00B15B2C"/>
    <w:rsid w:val="00B1683F"/>
    <w:rsid w:val="00B169A0"/>
    <w:rsid w:val="00B17A3A"/>
    <w:rsid w:val="00B17B4C"/>
    <w:rsid w:val="00B20020"/>
    <w:rsid w:val="00B205AC"/>
    <w:rsid w:val="00B2083C"/>
    <w:rsid w:val="00B21005"/>
    <w:rsid w:val="00B21231"/>
    <w:rsid w:val="00B21537"/>
    <w:rsid w:val="00B21996"/>
    <w:rsid w:val="00B21AA3"/>
    <w:rsid w:val="00B2230D"/>
    <w:rsid w:val="00B2292B"/>
    <w:rsid w:val="00B22B01"/>
    <w:rsid w:val="00B22E2F"/>
    <w:rsid w:val="00B2316D"/>
    <w:rsid w:val="00B23F76"/>
    <w:rsid w:val="00B24554"/>
    <w:rsid w:val="00B24EAF"/>
    <w:rsid w:val="00B25348"/>
    <w:rsid w:val="00B254DB"/>
    <w:rsid w:val="00B2582F"/>
    <w:rsid w:val="00B25A0C"/>
    <w:rsid w:val="00B25C77"/>
    <w:rsid w:val="00B25F19"/>
    <w:rsid w:val="00B25F2E"/>
    <w:rsid w:val="00B26268"/>
    <w:rsid w:val="00B263FF"/>
    <w:rsid w:val="00B2650F"/>
    <w:rsid w:val="00B26528"/>
    <w:rsid w:val="00B269F8"/>
    <w:rsid w:val="00B26C01"/>
    <w:rsid w:val="00B272DB"/>
    <w:rsid w:val="00B2791A"/>
    <w:rsid w:val="00B27BFA"/>
    <w:rsid w:val="00B27C00"/>
    <w:rsid w:val="00B27DBC"/>
    <w:rsid w:val="00B27E33"/>
    <w:rsid w:val="00B302C1"/>
    <w:rsid w:val="00B309A1"/>
    <w:rsid w:val="00B315B7"/>
    <w:rsid w:val="00B31B2D"/>
    <w:rsid w:val="00B31C7C"/>
    <w:rsid w:val="00B32758"/>
    <w:rsid w:val="00B327B2"/>
    <w:rsid w:val="00B329B3"/>
    <w:rsid w:val="00B32DE9"/>
    <w:rsid w:val="00B32E42"/>
    <w:rsid w:val="00B32E9E"/>
    <w:rsid w:val="00B338DA"/>
    <w:rsid w:val="00B33D21"/>
    <w:rsid w:val="00B33E1A"/>
    <w:rsid w:val="00B347FC"/>
    <w:rsid w:val="00B34846"/>
    <w:rsid w:val="00B349D4"/>
    <w:rsid w:val="00B34CE2"/>
    <w:rsid w:val="00B34D2B"/>
    <w:rsid w:val="00B34F07"/>
    <w:rsid w:val="00B35179"/>
    <w:rsid w:val="00B35538"/>
    <w:rsid w:val="00B356CE"/>
    <w:rsid w:val="00B3574F"/>
    <w:rsid w:val="00B35AAB"/>
    <w:rsid w:val="00B35C15"/>
    <w:rsid w:val="00B35E8C"/>
    <w:rsid w:val="00B361AC"/>
    <w:rsid w:val="00B36741"/>
    <w:rsid w:val="00B36BAC"/>
    <w:rsid w:val="00B370E5"/>
    <w:rsid w:val="00B3758D"/>
    <w:rsid w:val="00B37A15"/>
    <w:rsid w:val="00B37AFE"/>
    <w:rsid w:val="00B3E012"/>
    <w:rsid w:val="00B416F8"/>
    <w:rsid w:val="00B41CB8"/>
    <w:rsid w:val="00B4212C"/>
    <w:rsid w:val="00B43464"/>
    <w:rsid w:val="00B434F2"/>
    <w:rsid w:val="00B43889"/>
    <w:rsid w:val="00B439E1"/>
    <w:rsid w:val="00B43A19"/>
    <w:rsid w:val="00B43E10"/>
    <w:rsid w:val="00B43E32"/>
    <w:rsid w:val="00B43EDD"/>
    <w:rsid w:val="00B4408E"/>
    <w:rsid w:val="00B44365"/>
    <w:rsid w:val="00B445F3"/>
    <w:rsid w:val="00B4476F"/>
    <w:rsid w:val="00B44787"/>
    <w:rsid w:val="00B45408"/>
    <w:rsid w:val="00B45483"/>
    <w:rsid w:val="00B4555E"/>
    <w:rsid w:val="00B45BE9"/>
    <w:rsid w:val="00B45C86"/>
    <w:rsid w:val="00B45DD1"/>
    <w:rsid w:val="00B46934"/>
    <w:rsid w:val="00B469D6"/>
    <w:rsid w:val="00B4734A"/>
    <w:rsid w:val="00B474E3"/>
    <w:rsid w:val="00B478A1"/>
    <w:rsid w:val="00B47ED0"/>
    <w:rsid w:val="00B50119"/>
    <w:rsid w:val="00B506A1"/>
    <w:rsid w:val="00B507A6"/>
    <w:rsid w:val="00B50AD1"/>
    <w:rsid w:val="00B517E3"/>
    <w:rsid w:val="00B51819"/>
    <w:rsid w:val="00B51F50"/>
    <w:rsid w:val="00B52851"/>
    <w:rsid w:val="00B52A86"/>
    <w:rsid w:val="00B52C07"/>
    <w:rsid w:val="00B52CE8"/>
    <w:rsid w:val="00B52E81"/>
    <w:rsid w:val="00B530E4"/>
    <w:rsid w:val="00B531AE"/>
    <w:rsid w:val="00B532DD"/>
    <w:rsid w:val="00B53457"/>
    <w:rsid w:val="00B536FC"/>
    <w:rsid w:val="00B53C68"/>
    <w:rsid w:val="00B53CF8"/>
    <w:rsid w:val="00B53E79"/>
    <w:rsid w:val="00B5405B"/>
    <w:rsid w:val="00B540C4"/>
    <w:rsid w:val="00B54496"/>
    <w:rsid w:val="00B54ACC"/>
    <w:rsid w:val="00B55BD4"/>
    <w:rsid w:val="00B55D45"/>
    <w:rsid w:val="00B56406"/>
    <w:rsid w:val="00B5648C"/>
    <w:rsid w:val="00B565F2"/>
    <w:rsid w:val="00B56B72"/>
    <w:rsid w:val="00B56C7B"/>
    <w:rsid w:val="00B56CCA"/>
    <w:rsid w:val="00B5748B"/>
    <w:rsid w:val="00B57877"/>
    <w:rsid w:val="00B57BFD"/>
    <w:rsid w:val="00B60472"/>
    <w:rsid w:val="00B60D64"/>
    <w:rsid w:val="00B6111C"/>
    <w:rsid w:val="00B6142F"/>
    <w:rsid w:val="00B616B3"/>
    <w:rsid w:val="00B616D1"/>
    <w:rsid w:val="00B61B5E"/>
    <w:rsid w:val="00B6223C"/>
    <w:rsid w:val="00B622F1"/>
    <w:rsid w:val="00B626D3"/>
    <w:rsid w:val="00B62A0A"/>
    <w:rsid w:val="00B62A95"/>
    <w:rsid w:val="00B62C6F"/>
    <w:rsid w:val="00B62EA2"/>
    <w:rsid w:val="00B63333"/>
    <w:rsid w:val="00B63613"/>
    <w:rsid w:val="00B636F7"/>
    <w:rsid w:val="00B63B59"/>
    <w:rsid w:val="00B64924"/>
    <w:rsid w:val="00B654D4"/>
    <w:rsid w:val="00B6571C"/>
    <w:rsid w:val="00B65A66"/>
    <w:rsid w:val="00B662DB"/>
    <w:rsid w:val="00B66309"/>
    <w:rsid w:val="00B6669C"/>
    <w:rsid w:val="00B66A78"/>
    <w:rsid w:val="00B66B55"/>
    <w:rsid w:val="00B66CF8"/>
    <w:rsid w:val="00B66DEB"/>
    <w:rsid w:val="00B670D2"/>
    <w:rsid w:val="00B673BB"/>
    <w:rsid w:val="00B675D1"/>
    <w:rsid w:val="00B679AA"/>
    <w:rsid w:val="00B67ABA"/>
    <w:rsid w:val="00B706B7"/>
    <w:rsid w:val="00B70CFB"/>
    <w:rsid w:val="00B71258"/>
    <w:rsid w:val="00B71301"/>
    <w:rsid w:val="00B713CC"/>
    <w:rsid w:val="00B7161D"/>
    <w:rsid w:val="00B71AB7"/>
    <w:rsid w:val="00B71D7D"/>
    <w:rsid w:val="00B72149"/>
    <w:rsid w:val="00B72392"/>
    <w:rsid w:val="00B726A6"/>
    <w:rsid w:val="00B7276D"/>
    <w:rsid w:val="00B72F2B"/>
    <w:rsid w:val="00B73018"/>
    <w:rsid w:val="00B73243"/>
    <w:rsid w:val="00B732C8"/>
    <w:rsid w:val="00B73729"/>
    <w:rsid w:val="00B737C4"/>
    <w:rsid w:val="00B74074"/>
    <w:rsid w:val="00B749BF"/>
    <w:rsid w:val="00B74A67"/>
    <w:rsid w:val="00B74B6E"/>
    <w:rsid w:val="00B751EA"/>
    <w:rsid w:val="00B758C7"/>
    <w:rsid w:val="00B75B98"/>
    <w:rsid w:val="00B75DAA"/>
    <w:rsid w:val="00B76757"/>
    <w:rsid w:val="00B768DF"/>
    <w:rsid w:val="00B76934"/>
    <w:rsid w:val="00B76D46"/>
    <w:rsid w:val="00B770FA"/>
    <w:rsid w:val="00B77133"/>
    <w:rsid w:val="00B77D74"/>
    <w:rsid w:val="00B80C36"/>
    <w:rsid w:val="00B80DEB"/>
    <w:rsid w:val="00B81031"/>
    <w:rsid w:val="00B810E7"/>
    <w:rsid w:val="00B813B4"/>
    <w:rsid w:val="00B81D26"/>
    <w:rsid w:val="00B81D87"/>
    <w:rsid w:val="00B825D5"/>
    <w:rsid w:val="00B8280B"/>
    <w:rsid w:val="00B82916"/>
    <w:rsid w:val="00B82B89"/>
    <w:rsid w:val="00B82DCD"/>
    <w:rsid w:val="00B82E8C"/>
    <w:rsid w:val="00B82F94"/>
    <w:rsid w:val="00B83A27"/>
    <w:rsid w:val="00B83AEA"/>
    <w:rsid w:val="00B83CE3"/>
    <w:rsid w:val="00B83FE0"/>
    <w:rsid w:val="00B84179"/>
    <w:rsid w:val="00B846A7"/>
    <w:rsid w:val="00B846DB"/>
    <w:rsid w:val="00B8474C"/>
    <w:rsid w:val="00B84884"/>
    <w:rsid w:val="00B84AC4"/>
    <w:rsid w:val="00B84B0E"/>
    <w:rsid w:val="00B84DF2"/>
    <w:rsid w:val="00B84FC1"/>
    <w:rsid w:val="00B84FF7"/>
    <w:rsid w:val="00B85132"/>
    <w:rsid w:val="00B8513A"/>
    <w:rsid w:val="00B853BC"/>
    <w:rsid w:val="00B85BA5"/>
    <w:rsid w:val="00B86155"/>
    <w:rsid w:val="00B867E8"/>
    <w:rsid w:val="00B86907"/>
    <w:rsid w:val="00B86AEF"/>
    <w:rsid w:val="00B86B23"/>
    <w:rsid w:val="00B86E1D"/>
    <w:rsid w:val="00B870B4"/>
    <w:rsid w:val="00B872FE"/>
    <w:rsid w:val="00B878E8"/>
    <w:rsid w:val="00B87A12"/>
    <w:rsid w:val="00B87D92"/>
    <w:rsid w:val="00B87F49"/>
    <w:rsid w:val="00B87FE4"/>
    <w:rsid w:val="00B90107"/>
    <w:rsid w:val="00B9046A"/>
    <w:rsid w:val="00B906AF"/>
    <w:rsid w:val="00B90775"/>
    <w:rsid w:val="00B90B5E"/>
    <w:rsid w:val="00B90D36"/>
    <w:rsid w:val="00B90DA8"/>
    <w:rsid w:val="00B91119"/>
    <w:rsid w:val="00B917E5"/>
    <w:rsid w:val="00B91B71"/>
    <w:rsid w:val="00B91F08"/>
    <w:rsid w:val="00B927C8"/>
    <w:rsid w:val="00B92CE2"/>
    <w:rsid w:val="00B9304C"/>
    <w:rsid w:val="00B93232"/>
    <w:rsid w:val="00B936E7"/>
    <w:rsid w:val="00B93967"/>
    <w:rsid w:val="00B93A2A"/>
    <w:rsid w:val="00B93F35"/>
    <w:rsid w:val="00B9475A"/>
    <w:rsid w:val="00B94A9D"/>
    <w:rsid w:val="00B94B26"/>
    <w:rsid w:val="00B967C9"/>
    <w:rsid w:val="00B97095"/>
    <w:rsid w:val="00B972E4"/>
    <w:rsid w:val="00B9784D"/>
    <w:rsid w:val="00B9790B"/>
    <w:rsid w:val="00BA028E"/>
    <w:rsid w:val="00BA05AC"/>
    <w:rsid w:val="00BA0686"/>
    <w:rsid w:val="00BA0B2D"/>
    <w:rsid w:val="00BA0BE5"/>
    <w:rsid w:val="00BA0F7E"/>
    <w:rsid w:val="00BA170F"/>
    <w:rsid w:val="00BA182C"/>
    <w:rsid w:val="00BA1DF4"/>
    <w:rsid w:val="00BA1E55"/>
    <w:rsid w:val="00BA23E3"/>
    <w:rsid w:val="00BA24EE"/>
    <w:rsid w:val="00BA25DB"/>
    <w:rsid w:val="00BA279E"/>
    <w:rsid w:val="00BA2E36"/>
    <w:rsid w:val="00BA3029"/>
    <w:rsid w:val="00BA3BD7"/>
    <w:rsid w:val="00BA41A1"/>
    <w:rsid w:val="00BA4609"/>
    <w:rsid w:val="00BA48FB"/>
    <w:rsid w:val="00BA4C9F"/>
    <w:rsid w:val="00BA4E57"/>
    <w:rsid w:val="00BA50D4"/>
    <w:rsid w:val="00BA537C"/>
    <w:rsid w:val="00BA5427"/>
    <w:rsid w:val="00BA5748"/>
    <w:rsid w:val="00BA5793"/>
    <w:rsid w:val="00BA626A"/>
    <w:rsid w:val="00BA663C"/>
    <w:rsid w:val="00BA664A"/>
    <w:rsid w:val="00BA6991"/>
    <w:rsid w:val="00BA778C"/>
    <w:rsid w:val="00BA7831"/>
    <w:rsid w:val="00BA7F98"/>
    <w:rsid w:val="00BB0256"/>
    <w:rsid w:val="00BB03A7"/>
    <w:rsid w:val="00BB059B"/>
    <w:rsid w:val="00BB06EA"/>
    <w:rsid w:val="00BB078C"/>
    <w:rsid w:val="00BB0DEB"/>
    <w:rsid w:val="00BB0E7A"/>
    <w:rsid w:val="00BB157D"/>
    <w:rsid w:val="00BB1875"/>
    <w:rsid w:val="00BB1D2C"/>
    <w:rsid w:val="00BB1FC8"/>
    <w:rsid w:val="00BB2097"/>
    <w:rsid w:val="00BB2D22"/>
    <w:rsid w:val="00BB2F42"/>
    <w:rsid w:val="00BB351E"/>
    <w:rsid w:val="00BB3CF1"/>
    <w:rsid w:val="00BB3E8C"/>
    <w:rsid w:val="00BB3F1B"/>
    <w:rsid w:val="00BB4B61"/>
    <w:rsid w:val="00BB4D6D"/>
    <w:rsid w:val="00BB51A3"/>
    <w:rsid w:val="00BB617A"/>
    <w:rsid w:val="00BB6761"/>
    <w:rsid w:val="00BB6A5B"/>
    <w:rsid w:val="00BB6BC5"/>
    <w:rsid w:val="00BB6BE3"/>
    <w:rsid w:val="00BBA669"/>
    <w:rsid w:val="00BC03C4"/>
    <w:rsid w:val="00BC04C8"/>
    <w:rsid w:val="00BC10DE"/>
    <w:rsid w:val="00BC15B0"/>
    <w:rsid w:val="00BC1806"/>
    <w:rsid w:val="00BC199C"/>
    <w:rsid w:val="00BC1D6E"/>
    <w:rsid w:val="00BC1F32"/>
    <w:rsid w:val="00BC201A"/>
    <w:rsid w:val="00BC20BA"/>
    <w:rsid w:val="00BC267F"/>
    <w:rsid w:val="00BC327D"/>
    <w:rsid w:val="00BC38E7"/>
    <w:rsid w:val="00BC3C95"/>
    <w:rsid w:val="00BC3E9A"/>
    <w:rsid w:val="00BC4411"/>
    <w:rsid w:val="00BC456B"/>
    <w:rsid w:val="00BC4A0A"/>
    <w:rsid w:val="00BC4E96"/>
    <w:rsid w:val="00BC50B6"/>
    <w:rsid w:val="00BC5DDF"/>
    <w:rsid w:val="00BC62E2"/>
    <w:rsid w:val="00BC63F0"/>
    <w:rsid w:val="00BC6417"/>
    <w:rsid w:val="00BC6A62"/>
    <w:rsid w:val="00BC6B6E"/>
    <w:rsid w:val="00BC6D0B"/>
    <w:rsid w:val="00BC6D7C"/>
    <w:rsid w:val="00BC7289"/>
    <w:rsid w:val="00BC7C89"/>
    <w:rsid w:val="00BD03CA"/>
    <w:rsid w:val="00BD0606"/>
    <w:rsid w:val="00BD0F08"/>
    <w:rsid w:val="00BD1468"/>
    <w:rsid w:val="00BD1499"/>
    <w:rsid w:val="00BD1515"/>
    <w:rsid w:val="00BD153B"/>
    <w:rsid w:val="00BD1620"/>
    <w:rsid w:val="00BD1E6F"/>
    <w:rsid w:val="00BD1EBA"/>
    <w:rsid w:val="00BD20F7"/>
    <w:rsid w:val="00BD2446"/>
    <w:rsid w:val="00BD2AF6"/>
    <w:rsid w:val="00BD2C76"/>
    <w:rsid w:val="00BD2FD8"/>
    <w:rsid w:val="00BD3644"/>
    <w:rsid w:val="00BD3816"/>
    <w:rsid w:val="00BD3E5F"/>
    <w:rsid w:val="00BD4219"/>
    <w:rsid w:val="00BD4427"/>
    <w:rsid w:val="00BD471D"/>
    <w:rsid w:val="00BD47BC"/>
    <w:rsid w:val="00BD4BF0"/>
    <w:rsid w:val="00BD4CDE"/>
    <w:rsid w:val="00BD4D4C"/>
    <w:rsid w:val="00BD5978"/>
    <w:rsid w:val="00BD5A2D"/>
    <w:rsid w:val="00BD5A8D"/>
    <w:rsid w:val="00BD5A9F"/>
    <w:rsid w:val="00BD5F9E"/>
    <w:rsid w:val="00BD62E3"/>
    <w:rsid w:val="00BD63E3"/>
    <w:rsid w:val="00BD6870"/>
    <w:rsid w:val="00BD7134"/>
    <w:rsid w:val="00BD76AB"/>
    <w:rsid w:val="00BE059E"/>
    <w:rsid w:val="00BE0CFE"/>
    <w:rsid w:val="00BE1550"/>
    <w:rsid w:val="00BE178A"/>
    <w:rsid w:val="00BE24B5"/>
    <w:rsid w:val="00BE2667"/>
    <w:rsid w:val="00BE319C"/>
    <w:rsid w:val="00BE36AB"/>
    <w:rsid w:val="00BE3F71"/>
    <w:rsid w:val="00BE469C"/>
    <w:rsid w:val="00BE46F8"/>
    <w:rsid w:val="00BE4824"/>
    <w:rsid w:val="00BE491A"/>
    <w:rsid w:val="00BE51AE"/>
    <w:rsid w:val="00BE567F"/>
    <w:rsid w:val="00BE56BE"/>
    <w:rsid w:val="00BE62DC"/>
    <w:rsid w:val="00BE6BB7"/>
    <w:rsid w:val="00BE6CED"/>
    <w:rsid w:val="00BE70EA"/>
    <w:rsid w:val="00BE7386"/>
    <w:rsid w:val="00BE7426"/>
    <w:rsid w:val="00BE7574"/>
    <w:rsid w:val="00BE7770"/>
    <w:rsid w:val="00BE7959"/>
    <w:rsid w:val="00BF0048"/>
    <w:rsid w:val="00BF0085"/>
    <w:rsid w:val="00BF0278"/>
    <w:rsid w:val="00BF02C1"/>
    <w:rsid w:val="00BF0409"/>
    <w:rsid w:val="00BF0BD8"/>
    <w:rsid w:val="00BF0BFE"/>
    <w:rsid w:val="00BF0DC0"/>
    <w:rsid w:val="00BF0E80"/>
    <w:rsid w:val="00BF1085"/>
    <w:rsid w:val="00BF12F3"/>
    <w:rsid w:val="00BF1595"/>
    <w:rsid w:val="00BF1940"/>
    <w:rsid w:val="00BF196A"/>
    <w:rsid w:val="00BF1B5E"/>
    <w:rsid w:val="00BF264D"/>
    <w:rsid w:val="00BF27DB"/>
    <w:rsid w:val="00BF2B24"/>
    <w:rsid w:val="00BF2C89"/>
    <w:rsid w:val="00BF36DE"/>
    <w:rsid w:val="00BF39B1"/>
    <w:rsid w:val="00BF3C7C"/>
    <w:rsid w:val="00BF3CC2"/>
    <w:rsid w:val="00BF40DC"/>
    <w:rsid w:val="00BF4150"/>
    <w:rsid w:val="00BF519D"/>
    <w:rsid w:val="00BF558D"/>
    <w:rsid w:val="00BF55B3"/>
    <w:rsid w:val="00BF58FB"/>
    <w:rsid w:val="00BF5979"/>
    <w:rsid w:val="00BF598D"/>
    <w:rsid w:val="00BF5AB8"/>
    <w:rsid w:val="00BF5B60"/>
    <w:rsid w:val="00BF5CDC"/>
    <w:rsid w:val="00BF5CF7"/>
    <w:rsid w:val="00BF5F37"/>
    <w:rsid w:val="00BF61D3"/>
    <w:rsid w:val="00BF63C9"/>
    <w:rsid w:val="00BF67F7"/>
    <w:rsid w:val="00BF72A6"/>
    <w:rsid w:val="00BF7342"/>
    <w:rsid w:val="00BF7E86"/>
    <w:rsid w:val="00BF7F89"/>
    <w:rsid w:val="00C004DA"/>
    <w:rsid w:val="00C007C3"/>
    <w:rsid w:val="00C00C08"/>
    <w:rsid w:val="00C00C22"/>
    <w:rsid w:val="00C0130C"/>
    <w:rsid w:val="00C0181D"/>
    <w:rsid w:val="00C019F3"/>
    <w:rsid w:val="00C01B6B"/>
    <w:rsid w:val="00C01C98"/>
    <w:rsid w:val="00C01CBA"/>
    <w:rsid w:val="00C01EE9"/>
    <w:rsid w:val="00C0271C"/>
    <w:rsid w:val="00C02C8C"/>
    <w:rsid w:val="00C035AB"/>
    <w:rsid w:val="00C03C24"/>
    <w:rsid w:val="00C03CCF"/>
    <w:rsid w:val="00C03E90"/>
    <w:rsid w:val="00C04469"/>
    <w:rsid w:val="00C04617"/>
    <w:rsid w:val="00C04A3F"/>
    <w:rsid w:val="00C059EE"/>
    <w:rsid w:val="00C05DAA"/>
    <w:rsid w:val="00C061CF"/>
    <w:rsid w:val="00C063FF"/>
    <w:rsid w:val="00C068D9"/>
    <w:rsid w:val="00C06968"/>
    <w:rsid w:val="00C06EE5"/>
    <w:rsid w:val="00C07490"/>
    <w:rsid w:val="00C07DE4"/>
    <w:rsid w:val="00C10AF8"/>
    <w:rsid w:val="00C111B8"/>
    <w:rsid w:val="00C11246"/>
    <w:rsid w:val="00C1168E"/>
    <w:rsid w:val="00C11A37"/>
    <w:rsid w:val="00C12824"/>
    <w:rsid w:val="00C13A94"/>
    <w:rsid w:val="00C1468F"/>
    <w:rsid w:val="00C14A05"/>
    <w:rsid w:val="00C14E14"/>
    <w:rsid w:val="00C14F62"/>
    <w:rsid w:val="00C156FB"/>
    <w:rsid w:val="00C15A57"/>
    <w:rsid w:val="00C15AA8"/>
    <w:rsid w:val="00C16345"/>
    <w:rsid w:val="00C164EF"/>
    <w:rsid w:val="00C1690B"/>
    <w:rsid w:val="00C170D9"/>
    <w:rsid w:val="00C1710A"/>
    <w:rsid w:val="00C17153"/>
    <w:rsid w:val="00C1718F"/>
    <w:rsid w:val="00C172BD"/>
    <w:rsid w:val="00C1752D"/>
    <w:rsid w:val="00C175F2"/>
    <w:rsid w:val="00C2000E"/>
    <w:rsid w:val="00C2020A"/>
    <w:rsid w:val="00C20631"/>
    <w:rsid w:val="00C20E37"/>
    <w:rsid w:val="00C20E4E"/>
    <w:rsid w:val="00C21075"/>
    <w:rsid w:val="00C21393"/>
    <w:rsid w:val="00C216DE"/>
    <w:rsid w:val="00C21973"/>
    <w:rsid w:val="00C2206B"/>
    <w:rsid w:val="00C22344"/>
    <w:rsid w:val="00C2237A"/>
    <w:rsid w:val="00C2248C"/>
    <w:rsid w:val="00C2260F"/>
    <w:rsid w:val="00C23E29"/>
    <w:rsid w:val="00C23F43"/>
    <w:rsid w:val="00C24010"/>
    <w:rsid w:val="00C241CB"/>
    <w:rsid w:val="00C246BF"/>
    <w:rsid w:val="00C246C1"/>
    <w:rsid w:val="00C24C40"/>
    <w:rsid w:val="00C24F98"/>
    <w:rsid w:val="00C25988"/>
    <w:rsid w:val="00C25A63"/>
    <w:rsid w:val="00C25FE3"/>
    <w:rsid w:val="00C26D0C"/>
    <w:rsid w:val="00C2718C"/>
    <w:rsid w:val="00C27678"/>
    <w:rsid w:val="00C276B7"/>
    <w:rsid w:val="00C27D35"/>
    <w:rsid w:val="00C300C0"/>
    <w:rsid w:val="00C30249"/>
    <w:rsid w:val="00C303EF"/>
    <w:rsid w:val="00C306F9"/>
    <w:rsid w:val="00C30D6F"/>
    <w:rsid w:val="00C310E8"/>
    <w:rsid w:val="00C3110C"/>
    <w:rsid w:val="00C31369"/>
    <w:rsid w:val="00C31413"/>
    <w:rsid w:val="00C31889"/>
    <w:rsid w:val="00C31895"/>
    <w:rsid w:val="00C31DBF"/>
    <w:rsid w:val="00C31E6F"/>
    <w:rsid w:val="00C32064"/>
    <w:rsid w:val="00C321EE"/>
    <w:rsid w:val="00C323E0"/>
    <w:rsid w:val="00C3243F"/>
    <w:rsid w:val="00C3280E"/>
    <w:rsid w:val="00C32828"/>
    <w:rsid w:val="00C32877"/>
    <w:rsid w:val="00C329BF"/>
    <w:rsid w:val="00C33589"/>
    <w:rsid w:val="00C337FA"/>
    <w:rsid w:val="00C33AC1"/>
    <w:rsid w:val="00C3479F"/>
    <w:rsid w:val="00C34F70"/>
    <w:rsid w:val="00C34FB8"/>
    <w:rsid w:val="00C3505B"/>
    <w:rsid w:val="00C35216"/>
    <w:rsid w:val="00C35CE5"/>
    <w:rsid w:val="00C360B5"/>
    <w:rsid w:val="00C36100"/>
    <w:rsid w:val="00C36209"/>
    <w:rsid w:val="00C36FAE"/>
    <w:rsid w:val="00C37061"/>
    <w:rsid w:val="00C37199"/>
    <w:rsid w:val="00C37CFE"/>
    <w:rsid w:val="00C37D27"/>
    <w:rsid w:val="00C37D81"/>
    <w:rsid w:val="00C40085"/>
    <w:rsid w:val="00C402B7"/>
    <w:rsid w:val="00C40D31"/>
    <w:rsid w:val="00C412B1"/>
    <w:rsid w:val="00C413D1"/>
    <w:rsid w:val="00C41C96"/>
    <w:rsid w:val="00C41DCA"/>
    <w:rsid w:val="00C41FC1"/>
    <w:rsid w:val="00C420FA"/>
    <w:rsid w:val="00C4224E"/>
    <w:rsid w:val="00C42595"/>
    <w:rsid w:val="00C43139"/>
    <w:rsid w:val="00C44286"/>
    <w:rsid w:val="00C44A76"/>
    <w:rsid w:val="00C44C78"/>
    <w:rsid w:val="00C44DB2"/>
    <w:rsid w:val="00C45237"/>
    <w:rsid w:val="00C45636"/>
    <w:rsid w:val="00C45872"/>
    <w:rsid w:val="00C45A85"/>
    <w:rsid w:val="00C45FC1"/>
    <w:rsid w:val="00C462AF"/>
    <w:rsid w:val="00C466C8"/>
    <w:rsid w:val="00C468A5"/>
    <w:rsid w:val="00C46B9A"/>
    <w:rsid w:val="00C47003"/>
    <w:rsid w:val="00C470C7"/>
    <w:rsid w:val="00C479BB"/>
    <w:rsid w:val="00C47E3A"/>
    <w:rsid w:val="00C47FF1"/>
    <w:rsid w:val="00C50060"/>
    <w:rsid w:val="00C50069"/>
    <w:rsid w:val="00C500E8"/>
    <w:rsid w:val="00C50393"/>
    <w:rsid w:val="00C509B1"/>
    <w:rsid w:val="00C50D3A"/>
    <w:rsid w:val="00C50ED0"/>
    <w:rsid w:val="00C50FC3"/>
    <w:rsid w:val="00C512C1"/>
    <w:rsid w:val="00C521FA"/>
    <w:rsid w:val="00C5282A"/>
    <w:rsid w:val="00C52A8E"/>
    <w:rsid w:val="00C52FC4"/>
    <w:rsid w:val="00C530BC"/>
    <w:rsid w:val="00C53B01"/>
    <w:rsid w:val="00C53C0A"/>
    <w:rsid w:val="00C53F01"/>
    <w:rsid w:val="00C544C2"/>
    <w:rsid w:val="00C54508"/>
    <w:rsid w:val="00C54694"/>
    <w:rsid w:val="00C54AEB"/>
    <w:rsid w:val="00C54B2D"/>
    <w:rsid w:val="00C54CED"/>
    <w:rsid w:val="00C553DA"/>
    <w:rsid w:val="00C55802"/>
    <w:rsid w:val="00C558F3"/>
    <w:rsid w:val="00C55B2D"/>
    <w:rsid w:val="00C55B4F"/>
    <w:rsid w:val="00C55F6C"/>
    <w:rsid w:val="00C569B4"/>
    <w:rsid w:val="00C56C06"/>
    <w:rsid w:val="00C56D5D"/>
    <w:rsid w:val="00C56F5A"/>
    <w:rsid w:val="00C571D6"/>
    <w:rsid w:val="00C573B9"/>
    <w:rsid w:val="00C573F5"/>
    <w:rsid w:val="00C5753E"/>
    <w:rsid w:val="00C57C43"/>
    <w:rsid w:val="00C60023"/>
    <w:rsid w:val="00C6078B"/>
    <w:rsid w:val="00C60A23"/>
    <w:rsid w:val="00C60F8B"/>
    <w:rsid w:val="00C613BF"/>
    <w:rsid w:val="00C61556"/>
    <w:rsid w:val="00C61648"/>
    <w:rsid w:val="00C61AED"/>
    <w:rsid w:val="00C61DC1"/>
    <w:rsid w:val="00C620AC"/>
    <w:rsid w:val="00C6279C"/>
    <w:rsid w:val="00C62C6B"/>
    <w:rsid w:val="00C62EEF"/>
    <w:rsid w:val="00C63036"/>
    <w:rsid w:val="00C632E2"/>
    <w:rsid w:val="00C63350"/>
    <w:rsid w:val="00C63438"/>
    <w:rsid w:val="00C635B5"/>
    <w:rsid w:val="00C637A4"/>
    <w:rsid w:val="00C638B6"/>
    <w:rsid w:val="00C63CD8"/>
    <w:rsid w:val="00C64206"/>
    <w:rsid w:val="00C64624"/>
    <w:rsid w:val="00C646E3"/>
    <w:rsid w:val="00C64757"/>
    <w:rsid w:val="00C64A93"/>
    <w:rsid w:val="00C64DA0"/>
    <w:rsid w:val="00C65136"/>
    <w:rsid w:val="00C651DD"/>
    <w:rsid w:val="00C657E0"/>
    <w:rsid w:val="00C65BE6"/>
    <w:rsid w:val="00C66139"/>
    <w:rsid w:val="00C661A7"/>
    <w:rsid w:val="00C66721"/>
    <w:rsid w:val="00C66B75"/>
    <w:rsid w:val="00C66D0B"/>
    <w:rsid w:val="00C6761D"/>
    <w:rsid w:val="00C676CB"/>
    <w:rsid w:val="00C67B98"/>
    <w:rsid w:val="00C707A2"/>
    <w:rsid w:val="00C71334"/>
    <w:rsid w:val="00C726D6"/>
    <w:rsid w:val="00C73156"/>
    <w:rsid w:val="00C7418B"/>
    <w:rsid w:val="00C744F4"/>
    <w:rsid w:val="00C7468F"/>
    <w:rsid w:val="00C746B9"/>
    <w:rsid w:val="00C74C12"/>
    <w:rsid w:val="00C75050"/>
    <w:rsid w:val="00C751D8"/>
    <w:rsid w:val="00C75670"/>
    <w:rsid w:val="00C7598F"/>
    <w:rsid w:val="00C75C54"/>
    <w:rsid w:val="00C75F39"/>
    <w:rsid w:val="00C761CD"/>
    <w:rsid w:val="00C7686B"/>
    <w:rsid w:val="00C770A2"/>
    <w:rsid w:val="00C77DCF"/>
    <w:rsid w:val="00C7CD1E"/>
    <w:rsid w:val="00C80827"/>
    <w:rsid w:val="00C808D2"/>
    <w:rsid w:val="00C80E51"/>
    <w:rsid w:val="00C80E92"/>
    <w:rsid w:val="00C80FDC"/>
    <w:rsid w:val="00C81236"/>
    <w:rsid w:val="00C8151A"/>
    <w:rsid w:val="00C817E8"/>
    <w:rsid w:val="00C81965"/>
    <w:rsid w:val="00C81C2B"/>
    <w:rsid w:val="00C82087"/>
    <w:rsid w:val="00C820CF"/>
    <w:rsid w:val="00C82102"/>
    <w:rsid w:val="00C822C7"/>
    <w:rsid w:val="00C823DE"/>
    <w:rsid w:val="00C8295D"/>
    <w:rsid w:val="00C830A3"/>
    <w:rsid w:val="00C8314A"/>
    <w:rsid w:val="00C835AA"/>
    <w:rsid w:val="00C837C2"/>
    <w:rsid w:val="00C83867"/>
    <w:rsid w:val="00C83AF6"/>
    <w:rsid w:val="00C841F0"/>
    <w:rsid w:val="00C8458C"/>
    <w:rsid w:val="00C849A2"/>
    <w:rsid w:val="00C84E5E"/>
    <w:rsid w:val="00C85C8F"/>
    <w:rsid w:val="00C8618B"/>
    <w:rsid w:val="00C86276"/>
    <w:rsid w:val="00C8652D"/>
    <w:rsid w:val="00C869AF"/>
    <w:rsid w:val="00C86ADA"/>
    <w:rsid w:val="00C8703B"/>
    <w:rsid w:val="00C87476"/>
    <w:rsid w:val="00C903E0"/>
    <w:rsid w:val="00C904C8"/>
    <w:rsid w:val="00C90575"/>
    <w:rsid w:val="00C90D4E"/>
    <w:rsid w:val="00C9132F"/>
    <w:rsid w:val="00C916A0"/>
    <w:rsid w:val="00C918A3"/>
    <w:rsid w:val="00C91DD1"/>
    <w:rsid w:val="00C929D9"/>
    <w:rsid w:val="00C92A7D"/>
    <w:rsid w:val="00C92C94"/>
    <w:rsid w:val="00C93002"/>
    <w:rsid w:val="00C931AE"/>
    <w:rsid w:val="00C932B0"/>
    <w:rsid w:val="00C935A3"/>
    <w:rsid w:val="00C93AEA"/>
    <w:rsid w:val="00C94167"/>
    <w:rsid w:val="00C94254"/>
    <w:rsid w:val="00C942B2"/>
    <w:rsid w:val="00C94381"/>
    <w:rsid w:val="00C943E4"/>
    <w:rsid w:val="00C954A0"/>
    <w:rsid w:val="00C9590C"/>
    <w:rsid w:val="00C95974"/>
    <w:rsid w:val="00C95E27"/>
    <w:rsid w:val="00C95FC2"/>
    <w:rsid w:val="00C963F0"/>
    <w:rsid w:val="00C96554"/>
    <w:rsid w:val="00C96893"/>
    <w:rsid w:val="00C969B9"/>
    <w:rsid w:val="00C96D33"/>
    <w:rsid w:val="00C96E54"/>
    <w:rsid w:val="00C972E7"/>
    <w:rsid w:val="00C97470"/>
    <w:rsid w:val="00C97A30"/>
    <w:rsid w:val="00CA00D8"/>
    <w:rsid w:val="00CA01D4"/>
    <w:rsid w:val="00CA080F"/>
    <w:rsid w:val="00CA08BF"/>
    <w:rsid w:val="00CA08F0"/>
    <w:rsid w:val="00CA1230"/>
    <w:rsid w:val="00CA173E"/>
    <w:rsid w:val="00CA183A"/>
    <w:rsid w:val="00CA1936"/>
    <w:rsid w:val="00CA1A2D"/>
    <w:rsid w:val="00CA2409"/>
    <w:rsid w:val="00CA2596"/>
    <w:rsid w:val="00CA2996"/>
    <w:rsid w:val="00CA3B4E"/>
    <w:rsid w:val="00CA3C39"/>
    <w:rsid w:val="00CA3C5C"/>
    <w:rsid w:val="00CA3C64"/>
    <w:rsid w:val="00CA3D17"/>
    <w:rsid w:val="00CA3EA8"/>
    <w:rsid w:val="00CA3F39"/>
    <w:rsid w:val="00CA40DA"/>
    <w:rsid w:val="00CA4A9F"/>
    <w:rsid w:val="00CA4D6C"/>
    <w:rsid w:val="00CA5AB1"/>
    <w:rsid w:val="00CA5D24"/>
    <w:rsid w:val="00CA5D55"/>
    <w:rsid w:val="00CA5F0F"/>
    <w:rsid w:val="00CA5FE3"/>
    <w:rsid w:val="00CA626E"/>
    <w:rsid w:val="00CA6313"/>
    <w:rsid w:val="00CA63E9"/>
    <w:rsid w:val="00CA658A"/>
    <w:rsid w:val="00CA6722"/>
    <w:rsid w:val="00CA778C"/>
    <w:rsid w:val="00CA79A2"/>
    <w:rsid w:val="00CA7EE8"/>
    <w:rsid w:val="00CA7EF8"/>
    <w:rsid w:val="00CB0286"/>
    <w:rsid w:val="00CB05DF"/>
    <w:rsid w:val="00CB0789"/>
    <w:rsid w:val="00CB0806"/>
    <w:rsid w:val="00CB09CD"/>
    <w:rsid w:val="00CB0E22"/>
    <w:rsid w:val="00CB0F5B"/>
    <w:rsid w:val="00CB0FC8"/>
    <w:rsid w:val="00CB136E"/>
    <w:rsid w:val="00CB1421"/>
    <w:rsid w:val="00CB18A5"/>
    <w:rsid w:val="00CB1C50"/>
    <w:rsid w:val="00CB1F26"/>
    <w:rsid w:val="00CB2223"/>
    <w:rsid w:val="00CB26F8"/>
    <w:rsid w:val="00CB295B"/>
    <w:rsid w:val="00CB2A83"/>
    <w:rsid w:val="00CB37AE"/>
    <w:rsid w:val="00CB3824"/>
    <w:rsid w:val="00CB3BD1"/>
    <w:rsid w:val="00CB416F"/>
    <w:rsid w:val="00CB46B6"/>
    <w:rsid w:val="00CB4806"/>
    <w:rsid w:val="00CB567E"/>
    <w:rsid w:val="00CB5A41"/>
    <w:rsid w:val="00CB5ED0"/>
    <w:rsid w:val="00CB60A2"/>
    <w:rsid w:val="00CB6AE1"/>
    <w:rsid w:val="00CB6CDA"/>
    <w:rsid w:val="00CB6FC8"/>
    <w:rsid w:val="00CB7A56"/>
    <w:rsid w:val="00CB7B20"/>
    <w:rsid w:val="00CB7BD4"/>
    <w:rsid w:val="00CC0042"/>
    <w:rsid w:val="00CC02F4"/>
    <w:rsid w:val="00CC0BCB"/>
    <w:rsid w:val="00CC0DD0"/>
    <w:rsid w:val="00CC1067"/>
    <w:rsid w:val="00CC10A7"/>
    <w:rsid w:val="00CC1E68"/>
    <w:rsid w:val="00CC2079"/>
    <w:rsid w:val="00CC22F4"/>
    <w:rsid w:val="00CC2B84"/>
    <w:rsid w:val="00CC2E24"/>
    <w:rsid w:val="00CC3A0D"/>
    <w:rsid w:val="00CC3F9E"/>
    <w:rsid w:val="00CC40F2"/>
    <w:rsid w:val="00CC414D"/>
    <w:rsid w:val="00CC42D5"/>
    <w:rsid w:val="00CC451E"/>
    <w:rsid w:val="00CC47EC"/>
    <w:rsid w:val="00CC5009"/>
    <w:rsid w:val="00CC53FC"/>
    <w:rsid w:val="00CC5582"/>
    <w:rsid w:val="00CC55F7"/>
    <w:rsid w:val="00CC5933"/>
    <w:rsid w:val="00CC5986"/>
    <w:rsid w:val="00CC5FF8"/>
    <w:rsid w:val="00CC78B3"/>
    <w:rsid w:val="00CC7C52"/>
    <w:rsid w:val="00CC7F48"/>
    <w:rsid w:val="00CD0139"/>
    <w:rsid w:val="00CD0494"/>
    <w:rsid w:val="00CD0BE6"/>
    <w:rsid w:val="00CD0D61"/>
    <w:rsid w:val="00CD10F6"/>
    <w:rsid w:val="00CD1622"/>
    <w:rsid w:val="00CD1AFD"/>
    <w:rsid w:val="00CD22FE"/>
    <w:rsid w:val="00CD271F"/>
    <w:rsid w:val="00CD311C"/>
    <w:rsid w:val="00CD327E"/>
    <w:rsid w:val="00CD374E"/>
    <w:rsid w:val="00CD3824"/>
    <w:rsid w:val="00CD3B6E"/>
    <w:rsid w:val="00CD40B5"/>
    <w:rsid w:val="00CD4134"/>
    <w:rsid w:val="00CD4205"/>
    <w:rsid w:val="00CD42AE"/>
    <w:rsid w:val="00CD444B"/>
    <w:rsid w:val="00CD44CA"/>
    <w:rsid w:val="00CD4547"/>
    <w:rsid w:val="00CD45A6"/>
    <w:rsid w:val="00CD488E"/>
    <w:rsid w:val="00CD4995"/>
    <w:rsid w:val="00CD49D2"/>
    <w:rsid w:val="00CD5059"/>
    <w:rsid w:val="00CD5343"/>
    <w:rsid w:val="00CD5818"/>
    <w:rsid w:val="00CD5FEC"/>
    <w:rsid w:val="00CD6175"/>
    <w:rsid w:val="00CD71D5"/>
    <w:rsid w:val="00CD7963"/>
    <w:rsid w:val="00CD7B73"/>
    <w:rsid w:val="00CD7C3A"/>
    <w:rsid w:val="00CE00A2"/>
    <w:rsid w:val="00CE0244"/>
    <w:rsid w:val="00CE03E1"/>
    <w:rsid w:val="00CE04F5"/>
    <w:rsid w:val="00CE06C1"/>
    <w:rsid w:val="00CE08EC"/>
    <w:rsid w:val="00CE096E"/>
    <w:rsid w:val="00CE0A86"/>
    <w:rsid w:val="00CE0B95"/>
    <w:rsid w:val="00CE10BB"/>
    <w:rsid w:val="00CE1E82"/>
    <w:rsid w:val="00CE245B"/>
    <w:rsid w:val="00CE26CA"/>
    <w:rsid w:val="00CE2E52"/>
    <w:rsid w:val="00CE354E"/>
    <w:rsid w:val="00CE37E4"/>
    <w:rsid w:val="00CE38B3"/>
    <w:rsid w:val="00CE3B35"/>
    <w:rsid w:val="00CE40B2"/>
    <w:rsid w:val="00CE5525"/>
    <w:rsid w:val="00CE55EC"/>
    <w:rsid w:val="00CE570E"/>
    <w:rsid w:val="00CE606F"/>
    <w:rsid w:val="00CE6109"/>
    <w:rsid w:val="00CE67E6"/>
    <w:rsid w:val="00CE680B"/>
    <w:rsid w:val="00CE6C2C"/>
    <w:rsid w:val="00CE6EDE"/>
    <w:rsid w:val="00CE6F85"/>
    <w:rsid w:val="00CE754F"/>
    <w:rsid w:val="00CE761E"/>
    <w:rsid w:val="00CE76CE"/>
    <w:rsid w:val="00CE771C"/>
    <w:rsid w:val="00CE77D2"/>
    <w:rsid w:val="00CF0178"/>
    <w:rsid w:val="00CF04E5"/>
    <w:rsid w:val="00CF117C"/>
    <w:rsid w:val="00CF12AB"/>
    <w:rsid w:val="00CF1925"/>
    <w:rsid w:val="00CF1C1B"/>
    <w:rsid w:val="00CF1F07"/>
    <w:rsid w:val="00CF237F"/>
    <w:rsid w:val="00CF293D"/>
    <w:rsid w:val="00CF2C74"/>
    <w:rsid w:val="00CF2CE0"/>
    <w:rsid w:val="00CF2D29"/>
    <w:rsid w:val="00CF3183"/>
    <w:rsid w:val="00CF331A"/>
    <w:rsid w:val="00CF36B8"/>
    <w:rsid w:val="00CF3830"/>
    <w:rsid w:val="00CF49C4"/>
    <w:rsid w:val="00CF4A72"/>
    <w:rsid w:val="00CF4A98"/>
    <w:rsid w:val="00CF4B0F"/>
    <w:rsid w:val="00CF4D70"/>
    <w:rsid w:val="00CF4E07"/>
    <w:rsid w:val="00CF505B"/>
    <w:rsid w:val="00CF521A"/>
    <w:rsid w:val="00CF56E7"/>
    <w:rsid w:val="00CF5E44"/>
    <w:rsid w:val="00CF5E6C"/>
    <w:rsid w:val="00CF5F8E"/>
    <w:rsid w:val="00CF5FA7"/>
    <w:rsid w:val="00CF69FE"/>
    <w:rsid w:val="00CF6CD2"/>
    <w:rsid w:val="00CF733B"/>
    <w:rsid w:val="00CF735D"/>
    <w:rsid w:val="00CF7367"/>
    <w:rsid w:val="00CF7436"/>
    <w:rsid w:val="00CF769C"/>
    <w:rsid w:val="00CF7834"/>
    <w:rsid w:val="00CF79A2"/>
    <w:rsid w:val="00D00177"/>
    <w:rsid w:val="00D0076C"/>
    <w:rsid w:val="00D008B8"/>
    <w:rsid w:val="00D01137"/>
    <w:rsid w:val="00D0115E"/>
    <w:rsid w:val="00D01284"/>
    <w:rsid w:val="00D0135C"/>
    <w:rsid w:val="00D015B0"/>
    <w:rsid w:val="00D01D8A"/>
    <w:rsid w:val="00D01DE2"/>
    <w:rsid w:val="00D01F63"/>
    <w:rsid w:val="00D020D6"/>
    <w:rsid w:val="00D026AA"/>
    <w:rsid w:val="00D02E68"/>
    <w:rsid w:val="00D03386"/>
    <w:rsid w:val="00D034A4"/>
    <w:rsid w:val="00D0355D"/>
    <w:rsid w:val="00D03A31"/>
    <w:rsid w:val="00D04106"/>
    <w:rsid w:val="00D0425A"/>
    <w:rsid w:val="00D0430A"/>
    <w:rsid w:val="00D04447"/>
    <w:rsid w:val="00D0452D"/>
    <w:rsid w:val="00D04B15"/>
    <w:rsid w:val="00D04D78"/>
    <w:rsid w:val="00D05695"/>
    <w:rsid w:val="00D05B3D"/>
    <w:rsid w:val="00D05EB7"/>
    <w:rsid w:val="00D05F5E"/>
    <w:rsid w:val="00D05F68"/>
    <w:rsid w:val="00D06185"/>
    <w:rsid w:val="00D06449"/>
    <w:rsid w:val="00D06488"/>
    <w:rsid w:val="00D06843"/>
    <w:rsid w:val="00D0685B"/>
    <w:rsid w:val="00D0698B"/>
    <w:rsid w:val="00D06B9D"/>
    <w:rsid w:val="00D06FA8"/>
    <w:rsid w:val="00D070F8"/>
    <w:rsid w:val="00D0735E"/>
    <w:rsid w:val="00D07380"/>
    <w:rsid w:val="00D075A4"/>
    <w:rsid w:val="00D07B24"/>
    <w:rsid w:val="00D07B51"/>
    <w:rsid w:val="00D07C1B"/>
    <w:rsid w:val="00D07FF2"/>
    <w:rsid w:val="00D102FF"/>
    <w:rsid w:val="00D1069E"/>
    <w:rsid w:val="00D109A5"/>
    <w:rsid w:val="00D10C6D"/>
    <w:rsid w:val="00D10E7D"/>
    <w:rsid w:val="00D112FA"/>
    <w:rsid w:val="00D11392"/>
    <w:rsid w:val="00D11453"/>
    <w:rsid w:val="00D11662"/>
    <w:rsid w:val="00D1242C"/>
    <w:rsid w:val="00D13C05"/>
    <w:rsid w:val="00D13F00"/>
    <w:rsid w:val="00D13FF4"/>
    <w:rsid w:val="00D14469"/>
    <w:rsid w:val="00D1466E"/>
    <w:rsid w:val="00D14DA8"/>
    <w:rsid w:val="00D15416"/>
    <w:rsid w:val="00D157D2"/>
    <w:rsid w:val="00D15A58"/>
    <w:rsid w:val="00D15D55"/>
    <w:rsid w:val="00D16197"/>
    <w:rsid w:val="00D168C4"/>
    <w:rsid w:val="00D16DE0"/>
    <w:rsid w:val="00D1738E"/>
    <w:rsid w:val="00D17A7F"/>
    <w:rsid w:val="00D201F5"/>
    <w:rsid w:val="00D20211"/>
    <w:rsid w:val="00D2061C"/>
    <w:rsid w:val="00D207B6"/>
    <w:rsid w:val="00D20A77"/>
    <w:rsid w:val="00D212E1"/>
    <w:rsid w:val="00D21643"/>
    <w:rsid w:val="00D21655"/>
    <w:rsid w:val="00D2167A"/>
    <w:rsid w:val="00D2184C"/>
    <w:rsid w:val="00D21A4C"/>
    <w:rsid w:val="00D22326"/>
    <w:rsid w:val="00D22346"/>
    <w:rsid w:val="00D225E0"/>
    <w:rsid w:val="00D2264E"/>
    <w:rsid w:val="00D22782"/>
    <w:rsid w:val="00D2299B"/>
    <w:rsid w:val="00D22EDC"/>
    <w:rsid w:val="00D239C8"/>
    <w:rsid w:val="00D23FD9"/>
    <w:rsid w:val="00D244AA"/>
    <w:rsid w:val="00D2459E"/>
    <w:rsid w:val="00D24A72"/>
    <w:rsid w:val="00D25066"/>
    <w:rsid w:val="00D25082"/>
    <w:rsid w:val="00D2527D"/>
    <w:rsid w:val="00D252FD"/>
    <w:rsid w:val="00D25DC8"/>
    <w:rsid w:val="00D25DE3"/>
    <w:rsid w:val="00D25EBA"/>
    <w:rsid w:val="00D26110"/>
    <w:rsid w:val="00D26529"/>
    <w:rsid w:val="00D26991"/>
    <w:rsid w:val="00D26CBC"/>
    <w:rsid w:val="00D26F2A"/>
    <w:rsid w:val="00D27342"/>
    <w:rsid w:val="00D274FD"/>
    <w:rsid w:val="00D28E97"/>
    <w:rsid w:val="00D30D83"/>
    <w:rsid w:val="00D30EEC"/>
    <w:rsid w:val="00D313B1"/>
    <w:rsid w:val="00D314FC"/>
    <w:rsid w:val="00D3176A"/>
    <w:rsid w:val="00D318A3"/>
    <w:rsid w:val="00D318DB"/>
    <w:rsid w:val="00D31D28"/>
    <w:rsid w:val="00D31F1B"/>
    <w:rsid w:val="00D321E7"/>
    <w:rsid w:val="00D32384"/>
    <w:rsid w:val="00D324DC"/>
    <w:rsid w:val="00D32715"/>
    <w:rsid w:val="00D32960"/>
    <w:rsid w:val="00D3342E"/>
    <w:rsid w:val="00D3371A"/>
    <w:rsid w:val="00D33758"/>
    <w:rsid w:val="00D33BAB"/>
    <w:rsid w:val="00D33DC1"/>
    <w:rsid w:val="00D3420F"/>
    <w:rsid w:val="00D34638"/>
    <w:rsid w:val="00D34646"/>
    <w:rsid w:val="00D348ED"/>
    <w:rsid w:val="00D34CB8"/>
    <w:rsid w:val="00D35044"/>
    <w:rsid w:val="00D3548D"/>
    <w:rsid w:val="00D35501"/>
    <w:rsid w:val="00D35B57"/>
    <w:rsid w:val="00D35C5B"/>
    <w:rsid w:val="00D35D45"/>
    <w:rsid w:val="00D35E22"/>
    <w:rsid w:val="00D3603B"/>
    <w:rsid w:val="00D36169"/>
    <w:rsid w:val="00D36327"/>
    <w:rsid w:val="00D36420"/>
    <w:rsid w:val="00D36CE2"/>
    <w:rsid w:val="00D377B1"/>
    <w:rsid w:val="00D378EB"/>
    <w:rsid w:val="00D40033"/>
    <w:rsid w:val="00D400A5"/>
    <w:rsid w:val="00D40246"/>
    <w:rsid w:val="00D403C8"/>
    <w:rsid w:val="00D40D87"/>
    <w:rsid w:val="00D41147"/>
    <w:rsid w:val="00D4146E"/>
    <w:rsid w:val="00D41667"/>
    <w:rsid w:val="00D419EE"/>
    <w:rsid w:val="00D41B58"/>
    <w:rsid w:val="00D41CF2"/>
    <w:rsid w:val="00D41D49"/>
    <w:rsid w:val="00D42597"/>
    <w:rsid w:val="00D426A3"/>
    <w:rsid w:val="00D429B0"/>
    <w:rsid w:val="00D42D20"/>
    <w:rsid w:val="00D432F9"/>
    <w:rsid w:val="00D435C8"/>
    <w:rsid w:val="00D43FC2"/>
    <w:rsid w:val="00D440AC"/>
    <w:rsid w:val="00D441B0"/>
    <w:rsid w:val="00D442B5"/>
    <w:rsid w:val="00D44873"/>
    <w:rsid w:val="00D44981"/>
    <w:rsid w:val="00D44AED"/>
    <w:rsid w:val="00D44E70"/>
    <w:rsid w:val="00D4509E"/>
    <w:rsid w:val="00D452E9"/>
    <w:rsid w:val="00D453D2"/>
    <w:rsid w:val="00D45596"/>
    <w:rsid w:val="00D45845"/>
    <w:rsid w:val="00D459E3"/>
    <w:rsid w:val="00D45A59"/>
    <w:rsid w:val="00D45BCD"/>
    <w:rsid w:val="00D45E1A"/>
    <w:rsid w:val="00D460B1"/>
    <w:rsid w:val="00D4611D"/>
    <w:rsid w:val="00D464EC"/>
    <w:rsid w:val="00D46671"/>
    <w:rsid w:val="00D46AEE"/>
    <w:rsid w:val="00D46B8B"/>
    <w:rsid w:val="00D471A7"/>
    <w:rsid w:val="00D4727F"/>
    <w:rsid w:val="00D476FB"/>
    <w:rsid w:val="00D4776C"/>
    <w:rsid w:val="00D47DF1"/>
    <w:rsid w:val="00D50220"/>
    <w:rsid w:val="00D50481"/>
    <w:rsid w:val="00D5083F"/>
    <w:rsid w:val="00D50BC6"/>
    <w:rsid w:val="00D50C1E"/>
    <w:rsid w:val="00D51445"/>
    <w:rsid w:val="00D51688"/>
    <w:rsid w:val="00D51788"/>
    <w:rsid w:val="00D518D9"/>
    <w:rsid w:val="00D519A3"/>
    <w:rsid w:val="00D51A24"/>
    <w:rsid w:val="00D51B19"/>
    <w:rsid w:val="00D520B8"/>
    <w:rsid w:val="00D5281E"/>
    <w:rsid w:val="00D52905"/>
    <w:rsid w:val="00D529BD"/>
    <w:rsid w:val="00D529FD"/>
    <w:rsid w:val="00D52BFB"/>
    <w:rsid w:val="00D52F4A"/>
    <w:rsid w:val="00D5310A"/>
    <w:rsid w:val="00D5328F"/>
    <w:rsid w:val="00D53803"/>
    <w:rsid w:val="00D53C78"/>
    <w:rsid w:val="00D5462E"/>
    <w:rsid w:val="00D54F55"/>
    <w:rsid w:val="00D54F8B"/>
    <w:rsid w:val="00D551B9"/>
    <w:rsid w:val="00D554B9"/>
    <w:rsid w:val="00D56039"/>
    <w:rsid w:val="00D56AE2"/>
    <w:rsid w:val="00D56B61"/>
    <w:rsid w:val="00D56C0E"/>
    <w:rsid w:val="00D56C3B"/>
    <w:rsid w:val="00D56D22"/>
    <w:rsid w:val="00D56EB9"/>
    <w:rsid w:val="00D56F4D"/>
    <w:rsid w:val="00D57169"/>
    <w:rsid w:val="00D5730E"/>
    <w:rsid w:val="00D57C4E"/>
    <w:rsid w:val="00D609CD"/>
    <w:rsid w:val="00D609F7"/>
    <w:rsid w:val="00D614B6"/>
    <w:rsid w:val="00D615D3"/>
    <w:rsid w:val="00D615FD"/>
    <w:rsid w:val="00D6195D"/>
    <w:rsid w:val="00D629A7"/>
    <w:rsid w:val="00D62B92"/>
    <w:rsid w:val="00D62C05"/>
    <w:rsid w:val="00D62C5D"/>
    <w:rsid w:val="00D632A0"/>
    <w:rsid w:val="00D63419"/>
    <w:rsid w:val="00D6394D"/>
    <w:rsid w:val="00D639E4"/>
    <w:rsid w:val="00D642F5"/>
    <w:rsid w:val="00D65052"/>
    <w:rsid w:val="00D65212"/>
    <w:rsid w:val="00D65286"/>
    <w:rsid w:val="00D65479"/>
    <w:rsid w:val="00D65518"/>
    <w:rsid w:val="00D65895"/>
    <w:rsid w:val="00D65CF6"/>
    <w:rsid w:val="00D65EBC"/>
    <w:rsid w:val="00D66398"/>
    <w:rsid w:val="00D664D0"/>
    <w:rsid w:val="00D666E4"/>
    <w:rsid w:val="00D66B65"/>
    <w:rsid w:val="00D66D1B"/>
    <w:rsid w:val="00D7082A"/>
    <w:rsid w:val="00D708D2"/>
    <w:rsid w:val="00D719E2"/>
    <w:rsid w:val="00D71C36"/>
    <w:rsid w:val="00D71E69"/>
    <w:rsid w:val="00D72294"/>
    <w:rsid w:val="00D724F9"/>
    <w:rsid w:val="00D72776"/>
    <w:rsid w:val="00D727FE"/>
    <w:rsid w:val="00D728A1"/>
    <w:rsid w:val="00D7290F"/>
    <w:rsid w:val="00D72BCA"/>
    <w:rsid w:val="00D72D95"/>
    <w:rsid w:val="00D72E6F"/>
    <w:rsid w:val="00D730A3"/>
    <w:rsid w:val="00D73A5C"/>
    <w:rsid w:val="00D73CC2"/>
    <w:rsid w:val="00D741DD"/>
    <w:rsid w:val="00D749F7"/>
    <w:rsid w:val="00D74A9D"/>
    <w:rsid w:val="00D75270"/>
    <w:rsid w:val="00D75E1B"/>
    <w:rsid w:val="00D75E5F"/>
    <w:rsid w:val="00D761C8"/>
    <w:rsid w:val="00D76420"/>
    <w:rsid w:val="00D76C0B"/>
    <w:rsid w:val="00D76FD7"/>
    <w:rsid w:val="00D77F1D"/>
    <w:rsid w:val="00D77F7A"/>
    <w:rsid w:val="00D80636"/>
    <w:rsid w:val="00D80A7C"/>
    <w:rsid w:val="00D80CAC"/>
    <w:rsid w:val="00D80CD3"/>
    <w:rsid w:val="00D80D7F"/>
    <w:rsid w:val="00D80F93"/>
    <w:rsid w:val="00D8128C"/>
    <w:rsid w:val="00D812B7"/>
    <w:rsid w:val="00D817A8"/>
    <w:rsid w:val="00D8185F"/>
    <w:rsid w:val="00D818E1"/>
    <w:rsid w:val="00D81908"/>
    <w:rsid w:val="00D81D3E"/>
    <w:rsid w:val="00D81F5E"/>
    <w:rsid w:val="00D820E4"/>
    <w:rsid w:val="00D824FF"/>
    <w:rsid w:val="00D827CF"/>
    <w:rsid w:val="00D82ACF"/>
    <w:rsid w:val="00D82F43"/>
    <w:rsid w:val="00D83319"/>
    <w:rsid w:val="00D83360"/>
    <w:rsid w:val="00D83444"/>
    <w:rsid w:val="00D8345A"/>
    <w:rsid w:val="00D83BE8"/>
    <w:rsid w:val="00D841C5"/>
    <w:rsid w:val="00D848BE"/>
    <w:rsid w:val="00D849B9"/>
    <w:rsid w:val="00D84B9D"/>
    <w:rsid w:val="00D84C25"/>
    <w:rsid w:val="00D84D32"/>
    <w:rsid w:val="00D84D85"/>
    <w:rsid w:val="00D85325"/>
    <w:rsid w:val="00D85643"/>
    <w:rsid w:val="00D8626D"/>
    <w:rsid w:val="00D8669A"/>
    <w:rsid w:val="00D867E3"/>
    <w:rsid w:val="00D8680B"/>
    <w:rsid w:val="00D868E8"/>
    <w:rsid w:val="00D86AB1"/>
    <w:rsid w:val="00D87150"/>
    <w:rsid w:val="00D87378"/>
    <w:rsid w:val="00D87A5A"/>
    <w:rsid w:val="00D9047A"/>
    <w:rsid w:val="00D90671"/>
    <w:rsid w:val="00D909A3"/>
    <w:rsid w:val="00D91956"/>
    <w:rsid w:val="00D91964"/>
    <w:rsid w:val="00D919D6"/>
    <w:rsid w:val="00D92434"/>
    <w:rsid w:val="00D92ACD"/>
    <w:rsid w:val="00D92B43"/>
    <w:rsid w:val="00D92E43"/>
    <w:rsid w:val="00D9399C"/>
    <w:rsid w:val="00D9419F"/>
    <w:rsid w:val="00D945BE"/>
    <w:rsid w:val="00D94C5E"/>
    <w:rsid w:val="00D94E04"/>
    <w:rsid w:val="00D955BE"/>
    <w:rsid w:val="00D955D1"/>
    <w:rsid w:val="00D963FC"/>
    <w:rsid w:val="00D9672A"/>
    <w:rsid w:val="00D96837"/>
    <w:rsid w:val="00D96C0F"/>
    <w:rsid w:val="00D96CA2"/>
    <w:rsid w:val="00D973B1"/>
    <w:rsid w:val="00D9746C"/>
    <w:rsid w:val="00D975FE"/>
    <w:rsid w:val="00D97692"/>
    <w:rsid w:val="00D97BDF"/>
    <w:rsid w:val="00D97E62"/>
    <w:rsid w:val="00DA056A"/>
    <w:rsid w:val="00DA0AF6"/>
    <w:rsid w:val="00DA0D4E"/>
    <w:rsid w:val="00DA1011"/>
    <w:rsid w:val="00DA1C5E"/>
    <w:rsid w:val="00DA1D42"/>
    <w:rsid w:val="00DA2129"/>
    <w:rsid w:val="00DA219B"/>
    <w:rsid w:val="00DA2371"/>
    <w:rsid w:val="00DA24A3"/>
    <w:rsid w:val="00DA2786"/>
    <w:rsid w:val="00DA2C53"/>
    <w:rsid w:val="00DA2D99"/>
    <w:rsid w:val="00DA2DEC"/>
    <w:rsid w:val="00DA33FF"/>
    <w:rsid w:val="00DA366F"/>
    <w:rsid w:val="00DA3924"/>
    <w:rsid w:val="00DA3B3E"/>
    <w:rsid w:val="00DA4531"/>
    <w:rsid w:val="00DA4844"/>
    <w:rsid w:val="00DA4864"/>
    <w:rsid w:val="00DA4D3A"/>
    <w:rsid w:val="00DA4F34"/>
    <w:rsid w:val="00DA5081"/>
    <w:rsid w:val="00DA528F"/>
    <w:rsid w:val="00DA5410"/>
    <w:rsid w:val="00DA5ADD"/>
    <w:rsid w:val="00DA5EF2"/>
    <w:rsid w:val="00DA6957"/>
    <w:rsid w:val="00DA6A1D"/>
    <w:rsid w:val="00DA7699"/>
    <w:rsid w:val="00DA7F31"/>
    <w:rsid w:val="00DB0160"/>
    <w:rsid w:val="00DB0964"/>
    <w:rsid w:val="00DB0B8A"/>
    <w:rsid w:val="00DB0BFE"/>
    <w:rsid w:val="00DB0CE1"/>
    <w:rsid w:val="00DB16E9"/>
    <w:rsid w:val="00DB1C59"/>
    <w:rsid w:val="00DB2ABC"/>
    <w:rsid w:val="00DB2B16"/>
    <w:rsid w:val="00DB2F0B"/>
    <w:rsid w:val="00DB3202"/>
    <w:rsid w:val="00DB3583"/>
    <w:rsid w:val="00DB3E5B"/>
    <w:rsid w:val="00DB44A6"/>
    <w:rsid w:val="00DB499F"/>
    <w:rsid w:val="00DB49FB"/>
    <w:rsid w:val="00DB56D6"/>
    <w:rsid w:val="00DB5849"/>
    <w:rsid w:val="00DB6A57"/>
    <w:rsid w:val="00DB6CA6"/>
    <w:rsid w:val="00DB7460"/>
    <w:rsid w:val="00DB759F"/>
    <w:rsid w:val="00DB7724"/>
    <w:rsid w:val="00DC0184"/>
    <w:rsid w:val="00DC0AE4"/>
    <w:rsid w:val="00DC0D71"/>
    <w:rsid w:val="00DC12A5"/>
    <w:rsid w:val="00DC194D"/>
    <w:rsid w:val="00DC1EFF"/>
    <w:rsid w:val="00DC1F12"/>
    <w:rsid w:val="00DC23EB"/>
    <w:rsid w:val="00DC273E"/>
    <w:rsid w:val="00DC2ED7"/>
    <w:rsid w:val="00DC30A1"/>
    <w:rsid w:val="00DC3352"/>
    <w:rsid w:val="00DC37B4"/>
    <w:rsid w:val="00DC3C26"/>
    <w:rsid w:val="00DC3D70"/>
    <w:rsid w:val="00DC3E13"/>
    <w:rsid w:val="00DC3FFB"/>
    <w:rsid w:val="00DC4309"/>
    <w:rsid w:val="00DC4E24"/>
    <w:rsid w:val="00DC522B"/>
    <w:rsid w:val="00DC55EA"/>
    <w:rsid w:val="00DC5A12"/>
    <w:rsid w:val="00DC5DCE"/>
    <w:rsid w:val="00DC5E70"/>
    <w:rsid w:val="00DC5F66"/>
    <w:rsid w:val="00DC76E1"/>
    <w:rsid w:val="00DC7B4A"/>
    <w:rsid w:val="00DC7B86"/>
    <w:rsid w:val="00DC7DDB"/>
    <w:rsid w:val="00DCFF1F"/>
    <w:rsid w:val="00DD011E"/>
    <w:rsid w:val="00DD037E"/>
    <w:rsid w:val="00DD080D"/>
    <w:rsid w:val="00DD0811"/>
    <w:rsid w:val="00DD0915"/>
    <w:rsid w:val="00DD0B2A"/>
    <w:rsid w:val="00DD14B4"/>
    <w:rsid w:val="00DD1E05"/>
    <w:rsid w:val="00DD1FD0"/>
    <w:rsid w:val="00DD219F"/>
    <w:rsid w:val="00DD267A"/>
    <w:rsid w:val="00DD26A8"/>
    <w:rsid w:val="00DD3271"/>
    <w:rsid w:val="00DD3493"/>
    <w:rsid w:val="00DD3845"/>
    <w:rsid w:val="00DD3C40"/>
    <w:rsid w:val="00DD3E01"/>
    <w:rsid w:val="00DD44A7"/>
    <w:rsid w:val="00DD48C5"/>
    <w:rsid w:val="00DD49DF"/>
    <w:rsid w:val="00DD4DD8"/>
    <w:rsid w:val="00DD5558"/>
    <w:rsid w:val="00DD57BE"/>
    <w:rsid w:val="00DD5887"/>
    <w:rsid w:val="00DD59B5"/>
    <w:rsid w:val="00DD5C88"/>
    <w:rsid w:val="00DD628D"/>
    <w:rsid w:val="00DD6357"/>
    <w:rsid w:val="00DD6971"/>
    <w:rsid w:val="00DD6E2F"/>
    <w:rsid w:val="00DD720F"/>
    <w:rsid w:val="00DD7292"/>
    <w:rsid w:val="00DD75C8"/>
    <w:rsid w:val="00DD7A01"/>
    <w:rsid w:val="00DD7BF6"/>
    <w:rsid w:val="00DD7F5D"/>
    <w:rsid w:val="00DD7F90"/>
    <w:rsid w:val="00DE039D"/>
    <w:rsid w:val="00DE03A7"/>
    <w:rsid w:val="00DE06A5"/>
    <w:rsid w:val="00DE0B88"/>
    <w:rsid w:val="00DE0FB9"/>
    <w:rsid w:val="00DE11A6"/>
    <w:rsid w:val="00DE13C6"/>
    <w:rsid w:val="00DE140E"/>
    <w:rsid w:val="00DE16D7"/>
    <w:rsid w:val="00DE192C"/>
    <w:rsid w:val="00DE1FE9"/>
    <w:rsid w:val="00DE2BB5"/>
    <w:rsid w:val="00DE3375"/>
    <w:rsid w:val="00DE3390"/>
    <w:rsid w:val="00DE3454"/>
    <w:rsid w:val="00DE36B8"/>
    <w:rsid w:val="00DE39E1"/>
    <w:rsid w:val="00DE3B6B"/>
    <w:rsid w:val="00DE3CA8"/>
    <w:rsid w:val="00DE3FD3"/>
    <w:rsid w:val="00DE401F"/>
    <w:rsid w:val="00DE40E8"/>
    <w:rsid w:val="00DE41CA"/>
    <w:rsid w:val="00DE4573"/>
    <w:rsid w:val="00DE4869"/>
    <w:rsid w:val="00DE4C8F"/>
    <w:rsid w:val="00DE511F"/>
    <w:rsid w:val="00DE5780"/>
    <w:rsid w:val="00DE5A34"/>
    <w:rsid w:val="00DE660C"/>
    <w:rsid w:val="00DE6BD3"/>
    <w:rsid w:val="00DE6D52"/>
    <w:rsid w:val="00DE743F"/>
    <w:rsid w:val="00DE79E9"/>
    <w:rsid w:val="00DE7A24"/>
    <w:rsid w:val="00DE7D8F"/>
    <w:rsid w:val="00DE7EC0"/>
    <w:rsid w:val="00DF018C"/>
    <w:rsid w:val="00DF03E3"/>
    <w:rsid w:val="00DF09A7"/>
    <w:rsid w:val="00DF0A3A"/>
    <w:rsid w:val="00DF1110"/>
    <w:rsid w:val="00DF140F"/>
    <w:rsid w:val="00DF176D"/>
    <w:rsid w:val="00DF1B06"/>
    <w:rsid w:val="00DF2015"/>
    <w:rsid w:val="00DF224E"/>
    <w:rsid w:val="00DF2307"/>
    <w:rsid w:val="00DF2487"/>
    <w:rsid w:val="00DF25A8"/>
    <w:rsid w:val="00DF273D"/>
    <w:rsid w:val="00DF2FFD"/>
    <w:rsid w:val="00DF308C"/>
    <w:rsid w:val="00DF310D"/>
    <w:rsid w:val="00DF34B6"/>
    <w:rsid w:val="00DF3A0C"/>
    <w:rsid w:val="00DF3B82"/>
    <w:rsid w:val="00DF3CAD"/>
    <w:rsid w:val="00DF3D1D"/>
    <w:rsid w:val="00DF45D4"/>
    <w:rsid w:val="00DF468B"/>
    <w:rsid w:val="00DF46DF"/>
    <w:rsid w:val="00DF4F0D"/>
    <w:rsid w:val="00DF507B"/>
    <w:rsid w:val="00DF57D6"/>
    <w:rsid w:val="00DF5DDA"/>
    <w:rsid w:val="00DF67A0"/>
    <w:rsid w:val="00DF68AF"/>
    <w:rsid w:val="00DF6909"/>
    <w:rsid w:val="00DF6D0D"/>
    <w:rsid w:val="00DF75A5"/>
    <w:rsid w:val="00DF7E8E"/>
    <w:rsid w:val="00DFAAFB"/>
    <w:rsid w:val="00E001E0"/>
    <w:rsid w:val="00E002F0"/>
    <w:rsid w:val="00E00362"/>
    <w:rsid w:val="00E00441"/>
    <w:rsid w:val="00E0046B"/>
    <w:rsid w:val="00E00788"/>
    <w:rsid w:val="00E011FE"/>
    <w:rsid w:val="00E0120A"/>
    <w:rsid w:val="00E02249"/>
    <w:rsid w:val="00E02293"/>
    <w:rsid w:val="00E02399"/>
    <w:rsid w:val="00E02506"/>
    <w:rsid w:val="00E02928"/>
    <w:rsid w:val="00E03287"/>
    <w:rsid w:val="00E0359F"/>
    <w:rsid w:val="00E038C6"/>
    <w:rsid w:val="00E03ABA"/>
    <w:rsid w:val="00E03EC6"/>
    <w:rsid w:val="00E03EC8"/>
    <w:rsid w:val="00E03EFC"/>
    <w:rsid w:val="00E03F2C"/>
    <w:rsid w:val="00E04113"/>
    <w:rsid w:val="00E042E3"/>
    <w:rsid w:val="00E05BEB"/>
    <w:rsid w:val="00E05D82"/>
    <w:rsid w:val="00E0641F"/>
    <w:rsid w:val="00E067AB"/>
    <w:rsid w:val="00E06E51"/>
    <w:rsid w:val="00E0700F"/>
    <w:rsid w:val="00E070F4"/>
    <w:rsid w:val="00E07382"/>
    <w:rsid w:val="00E0758E"/>
    <w:rsid w:val="00E1024B"/>
    <w:rsid w:val="00E104CB"/>
    <w:rsid w:val="00E10579"/>
    <w:rsid w:val="00E109D0"/>
    <w:rsid w:val="00E10AC4"/>
    <w:rsid w:val="00E1109C"/>
    <w:rsid w:val="00E11262"/>
    <w:rsid w:val="00E11480"/>
    <w:rsid w:val="00E11AF4"/>
    <w:rsid w:val="00E11CAC"/>
    <w:rsid w:val="00E11E8F"/>
    <w:rsid w:val="00E12417"/>
    <w:rsid w:val="00E124BC"/>
    <w:rsid w:val="00E126F8"/>
    <w:rsid w:val="00E129EC"/>
    <w:rsid w:val="00E137D0"/>
    <w:rsid w:val="00E13A09"/>
    <w:rsid w:val="00E13E14"/>
    <w:rsid w:val="00E145BF"/>
    <w:rsid w:val="00E14B87"/>
    <w:rsid w:val="00E14CA9"/>
    <w:rsid w:val="00E15887"/>
    <w:rsid w:val="00E17146"/>
    <w:rsid w:val="00E1756F"/>
    <w:rsid w:val="00E17761"/>
    <w:rsid w:val="00E178C4"/>
    <w:rsid w:val="00E17969"/>
    <w:rsid w:val="00E20802"/>
    <w:rsid w:val="00E213C2"/>
    <w:rsid w:val="00E21471"/>
    <w:rsid w:val="00E216BE"/>
    <w:rsid w:val="00E216EF"/>
    <w:rsid w:val="00E21EDF"/>
    <w:rsid w:val="00E2214A"/>
    <w:rsid w:val="00E22587"/>
    <w:rsid w:val="00E22D2B"/>
    <w:rsid w:val="00E23075"/>
    <w:rsid w:val="00E23144"/>
    <w:rsid w:val="00E2394A"/>
    <w:rsid w:val="00E23A0D"/>
    <w:rsid w:val="00E2414B"/>
    <w:rsid w:val="00E245E4"/>
    <w:rsid w:val="00E24612"/>
    <w:rsid w:val="00E2473C"/>
    <w:rsid w:val="00E24D02"/>
    <w:rsid w:val="00E24E3D"/>
    <w:rsid w:val="00E24E99"/>
    <w:rsid w:val="00E25CC2"/>
    <w:rsid w:val="00E25DED"/>
    <w:rsid w:val="00E267F2"/>
    <w:rsid w:val="00E26E67"/>
    <w:rsid w:val="00E27029"/>
    <w:rsid w:val="00E2711D"/>
    <w:rsid w:val="00E273C8"/>
    <w:rsid w:val="00E27FB0"/>
    <w:rsid w:val="00E30009"/>
    <w:rsid w:val="00E3033E"/>
    <w:rsid w:val="00E30529"/>
    <w:rsid w:val="00E3060B"/>
    <w:rsid w:val="00E30A32"/>
    <w:rsid w:val="00E31182"/>
    <w:rsid w:val="00E3122B"/>
    <w:rsid w:val="00E3148A"/>
    <w:rsid w:val="00E3170B"/>
    <w:rsid w:val="00E31A52"/>
    <w:rsid w:val="00E32025"/>
    <w:rsid w:val="00E32184"/>
    <w:rsid w:val="00E321EB"/>
    <w:rsid w:val="00E3226E"/>
    <w:rsid w:val="00E326DA"/>
    <w:rsid w:val="00E3279A"/>
    <w:rsid w:val="00E327B6"/>
    <w:rsid w:val="00E32DA4"/>
    <w:rsid w:val="00E32F39"/>
    <w:rsid w:val="00E33063"/>
    <w:rsid w:val="00E33613"/>
    <w:rsid w:val="00E33948"/>
    <w:rsid w:val="00E34613"/>
    <w:rsid w:val="00E34843"/>
    <w:rsid w:val="00E353DB"/>
    <w:rsid w:val="00E3550F"/>
    <w:rsid w:val="00E35B7C"/>
    <w:rsid w:val="00E363B4"/>
    <w:rsid w:val="00E36710"/>
    <w:rsid w:val="00E368AA"/>
    <w:rsid w:val="00E36C29"/>
    <w:rsid w:val="00E36DB6"/>
    <w:rsid w:val="00E373EF"/>
    <w:rsid w:val="00E3754E"/>
    <w:rsid w:val="00E37F89"/>
    <w:rsid w:val="00E403B2"/>
    <w:rsid w:val="00E405BC"/>
    <w:rsid w:val="00E40957"/>
    <w:rsid w:val="00E4099A"/>
    <w:rsid w:val="00E4109D"/>
    <w:rsid w:val="00E413FF"/>
    <w:rsid w:val="00E420F2"/>
    <w:rsid w:val="00E42380"/>
    <w:rsid w:val="00E42538"/>
    <w:rsid w:val="00E425FE"/>
    <w:rsid w:val="00E42654"/>
    <w:rsid w:val="00E4271B"/>
    <w:rsid w:val="00E42768"/>
    <w:rsid w:val="00E42C17"/>
    <w:rsid w:val="00E4337A"/>
    <w:rsid w:val="00E43441"/>
    <w:rsid w:val="00E43B0B"/>
    <w:rsid w:val="00E43C51"/>
    <w:rsid w:val="00E43C8E"/>
    <w:rsid w:val="00E444FB"/>
    <w:rsid w:val="00E4471B"/>
    <w:rsid w:val="00E44A22"/>
    <w:rsid w:val="00E44E13"/>
    <w:rsid w:val="00E44FD3"/>
    <w:rsid w:val="00E452B6"/>
    <w:rsid w:val="00E4538A"/>
    <w:rsid w:val="00E45821"/>
    <w:rsid w:val="00E458FE"/>
    <w:rsid w:val="00E45BFE"/>
    <w:rsid w:val="00E45C48"/>
    <w:rsid w:val="00E45C6A"/>
    <w:rsid w:val="00E461CE"/>
    <w:rsid w:val="00E46B1F"/>
    <w:rsid w:val="00E46B82"/>
    <w:rsid w:val="00E46C4F"/>
    <w:rsid w:val="00E47737"/>
    <w:rsid w:val="00E477D0"/>
    <w:rsid w:val="00E47A47"/>
    <w:rsid w:val="00E5028F"/>
    <w:rsid w:val="00E50358"/>
    <w:rsid w:val="00E50743"/>
    <w:rsid w:val="00E508DD"/>
    <w:rsid w:val="00E5098A"/>
    <w:rsid w:val="00E51954"/>
    <w:rsid w:val="00E51A2A"/>
    <w:rsid w:val="00E51ADF"/>
    <w:rsid w:val="00E51E5C"/>
    <w:rsid w:val="00E52342"/>
    <w:rsid w:val="00E523A1"/>
    <w:rsid w:val="00E53102"/>
    <w:rsid w:val="00E5311C"/>
    <w:rsid w:val="00E53403"/>
    <w:rsid w:val="00E53623"/>
    <w:rsid w:val="00E53870"/>
    <w:rsid w:val="00E539BD"/>
    <w:rsid w:val="00E53C9B"/>
    <w:rsid w:val="00E54119"/>
    <w:rsid w:val="00E544A2"/>
    <w:rsid w:val="00E547C7"/>
    <w:rsid w:val="00E548B9"/>
    <w:rsid w:val="00E548CA"/>
    <w:rsid w:val="00E549A1"/>
    <w:rsid w:val="00E549DB"/>
    <w:rsid w:val="00E54CC8"/>
    <w:rsid w:val="00E55430"/>
    <w:rsid w:val="00E554B8"/>
    <w:rsid w:val="00E557C2"/>
    <w:rsid w:val="00E558E4"/>
    <w:rsid w:val="00E55AE3"/>
    <w:rsid w:val="00E55DD7"/>
    <w:rsid w:val="00E560B0"/>
    <w:rsid w:val="00E56682"/>
    <w:rsid w:val="00E56B26"/>
    <w:rsid w:val="00E56DB2"/>
    <w:rsid w:val="00E572BE"/>
    <w:rsid w:val="00E57DC8"/>
    <w:rsid w:val="00E57EF0"/>
    <w:rsid w:val="00E6008E"/>
    <w:rsid w:val="00E606F9"/>
    <w:rsid w:val="00E60F67"/>
    <w:rsid w:val="00E610D3"/>
    <w:rsid w:val="00E619EB"/>
    <w:rsid w:val="00E61CE6"/>
    <w:rsid w:val="00E62160"/>
    <w:rsid w:val="00E62224"/>
    <w:rsid w:val="00E62539"/>
    <w:rsid w:val="00E62A36"/>
    <w:rsid w:val="00E62B68"/>
    <w:rsid w:val="00E62E87"/>
    <w:rsid w:val="00E63B88"/>
    <w:rsid w:val="00E64106"/>
    <w:rsid w:val="00E6425C"/>
    <w:rsid w:val="00E64861"/>
    <w:rsid w:val="00E64B6C"/>
    <w:rsid w:val="00E650E1"/>
    <w:rsid w:val="00E657C9"/>
    <w:rsid w:val="00E659C3"/>
    <w:rsid w:val="00E66C3A"/>
    <w:rsid w:val="00E66E15"/>
    <w:rsid w:val="00E66ECE"/>
    <w:rsid w:val="00E676BE"/>
    <w:rsid w:val="00E67E29"/>
    <w:rsid w:val="00E700DB"/>
    <w:rsid w:val="00E70585"/>
    <w:rsid w:val="00E70B1F"/>
    <w:rsid w:val="00E71021"/>
    <w:rsid w:val="00E711A9"/>
    <w:rsid w:val="00E7228B"/>
    <w:rsid w:val="00E722DD"/>
    <w:rsid w:val="00E729E5"/>
    <w:rsid w:val="00E72AB4"/>
    <w:rsid w:val="00E72BB6"/>
    <w:rsid w:val="00E72DF0"/>
    <w:rsid w:val="00E73425"/>
    <w:rsid w:val="00E739A8"/>
    <w:rsid w:val="00E73C65"/>
    <w:rsid w:val="00E73DE1"/>
    <w:rsid w:val="00E73F34"/>
    <w:rsid w:val="00E7499B"/>
    <w:rsid w:val="00E74A0A"/>
    <w:rsid w:val="00E74B5A"/>
    <w:rsid w:val="00E74BCB"/>
    <w:rsid w:val="00E752A6"/>
    <w:rsid w:val="00E753E4"/>
    <w:rsid w:val="00E7545A"/>
    <w:rsid w:val="00E75894"/>
    <w:rsid w:val="00E75DAC"/>
    <w:rsid w:val="00E75F35"/>
    <w:rsid w:val="00E75FAA"/>
    <w:rsid w:val="00E76042"/>
    <w:rsid w:val="00E764B4"/>
    <w:rsid w:val="00E7680C"/>
    <w:rsid w:val="00E76E6A"/>
    <w:rsid w:val="00E76E9B"/>
    <w:rsid w:val="00E77284"/>
    <w:rsid w:val="00E776D5"/>
    <w:rsid w:val="00E77EC3"/>
    <w:rsid w:val="00E8027A"/>
    <w:rsid w:val="00E80807"/>
    <w:rsid w:val="00E80948"/>
    <w:rsid w:val="00E80D1A"/>
    <w:rsid w:val="00E8114A"/>
    <w:rsid w:val="00E8178E"/>
    <w:rsid w:val="00E817CD"/>
    <w:rsid w:val="00E819BD"/>
    <w:rsid w:val="00E81CF8"/>
    <w:rsid w:val="00E82068"/>
    <w:rsid w:val="00E82B26"/>
    <w:rsid w:val="00E82DBD"/>
    <w:rsid w:val="00E8328F"/>
    <w:rsid w:val="00E8344A"/>
    <w:rsid w:val="00E8346A"/>
    <w:rsid w:val="00E837D9"/>
    <w:rsid w:val="00E83AEB"/>
    <w:rsid w:val="00E83E6D"/>
    <w:rsid w:val="00E84079"/>
    <w:rsid w:val="00E84349"/>
    <w:rsid w:val="00E84487"/>
    <w:rsid w:val="00E8481E"/>
    <w:rsid w:val="00E84AAF"/>
    <w:rsid w:val="00E84C9B"/>
    <w:rsid w:val="00E852D0"/>
    <w:rsid w:val="00E852EC"/>
    <w:rsid w:val="00E85941"/>
    <w:rsid w:val="00E85A83"/>
    <w:rsid w:val="00E85B41"/>
    <w:rsid w:val="00E85FAC"/>
    <w:rsid w:val="00E8610A"/>
    <w:rsid w:val="00E8613E"/>
    <w:rsid w:val="00E86234"/>
    <w:rsid w:val="00E86695"/>
    <w:rsid w:val="00E869F9"/>
    <w:rsid w:val="00E86BFB"/>
    <w:rsid w:val="00E86C46"/>
    <w:rsid w:val="00E86F0A"/>
    <w:rsid w:val="00E877B8"/>
    <w:rsid w:val="00E878B3"/>
    <w:rsid w:val="00E87DF5"/>
    <w:rsid w:val="00E87EDE"/>
    <w:rsid w:val="00E8D551"/>
    <w:rsid w:val="00E9074A"/>
    <w:rsid w:val="00E90A27"/>
    <w:rsid w:val="00E90E63"/>
    <w:rsid w:val="00E918B5"/>
    <w:rsid w:val="00E918F9"/>
    <w:rsid w:val="00E91D2B"/>
    <w:rsid w:val="00E92084"/>
    <w:rsid w:val="00E92454"/>
    <w:rsid w:val="00E9259D"/>
    <w:rsid w:val="00E92A8B"/>
    <w:rsid w:val="00E92C4A"/>
    <w:rsid w:val="00E92D45"/>
    <w:rsid w:val="00E93008"/>
    <w:rsid w:val="00E9306A"/>
    <w:rsid w:val="00E9380E"/>
    <w:rsid w:val="00E93EFF"/>
    <w:rsid w:val="00E940F1"/>
    <w:rsid w:val="00E941FD"/>
    <w:rsid w:val="00E94433"/>
    <w:rsid w:val="00E94A7B"/>
    <w:rsid w:val="00E94D95"/>
    <w:rsid w:val="00E959C1"/>
    <w:rsid w:val="00E959CA"/>
    <w:rsid w:val="00E95B9A"/>
    <w:rsid w:val="00E96461"/>
    <w:rsid w:val="00E96D03"/>
    <w:rsid w:val="00E97676"/>
    <w:rsid w:val="00E97873"/>
    <w:rsid w:val="00EA0317"/>
    <w:rsid w:val="00EA0F8F"/>
    <w:rsid w:val="00EA1491"/>
    <w:rsid w:val="00EA196A"/>
    <w:rsid w:val="00EA2343"/>
    <w:rsid w:val="00EA30B9"/>
    <w:rsid w:val="00EA318C"/>
    <w:rsid w:val="00EA3D71"/>
    <w:rsid w:val="00EA422F"/>
    <w:rsid w:val="00EA44E2"/>
    <w:rsid w:val="00EA451D"/>
    <w:rsid w:val="00EA542A"/>
    <w:rsid w:val="00EA5551"/>
    <w:rsid w:val="00EA5A98"/>
    <w:rsid w:val="00EA6054"/>
    <w:rsid w:val="00EA65DE"/>
    <w:rsid w:val="00EA6635"/>
    <w:rsid w:val="00EA694D"/>
    <w:rsid w:val="00EA6C3F"/>
    <w:rsid w:val="00EA6E6E"/>
    <w:rsid w:val="00EA6FCC"/>
    <w:rsid w:val="00EA6FDA"/>
    <w:rsid w:val="00EA72C3"/>
    <w:rsid w:val="00EA7330"/>
    <w:rsid w:val="00EA7475"/>
    <w:rsid w:val="00EA79F9"/>
    <w:rsid w:val="00EA7E04"/>
    <w:rsid w:val="00EB00E1"/>
    <w:rsid w:val="00EB01F5"/>
    <w:rsid w:val="00EB0357"/>
    <w:rsid w:val="00EB0442"/>
    <w:rsid w:val="00EB052D"/>
    <w:rsid w:val="00EB0BC5"/>
    <w:rsid w:val="00EB0DCD"/>
    <w:rsid w:val="00EB123A"/>
    <w:rsid w:val="00EB1A88"/>
    <w:rsid w:val="00EB1CCD"/>
    <w:rsid w:val="00EB2010"/>
    <w:rsid w:val="00EB2039"/>
    <w:rsid w:val="00EB20D4"/>
    <w:rsid w:val="00EB20DD"/>
    <w:rsid w:val="00EB2161"/>
    <w:rsid w:val="00EB2773"/>
    <w:rsid w:val="00EB2BE1"/>
    <w:rsid w:val="00EB2C75"/>
    <w:rsid w:val="00EB3088"/>
    <w:rsid w:val="00EB3221"/>
    <w:rsid w:val="00EB3364"/>
    <w:rsid w:val="00EB35BE"/>
    <w:rsid w:val="00EB3A67"/>
    <w:rsid w:val="00EB400F"/>
    <w:rsid w:val="00EB434B"/>
    <w:rsid w:val="00EB4459"/>
    <w:rsid w:val="00EB463A"/>
    <w:rsid w:val="00EB46BD"/>
    <w:rsid w:val="00EB4868"/>
    <w:rsid w:val="00EB4CC8"/>
    <w:rsid w:val="00EB54F0"/>
    <w:rsid w:val="00EB5527"/>
    <w:rsid w:val="00EB58CF"/>
    <w:rsid w:val="00EB5A2A"/>
    <w:rsid w:val="00EB5BE0"/>
    <w:rsid w:val="00EB6D31"/>
    <w:rsid w:val="00EB7096"/>
    <w:rsid w:val="00EB7BEE"/>
    <w:rsid w:val="00EC047A"/>
    <w:rsid w:val="00EC0818"/>
    <w:rsid w:val="00EC0F0E"/>
    <w:rsid w:val="00EC0FCB"/>
    <w:rsid w:val="00EC1112"/>
    <w:rsid w:val="00EC11D5"/>
    <w:rsid w:val="00EC15F5"/>
    <w:rsid w:val="00EC1A22"/>
    <w:rsid w:val="00EC1A48"/>
    <w:rsid w:val="00EC1F2F"/>
    <w:rsid w:val="00EC230E"/>
    <w:rsid w:val="00EC2500"/>
    <w:rsid w:val="00EC2C02"/>
    <w:rsid w:val="00EC2E6D"/>
    <w:rsid w:val="00EC2EAF"/>
    <w:rsid w:val="00EC2F9F"/>
    <w:rsid w:val="00EC3249"/>
    <w:rsid w:val="00EC374D"/>
    <w:rsid w:val="00EC3854"/>
    <w:rsid w:val="00EC3DC7"/>
    <w:rsid w:val="00EC42BD"/>
    <w:rsid w:val="00EC47F0"/>
    <w:rsid w:val="00EC4E30"/>
    <w:rsid w:val="00EC4FA8"/>
    <w:rsid w:val="00EC59D1"/>
    <w:rsid w:val="00EC5EAE"/>
    <w:rsid w:val="00EC6233"/>
    <w:rsid w:val="00EC6384"/>
    <w:rsid w:val="00EC63F7"/>
    <w:rsid w:val="00EC6588"/>
    <w:rsid w:val="00EC672E"/>
    <w:rsid w:val="00EC6B05"/>
    <w:rsid w:val="00EC6C6D"/>
    <w:rsid w:val="00EC7323"/>
    <w:rsid w:val="00EC7442"/>
    <w:rsid w:val="00EC75F9"/>
    <w:rsid w:val="00EC77B8"/>
    <w:rsid w:val="00ED06F2"/>
    <w:rsid w:val="00ED1767"/>
    <w:rsid w:val="00ED20C6"/>
    <w:rsid w:val="00ED210C"/>
    <w:rsid w:val="00ED2725"/>
    <w:rsid w:val="00ED2809"/>
    <w:rsid w:val="00ED2A32"/>
    <w:rsid w:val="00ED2A8C"/>
    <w:rsid w:val="00ED2FE3"/>
    <w:rsid w:val="00ED345F"/>
    <w:rsid w:val="00ED41D7"/>
    <w:rsid w:val="00ED4474"/>
    <w:rsid w:val="00ED453A"/>
    <w:rsid w:val="00ED4573"/>
    <w:rsid w:val="00ED4951"/>
    <w:rsid w:val="00ED4A3E"/>
    <w:rsid w:val="00ED4C7A"/>
    <w:rsid w:val="00ED569A"/>
    <w:rsid w:val="00ED58AE"/>
    <w:rsid w:val="00ED5D31"/>
    <w:rsid w:val="00ED605C"/>
    <w:rsid w:val="00ED6B56"/>
    <w:rsid w:val="00ED6B59"/>
    <w:rsid w:val="00ED6D28"/>
    <w:rsid w:val="00ED6FD8"/>
    <w:rsid w:val="00ED72F1"/>
    <w:rsid w:val="00ED7D44"/>
    <w:rsid w:val="00ED7F91"/>
    <w:rsid w:val="00EE08C4"/>
    <w:rsid w:val="00EE0A8B"/>
    <w:rsid w:val="00EE0FE0"/>
    <w:rsid w:val="00EE1149"/>
    <w:rsid w:val="00EE130F"/>
    <w:rsid w:val="00EE16BA"/>
    <w:rsid w:val="00EE19C0"/>
    <w:rsid w:val="00EE2082"/>
    <w:rsid w:val="00EE2271"/>
    <w:rsid w:val="00EE2338"/>
    <w:rsid w:val="00EE2441"/>
    <w:rsid w:val="00EE27D2"/>
    <w:rsid w:val="00EE3149"/>
    <w:rsid w:val="00EE3198"/>
    <w:rsid w:val="00EE3E99"/>
    <w:rsid w:val="00EE3F1A"/>
    <w:rsid w:val="00EE42D8"/>
    <w:rsid w:val="00EE442D"/>
    <w:rsid w:val="00EE4ABC"/>
    <w:rsid w:val="00EE4D87"/>
    <w:rsid w:val="00EE5324"/>
    <w:rsid w:val="00EE535E"/>
    <w:rsid w:val="00EE5A98"/>
    <w:rsid w:val="00EE5AC4"/>
    <w:rsid w:val="00EE6280"/>
    <w:rsid w:val="00EE67F5"/>
    <w:rsid w:val="00EE6ABD"/>
    <w:rsid w:val="00EE6B7D"/>
    <w:rsid w:val="00EE6D0B"/>
    <w:rsid w:val="00EE713B"/>
    <w:rsid w:val="00EE728D"/>
    <w:rsid w:val="00EE72B7"/>
    <w:rsid w:val="00EE795A"/>
    <w:rsid w:val="00EF0030"/>
    <w:rsid w:val="00EF03BB"/>
    <w:rsid w:val="00EF0649"/>
    <w:rsid w:val="00EF0842"/>
    <w:rsid w:val="00EF0A38"/>
    <w:rsid w:val="00EF0BB9"/>
    <w:rsid w:val="00EF0C38"/>
    <w:rsid w:val="00EF139F"/>
    <w:rsid w:val="00EF17DC"/>
    <w:rsid w:val="00EF28E5"/>
    <w:rsid w:val="00EF2A87"/>
    <w:rsid w:val="00EF2F97"/>
    <w:rsid w:val="00EF314A"/>
    <w:rsid w:val="00EF32DB"/>
    <w:rsid w:val="00EF3749"/>
    <w:rsid w:val="00EF3E18"/>
    <w:rsid w:val="00EF3FFA"/>
    <w:rsid w:val="00EF475B"/>
    <w:rsid w:val="00EF4E4F"/>
    <w:rsid w:val="00EF4E57"/>
    <w:rsid w:val="00EF5380"/>
    <w:rsid w:val="00EF53FB"/>
    <w:rsid w:val="00EF5B6F"/>
    <w:rsid w:val="00EF5BD6"/>
    <w:rsid w:val="00EF5C6A"/>
    <w:rsid w:val="00EF6203"/>
    <w:rsid w:val="00EF6402"/>
    <w:rsid w:val="00EF648C"/>
    <w:rsid w:val="00EF64F8"/>
    <w:rsid w:val="00EF669B"/>
    <w:rsid w:val="00EF71DB"/>
    <w:rsid w:val="00EF738E"/>
    <w:rsid w:val="00F004AA"/>
    <w:rsid w:val="00F005BA"/>
    <w:rsid w:val="00F007F7"/>
    <w:rsid w:val="00F009E8"/>
    <w:rsid w:val="00F00BF3"/>
    <w:rsid w:val="00F01138"/>
    <w:rsid w:val="00F0159B"/>
    <w:rsid w:val="00F01A37"/>
    <w:rsid w:val="00F01DD9"/>
    <w:rsid w:val="00F01FA7"/>
    <w:rsid w:val="00F020F6"/>
    <w:rsid w:val="00F02189"/>
    <w:rsid w:val="00F0254C"/>
    <w:rsid w:val="00F025E0"/>
    <w:rsid w:val="00F02D6C"/>
    <w:rsid w:val="00F02E92"/>
    <w:rsid w:val="00F03160"/>
    <w:rsid w:val="00F036F9"/>
    <w:rsid w:val="00F03CC3"/>
    <w:rsid w:val="00F03E3C"/>
    <w:rsid w:val="00F03E5F"/>
    <w:rsid w:val="00F03ECB"/>
    <w:rsid w:val="00F04315"/>
    <w:rsid w:val="00F04A40"/>
    <w:rsid w:val="00F04B7A"/>
    <w:rsid w:val="00F052D5"/>
    <w:rsid w:val="00F0543F"/>
    <w:rsid w:val="00F054EF"/>
    <w:rsid w:val="00F059AD"/>
    <w:rsid w:val="00F05CA7"/>
    <w:rsid w:val="00F05F53"/>
    <w:rsid w:val="00F060A3"/>
    <w:rsid w:val="00F06DF8"/>
    <w:rsid w:val="00F07324"/>
    <w:rsid w:val="00F07734"/>
    <w:rsid w:val="00F07ADB"/>
    <w:rsid w:val="00F07FC4"/>
    <w:rsid w:val="00F1063D"/>
    <w:rsid w:val="00F10772"/>
    <w:rsid w:val="00F10F6F"/>
    <w:rsid w:val="00F1239F"/>
    <w:rsid w:val="00F12879"/>
    <w:rsid w:val="00F128CC"/>
    <w:rsid w:val="00F12B9A"/>
    <w:rsid w:val="00F12C5D"/>
    <w:rsid w:val="00F132DC"/>
    <w:rsid w:val="00F13D77"/>
    <w:rsid w:val="00F13FD5"/>
    <w:rsid w:val="00F1411B"/>
    <w:rsid w:val="00F14192"/>
    <w:rsid w:val="00F1444D"/>
    <w:rsid w:val="00F14790"/>
    <w:rsid w:val="00F148B9"/>
    <w:rsid w:val="00F14E43"/>
    <w:rsid w:val="00F1673D"/>
    <w:rsid w:val="00F1685F"/>
    <w:rsid w:val="00F16A68"/>
    <w:rsid w:val="00F16C66"/>
    <w:rsid w:val="00F17292"/>
    <w:rsid w:val="00F17364"/>
    <w:rsid w:val="00F174FA"/>
    <w:rsid w:val="00F17FC5"/>
    <w:rsid w:val="00F20184"/>
    <w:rsid w:val="00F20C31"/>
    <w:rsid w:val="00F21243"/>
    <w:rsid w:val="00F2149C"/>
    <w:rsid w:val="00F21DF7"/>
    <w:rsid w:val="00F21F69"/>
    <w:rsid w:val="00F221B2"/>
    <w:rsid w:val="00F2282A"/>
    <w:rsid w:val="00F22936"/>
    <w:rsid w:val="00F22A3F"/>
    <w:rsid w:val="00F22CFD"/>
    <w:rsid w:val="00F22E3A"/>
    <w:rsid w:val="00F22EF5"/>
    <w:rsid w:val="00F232D3"/>
    <w:rsid w:val="00F23407"/>
    <w:rsid w:val="00F23949"/>
    <w:rsid w:val="00F23EAE"/>
    <w:rsid w:val="00F24104"/>
    <w:rsid w:val="00F242FA"/>
    <w:rsid w:val="00F246C7"/>
    <w:rsid w:val="00F24760"/>
    <w:rsid w:val="00F247E8"/>
    <w:rsid w:val="00F24837"/>
    <w:rsid w:val="00F24A35"/>
    <w:rsid w:val="00F24C89"/>
    <w:rsid w:val="00F24CCB"/>
    <w:rsid w:val="00F24DFA"/>
    <w:rsid w:val="00F24F39"/>
    <w:rsid w:val="00F25962"/>
    <w:rsid w:val="00F25D86"/>
    <w:rsid w:val="00F25E62"/>
    <w:rsid w:val="00F26FF8"/>
    <w:rsid w:val="00F2723B"/>
    <w:rsid w:val="00F27409"/>
    <w:rsid w:val="00F27490"/>
    <w:rsid w:val="00F277CF"/>
    <w:rsid w:val="00F306E4"/>
    <w:rsid w:val="00F30B36"/>
    <w:rsid w:val="00F30C11"/>
    <w:rsid w:val="00F315A4"/>
    <w:rsid w:val="00F3197D"/>
    <w:rsid w:val="00F32237"/>
    <w:rsid w:val="00F329BF"/>
    <w:rsid w:val="00F32F35"/>
    <w:rsid w:val="00F33076"/>
    <w:rsid w:val="00F336C7"/>
    <w:rsid w:val="00F336ED"/>
    <w:rsid w:val="00F338E2"/>
    <w:rsid w:val="00F33A9D"/>
    <w:rsid w:val="00F33C28"/>
    <w:rsid w:val="00F341E2"/>
    <w:rsid w:val="00F34734"/>
    <w:rsid w:val="00F347B7"/>
    <w:rsid w:val="00F34821"/>
    <w:rsid w:val="00F34E9E"/>
    <w:rsid w:val="00F35115"/>
    <w:rsid w:val="00F36477"/>
    <w:rsid w:val="00F36A54"/>
    <w:rsid w:val="00F371F8"/>
    <w:rsid w:val="00F37641"/>
    <w:rsid w:val="00F37AAE"/>
    <w:rsid w:val="00F37C48"/>
    <w:rsid w:val="00F37E8B"/>
    <w:rsid w:val="00F40997"/>
    <w:rsid w:val="00F40B71"/>
    <w:rsid w:val="00F40BDB"/>
    <w:rsid w:val="00F40D06"/>
    <w:rsid w:val="00F40E8A"/>
    <w:rsid w:val="00F40FE2"/>
    <w:rsid w:val="00F413B7"/>
    <w:rsid w:val="00F418CF"/>
    <w:rsid w:val="00F41B05"/>
    <w:rsid w:val="00F41BC8"/>
    <w:rsid w:val="00F41C36"/>
    <w:rsid w:val="00F41D3C"/>
    <w:rsid w:val="00F41DAE"/>
    <w:rsid w:val="00F4293D"/>
    <w:rsid w:val="00F42BEB"/>
    <w:rsid w:val="00F42F12"/>
    <w:rsid w:val="00F43984"/>
    <w:rsid w:val="00F43B92"/>
    <w:rsid w:val="00F43D36"/>
    <w:rsid w:val="00F43F4F"/>
    <w:rsid w:val="00F44284"/>
    <w:rsid w:val="00F446C1"/>
    <w:rsid w:val="00F44DDC"/>
    <w:rsid w:val="00F44E93"/>
    <w:rsid w:val="00F4510B"/>
    <w:rsid w:val="00F454EB"/>
    <w:rsid w:val="00F45813"/>
    <w:rsid w:val="00F45BED"/>
    <w:rsid w:val="00F45D56"/>
    <w:rsid w:val="00F45E2F"/>
    <w:rsid w:val="00F45F3E"/>
    <w:rsid w:val="00F45FA0"/>
    <w:rsid w:val="00F46325"/>
    <w:rsid w:val="00F46469"/>
    <w:rsid w:val="00F46563"/>
    <w:rsid w:val="00F46C34"/>
    <w:rsid w:val="00F46F00"/>
    <w:rsid w:val="00F47157"/>
    <w:rsid w:val="00F47C33"/>
    <w:rsid w:val="00F47E42"/>
    <w:rsid w:val="00F47EA3"/>
    <w:rsid w:val="00F47EAF"/>
    <w:rsid w:val="00F50097"/>
    <w:rsid w:val="00F502AD"/>
    <w:rsid w:val="00F502C0"/>
    <w:rsid w:val="00F50D9D"/>
    <w:rsid w:val="00F51190"/>
    <w:rsid w:val="00F514C4"/>
    <w:rsid w:val="00F51573"/>
    <w:rsid w:val="00F5194A"/>
    <w:rsid w:val="00F51A4F"/>
    <w:rsid w:val="00F5213F"/>
    <w:rsid w:val="00F52423"/>
    <w:rsid w:val="00F5261E"/>
    <w:rsid w:val="00F5298A"/>
    <w:rsid w:val="00F5317C"/>
    <w:rsid w:val="00F5345A"/>
    <w:rsid w:val="00F53E7E"/>
    <w:rsid w:val="00F54814"/>
    <w:rsid w:val="00F5497C"/>
    <w:rsid w:val="00F54B5A"/>
    <w:rsid w:val="00F557C4"/>
    <w:rsid w:val="00F56705"/>
    <w:rsid w:val="00F572A8"/>
    <w:rsid w:val="00F574B8"/>
    <w:rsid w:val="00F574D5"/>
    <w:rsid w:val="00F57E0F"/>
    <w:rsid w:val="00F57E2E"/>
    <w:rsid w:val="00F60101"/>
    <w:rsid w:val="00F6076E"/>
    <w:rsid w:val="00F607BE"/>
    <w:rsid w:val="00F60A95"/>
    <w:rsid w:val="00F60E7A"/>
    <w:rsid w:val="00F61015"/>
    <w:rsid w:val="00F6106D"/>
    <w:rsid w:val="00F6136F"/>
    <w:rsid w:val="00F61A6E"/>
    <w:rsid w:val="00F61D56"/>
    <w:rsid w:val="00F61E6E"/>
    <w:rsid w:val="00F61F7F"/>
    <w:rsid w:val="00F62077"/>
    <w:rsid w:val="00F62109"/>
    <w:rsid w:val="00F623AD"/>
    <w:rsid w:val="00F62C2C"/>
    <w:rsid w:val="00F62CAC"/>
    <w:rsid w:val="00F62CD8"/>
    <w:rsid w:val="00F62D62"/>
    <w:rsid w:val="00F63319"/>
    <w:rsid w:val="00F6362B"/>
    <w:rsid w:val="00F63A00"/>
    <w:rsid w:val="00F63C2B"/>
    <w:rsid w:val="00F6417E"/>
    <w:rsid w:val="00F645FD"/>
    <w:rsid w:val="00F64671"/>
    <w:rsid w:val="00F647EB"/>
    <w:rsid w:val="00F64A53"/>
    <w:rsid w:val="00F64BF0"/>
    <w:rsid w:val="00F651AB"/>
    <w:rsid w:val="00F654BC"/>
    <w:rsid w:val="00F6558F"/>
    <w:rsid w:val="00F65AE8"/>
    <w:rsid w:val="00F65BDC"/>
    <w:rsid w:val="00F65E00"/>
    <w:rsid w:val="00F65E47"/>
    <w:rsid w:val="00F664AA"/>
    <w:rsid w:val="00F6659D"/>
    <w:rsid w:val="00F66EB5"/>
    <w:rsid w:val="00F6727F"/>
    <w:rsid w:val="00F676FC"/>
    <w:rsid w:val="00F678B8"/>
    <w:rsid w:val="00F67B57"/>
    <w:rsid w:val="00F67BB9"/>
    <w:rsid w:val="00F67E7D"/>
    <w:rsid w:val="00F700F2"/>
    <w:rsid w:val="00F70439"/>
    <w:rsid w:val="00F706E3"/>
    <w:rsid w:val="00F7096D"/>
    <w:rsid w:val="00F70B81"/>
    <w:rsid w:val="00F70E21"/>
    <w:rsid w:val="00F7146E"/>
    <w:rsid w:val="00F716A1"/>
    <w:rsid w:val="00F7173F"/>
    <w:rsid w:val="00F71A4F"/>
    <w:rsid w:val="00F72125"/>
    <w:rsid w:val="00F72137"/>
    <w:rsid w:val="00F728F3"/>
    <w:rsid w:val="00F72A15"/>
    <w:rsid w:val="00F72C81"/>
    <w:rsid w:val="00F72DE2"/>
    <w:rsid w:val="00F72EFB"/>
    <w:rsid w:val="00F73EAA"/>
    <w:rsid w:val="00F73EAB"/>
    <w:rsid w:val="00F746ED"/>
    <w:rsid w:val="00F7485E"/>
    <w:rsid w:val="00F74EDA"/>
    <w:rsid w:val="00F7505E"/>
    <w:rsid w:val="00F755EC"/>
    <w:rsid w:val="00F7572B"/>
    <w:rsid w:val="00F757EF"/>
    <w:rsid w:val="00F758C5"/>
    <w:rsid w:val="00F75D31"/>
    <w:rsid w:val="00F76300"/>
    <w:rsid w:val="00F769AA"/>
    <w:rsid w:val="00F76C33"/>
    <w:rsid w:val="00F775F8"/>
    <w:rsid w:val="00F7A546"/>
    <w:rsid w:val="00F80087"/>
    <w:rsid w:val="00F8031D"/>
    <w:rsid w:val="00F80455"/>
    <w:rsid w:val="00F80646"/>
    <w:rsid w:val="00F80F9E"/>
    <w:rsid w:val="00F8120C"/>
    <w:rsid w:val="00F814F0"/>
    <w:rsid w:val="00F8158A"/>
    <w:rsid w:val="00F8161F"/>
    <w:rsid w:val="00F816CC"/>
    <w:rsid w:val="00F817FD"/>
    <w:rsid w:val="00F81C24"/>
    <w:rsid w:val="00F825D2"/>
    <w:rsid w:val="00F827DF"/>
    <w:rsid w:val="00F82ED6"/>
    <w:rsid w:val="00F837E8"/>
    <w:rsid w:val="00F83840"/>
    <w:rsid w:val="00F83D65"/>
    <w:rsid w:val="00F83DC4"/>
    <w:rsid w:val="00F8461F"/>
    <w:rsid w:val="00F84EDF"/>
    <w:rsid w:val="00F84F24"/>
    <w:rsid w:val="00F84F7A"/>
    <w:rsid w:val="00F85142"/>
    <w:rsid w:val="00F85424"/>
    <w:rsid w:val="00F8566F"/>
    <w:rsid w:val="00F85692"/>
    <w:rsid w:val="00F8571B"/>
    <w:rsid w:val="00F8685A"/>
    <w:rsid w:val="00F86C80"/>
    <w:rsid w:val="00F872D2"/>
    <w:rsid w:val="00F90059"/>
    <w:rsid w:val="00F90614"/>
    <w:rsid w:val="00F906BA"/>
    <w:rsid w:val="00F907E6"/>
    <w:rsid w:val="00F90907"/>
    <w:rsid w:val="00F90AB3"/>
    <w:rsid w:val="00F91183"/>
    <w:rsid w:val="00F91243"/>
    <w:rsid w:val="00F91969"/>
    <w:rsid w:val="00F91A1E"/>
    <w:rsid w:val="00F91CE7"/>
    <w:rsid w:val="00F9215D"/>
    <w:rsid w:val="00F9269B"/>
    <w:rsid w:val="00F92B7C"/>
    <w:rsid w:val="00F92E23"/>
    <w:rsid w:val="00F92EC6"/>
    <w:rsid w:val="00F92F3B"/>
    <w:rsid w:val="00F93110"/>
    <w:rsid w:val="00F93442"/>
    <w:rsid w:val="00F93736"/>
    <w:rsid w:val="00F938D1"/>
    <w:rsid w:val="00F93A19"/>
    <w:rsid w:val="00F93D2D"/>
    <w:rsid w:val="00F941B3"/>
    <w:rsid w:val="00F94427"/>
    <w:rsid w:val="00F9473F"/>
    <w:rsid w:val="00F948E8"/>
    <w:rsid w:val="00F9496C"/>
    <w:rsid w:val="00F94D12"/>
    <w:rsid w:val="00F954AD"/>
    <w:rsid w:val="00F96203"/>
    <w:rsid w:val="00F96247"/>
    <w:rsid w:val="00F9624E"/>
    <w:rsid w:val="00F964E0"/>
    <w:rsid w:val="00F96633"/>
    <w:rsid w:val="00F967E0"/>
    <w:rsid w:val="00F97698"/>
    <w:rsid w:val="00F97710"/>
    <w:rsid w:val="00F97AD1"/>
    <w:rsid w:val="00F97CBE"/>
    <w:rsid w:val="00FA0930"/>
    <w:rsid w:val="00FA0FD8"/>
    <w:rsid w:val="00FA1EB2"/>
    <w:rsid w:val="00FA23B9"/>
    <w:rsid w:val="00FA2513"/>
    <w:rsid w:val="00FA25B0"/>
    <w:rsid w:val="00FA270A"/>
    <w:rsid w:val="00FA27CB"/>
    <w:rsid w:val="00FA2FB9"/>
    <w:rsid w:val="00FA3875"/>
    <w:rsid w:val="00FA3EB8"/>
    <w:rsid w:val="00FA40A4"/>
    <w:rsid w:val="00FA4295"/>
    <w:rsid w:val="00FA42AB"/>
    <w:rsid w:val="00FA438F"/>
    <w:rsid w:val="00FA4C3E"/>
    <w:rsid w:val="00FA4DB3"/>
    <w:rsid w:val="00FA51AC"/>
    <w:rsid w:val="00FA5EFB"/>
    <w:rsid w:val="00FA6884"/>
    <w:rsid w:val="00FA6D71"/>
    <w:rsid w:val="00FA74E4"/>
    <w:rsid w:val="00FA750F"/>
    <w:rsid w:val="00FA76E2"/>
    <w:rsid w:val="00FB01A5"/>
    <w:rsid w:val="00FB0D6F"/>
    <w:rsid w:val="00FB125B"/>
    <w:rsid w:val="00FB1710"/>
    <w:rsid w:val="00FB1DBE"/>
    <w:rsid w:val="00FB27BE"/>
    <w:rsid w:val="00FB283C"/>
    <w:rsid w:val="00FB2BC8"/>
    <w:rsid w:val="00FB2C8E"/>
    <w:rsid w:val="00FB2D52"/>
    <w:rsid w:val="00FB2D70"/>
    <w:rsid w:val="00FB2ECB"/>
    <w:rsid w:val="00FB3058"/>
    <w:rsid w:val="00FB30BC"/>
    <w:rsid w:val="00FB30D4"/>
    <w:rsid w:val="00FB39E1"/>
    <w:rsid w:val="00FB3CA1"/>
    <w:rsid w:val="00FB3D36"/>
    <w:rsid w:val="00FB3FA9"/>
    <w:rsid w:val="00FB404F"/>
    <w:rsid w:val="00FB46F2"/>
    <w:rsid w:val="00FB4829"/>
    <w:rsid w:val="00FB48E5"/>
    <w:rsid w:val="00FB4A3E"/>
    <w:rsid w:val="00FB5023"/>
    <w:rsid w:val="00FB53C5"/>
    <w:rsid w:val="00FB54C5"/>
    <w:rsid w:val="00FB556A"/>
    <w:rsid w:val="00FB5899"/>
    <w:rsid w:val="00FB5E23"/>
    <w:rsid w:val="00FB66B2"/>
    <w:rsid w:val="00FB6A8A"/>
    <w:rsid w:val="00FB6FEC"/>
    <w:rsid w:val="00FB7163"/>
    <w:rsid w:val="00FB7CEF"/>
    <w:rsid w:val="00FC01B2"/>
    <w:rsid w:val="00FC067E"/>
    <w:rsid w:val="00FC0C30"/>
    <w:rsid w:val="00FC0C38"/>
    <w:rsid w:val="00FC0CC2"/>
    <w:rsid w:val="00FC105E"/>
    <w:rsid w:val="00FC18C3"/>
    <w:rsid w:val="00FC1B98"/>
    <w:rsid w:val="00FC26A3"/>
    <w:rsid w:val="00FC27A3"/>
    <w:rsid w:val="00FC2870"/>
    <w:rsid w:val="00FC2DD8"/>
    <w:rsid w:val="00FC33B2"/>
    <w:rsid w:val="00FC380F"/>
    <w:rsid w:val="00FC38FF"/>
    <w:rsid w:val="00FC39D3"/>
    <w:rsid w:val="00FC3B34"/>
    <w:rsid w:val="00FC3E2E"/>
    <w:rsid w:val="00FC486F"/>
    <w:rsid w:val="00FC48C5"/>
    <w:rsid w:val="00FC49CD"/>
    <w:rsid w:val="00FC4B2A"/>
    <w:rsid w:val="00FC5283"/>
    <w:rsid w:val="00FC537B"/>
    <w:rsid w:val="00FC53C6"/>
    <w:rsid w:val="00FC57F1"/>
    <w:rsid w:val="00FC5E47"/>
    <w:rsid w:val="00FC5E5E"/>
    <w:rsid w:val="00FC6038"/>
    <w:rsid w:val="00FC64F9"/>
    <w:rsid w:val="00FC660B"/>
    <w:rsid w:val="00FC697F"/>
    <w:rsid w:val="00FC6DEF"/>
    <w:rsid w:val="00FC7622"/>
    <w:rsid w:val="00FC7B88"/>
    <w:rsid w:val="00FD06E4"/>
    <w:rsid w:val="00FD07B1"/>
    <w:rsid w:val="00FD0D95"/>
    <w:rsid w:val="00FD13D5"/>
    <w:rsid w:val="00FD1F49"/>
    <w:rsid w:val="00FD1FDB"/>
    <w:rsid w:val="00FD205F"/>
    <w:rsid w:val="00FD28B2"/>
    <w:rsid w:val="00FD2928"/>
    <w:rsid w:val="00FD2BD2"/>
    <w:rsid w:val="00FD2CFF"/>
    <w:rsid w:val="00FD2FBD"/>
    <w:rsid w:val="00FD354B"/>
    <w:rsid w:val="00FD3561"/>
    <w:rsid w:val="00FD38BD"/>
    <w:rsid w:val="00FD4171"/>
    <w:rsid w:val="00FD4783"/>
    <w:rsid w:val="00FD508C"/>
    <w:rsid w:val="00FD519B"/>
    <w:rsid w:val="00FD5873"/>
    <w:rsid w:val="00FD5999"/>
    <w:rsid w:val="00FD5E29"/>
    <w:rsid w:val="00FD6161"/>
    <w:rsid w:val="00FD6D2B"/>
    <w:rsid w:val="00FD6D6A"/>
    <w:rsid w:val="00FD7184"/>
    <w:rsid w:val="00FE016B"/>
    <w:rsid w:val="00FE01D8"/>
    <w:rsid w:val="00FE025D"/>
    <w:rsid w:val="00FE0901"/>
    <w:rsid w:val="00FE195B"/>
    <w:rsid w:val="00FE1974"/>
    <w:rsid w:val="00FE1CEE"/>
    <w:rsid w:val="00FE222F"/>
    <w:rsid w:val="00FE2743"/>
    <w:rsid w:val="00FE291C"/>
    <w:rsid w:val="00FE29EF"/>
    <w:rsid w:val="00FE2FEA"/>
    <w:rsid w:val="00FE31B2"/>
    <w:rsid w:val="00FE35BD"/>
    <w:rsid w:val="00FE3883"/>
    <w:rsid w:val="00FE3E56"/>
    <w:rsid w:val="00FE4C10"/>
    <w:rsid w:val="00FE5150"/>
    <w:rsid w:val="00FE5394"/>
    <w:rsid w:val="00FE5542"/>
    <w:rsid w:val="00FE55B8"/>
    <w:rsid w:val="00FE562D"/>
    <w:rsid w:val="00FE5879"/>
    <w:rsid w:val="00FE58E8"/>
    <w:rsid w:val="00FE5A41"/>
    <w:rsid w:val="00FE5AA8"/>
    <w:rsid w:val="00FE5B23"/>
    <w:rsid w:val="00FE5D8D"/>
    <w:rsid w:val="00FE64AC"/>
    <w:rsid w:val="00FE64F8"/>
    <w:rsid w:val="00FE651B"/>
    <w:rsid w:val="00FE669C"/>
    <w:rsid w:val="00FE673C"/>
    <w:rsid w:val="00FE6F10"/>
    <w:rsid w:val="00FE76A2"/>
    <w:rsid w:val="00FE7AE2"/>
    <w:rsid w:val="00FF036E"/>
    <w:rsid w:val="00FF0465"/>
    <w:rsid w:val="00FF0829"/>
    <w:rsid w:val="00FF0A89"/>
    <w:rsid w:val="00FF139D"/>
    <w:rsid w:val="00FF1970"/>
    <w:rsid w:val="00FF1A9F"/>
    <w:rsid w:val="00FF1DD7"/>
    <w:rsid w:val="00FF2216"/>
    <w:rsid w:val="00FF28FF"/>
    <w:rsid w:val="00FF29B8"/>
    <w:rsid w:val="00FF2EE2"/>
    <w:rsid w:val="00FF3333"/>
    <w:rsid w:val="00FF33E6"/>
    <w:rsid w:val="00FF34CE"/>
    <w:rsid w:val="00FF3508"/>
    <w:rsid w:val="00FF385E"/>
    <w:rsid w:val="00FF396A"/>
    <w:rsid w:val="00FF3D9A"/>
    <w:rsid w:val="00FF410B"/>
    <w:rsid w:val="00FF41CC"/>
    <w:rsid w:val="00FF462A"/>
    <w:rsid w:val="00FF48D5"/>
    <w:rsid w:val="00FF4AFB"/>
    <w:rsid w:val="00FF516C"/>
    <w:rsid w:val="00FF5266"/>
    <w:rsid w:val="00FF58AA"/>
    <w:rsid w:val="00FF598A"/>
    <w:rsid w:val="00FF5A4D"/>
    <w:rsid w:val="00FF60CF"/>
    <w:rsid w:val="00FF618A"/>
    <w:rsid w:val="00FF62BA"/>
    <w:rsid w:val="00FF639D"/>
    <w:rsid w:val="00FF659D"/>
    <w:rsid w:val="00FF679B"/>
    <w:rsid w:val="00FF67FF"/>
    <w:rsid w:val="00FF6A02"/>
    <w:rsid w:val="00FF75DC"/>
    <w:rsid w:val="00FF7A59"/>
    <w:rsid w:val="00FF7BE5"/>
    <w:rsid w:val="00FF990D"/>
    <w:rsid w:val="0101AD61"/>
    <w:rsid w:val="0103B09D"/>
    <w:rsid w:val="011CC44B"/>
    <w:rsid w:val="011FB74A"/>
    <w:rsid w:val="014236D3"/>
    <w:rsid w:val="0151855B"/>
    <w:rsid w:val="01613226"/>
    <w:rsid w:val="0168970C"/>
    <w:rsid w:val="016D0E06"/>
    <w:rsid w:val="016D6EA3"/>
    <w:rsid w:val="017D62B9"/>
    <w:rsid w:val="019477E3"/>
    <w:rsid w:val="01B3CAA5"/>
    <w:rsid w:val="01CB4B72"/>
    <w:rsid w:val="01CC732E"/>
    <w:rsid w:val="01CFD05E"/>
    <w:rsid w:val="01D267E7"/>
    <w:rsid w:val="01D875D2"/>
    <w:rsid w:val="01EA2812"/>
    <w:rsid w:val="01EBD7A1"/>
    <w:rsid w:val="01F21EC9"/>
    <w:rsid w:val="021B5E09"/>
    <w:rsid w:val="0226206E"/>
    <w:rsid w:val="022FF98F"/>
    <w:rsid w:val="024D6CA6"/>
    <w:rsid w:val="024D807B"/>
    <w:rsid w:val="02521D5B"/>
    <w:rsid w:val="026B3F6E"/>
    <w:rsid w:val="02839DDE"/>
    <w:rsid w:val="0285B0C6"/>
    <w:rsid w:val="028BC7C3"/>
    <w:rsid w:val="02CC5E0C"/>
    <w:rsid w:val="02D840D1"/>
    <w:rsid w:val="02E27DCB"/>
    <w:rsid w:val="02E78760"/>
    <w:rsid w:val="02F95C2C"/>
    <w:rsid w:val="03172522"/>
    <w:rsid w:val="031A0441"/>
    <w:rsid w:val="031AA51A"/>
    <w:rsid w:val="031AE8FF"/>
    <w:rsid w:val="03276329"/>
    <w:rsid w:val="0332AE75"/>
    <w:rsid w:val="033B0473"/>
    <w:rsid w:val="0352C5DF"/>
    <w:rsid w:val="0371A91E"/>
    <w:rsid w:val="03796B5B"/>
    <w:rsid w:val="037A034D"/>
    <w:rsid w:val="038AB082"/>
    <w:rsid w:val="03A020B9"/>
    <w:rsid w:val="03BAEB69"/>
    <w:rsid w:val="03BDF360"/>
    <w:rsid w:val="03D36094"/>
    <w:rsid w:val="03D53261"/>
    <w:rsid w:val="03D59329"/>
    <w:rsid w:val="03DBC203"/>
    <w:rsid w:val="03DF6876"/>
    <w:rsid w:val="03E49041"/>
    <w:rsid w:val="03F4880D"/>
    <w:rsid w:val="03FD2145"/>
    <w:rsid w:val="046205DF"/>
    <w:rsid w:val="046FEB7A"/>
    <w:rsid w:val="0496E7ED"/>
    <w:rsid w:val="04D0A666"/>
    <w:rsid w:val="04D608F0"/>
    <w:rsid w:val="04D6EEB3"/>
    <w:rsid w:val="04D80EFC"/>
    <w:rsid w:val="04DBFA28"/>
    <w:rsid w:val="04E4EBA9"/>
    <w:rsid w:val="04EE30BE"/>
    <w:rsid w:val="05124933"/>
    <w:rsid w:val="05168AAC"/>
    <w:rsid w:val="053E68F3"/>
    <w:rsid w:val="0556D864"/>
    <w:rsid w:val="057A3AF3"/>
    <w:rsid w:val="0586292A"/>
    <w:rsid w:val="0593ECC2"/>
    <w:rsid w:val="05944769"/>
    <w:rsid w:val="059F84E6"/>
    <w:rsid w:val="05A4AB7C"/>
    <w:rsid w:val="05BD8346"/>
    <w:rsid w:val="05C62D2E"/>
    <w:rsid w:val="05C8B48D"/>
    <w:rsid w:val="05DA42BF"/>
    <w:rsid w:val="05E6BE02"/>
    <w:rsid w:val="05E77918"/>
    <w:rsid w:val="05E9E63E"/>
    <w:rsid w:val="05FBD3E2"/>
    <w:rsid w:val="0601E972"/>
    <w:rsid w:val="060E0E76"/>
    <w:rsid w:val="061823B4"/>
    <w:rsid w:val="061969DE"/>
    <w:rsid w:val="0619E1E6"/>
    <w:rsid w:val="061FB4BA"/>
    <w:rsid w:val="062A5B5F"/>
    <w:rsid w:val="064D6D9A"/>
    <w:rsid w:val="0658DD6E"/>
    <w:rsid w:val="0660A1BA"/>
    <w:rsid w:val="06716FB7"/>
    <w:rsid w:val="06789F04"/>
    <w:rsid w:val="0689FB5C"/>
    <w:rsid w:val="068E010E"/>
    <w:rsid w:val="06959629"/>
    <w:rsid w:val="06B1B62E"/>
    <w:rsid w:val="06B5E1C0"/>
    <w:rsid w:val="06B69FD5"/>
    <w:rsid w:val="06BE82A2"/>
    <w:rsid w:val="06C2C26D"/>
    <w:rsid w:val="06E39E46"/>
    <w:rsid w:val="06E7446A"/>
    <w:rsid w:val="06F2FE19"/>
    <w:rsid w:val="070B3A91"/>
    <w:rsid w:val="07127E1B"/>
    <w:rsid w:val="0724C64C"/>
    <w:rsid w:val="072831B6"/>
    <w:rsid w:val="0758A42E"/>
    <w:rsid w:val="0759E818"/>
    <w:rsid w:val="077BB6AC"/>
    <w:rsid w:val="077D9AD8"/>
    <w:rsid w:val="07802FCD"/>
    <w:rsid w:val="0791F76F"/>
    <w:rsid w:val="07A0C60A"/>
    <w:rsid w:val="07A1F9DF"/>
    <w:rsid w:val="07ABA33B"/>
    <w:rsid w:val="07BB0322"/>
    <w:rsid w:val="07D34907"/>
    <w:rsid w:val="07EBBB7D"/>
    <w:rsid w:val="07ECC2AB"/>
    <w:rsid w:val="0809DA09"/>
    <w:rsid w:val="0845EC61"/>
    <w:rsid w:val="0860C819"/>
    <w:rsid w:val="08622C4B"/>
    <w:rsid w:val="087A70D2"/>
    <w:rsid w:val="087EE970"/>
    <w:rsid w:val="088B738E"/>
    <w:rsid w:val="0898E53C"/>
    <w:rsid w:val="08A0767C"/>
    <w:rsid w:val="08A3B5E6"/>
    <w:rsid w:val="08D370B9"/>
    <w:rsid w:val="08E57EA2"/>
    <w:rsid w:val="08EC7E8B"/>
    <w:rsid w:val="09135A25"/>
    <w:rsid w:val="0913BE3A"/>
    <w:rsid w:val="0923DD29"/>
    <w:rsid w:val="092CA1AC"/>
    <w:rsid w:val="093190E8"/>
    <w:rsid w:val="093DE8C1"/>
    <w:rsid w:val="0968BAE5"/>
    <w:rsid w:val="09768C52"/>
    <w:rsid w:val="097F9870"/>
    <w:rsid w:val="098839F4"/>
    <w:rsid w:val="098F23E1"/>
    <w:rsid w:val="099F9563"/>
    <w:rsid w:val="09A5CE19"/>
    <w:rsid w:val="09C68ED1"/>
    <w:rsid w:val="09C95262"/>
    <w:rsid w:val="09E4A9C2"/>
    <w:rsid w:val="09E86F9D"/>
    <w:rsid w:val="09FB2B5F"/>
    <w:rsid w:val="0A065E9B"/>
    <w:rsid w:val="0A142D19"/>
    <w:rsid w:val="0A25D0EB"/>
    <w:rsid w:val="0A35520C"/>
    <w:rsid w:val="0A38A213"/>
    <w:rsid w:val="0A3C7614"/>
    <w:rsid w:val="0A3EA30E"/>
    <w:rsid w:val="0A41DE30"/>
    <w:rsid w:val="0A55BC8D"/>
    <w:rsid w:val="0A565321"/>
    <w:rsid w:val="0A5E15C2"/>
    <w:rsid w:val="0A79F40B"/>
    <w:rsid w:val="0A843F37"/>
    <w:rsid w:val="0A8B6756"/>
    <w:rsid w:val="0A8FC88C"/>
    <w:rsid w:val="0AA1CD3A"/>
    <w:rsid w:val="0AA9D058"/>
    <w:rsid w:val="0AAFA465"/>
    <w:rsid w:val="0AB26879"/>
    <w:rsid w:val="0AB80D34"/>
    <w:rsid w:val="0AD88E3C"/>
    <w:rsid w:val="0ADA3AEB"/>
    <w:rsid w:val="0AE42146"/>
    <w:rsid w:val="0AF3C512"/>
    <w:rsid w:val="0AFEE432"/>
    <w:rsid w:val="0AFF0D50"/>
    <w:rsid w:val="0B005482"/>
    <w:rsid w:val="0B124C44"/>
    <w:rsid w:val="0B260140"/>
    <w:rsid w:val="0B2F8914"/>
    <w:rsid w:val="0B3DB05B"/>
    <w:rsid w:val="0B40778F"/>
    <w:rsid w:val="0B4C5C05"/>
    <w:rsid w:val="0B553C15"/>
    <w:rsid w:val="0B5C1A69"/>
    <w:rsid w:val="0B5D15B9"/>
    <w:rsid w:val="0B6E6966"/>
    <w:rsid w:val="0B7FCB9D"/>
    <w:rsid w:val="0B803055"/>
    <w:rsid w:val="0B8C994C"/>
    <w:rsid w:val="0BC88853"/>
    <w:rsid w:val="0BD8B82C"/>
    <w:rsid w:val="0BE04696"/>
    <w:rsid w:val="0BF3A509"/>
    <w:rsid w:val="0BFA0E29"/>
    <w:rsid w:val="0C03F6CA"/>
    <w:rsid w:val="0C07A2B0"/>
    <w:rsid w:val="0C123293"/>
    <w:rsid w:val="0C12F3BE"/>
    <w:rsid w:val="0C1327F5"/>
    <w:rsid w:val="0C1FA9BE"/>
    <w:rsid w:val="0C2F662A"/>
    <w:rsid w:val="0C2F6FDF"/>
    <w:rsid w:val="0C3BF758"/>
    <w:rsid w:val="0C3C1E28"/>
    <w:rsid w:val="0C54D3A3"/>
    <w:rsid w:val="0C611771"/>
    <w:rsid w:val="0C727EEF"/>
    <w:rsid w:val="0C7B33FF"/>
    <w:rsid w:val="0C7B6EC1"/>
    <w:rsid w:val="0C7D8019"/>
    <w:rsid w:val="0C878BBC"/>
    <w:rsid w:val="0C8E92F6"/>
    <w:rsid w:val="0C91BAF2"/>
    <w:rsid w:val="0C91E40F"/>
    <w:rsid w:val="0C91E41A"/>
    <w:rsid w:val="0C9A32F1"/>
    <w:rsid w:val="0C9AAF35"/>
    <w:rsid w:val="0CA85DEF"/>
    <w:rsid w:val="0CB1A1F0"/>
    <w:rsid w:val="0CBF382C"/>
    <w:rsid w:val="0CC718BD"/>
    <w:rsid w:val="0CEB4FA7"/>
    <w:rsid w:val="0CEC8A01"/>
    <w:rsid w:val="0CF1F1F4"/>
    <w:rsid w:val="0D04CF8F"/>
    <w:rsid w:val="0D06087D"/>
    <w:rsid w:val="0D0DD65D"/>
    <w:rsid w:val="0D16F66F"/>
    <w:rsid w:val="0D1D42A7"/>
    <w:rsid w:val="0D3E5FAD"/>
    <w:rsid w:val="0D441EBC"/>
    <w:rsid w:val="0D5D2164"/>
    <w:rsid w:val="0D681C82"/>
    <w:rsid w:val="0D763AE3"/>
    <w:rsid w:val="0D7D157D"/>
    <w:rsid w:val="0D8D3729"/>
    <w:rsid w:val="0DA156BF"/>
    <w:rsid w:val="0DA8BB43"/>
    <w:rsid w:val="0DCA6782"/>
    <w:rsid w:val="0DD35C84"/>
    <w:rsid w:val="0DD90C6E"/>
    <w:rsid w:val="0DDC8B83"/>
    <w:rsid w:val="0DDCF63B"/>
    <w:rsid w:val="0DF30976"/>
    <w:rsid w:val="0DFC77AA"/>
    <w:rsid w:val="0DFD86EA"/>
    <w:rsid w:val="0E090DA9"/>
    <w:rsid w:val="0E2EC6D8"/>
    <w:rsid w:val="0E304136"/>
    <w:rsid w:val="0E345A0A"/>
    <w:rsid w:val="0E427D7A"/>
    <w:rsid w:val="0E68F499"/>
    <w:rsid w:val="0E76EDB3"/>
    <w:rsid w:val="0E866BE8"/>
    <w:rsid w:val="0E894402"/>
    <w:rsid w:val="0E8B5F77"/>
    <w:rsid w:val="0E9107B3"/>
    <w:rsid w:val="0EAD9A7C"/>
    <w:rsid w:val="0EBE6FDF"/>
    <w:rsid w:val="0EC1A759"/>
    <w:rsid w:val="0EC1FB3D"/>
    <w:rsid w:val="0ED31219"/>
    <w:rsid w:val="0ED9C111"/>
    <w:rsid w:val="0EE7397B"/>
    <w:rsid w:val="0EEDECCD"/>
    <w:rsid w:val="0F264EA9"/>
    <w:rsid w:val="0F27C7F3"/>
    <w:rsid w:val="0F368767"/>
    <w:rsid w:val="0F44B939"/>
    <w:rsid w:val="0F535F6E"/>
    <w:rsid w:val="0F6A8E09"/>
    <w:rsid w:val="0F6E74C4"/>
    <w:rsid w:val="0F81E4CB"/>
    <w:rsid w:val="0F894998"/>
    <w:rsid w:val="0F8AE130"/>
    <w:rsid w:val="0F8C028E"/>
    <w:rsid w:val="0F9390B0"/>
    <w:rsid w:val="0F97F88C"/>
    <w:rsid w:val="0FB65066"/>
    <w:rsid w:val="0FB85810"/>
    <w:rsid w:val="0FBC6FFB"/>
    <w:rsid w:val="0FED4936"/>
    <w:rsid w:val="0FEE2D2B"/>
    <w:rsid w:val="0FF235BD"/>
    <w:rsid w:val="0FFD6EB4"/>
    <w:rsid w:val="1011CBB6"/>
    <w:rsid w:val="101E32CA"/>
    <w:rsid w:val="1023227E"/>
    <w:rsid w:val="103553D7"/>
    <w:rsid w:val="1053A906"/>
    <w:rsid w:val="1065BED7"/>
    <w:rsid w:val="106849D8"/>
    <w:rsid w:val="108810C5"/>
    <w:rsid w:val="108FCFA9"/>
    <w:rsid w:val="109BB850"/>
    <w:rsid w:val="109D894E"/>
    <w:rsid w:val="10B1BD7A"/>
    <w:rsid w:val="10C64986"/>
    <w:rsid w:val="10E0E8EB"/>
    <w:rsid w:val="10EDA96E"/>
    <w:rsid w:val="110F08E7"/>
    <w:rsid w:val="1110FAB5"/>
    <w:rsid w:val="11234EAC"/>
    <w:rsid w:val="112DE91D"/>
    <w:rsid w:val="115EB0C0"/>
    <w:rsid w:val="1161E807"/>
    <w:rsid w:val="116C9A7A"/>
    <w:rsid w:val="11749743"/>
    <w:rsid w:val="117ED8F8"/>
    <w:rsid w:val="11856C24"/>
    <w:rsid w:val="118B6EBB"/>
    <w:rsid w:val="118E019A"/>
    <w:rsid w:val="119065E0"/>
    <w:rsid w:val="11A68891"/>
    <w:rsid w:val="11CC9E43"/>
    <w:rsid w:val="11D534FC"/>
    <w:rsid w:val="11E6ED3E"/>
    <w:rsid w:val="11E93828"/>
    <w:rsid w:val="11F01CE9"/>
    <w:rsid w:val="1241C438"/>
    <w:rsid w:val="1243997A"/>
    <w:rsid w:val="124C2C2C"/>
    <w:rsid w:val="124F5DAF"/>
    <w:rsid w:val="1265012D"/>
    <w:rsid w:val="1280B70A"/>
    <w:rsid w:val="1282BBC5"/>
    <w:rsid w:val="12B3810E"/>
    <w:rsid w:val="12B90550"/>
    <w:rsid w:val="12E17E70"/>
    <w:rsid w:val="12F37B0B"/>
    <w:rsid w:val="13057C2A"/>
    <w:rsid w:val="13063858"/>
    <w:rsid w:val="130DF9E2"/>
    <w:rsid w:val="13119A3F"/>
    <w:rsid w:val="132A1BD0"/>
    <w:rsid w:val="132ADB74"/>
    <w:rsid w:val="134B7A09"/>
    <w:rsid w:val="134F6C36"/>
    <w:rsid w:val="13615511"/>
    <w:rsid w:val="13885433"/>
    <w:rsid w:val="138DB12E"/>
    <w:rsid w:val="13969FC6"/>
    <w:rsid w:val="13A539BB"/>
    <w:rsid w:val="13C3DDB4"/>
    <w:rsid w:val="13D7997B"/>
    <w:rsid w:val="13E0A5E9"/>
    <w:rsid w:val="13E2BCEE"/>
    <w:rsid w:val="13ECC3F1"/>
    <w:rsid w:val="13F1F54A"/>
    <w:rsid w:val="13F2AE85"/>
    <w:rsid w:val="13FBA3E7"/>
    <w:rsid w:val="1407C060"/>
    <w:rsid w:val="1419F361"/>
    <w:rsid w:val="142105C0"/>
    <w:rsid w:val="142C6002"/>
    <w:rsid w:val="14316124"/>
    <w:rsid w:val="1433EFEE"/>
    <w:rsid w:val="143D4F9B"/>
    <w:rsid w:val="1448EDE5"/>
    <w:rsid w:val="144E74FD"/>
    <w:rsid w:val="1453D2CB"/>
    <w:rsid w:val="1464F93E"/>
    <w:rsid w:val="146D2FAA"/>
    <w:rsid w:val="147ADC10"/>
    <w:rsid w:val="147D3A0C"/>
    <w:rsid w:val="1488DDAB"/>
    <w:rsid w:val="1496A4F9"/>
    <w:rsid w:val="14B22217"/>
    <w:rsid w:val="14B3DA50"/>
    <w:rsid w:val="14C6D443"/>
    <w:rsid w:val="14CD17FC"/>
    <w:rsid w:val="14D5C6FB"/>
    <w:rsid w:val="1507D353"/>
    <w:rsid w:val="150D8F1B"/>
    <w:rsid w:val="150EFCD5"/>
    <w:rsid w:val="1512DCA5"/>
    <w:rsid w:val="15157827"/>
    <w:rsid w:val="15203268"/>
    <w:rsid w:val="1528B2D0"/>
    <w:rsid w:val="156EC25E"/>
    <w:rsid w:val="157C2B0C"/>
    <w:rsid w:val="157E2029"/>
    <w:rsid w:val="15926526"/>
    <w:rsid w:val="15C177C5"/>
    <w:rsid w:val="15C5D39F"/>
    <w:rsid w:val="15CBFE3F"/>
    <w:rsid w:val="15DB8983"/>
    <w:rsid w:val="15DF1633"/>
    <w:rsid w:val="15E5D60C"/>
    <w:rsid w:val="15EA9873"/>
    <w:rsid w:val="15F0340E"/>
    <w:rsid w:val="15F7B3CF"/>
    <w:rsid w:val="15FB933C"/>
    <w:rsid w:val="15FE52F5"/>
    <w:rsid w:val="160065C8"/>
    <w:rsid w:val="160EAC52"/>
    <w:rsid w:val="16108EB9"/>
    <w:rsid w:val="16120FF6"/>
    <w:rsid w:val="161302EF"/>
    <w:rsid w:val="16213F1D"/>
    <w:rsid w:val="163052D6"/>
    <w:rsid w:val="1633E266"/>
    <w:rsid w:val="16353514"/>
    <w:rsid w:val="16498014"/>
    <w:rsid w:val="16568611"/>
    <w:rsid w:val="1667AE6B"/>
    <w:rsid w:val="16681691"/>
    <w:rsid w:val="166F9583"/>
    <w:rsid w:val="16746E2C"/>
    <w:rsid w:val="16803852"/>
    <w:rsid w:val="1681694F"/>
    <w:rsid w:val="1685B3FF"/>
    <w:rsid w:val="168B97A1"/>
    <w:rsid w:val="1698E5C1"/>
    <w:rsid w:val="169E80E3"/>
    <w:rsid w:val="16A23D23"/>
    <w:rsid w:val="16B1FAE2"/>
    <w:rsid w:val="16C6E2EF"/>
    <w:rsid w:val="16CF5B61"/>
    <w:rsid w:val="16D5B9FE"/>
    <w:rsid w:val="16DD3544"/>
    <w:rsid w:val="16E1B17E"/>
    <w:rsid w:val="16FAE99D"/>
    <w:rsid w:val="170932DB"/>
    <w:rsid w:val="1714E79F"/>
    <w:rsid w:val="17166560"/>
    <w:rsid w:val="17195838"/>
    <w:rsid w:val="172AD957"/>
    <w:rsid w:val="172DC7CF"/>
    <w:rsid w:val="17336985"/>
    <w:rsid w:val="176BD3E1"/>
    <w:rsid w:val="177D4F9F"/>
    <w:rsid w:val="178CEDC0"/>
    <w:rsid w:val="1790BAEB"/>
    <w:rsid w:val="1794C4F0"/>
    <w:rsid w:val="17951EA9"/>
    <w:rsid w:val="179C1798"/>
    <w:rsid w:val="179D332B"/>
    <w:rsid w:val="17A5E2DA"/>
    <w:rsid w:val="17AE93CA"/>
    <w:rsid w:val="17D5E5AF"/>
    <w:rsid w:val="17E9593A"/>
    <w:rsid w:val="17FA535C"/>
    <w:rsid w:val="17FEC72C"/>
    <w:rsid w:val="18104B57"/>
    <w:rsid w:val="18133451"/>
    <w:rsid w:val="181900ED"/>
    <w:rsid w:val="18248442"/>
    <w:rsid w:val="182B8B5F"/>
    <w:rsid w:val="1832703B"/>
    <w:rsid w:val="1857BB6C"/>
    <w:rsid w:val="186479A3"/>
    <w:rsid w:val="186A8061"/>
    <w:rsid w:val="186C7200"/>
    <w:rsid w:val="1879D58F"/>
    <w:rsid w:val="188B88EF"/>
    <w:rsid w:val="189E5614"/>
    <w:rsid w:val="18C94D61"/>
    <w:rsid w:val="18CB0D80"/>
    <w:rsid w:val="18CF16E8"/>
    <w:rsid w:val="18CF3BE0"/>
    <w:rsid w:val="18DBF32A"/>
    <w:rsid w:val="18DD4CBD"/>
    <w:rsid w:val="18ECD762"/>
    <w:rsid w:val="18F5517B"/>
    <w:rsid w:val="19031D9A"/>
    <w:rsid w:val="19040078"/>
    <w:rsid w:val="1912EE1D"/>
    <w:rsid w:val="19240DC9"/>
    <w:rsid w:val="193197ED"/>
    <w:rsid w:val="194E61E1"/>
    <w:rsid w:val="1952E86E"/>
    <w:rsid w:val="1956D380"/>
    <w:rsid w:val="1959CD2C"/>
    <w:rsid w:val="195FE1EF"/>
    <w:rsid w:val="1968C79A"/>
    <w:rsid w:val="197A8E38"/>
    <w:rsid w:val="197CBFDA"/>
    <w:rsid w:val="197F2A0A"/>
    <w:rsid w:val="19854BF0"/>
    <w:rsid w:val="198AAAF3"/>
    <w:rsid w:val="1990C3A2"/>
    <w:rsid w:val="19AA635E"/>
    <w:rsid w:val="19BCFE4B"/>
    <w:rsid w:val="19C71FFD"/>
    <w:rsid w:val="19CA1E3B"/>
    <w:rsid w:val="19F889F9"/>
    <w:rsid w:val="1A10D694"/>
    <w:rsid w:val="1A176EAB"/>
    <w:rsid w:val="1A2B1FC7"/>
    <w:rsid w:val="1A2BEC56"/>
    <w:rsid w:val="1A5EEF0C"/>
    <w:rsid w:val="1A6D71AD"/>
    <w:rsid w:val="1A7A9AC2"/>
    <w:rsid w:val="1A7ECE30"/>
    <w:rsid w:val="1A87C6C3"/>
    <w:rsid w:val="1A9BA395"/>
    <w:rsid w:val="1AB31F8F"/>
    <w:rsid w:val="1AC3502E"/>
    <w:rsid w:val="1ACBE41A"/>
    <w:rsid w:val="1AECBAD3"/>
    <w:rsid w:val="1AEF5357"/>
    <w:rsid w:val="1AF95F72"/>
    <w:rsid w:val="1AFBD108"/>
    <w:rsid w:val="1AFBD11E"/>
    <w:rsid w:val="1B11D325"/>
    <w:rsid w:val="1B6684F8"/>
    <w:rsid w:val="1B68DE9B"/>
    <w:rsid w:val="1B6E4198"/>
    <w:rsid w:val="1B76A364"/>
    <w:rsid w:val="1B7C3629"/>
    <w:rsid w:val="1B7ECAED"/>
    <w:rsid w:val="1B8A30B3"/>
    <w:rsid w:val="1B96E094"/>
    <w:rsid w:val="1BA1B1F4"/>
    <w:rsid w:val="1BA9B787"/>
    <w:rsid w:val="1BB7F3FA"/>
    <w:rsid w:val="1BD0C8CD"/>
    <w:rsid w:val="1BD12D81"/>
    <w:rsid w:val="1BD3F3D0"/>
    <w:rsid w:val="1BE6D1BA"/>
    <w:rsid w:val="1BE88B4B"/>
    <w:rsid w:val="1BEA3065"/>
    <w:rsid w:val="1BF85D77"/>
    <w:rsid w:val="1BFF2941"/>
    <w:rsid w:val="1C0AA5F9"/>
    <w:rsid w:val="1C0FDED9"/>
    <w:rsid w:val="1C1A0B18"/>
    <w:rsid w:val="1C372782"/>
    <w:rsid w:val="1C488261"/>
    <w:rsid w:val="1C64CFA0"/>
    <w:rsid w:val="1C7308F2"/>
    <w:rsid w:val="1C755CC8"/>
    <w:rsid w:val="1C939EFB"/>
    <w:rsid w:val="1C9A6BFF"/>
    <w:rsid w:val="1CACE69D"/>
    <w:rsid w:val="1CB48A27"/>
    <w:rsid w:val="1CB68257"/>
    <w:rsid w:val="1CBDECCE"/>
    <w:rsid w:val="1CBE2C70"/>
    <w:rsid w:val="1CC954D7"/>
    <w:rsid w:val="1CE38243"/>
    <w:rsid w:val="1CE8B882"/>
    <w:rsid w:val="1CF2087C"/>
    <w:rsid w:val="1CF9360A"/>
    <w:rsid w:val="1D028213"/>
    <w:rsid w:val="1D0C44AB"/>
    <w:rsid w:val="1D2FE71C"/>
    <w:rsid w:val="1D37868C"/>
    <w:rsid w:val="1D3ADBD6"/>
    <w:rsid w:val="1D4BA713"/>
    <w:rsid w:val="1D5E90DA"/>
    <w:rsid w:val="1D6425E3"/>
    <w:rsid w:val="1D66FC6D"/>
    <w:rsid w:val="1D67ACE9"/>
    <w:rsid w:val="1D6A0F6F"/>
    <w:rsid w:val="1D792372"/>
    <w:rsid w:val="1D8C5D5D"/>
    <w:rsid w:val="1DB8B498"/>
    <w:rsid w:val="1DC55986"/>
    <w:rsid w:val="1DC8CA68"/>
    <w:rsid w:val="1DDC3347"/>
    <w:rsid w:val="1DE7D2E5"/>
    <w:rsid w:val="1DE96000"/>
    <w:rsid w:val="1DEB05E0"/>
    <w:rsid w:val="1DEBCA12"/>
    <w:rsid w:val="1DFDD302"/>
    <w:rsid w:val="1E253094"/>
    <w:rsid w:val="1E2B5DCC"/>
    <w:rsid w:val="1E325452"/>
    <w:rsid w:val="1E40FF4F"/>
    <w:rsid w:val="1E493F7A"/>
    <w:rsid w:val="1E4B21B1"/>
    <w:rsid w:val="1E6E9D47"/>
    <w:rsid w:val="1E8FE7DD"/>
    <w:rsid w:val="1E971674"/>
    <w:rsid w:val="1E9907DD"/>
    <w:rsid w:val="1E9E8421"/>
    <w:rsid w:val="1EA50A69"/>
    <w:rsid w:val="1EB17C07"/>
    <w:rsid w:val="1EB29B55"/>
    <w:rsid w:val="1EBDC254"/>
    <w:rsid w:val="1EBF58CC"/>
    <w:rsid w:val="1ED69629"/>
    <w:rsid w:val="1EE98186"/>
    <w:rsid w:val="1EF8334F"/>
    <w:rsid w:val="1F01BF16"/>
    <w:rsid w:val="1F133214"/>
    <w:rsid w:val="1F202A34"/>
    <w:rsid w:val="1F2E489C"/>
    <w:rsid w:val="1F4069A8"/>
    <w:rsid w:val="1F699724"/>
    <w:rsid w:val="1F69DFEC"/>
    <w:rsid w:val="1F7E4579"/>
    <w:rsid w:val="1FA085D4"/>
    <w:rsid w:val="1FBA6274"/>
    <w:rsid w:val="1FBEE3CC"/>
    <w:rsid w:val="1FE337F6"/>
    <w:rsid w:val="1FEC004E"/>
    <w:rsid w:val="1FF5B3C0"/>
    <w:rsid w:val="1FFFCC31"/>
    <w:rsid w:val="200B1160"/>
    <w:rsid w:val="20142EA0"/>
    <w:rsid w:val="20153B1C"/>
    <w:rsid w:val="201D0687"/>
    <w:rsid w:val="20283433"/>
    <w:rsid w:val="202D15AC"/>
    <w:rsid w:val="202DEF3F"/>
    <w:rsid w:val="20459433"/>
    <w:rsid w:val="204AB765"/>
    <w:rsid w:val="205D2558"/>
    <w:rsid w:val="206A9BF6"/>
    <w:rsid w:val="20A417B1"/>
    <w:rsid w:val="20A5DC7A"/>
    <w:rsid w:val="20BEE181"/>
    <w:rsid w:val="20C0B947"/>
    <w:rsid w:val="20DA9F1E"/>
    <w:rsid w:val="20DC471B"/>
    <w:rsid w:val="20E4711F"/>
    <w:rsid w:val="21158DFB"/>
    <w:rsid w:val="211D736C"/>
    <w:rsid w:val="212733EB"/>
    <w:rsid w:val="21353E3C"/>
    <w:rsid w:val="2136B011"/>
    <w:rsid w:val="214D1EF3"/>
    <w:rsid w:val="216CB96C"/>
    <w:rsid w:val="2184CDE0"/>
    <w:rsid w:val="21939FB6"/>
    <w:rsid w:val="2193DEB8"/>
    <w:rsid w:val="21A58379"/>
    <w:rsid w:val="21ABCDD3"/>
    <w:rsid w:val="21B9AF1B"/>
    <w:rsid w:val="21BDBFE2"/>
    <w:rsid w:val="21D2BC3C"/>
    <w:rsid w:val="21DBFA4B"/>
    <w:rsid w:val="21DEBC86"/>
    <w:rsid w:val="21EA0A4A"/>
    <w:rsid w:val="21F15F63"/>
    <w:rsid w:val="22018FC4"/>
    <w:rsid w:val="221CA5C3"/>
    <w:rsid w:val="2223FCC3"/>
    <w:rsid w:val="2233BEBE"/>
    <w:rsid w:val="22354900"/>
    <w:rsid w:val="2248D13E"/>
    <w:rsid w:val="22563CBA"/>
    <w:rsid w:val="22855C5D"/>
    <w:rsid w:val="22857C2E"/>
    <w:rsid w:val="22966585"/>
    <w:rsid w:val="22AB991A"/>
    <w:rsid w:val="22B0E334"/>
    <w:rsid w:val="22BD7EB1"/>
    <w:rsid w:val="22C2436B"/>
    <w:rsid w:val="22F938C9"/>
    <w:rsid w:val="22FA8F92"/>
    <w:rsid w:val="2340ADF9"/>
    <w:rsid w:val="2362FB05"/>
    <w:rsid w:val="236F7615"/>
    <w:rsid w:val="2372C7E5"/>
    <w:rsid w:val="238D7C96"/>
    <w:rsid w:val="238D8DE1"/>
    <w:rsid w:val="23AD9A25"/>
    <w:rsid w:val="23B42DF1"/>
    <w:rsid w:val="23BCC741"/>
    <w:rsid w:val="23D1DCCF"/>
    <w:rsid w:val="23D8C3F5"/>
    <w:rsid w:val="23E5D9C4"/>
    <w:rsid w:val="23ED5436"/>
    <w:rsid w:val="24109781"/>
    <w:rsid w:val="243A1BD5"/>
    <w:rsid w:val="244FF32A"/>
    <w:rsid w:val="245759C9"/>
    <w:rsid w:val="246AC5EA"/>
    <w:rsid w:val="248426DA"/>
    <w:rsid w:val="248B3D07"/>
    <w:rsid w:val="24AE0DC5"/>
    <w:rsid w:val="24C1CADB"/>
    <w:rsid w:val="24C36FD7"/>
    <w:rsid w:val="24C878C6"/>
    <w:rsid w:val="24E49A03"/>
    <w:rsid w:val="24E56BE9"/>
    <w:rsid w:val="24EB343F"/>
    <w:rsid w:val="24ECECD7"/>
    <w:rsid w:val="252945A1"/>
    <w:rsid w:val="2534BB15"/>
    <w:rsid w:val="25366288"/>
    <w:rsid w:val="2548D449"/>
    <w:rsid w:val="254DCCC5"/>
    <w:rsid w:val="2552FC72"/>
    <w:rsid w:val="255E701C"/>
    <w:rsid w:val="2585361B"/>
    <w:rsid w:val="258AAB60"/>
    <w:rsid w:val="25972952"/>
    <w:rsid w:val="25983EEC"/>
    <w:rsid w:val="25A0569A"/>
    <w:rsid w:val="25AA03E3"/>
    <w:rsid w:val="25B6A4FD"/>
    <w:rsid w:val="25C48BB2"/>
    <w:rsid w:val="25C4EA8C"/>
    <w:rsid w:val="25C651C9"/>
    <w:rsid w:val="25D04A82"/>
    <w:rsid w:val="25D1BFEE"/>
    <w:rsid w:val="25E78FB8"/>
    <w:rsid w:val="25F2D391"/>
    <w:rsid w:val="25FB5CC8"/>
    <w:rsid w:val="26491551"/>
    <w:rsid w:val="264A66FA"/>
    <w:rsid w:val="266A1F54"/>
    <w:rsid w:val="2679822F"/>
    <w:rsid w:val="26A58930"/>
    <w:rsid w:val="26AF9539"/>
    <w:rsid w:val="26C2D137"/>
    <w:rsid w:val="26D1F215"/>
    <w:rsid w:val="26E68BE8"/>
    <w:rsid w:val="26F1333D"/>
    <w:rsid w:val="26FA7179"/>
    <w:rsid w:val="2700F6B7"/>
    <w:rsid w:val="2708652F"/>
    <w:rsid w:val="271E147F"/>
    <w:rsid w:val="2736F9D2"/>
    <w:rsid w:val="273828E4"/>
    <w:rsid w:val="274DDAB0"/>
    <w:rsid w:val="274E62B3"/>
    <w:rsid w:val="275250D6"/>
    <w:rsid w:val="27613F03"/>
    <w:rsid w:val="2766C141"/>
    <w:rsid w:val="277DAF91"/>
    <w:rsid w:val="277F40FF"/>
    <w:rsid w:val="277FA66A"/>
    <w:rsid w:val="27814A7D"/>
    <w:rsid w:val="278B58CF"/>
    <w:rsid w:val="27966A74"/>
    <w:rsid w:val="2796CCA1"/>
    <w:rsid w:val="27986A1B"/>
    <w:rsid w:val="27C10A73"/>
    <w:rsid w:val="27CF7050"/>
    <w:rsid w:val="27E65446"/>
    <w:rsid w:val="27F86382"/>
    <w:rsid w:val="27FDDF5E"/>
    <w:rsid w:val="281A6D47"/>
    <w:rsid w:val="283451E2"/>
    <w:rsid w:val="2835F0D6"/>
    <w:rsid w:val="284FBB2C"/>
    <w:rsid w:val="28624DCF"/>
    <w:rsid w:val="28668129"/>
    <w:rsid w:val="287CDB27"/>
    <w:rsid w:val="287D5C42"/>
    <w:rsid w:val="2886F1DD"/>
    <w:rsid w:val="2888A38B"/>
    <w:rsid w:val="2889C834"/>
    <w:rsid w:val="288D78B5"/>
    <w:rsid w:val="289330BD"/>
    <w:rsid w:val="28A4D6CD"/>
    <w:rsid w:val="28BF5528"/>
    <w:rsid w:val="28C04E71"/>
    <w:rsid w:val="28C1E656"/>
    <w:rsid w:val="28DB46E7"/>
    <w:rsid w:val="28E37DF1"/>
    <w:rsid w:val="28E387CC"/>
    <w:rsid w:val="28E9F30D"/>
    <w:rsid w:val="28EC4D45"/>
    <w:rsid w:val="28EEB7AE"/>
    <w:rsid w:val="28F34DA7"/>
    <w:rsid w:val="291419DB"/>
    <w:rsid w:val="2920474F"/>
    <w:rsid w:val="29257658"/>
    <w:rsid w:val="29531E4C"/>
    <w:rsid w:val="296ACB0C"/>
    <w:rsid w:val="296DA145"/>
    <w:rsid w:val="296E938C"/>
    <w:rsid w:val="297428ED"/>
    <w:rsid w:val="29A95D26"/>
    <w:rsid w:val="29AB99BE"/>
    <w:rsid w:val="29B9A21A"/>
    <w:rsid w:val="29C29C8A"/>
    <w:rsid w:val="29C6C101"/>
    <w:rsid w:val="29C7FD64"/>
    <w:rsid w:val="29D94D67"/>
    <w:rsid w:val="29FE597F"/>
    <w:rsid w:val="2A030264"/>
    <w:rsid w:val="2A1299D0"/>
    <w:rsid w:val="2A255006"/>
    <w:rsid w:val="2A305E5A"/>
    <w:rsid w:val="2A371BDC"/>
    <w:rsid w:val="2A4C1F2D"/>
    <w:rsid w:val="2A55D2C5"/>
    <w:rsid w:val="2A580301"/>
    <w:rsid w:val="2A5CF7F1"/>
    <w:rsid w:val="2A75C9D1"/>
    <w:rsid w:val="2A7F0720"/>
    <w:rsid w:val="2A85EAD4"/>
    <w:rsid w:val="2A8AA27D"/>
    <w:rsid w:val="2A9C3FCE"/>
    <w:rsid w:val="2AC1B1D3"/>
    <w:rsid w:val="2ACA87CC"/>
    <w:rsid w:val="2ADAAB65"/>
    <w:rsid w:val="2AFFA240"/>
    <w:rsid w:val="2B020C04"/>
    <w:rsid w:val="2B0665A3"/>
    <w:rsid w:val="2B09F8AC"/>
    <w:rsid w:val="2B25725F"/>
    <w:rsid w:val="2B277BF9"/>
    <w:rsid w:val="2B2C6C40"/>
    <w:rsid w:val="2B33481A"/>
    <w:rsid w:val="2B46E75D"/>
    <w:rsid w:val="2B4C298A"/>
    <w:rsid w:val="2B591451"/>
    <w:rsid w:val="2B5A8B58"/>
    <w:rsid w:val="2B82DBA6"/>
    <w:rsid w:val="2B88DE89"/>
    <w:rsid w:val="2B900FD3"/>
    <w:rsid w:val="2BAC56B7"/>
    <w:rsid w:val="2BBC6D3C"/>
    <w:rsid w:val="2BBC81A3"/>
    <w:rsid w:val="2BC0D622"/>
    <w:rsid w:val="2BC0E854"/>
    <w:rsid w:val="2BCB5C75"/>
    <w:rsid w:val="2BDCE851"/>
    <w:rsid w:val="2BDE82CA"/>
    <w:rsid w:val="2BE17752"/>
    <w:rsid w:val="2BE54956"/>
    <w:rsid w:val="2BEAC0DD"/>
    <w:rsid w:val="2BECBD8E"/>
    <w:rsid w:val="2BFFF689"/>
    <w:rsid w:val="2C038CD2"/>
    <w:rsid w:val="2C08D0E0"/>
    <w:rsid w:val="2C0C9F22"/>
    <w:rsid w:val="2C0D8474"/>
    <w:rsid w:val="2C0FDC8E"/>
    <w:rsid w:val="2C15BEBB"/>
    <w:rsid w:val="2C21EA21"/>
    <w:rsid w:val="2C4FDF08"/>
    <w:rsid w:val="2C514282"/>
    <w:rsid w:val="2C524C0E"/>
    <w:rsid w:val="2C640B62"/>
    <w:rsid w:val="2C6CFC3F"/>
    <w:rsid w:val="2C72C1DD"/>
    <w:rsid w:val="2C75683A"/>
    <w:rsid w:val="2C779313"/>
    <w:rsid w:val="2C79926D"/>
    <w:rsid w:val="2C893045"/>
    <w:rsid w:val="2C8D5A4A"/>
    <w:rsid w:val="2C9A255F"/>
    <w:rsid w:val="2CA1F710"/>
    <w:rsid w:val="2CA2987B"/>
    <w:rsid w:val="2CB7D3B0"/>
    <w:rsid w:val="2CBAB1D4"/>
    <w:rsid w:val="2CC49AC3"/>
    <w:rsid w:val="2CCC1E28"/>
    <w:rsid w:val="2CDB362C"/>
    <w:rsid w:val="2D02E393"/>
    <w:rsid w:val="2D14942D"/>
    <w:rsid w:val="2D17F867"/>
    <w:rsid w:val="2D251F86"/>
    <w:rsid w:val="2D2FFB71"/>
    <w:rsid w:val="2D451732"/>
    <w:rsid w:val="2D584842"/>
    <w:rsid w:val="2D610AB7"/>
    <w:rsid w:val="2D62C5B5"/>
    <w:rsid w:val="2D6B612C"/>
    <w:rsid w:val="2D97EC8B"/>
    <w:rsid w:val="2DA02459"/>
    <w:rsid w:val="2DA9720F"/>
    <w:rsid w:val="2DB12C7B"/>
    <w:rsid w:val="2DB34D39"/>
    <w:rsid w:val="2DDC2071"/>
    <w:rsid w:val="2DDCF9D9"/>
    <w:rsid w:val="2DE50F7A"/>
    <w:rsid w:val="2DE5310C"/>
    <w:rsid w:val="2DE97120"/>
    <w:rsid w:val="2DEE7EF4"/>
    <w:rsid w:val="2DF1FEE8"/>
    <w:rsid w:val="2E0240EE"/>
    <w:rsid w:val="2E1C30DE"/>
    <w:rsid w:val="2E1E3931"/>
    <w:rsid w:val="2E1EBEF5"/>
    <w:rsid w:val="2E27520E"/>
    <w:rsid w:val="2E31C550"/>
    <w:rsid w:val="2E409B63"/>
    <w:rsid w:val="2E5ADD5F"/>
    <w:rsid w:val="2E66957B"/>
    <w:rsid w:val="2E6B4280"/>
    <w:rsid w:val="2E8E103F"/>
    <w:rsid w:val="2E9DE8B9"/>
    <w:rsid w:val="2EA40043"/>
    <w:rsid w:val="2EAB8B6A"/>
    <w:rsid w:val="2EAF8E54"/>
    <w:rsid w:val="2EB47249"/>
    <w:rsid w:val="2EC04AF9"/>
    <w:rsid w:val="2EEC946D"/>
    <w:rsid w:val="2EF2A6D9"/>
    <w:rsid w:val="2EFA31D4"/>
    <w:rsid w:val="2F21170E"/>
    <w:rsid w:val="2F2EC992"/>
    <w:rsid w:val="2F2F931E"/>
    <w:rsid w:val="2F319A73"/>
    <w:rsid w:val="2F32EEE2"/>
    <w:rsid w:val="2F44F448"/>
    <w:rsid w:val="2F524ECA"/>
    <w:rsid w:val="2F578324"/>
    <w:rsid w:val="2F5B323D"/>
    <w:rsid w:val="2F5BA5B2"/>
    <w:rsid w:val="2F5E9728"/>
    <w:rsid w:val="2F6E1595"/>
    <w:rsid w:val="2F8A6DD1"/>
    <w:rsid w:val="2F8EA2A0"/>
    <w:rsid w:val="2F973B85"/>
    <w:rsid w:val="2FC02B71"/>
    <w:rsid w:val="2FD26B24"/>
    <w:rsid w:val="2FDC5794"/>
    <w:rsid w:val="2FF269D1"/>
    <w:rsid w:val="30158B54"/>
    <w:rsid w:val="302477DC"/>
    <w:rsid w:val="302EDF4B"/>
    <w:rsid w:val="30326A81"/>
    <w:rsid w:val="3036F92F"/>
    <w:rsid w:val="30505955"/>
    <w:rsid w:val="30670570"/>
    <w:rsid w:val="3070165C"/>
    <w:rsid w:val="3074711A"/>
    <w:rsid w:val="30782C36"/>
    <w:rsid w:val="30B2A1B4"/>
    <w:rsid w:val="30B2FBE5"/>
    <w:rsid w:val="30E9CF25"/>
    <w:rsid w:val="30EBAB89"/>
    <w:rsid w:val="30FFE714"/>
    <w:rsid w:val="31098C9B"/>
    <w:rsid w:val="31317195"/>
    <w:rsid w:val="3132173A"/>
    <w:rsid w:val="3136E9B8"/>
    <w:rsid w:val="31499FF5"/>
    <w:rsid w:val="314C4393"/>
    <w:rsid w:val="31526131"/>
    <w:rsid w:val="316D8D2C"/>
    <w:rsid w:val="318012F3"/>
    <w:rsid w:val="3182BE24"/>
    <w:rsid w:val="319CDDA8"/>
    <w:rsid w:val="319FED5B"/>
    <w:rsid w:val="31AE4F81"/>
    <w:rsid w:val="31B0FB56"/>
    <w:rsid w:val="31C1D5DF"/>
    <w:rsid w:val="31D0EB1E"/>
    <w:rsid w:val="31EA9CD3"/>
    <w:rsid w:val="31EBE6D0"/>
    <w:rsid w:val="31FBD8FF"/>
    <w:rsid w:val="3212B22E"/>
    <w:rsid w:val="3217EBF6"/>
    <w:rsid w:val="3219EF1D"/>
    <w:rsid w:val="321F619A"/>
    <w:rsid w:val="32206A2A"/>
    <w:rsid w:val="3232F3A7"/>
    <w:rsid w:val="323D6BC7"/>
    <w:rsid w:val="323E774A"/>
    <w:rsid w:val="3244AF9E"/>
    <w:rsid w:val="32550AF2"/>
    <w:rsid w:val="3256FF14"/>
    <w:rsid w:val="325DBCFB"/>
    <w:rsid w:val="325E2472"/>
    <w:rsid w:val="325E3289"/>
    <w:rsid w:val="3272AE0B"/>
    <w:rsid w:val="32A39CB3"/>
    <w:rsid w:val="32B54F0D"/>
    <w:rsid w:val="32CBC1F3"/>
    <w:rsid w:val="3307667D"/>
    <w:rsid w:val="33114FE2"/>
    <w:rsid w:val="3314354F"/>
    <w:rsid w:val="33151E73"/>
    <w:rsid w:val="33367D1B"/>
    <w:rsid w:val="333F03BC"/>
    <w:rsid w:val="333FB716"/>
    <w:rsid w:val="334BE062"/>
    <w:rsid w:val="334C455A"/>
    <w:rsid w:val="336BB9DC"/>
    <w:rsid w:val="337220F9"/>
    <w:rsid w:val="337585FF"/>
    <w:rsid w:val="3379060F"/>
    <w:rsid w:val="3387645A"/>
    <w:rsid w:val="3399C1AB"/>
    <w:rsid w:val="33AD738D"/>
    <w:rsid w:val="33ADACED"/>
    <w:rsid w:val="33B6BAE5"/>
    <w:rsid w:val="33B7EC8C"/>
    <w:rsid w:val="33DA56A5"/>
    <w:rsid w:val="33DBB721"/>
    <w:rsid w:val="33E1477F"/>
    <w:rsid w:val="33F31745"/>
    <w:rsid w:val="33F44ED4"/>
    <w:rsid w:val="33F7820D"/>
    <w:rsid w:val="33FB2450"/>
    <w:rsid w:val="33FF50CF"/>
    <w:rsid w:val="340F48C9"/>
    <w:rsid w:val="34318F9E"/>
    <w:rsid w:val="3434D6C5"/>
    <w:rsid w:val="3480C465"/>
    <w:rsid w:val="348E5ED2"/>
    <w:rsid w:val="34BD2089"/>
    <w:rsid w:val="34E2E034"/>
    <w:rsid w:val="34E32368"/>
    <w:rsid w:val="34F9BB19"/>
    <w:rsid w:val="34FC2416"/>
    <w:rsid w:val="34FEDC44"/>
    <w:rsid w:val="34FF7C01"/>
    <w:rsid w:val="3516523B"/>
    <w:rsid w:val="3536EFB9"/>
    <w:rsid w:val="35389E78"/>
    <w:rsid w:val="353A30B9"/>
    <w:rsid w:val="354B5F92"/>
    <w:rsid w:val="356F1FF3"/>
    <w:rsid w:val="359796E2"/>
    <w:rsid w:val="35989F5E"/>
    <w:rsid w:val="359FA2F0"/>
    <w:rsid w:val="35AAC6E1"/>
    <w:rsid w:val="35B97233"/>
    <w:rsid w:val="35C24D7A"/>
    <w:rsid w:val="35C3EC2B"/>
    <w:rsid w:val="35D5EBF3"/>
    <w:rsid w:val="35D7ADB6"/>
    <w:rsid w:val="35E06FE2"/>
    <w:rsid w:val="35E4C667"/>
    <w:rsid w:val="35E7F8F5"/>
    <w:rsid w:val="35F1DF98"/>
    <w:rsid w:val="35F230DA"/>
    <w:rsid w:val="36025999"/>
    <w:rsid w:val="3609A29A"/>
    <w:rsid w:val="360E0C2A"/>
    <w:rsid w:val="360EAD5A"/>
    <w:rsid w:val="36183D48"/>
    <w:rsid w:val="3626EA8B"/>
    <w:rsid w:val="36344F5B"/>
    <w:rsid w:val="36371343"/>
    <w:rsid w:val="363D6053"/>
    <w:rsid w:val="364FAD39"/>
    <w:rsid w:val="3661CC44"/>
    <w:rsid w:val="366FDC25"/>
    <w:rsid w:val="369D61E1"/>
    <w:rsid w:val="36A62CAC"/>
    <w:rsid w:val="36A81D9A"/>
    <w:rsid w:val="36BF7153"/>
    <w:rsid w:val="36C2BDB1"/>
    <w:rsid w:val="36CBAC49"/>
    <w:rsid w:val="36CE0B5E"/>
    <w:rsid w:val="36DC0074"/>
    <w:rsid w:val="36E22D41"/>
    <w:rsid w:val="36F492D3"/>
    <w:rsid w:val="3708A5C5"/>
    <w:rsid w:val="37113CBC"/>
    <w:rsid w:val="37182931"/>
    <w:rsid w:val="37314964"/>
    <w:rsid w:val="3736E58D"/>
    <w:rsid w:val="373E77F6"/>
    <w:rsid w:val="3743679F"/>
    <w:rsid w:val="374879EE"/>
    <w:rsid w:val="376BD272"/>
    <w:rsid w:val="376D43F9"/>
    <w:rsid w:val="377DEC3A"/>
    <w:rsid w:val="377E005B"/>
    <w:rsid w:val="37824E4C"/>
    <w:rsid w:val="3788A759"/>
    <w:rsid w:val="378DF9CD"/>
    <w:rsid w:val="37B6AC4E"/>
    <w:rsid w:val="37E5700B"/>
    <w:rsid w:val="37F5199E"/>
    <w:rsid w:val="3818EB02"/>
    <w:rsid w:val="381D9A24"/>
    <w:rsid w:val="3822F9B6"/>
    <w:rsid w:val="382353DE"/>
    <w:rsid w:val="382649E6"/>
    <w:rsid w:val="382E4FBC"/>
    <w:rsid w:val="38373493"/>
    <w:rsid w:val="3844ACAE"/>
    <w:rsid w:val="3853D7D4"/>
    <w:rsid w:val="3860EBB9"/>
    <w:rsid w:val="3861B2EC"/>
    <w:rsid w:val="38669DBC"/>
    <w:rsid w:val="3886D6F3"/>
    <w:rsid w:val="388A3E76"/>
    <w:rsid w:val="38A778C4"/>
    <w:rsid w:val="38B520DB"/>
    <w:rsid w:val="38B9B419"/>
    <w:rsid w:val="38C6AE55"/>
    <w:rsid w:val="38C884C5"/>
    <w:rsid w:val="38CD0492"/>
    <w:rsid w:val="38D2EAEC"/>
    <w:rsid w:val="38DC8547"/>
    <w:rsid w:val="38E61AC2"/>
    <w:rsid w:val="38EECCC7"/>
    <w:rsid w:val="390EDA55"/>
    <w:rsid w:val="391665A8"/>
    <w:rsid w:val="391F14DF"/>
    <w:rsid w:val="39265861"/>
    <w:rsid w:val="394043E3"/>
    <w:rsid w:val="395E79F8"/>
    <w:rsid w:val="396BACD1"/>
    <w:rsid w:val="397B24C5"/>
    <w:rsid w:val="397B87D3"/>
    <w:rsid w:val="397FC5DF"/>
    <w:rsid w:val="398896C7"/>
    <w:rsid w:val="3995F4E9"/>
    <w:rsid w:val="3995FEBE"/>
    <w:rsid w:val="399CBB97"/>
    <w:rsid w:val="399F9E08"/>
    <w:rsid w:val="39AEDB33"/>
    <w:rsid w:val="39B2A132"/>
    <w:rsid w:val="39B68227"/>
    <w:rsid w:val="39FCB46A"/>
    <w:rsid w:val="3A20226A"/>
    <w:rsid w:val="3A233452"/>
    <w:rsid w:val="3A26950C"/>
    <w:rsid w:val="3A2A7453"/>
    <w:rsid w:val="3A31127E"/>
    <w:rsid w:val="3A368779"/>
    <w:rsid w:val="3A39DE58"/>
    <w:rsid w:val="3A42AA9A"/>
    <w:rsid w:val="3A5F073D"/>
    <w:rsid w:val="3A73A623"/>
    <w:rsid w:val="3A73F9B9"/>
    <w:rsid w:val="3A79DFB2"/>
    <w:rsid w:val="3A7C19EB"/>
    <w:rsid w:val="3A81A992"/>
    <w:rsid w:val="3A904584"/>
    <w:rsid w:val="3A94305A"/>
    <w:rsid w:val="3A9C4B30"/>
    <w:rsid w:val="3AA6E032"/>
    <w:rsid w:val="3AAFABAC"/>
    <w:rsid w:val="3ABAD6D0"/>
    <w:rsid w:val="3ACA3AE5"/>
    <w:rsid w:val="3AE3361B"/>
    <w:rsid w:val="3AFC20A0"/>
    <w:rsid w:val="3B0A2DB7"/>
    <w:rsid w:val="3B17DFAB"/>
    <w:rsid w:val="3B25B409"/>
    <w:rsid w:val="3B3380E2"/>
    <w:rsid w:val="3B37EAC0"/>
    <w:rsid w:val="3B4038E3"/>
    <w:rsid w:val="3B4CA59D"/>
    <w:rsid w:val="3B6E4343"/>
    <w:rsid w:val="3BA057E8"/>
    <w:rsid w:val="3BA5B3BE"/>
    <w:rsid w:val="3BC470B9"/>
    <w:rsid w:val="3BC9B1B0"/>
    <w:rsid w:val="3BCA76B4"/>
    <w:rsid w:val="3BCAAA79"/>
    <w:rsid w:val="3BEE3130"/>
    <w:rsid w:val="3BF5FD03"/>
    <w:rsid w:val="3BF8A0DA"/>
    <w:rsid w:val="3C031CFB"/>
    <w:rsid w:val="3C0D11AD"/>
    <w:rsid w:val="3C0F1DBF"/>
    <w:rsid w:val="3C1AB28A"/>
    <w:rsid w:val="3C2142D8"/>
    <w:rsid w:val="3C2A47B8"/>
    <w:rsid w:val="3C2C335F"/>
    <w:rsid w:val="3C38C5E5"/>
    <w:rsid w:val="3C3A17AC"/>
    <w:rsid w:val="3C59BCB6"/>
    <w:rsid w:val="3C5A7A68"/>
    <w:rsid w:val="3C5DF25C"/>
    <w:rsid w:val="3C5EB2E7"/>
    <w:rsid w:val="3C62B156"/>
    <w:rsid w:val="3C6C5A66"/>
    <w:rsid w:val="3C7127AA"/>
    <w:rsid w:val="3C92E45F"/>
    <w:rsid w:val="3C96D98B"/>
    <w:rsid w:val="3CA472D2"/>
    <w:rsid w:val="3CB7DC0E"/>
    <w:rsid w:val="3CCE61CA"/>
    <w:rsid w:val="3D10D785"/>
    <w:rsid w:val="3D181F5B"/>
    <w:rsid w:val="3D2EB2B2"/>
    <w:rsid w:val="3D381D31"/>
    <w:rsid w:val="3D38738E"/>
    <w:rsid w:val="3D41FB2F"/>
    <w:rsid w:val="3D463EBF"/>
    <w:rsid w:val="3D498E4D"/>
    <w:rsid w:val="3D51F89C"/>
    <w:rsid w:val="3D64488C"/>
    <w:rsid w:val="3D64F456"/>
    <w:rsid w:val="3D7E26E7"/>
    <w:rsid w:val="3D897C50"/>
    <w:rsid w:val="3D901FD0"/>
    <w:rsid w:val="3D92C736"/>
    <w:rsid w:val="3D93F0D0"/>
    <w:rsid w:val="3D96A800"/>
    <w:rsid w:val="3DB70974"/>
    <w:rsid w:val="3DE380E3"/>
    <w:rsid w:val="3DF4A3DF"/>
    <w:rsid w:val="3E0181CA"/>
    <w:rsid w:val="3E07CA30"/>
    <w:rsid w:val="3E08CB35"/>
    <w:rsid w:val="3E2C717D"/>
    <w:rsid w:val="3E3E52E1"/>
    <w:rsid w:val="3E4DEC28"/>
    <w:rsid w:val="3E55C363"/>
    <w:rsid w:val="3E5EDD9D"/>
    <w:rsid w:val="3E60E20D"/>
    <w:rsid w:val="3E693958"/>
    <w:rsid w:val="3E7E905C"/>
    <w:rsid w:val="3E95C341"/>
    <w:rsid w:val="3EA4C539"/>
    <w:rsid w:val="3EA8DA9A"/>
    <w:rsid w:val="3EB6B096"/>
    <w:rsid w:val="3ED145EC"/>
    <w:rsid w:val="3EDF459C"/>
    <w:rsid w:val="3EE3DCE1"/>
    <w:rsid w:val="3F083AA8"/>
    <w:rsid w:val="3F260195"/>
    <w:rsid w:val="3F2FA7F7"/>
    <w:rsid w:val="3F496810"/>
    <w:rsid w:val="3F5160DA"/>
    <w:rsid w:val="3F622B74"/>
    <w:rsid w:val="3F6468BC"/>
    <w:rsid w:val="3F649AC3"/>
    <w:rsid w:val="3F6870E0"/>
    <w:rsid w:val="3F7A99C0"/>
    <w:rsid w:val="3FA66FC1"/>
    <w:rsid w:val="3FAD6931"/>
    <w:rsid w:val="3FB35E54"/>
    <w:rsid w:val="3FB5847B"/>
    <w:rsid w:val="40063EB7"/>
    <w:rsid w:val="4048E0B0"/>
    <w:rsid w:val="4064CBBF"/>
    <w:rsid w:val="40704D86"/>
    <w:rsid w:val="4080A92F"/>
    <w:rsid w:val="408C7D6F"/>
    <w:rsid w:val="409157F7"/>
    <w:rsid w:val="409C9202"/>
    <w:rsid w:val="40BF0C12"/>
    <w:rsid w:val="40C6DB77"/>
    <w:rsid w:val="40E5CC7D"/>
    <w:rsid w:val="4104B10C"/>
    <w:rsid w:val="4112737C"/>
    <w:rsid w:val="4162F4EB"/>
    <w:rsid w:val="4176A75F"/>
    <w:rsid w:val="41815526"/>
    <w:rsid w:val="41911572"/>
    <w:rsid w:val="41DC925F"/>
    <w:rsid w:val="41E59F65"/>
    <w:rsid w:val="42085CA6"/>
    <w:rsid w:val="42235F6A"/>
    <w:rsid w:val="4225F595"/>
    <w:rsid w:val="422AF473"/>
    <w:rsid w:val="423F71F3"/>
    <w:rsid w:val="424536A4"/>
    <w:rsid w:val="424D98F5"/>
    <w:rsid w:val="42568518"/>
    <w:rsid w:val="4258B2E6"/>
    <w:rsid w:val="425C5CB5"/>
    <w:rsid w:val="425EF3C5"/>
    <w:rsid w:val="42627980"/>
    <w:rsid w:val="4267B3CA"/>
    <w:rsid w:val="426B45B2"/>
    <w:rsid w:val="42706ABD"/>
    <w:rsid w:val="42721BBB"/>
    <w:rsid w:val="4280705B"/>
    <w:rsid w:val="428639F2"/>
    <w:rsid w:val="42886D67"/>
    <w:rsid w:val="428F5BC1"/>
    <w:rsid w:val="42903FF3"/>
    <w:rsid w:val="42932CE5"/>
    <w:rsid w:val="42AF094D"/>
    <w:rsid w:val="42B7B892"/>
    <w:rsid w:val="42BAFE04"/>
    <w:rsid w:val="42C59F3E"/>
    <w:rsid w:val="42C8F2B8"/>
    <w:rsid w:val="42C9AAA0"/>
    <w:rsid w:val="42D66FB3"/>
    <w:rsid w:val="42D7B04C"/>
    <w:rsid w:val="42FCB68F"/>
    <w:rsid w:val="42FF34A1"/>
    <w:rsid w:val="4326C984"/>
    <w:rsid w:val="43692FEB"/>
    <w:rsid w:val="4377B028"/>
    <w:rsid w:val="43784D6F"/>
    <w:rsid w:val="437A73C9"/>
    <w:rsid w:val="437EFCD5"/>
    <w:rsid w:val="43B9735E"/>
    <w:rsid w:val="43BE20B8"/>
    <w:rsid w:val="43BFE492"/>
    <w:rsid w:val="43C0033C"/>
    <w:rsid w:val="43C2335D"/>
    <w:rsid w:val="43C31922"/>
    <w:rsid w:val="43C3342E"/>
    <w:rsid w:val="43D58C28"/>
    <w:rsid w:val="43E6EAAE"/>
    <w:rsid w:val="43E8E84C"/>
    <w:rsid w:val="43F955F0"/>
    <w:rsid w:val="43FA4F6A"/>
    <w:rsid w:val="44147E6A"/>
    <w:rsid w:val="4424D51A"/>
    <w:rsid w:val="442D44F9"/>
    <w:rsid w:val="442E4598"/>
    <w:rsid w:val="4431E9EC"/>
    <w:rsid w:val="443E9D36"/>
    <w:rsid w:val="443F7B13"/>
    <w:rsid w:val="444B35E7"/>
    <w:rsid w:val="445A7475"/>
    <w:rsid w:val="4466EDE6"/>
    <w:rsid w:val="446DC09A"/>
    <w:rsid w:val="4478A616"/>
    <w:rsid w:val="447D1124"/>
    <w:rsid w:val="44AAB038"/>
    <w:rsid w:val="44AF483D"/>
    <w:rsid w:val="44C88F9D"/>
    <w:rsid w:val="44D6E8A4"/>
    <w:rsid w:val="44D95AE6"/>
    <w:rsid w:val="44E2AA52"/>
    <w:rsid w:val="44E337A9"/>
    <w:rsid w:val="44F97C31"/>
    <w:rsid w:val="4512933B"/>
    <w:rsid w:val="454263E1"/>
    <w:rsid w:val="454C731A"/>
    <w:rsid w:val="454E22D9"/>
    <w:rsid w:val="456E5830"/>
    <w:rsid w:val="458A83AA"/>
    <w:rsid w:val="45AF7B5A"/>
    <w:rsid w:val="45D2C5D3"/>
    <w:rsid w:val="45D9290E"/>
    <w:rsid w:val="45EAE316"/>
    <w:rsid w:val="45EE1A44"/>
    <w:rsid w:val="45F14468"/>
    <w:rsid w:val="45FF6B1B"/>
    <w:rsid w:val="460C6FC4"/>
    <w:rsid w:val="46558DFA"/>
    <w:rsid w:val="4655CABB"/>
    <w:rsid w:val="4657A634"/>
    <w:rsid w:val="465C02DF"/>
    <w:rsid w:val="46773761"/>
    <w:rsid w:val="46800BD9"/>
    <w:rsid w:val="46871ADB"/>
    <w:rsid w:val="468A48C7"/>
    <w:rsid w:val="468DC57F"/>
    <w:rsid w:val="469C190C"/>
    <w:rsid w:val="469F1E20"/>
    <w:rsid w:val="46B3D1D5"/>
    <w:rsid w:val="46C9C236"/>
    <w:rsid w:val="46CCF406"/>
    <w:rsid w:val="46D2B303"/>
    <w:rsid w:val="46EE8031"/>
    <w:rsid w:val="46F2CD0A"/>
    <w:rsid w:val="4705AC19"/>
    <w:rsid w:val="471A58FB"/>
    <w:rsid w:val="4722615E"/>
    <w:rsid w:val="47259225"/>
    <w:rsid w:val="472F9B06"/>
    <w:rsid w:val="4745AD5E"/>
    <w:rsid w:val="47546D52"/>
    <w:rsid w:val="478B5B09"/>
    <w:rsid w:val="479711B5"/>
    <w:rsid w:val="479E8F79"/>
    <w:rsid w:val="47B2A02F"/>
    <w:rsid w:val="47C60A59"/>
    <w:rsid w:val="47D0DE1F"/>
    <w:rsid w:val="47D12686"/>
    <w:rsid w:val="47DA3B63"/>
    <w:rsid w:val="47DB2ED7"/>
    <w:rsid w:val="47EC3A7D"/>
    <w:rsid w:val="47ED69B5"/>
    <w:rsid w:val="47F86123"/>
    <w:rsid w:val="4812EACA"/>
    <w:rsid w:val="481E626E"/>
    <w:rsid w:val="483039D9"/>
    <w:rsid w:val="4833C3C5"/>
    <w:rsid w:val="483B2615"/>
    <w:rsid w:val="4865276E"/>
    <w:rsid w:val="4876F4C7"/>
    <w:rsid w:val="48871371"/>
    <w:rsid w:val="48873A46"/>
    <w:rsid w:val="488EF026"/>
    <w:rsid w:val="48998AB5"/>
    <w:rsid w:val="48BB8B3C"/>
    <w:rsid w:val="48BF8297"/>
    <w:rsid w:val="48C50C7E"/>
    <w:rsid w:val="48D66C1C"/>
    <w:rsid w:val="48DB0862"/>
    <w:rsid w:val="48EFF46B"/>
    <w:rsid w:val="4910AC5E"/>
    <w:rsid w:val="4915CA08"/>
    <w:rsid w:val="49424A81"/>
    <w:rsid w:val="4960BD01"/>
    <w:rsid w:val="49726C8F"/>
    <w:rsid w:val="497A8376"/>
    <w:rsid w:val="497F832E"/>
    <w:rsid w:val="4980996F"/>
    <w:rsid w:val="49820010"/>
    <w:rsid w:val="49933BB1"/>
    <w:rsid w:val="499662F9"/>
    <w:rsid w:val="49ABC03F"/>
    <w:rsid w:val="49AF992F"/>
    <w:rsid w:val="49B3F6D6"/>
    <w:rsid w:val="49B6C81E"/>
    <w:rsid w:val="49C32CEC"/>
    <w:rsid w:val="49CD7B35"/>
    <w:rsid w:val="49CEE7C2"/>
    <w:rsid w:val="49EE9941"/>
    <w:rsid w:val="4A01DC22"/>
    <w:rsid w:val="4A029A44"/>
    <w:rsid w:val="4A0672A5"/>
    <w:rsid w:val="4A08C1BB"/>
    <w:rsid w:val="4A0A950F"/>
    <w:rsid w:val="4A123FC3"/>
    <w:rsid w:val="4A14844A"/>
    <w:rsid w:val="4A1D8FDF"/>
    <w:rsid w:val="4A28EB7A"/>
    <w:rsid w:val="4A3EACF8"/>
    <w:rsid w:val="4A469D84"/>
    <w:rsid w:val="4A5CC21C"/>
    <w:rsid w:val="4A60A2D5"/>
    <w:rsid w:val="4A809340"/>
    <w:rsid w:val="4AA01E7F"/>
    <w:rsid w:val="4AA2478E"/>
    <w:rsid w:val="4AAEF383"/>
    <w:rsid w:val="4AAF1D98"/>
    <w:rsid w:val="4ACB3747"/>
    <w:rsid w:val="4AD0EC6D"/>
    <w:rsid w:val="4AF05EFD"/>
    <w:rsid w:val="4AFCD4BC"/>
    <w:rsid w:val="4B1620AB"/>
    <w:rsid w:val="4B1B2186"/>
    <w:rsid w:val="4B2891F1"/>
    <w:rsid w:val="4B2A0C7A"/>
    <w:rsid w:val="4B307424"/>
    <w:rsid w:val="4B360A03"/>
    <w:rsid w:val="4B375A12"/>
    <w:rsid w:val="4B56471E"/>
    <w:rsid w:val="4B56C468"/>
    <w:rsid w:val="4B60907B"/>
    <w:rsid w:val="4B68DD13"/>
    <w:rsid w:val="4B72EB98"/>
    <w:rsid w:val="4B732169"/>
    <w:rsid w:val="4B80AEB3"/>
    <w:rsid w:val="4B92B5A8"/>
    <w:rsid w:val="4B983D1A"/>
    <w:rsid w:val="4BA9AFA0"/>
    <w:rsid w:val="4BB148FD"/>
    <w:rsid w:val="4BB326D9"/>
    <w:rsid w:val="4BB541D6"/>
    <w:rsid w:val="4BB92882"/>
    <w:rsid w:val="4BC4874D"/>
    <w:rsid w:val="4BCC82F2"/>
    <w:rsid w:val="4BDF556F"/>
    <w:rsid w:val="4BE1AD88"/>
    <w:rsid w:val="4BEF491E"/>
    <w:rsid w:val="4C178AF2"/>
    <w:rsid w:val="4C1E16C1"/>
    <w:rsid w:val="4C1E8F55"/>
    <w:rsid w:val="4C3BDF0E"/>
    <w:rsid w:val="4C416A54"/>
    <w:rsid w:val="4C42FC49"/>
    <w:rsid w:val="4C549586"/>
    <w:rsid w:val="4C582EDB"/>
    <w:rsid w:val="4C5B34B2"/>
    <w:rsid w:val="4C740D8A"/>
    <w:rsid w:val="4C848B86"/>
    <w:rsid w:val="4C85EDA9"/>
    <w:rsid w:val="4C8F6242"/>
    <w:rsid w:val="4C8FD96F"/>
    <w:rsid w:val="4C9DAE43"/>
    <w:rsid w:val="4CACAB06"/>
    <w:rsid w:val="4CB5636F"/>
    <w:rsid w:val="4CBDAA60"/>
    <w:rsid w:val="4CC66ED1"/>
    <w:rsid w:val="4CFEF146"/>
    <w:rsid w:val="4D07E683"/>
    <w:rsid w:val="4D15A5B0"/>
    <w:rsid w:val="4D165A3A"/>
    <w:rsid w:val="4D179247"/>
    <w:rsid w:val="4D2F1B80"/>
    <w:rsid w:val="4D36AFC7"/>
    <w:rsid w:val="4D3AC197"/>
    <w:rsid w:val="4D4483E6"/>
    <w:rsid w:val="4D4A3F7F"/>
    <w:rsid w:val="4D58EC4C"/>
    <w:rsid w:val="4D6B669C"/>
    <w:rsid w:val="4D6C981B"/>
    <w:rsid w:val="4D7841A4"/>
    <w:rsid w:val="4D866FB7"/>
    <w:rsid w:val="4D8CB250"/>
    <w:rsid w:val="4DAAEC3A"/>
    <w:rsid w:val="4DBF2E43"/>
    <w:rsid w:val="4DCA3F76"/>
    <w:rsid w:val="4DCD77D4"/>
    <w:rsid w:val="4DCE1BC8"/>
    <w:rsid w:val="4DE33546"/>
    <w:rsid w:val="4DE35E4D"/>
    <w:rsid w:val="4DED73E8"/>
    <w:rsid w:val="4DF2FFB7"/>
    <w:rsid w:val="4DFC8D73"/>
    <w:rsid w:val="4E0B67A6"/>
    <w:rsid w:val="4E2CE13A"/>
    <w:rsid w:val="4E3C23E3"/>
    <w:rsid w:val="4E83F5AF"/>
    <w:rsid w:val="4E99FC65"/>
    <w:rsid w:val="4EA3A594"/>
    <w:rsid w:val="4ECA657F"/>
    <w:rsid w:val="4ED766E6"/>
    <w:rsid w:val="4EEC6088"/>
    <w:rsid w:val="4EFDBAE7"/>
    <w:rsid w:val="4F00C821"/>
    <w:rsid w:val="4F095C45"/>
    <w:rsid w:val="4F19EED1"/>
    <w:rsid w:val="4F1B3F6C"/>
    <w:rsid w:val="4F3D66CC"/>
    <w:rsid w:val="4F48B3CE"/>
    <w:rsid w:val="4F511B17"/>
    <w:rsid w:val="4F5376DD"/>
    <w:rsid w:val="4F5F797D"/>
    <w:rsid w:val="4F67FEE2"/>
    <w:rsid w:val="4F69451A"/>
    <w:rsid w:val="4F80BBF5"/>
    <w:rsid w:val="4FA145D8"/>
    <w:rsid w:val="4FA53C64"/>
    <w:rsid w:val="4FAB2AC5"/>
    <w:rsid w:val="4FABC42E"/>
    <w:rsid w:val="4FB09FF1"/>
    <w:rsid w:val="4FB7C4E9"/>
    <w:rsid w:val="4FCC77EA"/>
    <w:rsid w:val="4FD2A051"/>
    <w:rsid w:val="4FF0EBB0"/>
    <w:rsid w:val="5012BAE8"/>
    <w:rsid w:val="504EE480"/>
    <w:rsid w:val="5067C53C"/>
    <w:rsid w:val="506ABBFB"/>
    <w:rsid w:val="506DC3DE"/>
    <w:rsid w:val="506F72D1"/>
    <w:rsid w:val="5070D4F8"/>
    <w:rsid w:val="5082BC23"/>
    <w:rsid w:val="509533B4"/>
    <w:rsid w:val="509BCFD3"/>
    <w:rsid w:val="509CFD6B"/>
    <w:rsid w:val="50B00D0F"/>
    <w:rsid w:val="50BF4AAE"/>
    <w:rsid w:val="50BF5B68"/>
    <w:rsid w:val="50CF8D23"/>
    <w:rsid w:val="50D2D57D"/>
    <w:rsid w:val="50D4F8FE"/>
    <w:rsid w:val="50E70BE8"/>
    <w:rsid w:val="5108644D"/>
    <w:rsid w:val="51257A9A"/>
    <w:rsid w:val="51271910"/>
    <w:rsid w:val="5132786A"/>
    <w:rsid w:val="513ECAED"/>
    <w:rsid w:val="51402D63"/>
    <w:rsid w:val="51474187"/>
    <w:rsid w:val="51598F56"/>
    <w:rsid w:val="516B9CF8"/>
    <w:rsid w:val="51888EAC"/>
    <w:rsid w:val="519964FE"/>
    <w:rsid w:val="51AB8C60"/>
    <w:rsid w:val="51BDA83E"/>
    <w:rsid w:val="51C5AA5E"/>
    <w:rsid w:val="51E6A2A0"/>
    <w:rsid w:val="51F4C19F"/>
    <w:rsid w:val="51FC6389"/>
    <w:rsid w:val="521EFA72"/>
    <w:rsid w:val="52256140"/>
    <w:rsid w:val="523C2340"/>
    <w:rsid w:val="523C820A"/>
    <w:rsid w:val="52469542"/>
    <w:rsid w:val="5250362D"/>
    <w:rsid w:val="525E6BD2"/>
    <w:rsid w:val="52632994"/>
    <w:rsid w:val="5274955C"/>
    <w:rsid w:val="528ECD47"/>
    <w:rsid w:val="529700E4"/>
    <w:rsid w:val="52A0392C"/>
    <w:rsid w:val="52A5EBC5"/>
    <w:rsid w:val="52A61477"/>
    <w:rsid w:val="52BB039E"/>
    <w:rsid w:val="52BCA1A8"/>
    <w:rsid w:val="52BD8E95"/>
    <w:rsid w:val="52E9228F"/>
    <w:rsid w:val="5302B8FD"/>
    <w:rsid w:val="530AD724"/>
    <w:rsid w:val="530BCDB1"/>
    <w:rsid w:val="53148D22"/>
    <w:rsid w:val="5315969C"/>
    <w:rsid w:val="533029E5"/>
    <w:rsid w:val="53389A2B"/>
    <w:rsid w:val="533A5182"/>
    <w:rsid w:val="533FD729"/>
    <w:rsid w:val="534488CD"/>
    <w:rsid w:val="536135D1"/>
    <w:rsid w:val="536BEB26"/>
    <w:rsid w:val="53707045"/>
    <w:rsid w:val="537C42AE"/>
    <w:rsid w:val="5395DF85"/>
    <w:rsid w:val="53A5B5D4"/>
    <w:rsid w:val="53C84CF4"/>
    <w:rsid w:val="53CB7C31"/>
    <w:rsid w:val="53D06650"/>
    <w:rsid w:val="53D0A16F"/>
    <w:rsid w:val="53DF0825"/>
    <w:rsid w:val="53E50252"/>
    <w:rsid w:val="53E71A2E"/>
    <w:rsid w:val="53EEC552"/>
    <w:rsid w:val="53F03B63"/>
    <w:rsid w:val="54128841"/>
    <w:rsid w:val="5424C7EE"/>
    <w:rsid w:val="5425231A"/>
    <w:rsid w:val="54323D23"/>
    <w:rsid w:val="5442F592"/>
    <w:rsid w:val="5444CFD8"/>
    <w:rsid w:val="54557C1A"/>
    <w:rsid w:val="545954F8"/>
    <w:rsid w:val="545962AD"/>
    <w:rsid w:val="545E33CF"/>
    <w:rsid w:val="545F41FD"/>
    <w:rsid w:val="547D6CE5"/>
    <w:rsid w:val="548493D9"/>
    <w:rsid w:val="5485DB0F"/>
    <w:rsid w:val="548CB11A"/>
    <w:rsid w:val="5495654C"/>
    <w:rsid w:val="549CD2B7"/>
    <w:rsid w:val="549D1CAF"/>
    <w:rsid w:val="549F6516"/>
    <w:rsid w:val="54A23C1E"/>
    <w:rsid w:val="54A7D261"/>
    <w:rsid w:val="54C46D58"/>
    <w:rsid w:val="54C5053D"/>
    <w:rsid w:val="54C6A616"/>
    <w:rsid w:val="54C97095"/>
    <w:rsid w:val="54FBA941"/>
    <w:rsid w:val="55003719"/>
    <w:rsid w:val="550BCD59"/>
    <w:rsid w:val="551B4566"/>
    <w:rsid w:val="551C8630"/>
    <w:rsid w:val="553AB407"/>
    <w:rsid w:val="55445E23"/>
    <w:rsid w:val="554B1A15"/>
    <w:rsid w:val="555D7F98"/>
    <w:rsid w:val="5561C16E"/>
    <w:rsid w:val="5573D94B"/>
    <w:rsid w:val="558EAD58"/>
    <w:rsid w:val="559459C8"/>
    <w:rsid w:val="55A0F63F"/>
    <w:rsid w:val="55A656B8"/>
    <w:rsid w:val="55B8878B"/>
    <w:rsid w:val="55BF1380"/>
    <w:rsid w:val="55C05DFE"/>
    <w:rsid w:val="55C9E740"/>
    <w:rsid w:val="55DD49CA"/>
    <w:rsid w:val="55DFEF1A"/>
    <w:rsid w:val="55E864B5"/>
    <w:rsid w:val="560180C1"/>
    <w:rsid w:val="560BD484"/>
    <w:rsid w:val="562B317F"/>
    <w:rsid w:val="562C2A34"/>
    <w:rsid w:val="5634610E"/>
    <w:rsid w:val="5637A566"/>
    <w:rsid w:val="563E2731"/>
    <w:rsid w:val="564963A0"/>
    <w:rsid w:val="565769EB"/>
    <w:rsid w:val="5659EB35"/>
    <w:rsid w:val="565DE89C"/>
    <w:rsid w:val="5664760E"/>
    <w:rsid w:val="56799115"/>
    <w:rsid w:val="568E3A96"/>
    <w:rsid w:val="5693E4D4"/>
    <w:rsid w:val="56A84AD2"/>
    <w:rsid w:val="56BE9EC8"/>
    <w:rsid w:val="56CDEFD1"/>
    <w:rsid w:val="56CE6175"/>
    <w:rsid w:val="56D4AA48"/>
    <w:rsid w:val="56D56EF6"/>
    <w:rsid w:val="56DEFB2B"/>
    <w:rsid w:val="56ED1B12"/>
    <w:rsid w:val="56F51960"/>
    <w:rsid w:val="56FE2780"/>
    <w:rsid w:val="570A2A79"/>
    <w:rsid w:val="5725B751"/>
    <w:rsid w:val="57382CBC"/>
    <w:rsid w:val="574ABA73"/>
    <w:rsid w:val="5759C9BE"/>
    <w:rsid w:val="5759DF95"/>
    <w:rsid w:val="576702CB"/>
    <w:rsid w:val="5771F194"/>
    <w:rsid w:val="57728102"/>
    <w:rsid w:val="57802B48"/>
    <w:rsid w:val="579AB6C0"/>
    <w:rsid w:val="57A12697"/>
    <w:rsid w:val="57A1D584"/>
    <w:rsid w:val="57AB96C9"/>
    <w:rsid w:val="57AEB2FA"/>
    <w:rsid w:val="57B30BCD"/>
    <w:rsid w:val="57CAA959"/>
    <w:rsid w:val="57CF1A62"/>
    <w:rsid w:val="57E017B9"/>
    <w:rsid w:val="57EDFA28"/>
    <w:rsid w:val="57F8B88A"/>
    <w:rsid w:val="580E8B0E"/>
    <w:rsid w:val="5844D8D4"/>
    <w:rsid w:val="5872DA7E"/>
    <w:rsid w:val="5879AC90"/>
    <w:rsid w:val="589185F6"/>
    <w:rsid w:val="589260BA"/>
    <w:rsid w:val="58A921C9"/>
    <w:rsid w:val="58B749F2"/>
    <w:rsid w:val="58C1ADC7"/>
    <w:rsid w:val="58CC379A"/>
    <w:rsid w:val="58D218F1"/>
    <w:rsid w:val="58E0174E"/>
    <w:rsid w:val="58E129C4"/>
    <w:rsid w:val="58F95B96"/>
    <w:rsid w:val="58FC7249"/>
    <w:rsid w:val="590507D5"/>
    <w:rsid w:val="59189C80"/>
    <w:rsid w:val="593568E6"/>
    <w:rsid w:val="5941C754"/>
    <w:rsid w:val="59631E39"/>
    <w:rsid w:val="59879AB7"/>
    <w:rsid w:val="59A24E8A"/>
    <w:rsid w:val="59A441A9"/>
    <w:rsid w:val="59A63CEF"/>
    <w:rsid w:val="59C54EEC"/>
    <w:rsid w:val="59CA8F8A"/>
    <w:rsid w:val="59D9E510"/>
    <w:rsid w:val="59DB8018"/>
    <w:rsid w:val="5A14164A"/>
    <w:rsid w:val="5A177818"/>
    <w:rsid w:val="5A34BCC0"/>
    <w:rsid w:val="5A37BC6B"/>
    <w:rsid w:val="5A38D6CC"/>
    <w:rsid w:val="5A3D38F1"/>
    <w:rsid w:val="5A4A825F"/>
    <w:rsid w:val="5A58A084"/>
    <w:rsid w:val="5A603000"/>
    <w:rsid w:val="5A6612DE"/>
    <w:rsid w:val="5A6CE9DF"/>
    <w:rsid w:val="5A7B908A"/>
    <w:rsid w:val="5A8350C7"/>
    <w:rsid w:val="5A8546B1"/>
    <w:rsid w:val="5A915449"/>
    <w:rsid w:val="5AABC3EA"/>
    <w:rsid w:val="5AADA4C1"/>
    <w:rsid w:val="5AB84AE2"/>
    <w:rsid w:val="5AD0E7AB"/>
    <w:rsid w:val="5ADA86F1"/>
    <w:rsid w:val="5AF27242"/>
    <w:rsid w:val="5AFDF850"/>
    <w:rsid w:val="5B03ABFF"/>
    <w:rsid w:val="5B08F6D5"/>
    <w:rsid w:val="5B10E5E8"/>
    <w:rsid w:val="5B18C80F"/>
    <w:rsid w:val="5B203639"/>
    <w:rsid w:val="5B369404"/>
    <w:rsid w:val="5B4C6081"/>
    <w:rsid w:val="5B6B4B4B"/>
    <w:rsid w:val="5B79B511"/>
    <w:rsid w:val="5B7C67D2"/>
    <w:rsid w:val="5B8B819E"/>
    <w:rsid w:val="5BA32606"/>
    <w:rsid w:val="5BA4C0D2"/>
    <w:rsid w:val="5BA8B671"/>
    <w:rsid w:val="5BAB3583"/>
    <w:rsid w:val="5BB37758"/>
    <w:rsid w:val="5BB6B747"/>
    <w:rsid w:val="5BB95846"/>
    <w:rsid w:val="5BBE435B"/>
    <w:rsid w:val="5BCB2189"/>
    <w:rsid w:val="5BCCA20A"/>
    <w:rsid w:val="5BD9B92B"/>
    <w:rsid w:val="5BD9DB10"/>
    <w:rsid w:val="5C000F96"/>
    <w:rsid w:val="5C0F0F77"/>
    <w:rsid w:val="5C1E4ACD"/>
    <w:rsid w:val="5C25AE27"/>
    <w:rsid w:val="5C381F9E"/>
    <w:rsid w:val="5C385BA1"/>
    <w:rsid w:val="5C3A11FC"/>
    <w:rsid w:val="5C510192"/>
    <w:rsid w:val="5C76E367"/>
    <w:rsid w:val="5C85418E"/>
    <w:rsid w:val="5C886525"/>
    <w:rsid w:val="5C88D7FE"/>
    <w:rsid w:val="5C8F5C86"/>
    <w:rsid w:val="5CB9186A"/>
    <w:rsid w:val="5CC2A97A"/>
    <w:rsid w:val="5CCF5F01"/>
    <w:rsid w:val="5CD37F56"/>
    <w:rsid w:val="5CE83BB2"/>
    <w:rsid w:val="5D11D39F"/>
    <w:rsid w:val="5D17E1F8"/>
    <w:rsid w:val="5D2BFCEA"/>
    <w:rsid w:val="5D31FB2A"/>
    <w:rsid w:val="5D44BF76"/>
    <w:rsid w:val="5D4B1DBC"/>
    <w:rsid w:val="5D5EF958"/>
    <w:rsid w:val="5D5FC02F"/>
    <w:rsid w:val="5D664A3F"/>
    <w:rsid w:val="5D763A07"/>
    <w:rsid w:val="5D810432"/>
    <w:rsid w:val="5D98FE86"/>
    <w:rsid w:val="5DA1CE1F"/>
    <w:rsid w:val="5DAA5B49"/>
    <w:rsid w:val="5DBA19EC"/>
    <w:rsid w:val="5DBC5AEC"/>
    <w:rsid w:val="5DBE2BFE"/>
    <w:rsid w:val="5DC373B0"/>
    <w:rsid w:val="5DE74069"/>
    <w:rsid w:val="5DF257A9"/>
    <w:rsid w:val="5DF97D04"/>
    <w:rsid w:val="5DFF118F"/>
    <w:rsid w:val="5E3543F4"/>
    <w:rsid w:val="5E373C39"/>
    <w:rsid w:val="5E54F142"/>
    <w:rsid w:val="5E991504"/>
    <w:rsid w:val="5EA8BA55"/>
    <w:rsid w:val="5EB0FE1B"/>
    <w:rsid w:val="5EB9CFFA"/>
    <w:rsid w:val="5EC049AB"/>
    <w:rsid w:val="5EC7FA17"/>
    <w:rsid w:val="5EDB75FC"/>
    <w:rsid w:val="5EE818F2"/>
    <w:rsid w:val="5EF88D45"/>
    <w:rsid w:val="5F057DC4"/>
    <w:rsid w:val="5F147D35"/>
    <w:rsid w:val="5F2AA653"/>
    <w:rsid w:val="5F418000"/>
    <w:rsid w:val="5F703637"/>
    <w:rsid w:val="5F703D2C"/>
    <w:rsid w:val="5F7A73BA"/>
    <w:rsid w:val="5F7C1A48"/>
    <w:rsid w:val="5F83CBDA"/>
    <w:rsid w:val="5F88F248"/>
    <w:rsid w:val="5F8A84F5"/>
    <w:rsid w:val="5F8E9348"/>
    <w:rsid w:val="5FC0D347"/>
    <w:rsid w:val="5FC4674E"/>
    <w:rsid w:val="5FC48CB1"/>
    <w:rsid w:val="5FCD955D"/>
    <w:rsid w:val="5FCE6838"/>
    <w:rsid w:val="5FDFC1C5"/>
    <w:rsid w:val="5FE01B15"/>
    <w:rsid w:val="5FF839BF"/>
    <w:rsid w:val="600ECC6C"/>
    <w:rsid w:val="6025BEBE"/>
    <w:rsid w:val="60289153"/>
    <w:rsid w:val="6028EC7B"/>
    <w:rsid w:val="602A60E3"/>
    <w:rsid w:val="602E3A61"/>
    <w:rsid w:val="6043B226"/>
    <w:rsid w:val="6055AB94"/>
    <w:rsid w:val="607C704C"/>
    <w:rsid w:val="60805A2B"/>
    <w:rsid w:val="60842033"/>
    <w:rsid w:val="608999DC"/>
    <w:rsid w:val="609C1DBF"/>
    <w:rsid w:val="609D1FB6"/>
    <w:rsid w:val="609F1D1A"/>
    <w:rsid w:val="60B76011"/>
    <w:rsid w:val="60C18017"/>
    <w:rsid w:val="60D8CFEF"/>
    <w:rsid w:val="60DAC1CF"/>
    <w:rsid w:val="60E14BBB"/>
    <w:rsid w:val="60EA9482"/>
    <w:rsid w:val="6102BE87"/>
    <w:rsid w:val="611B332B"/>
    <w:rsid w:val="6124EF6D"/>
    <w:rsid w:val="6125E8E1"/>
    <w:rsid w:val="613F7A67"/>
    <w:rsid w:val="6154CCA3"/>
    <w:rsid w:val="6159C648"/>
    <w:rsid w:val="615EEA91"/>
    <w:rsid w:val="615F5620"/>
    <w:rsid w:val="6172A6FC"/>
    <w:rsid w:val="61994F91"/>
    <w:rsid w:val="61997197"/>
    <w:rsid w:val="619CC476"/>
    <w:rsid w:val="61A453B0"/>
    <w:rsid w:val="61C0592F"/>
    <w:rsid w:val="61C1C1D9"/>
    <w:rsid w:val="61C2CD05"/>
    <w:rsid w:val="61C4B981"/>
    <w:rsid w:val="61C86DC6"/>
    <w:rsid w:val="61D45D5A"/>
    <w:rsid w:val="61DF2A87"/>
    <w:rsid w:val="61E2FEED"/>
    <w:rsid w:val="61E4087F"/>
    <w:rsid w:val="61E8634D"/>
    <w:rsid w:val="61F156C2"/>
    <w:rsid w:val="61F32B37"/>
    <w:rsid w:val="61F5A8F6"/>
    <w:rsid w:val="61F82874"/>
    <w:rsid w:val="61FD1B57"/>
    <w:rsid w:val="6203FEDB"/>
    <w:rsid w:val="62077262"/>
    <w:rsid w:val="620E383B"/>
    <w:rsid w:val="621078AA"/>
    <w:rsid w:val="6215229C"/>
    <w:rsid w:val="622FF9F7"/>
    <w:rsid w:val="623010B8"/>
    <w:rsid w:val="623A7671"/>
    <w:rsid w:val="6254C48C"/>
    <w:rsid w:val="62973BF4"/>
    <w:rsid w:val="629A1D9C"/>
    <w:rsid w:val="629D22F1"/>
    <w:rsid w:val="629DE5E6"/>
    <w:rsid w:val="62C4730E"/>
    <w:rsid w:val="62C8EA48"/>
    <w:rsid w:val="62CA98A2"/>
    <w:rsid w:val="62CC0D40"/>
    <w:rsid w:val="62CE6C8F"/>
    <w:rsid w:val="62DFF447"/>
    <w:rsid w:val="62E30E35"/>
    <w:rsid w:val="62EEFFD1"/>
    <w:rsid w:val="62F00729"/>
    <w:rsid w:val="6300CF38"/>
    <w:rsid w:val="63062ECD"/>
    <w:rsid w:val="630A4458"/>
    <w:rsid w:val="63230EB6"/>
    <w:rsid w:val="6323708C"/>
    <w:rsid w:val="632B716E"/>
    <w:rsid w:val="633BFC34"/>
    <w:rsid w:val="63441D5B"/>
    <w:rsid w:val="6344887E"/>
    <w:rsid w:val="635F81B2"/>
    <w:rsid w:val="636DF045"/>
    <w:rsid w:val="63829596"/>
    <w:rsid w:val="63870E4D"/>
    <w:rsid w:val="63897367"/>
    <w:rsid w:val="6389A447"/>
    <w:rsid w:val="63970D18"/>
    <w:rsid w:val="63A19242"/>
    <w:rsid w:val="63B00151"/>
    <w:rsid w:val="63BDFB9B"/>
    <w:rsid w:val="63BE1FB7"/>
    <w:rsid w:val="63C2B479"/>
    <w:rsid w:val="63DEC4BE"/>
    <w:rsid w:val="63E3A389"/>
    <w:rsid w:val="63FA8B57"/>
    <w:rsid w:val="64090AF9"/>
    <w:rsid w:val="6414519B"/>
    <w:rsid w:val="64163D5B"/>
    <w:rsid w:val="6417ED15"/>
    <w:rsid w:val="6430515F"/>
    <w:rsid w:val="6446CAD2"/>
    <w:rsid w:val="644FFFAF"/>
    <w:rsid w:val="645404E9"/>
    <w:rsid w:val="64637E3E"/>
    <w:rsid w:val="646EF881"/>
    <w:rsid w:val="64996045"/>
    <w:rsid w:val="64A88544"/>
    <w:rsid w:val="64B5FD77"/>
    <w:rsid w:val="64B9FAA3"/>
    <w:rsid w:val="64BBB2FC"/>
    <w:rsid w:val="64BFDBD7"/>
    <w:rsid w:val="64C029D9"/>
    <w:rsid w:val="64C65828"/>
    <w:rsid w:val="64EF1D9C"/>
    <w:rsid w:val="6519D31E"/>
    <w:rsid w:val="651B77A9"/>
    <w:rsid w:val="6521463C"/>
    <w:rsid w:val="6526041E"/>
    <w:rsid w:val="6534D1B9"/>
    <w:rsid w:val="653A9996"/>
    <w:rsid w:val="653AF9A9"/>
    <w:rsid w:val="6544D33A"/>
    <w:rsid w:val="6545E167"/>
    <w:rsid w:val="6547A78F"/>
    <w:rsid w:val="654B4F92"/>
    <w:rsid w:val="6561A1FC"/>
    <w:rsid w:val="657304E2"/>
    <w:rsid w:val="6577DD89"/>
    <w:rsid w:val="657B816F"/>
    <w:rsid w:val="6580B298"/>
    <w:rsid w:val="6589B978"/>
    <w:rsid w:val="659051F6"/>
    <w:rsid w:val="659BF4E9"/>
    <w:rsid w:val="65A3394A"/>
    <w:rsid w:val="65AC65E4"/>
    <w:rsid w:val="65B07832"/>
    <w:rsid w:val="65B37B26"/>
    <w:rsid w:val="65CC9C2B"/>
    <w:rsid w:val="65D2CB14"/>
    <w:rsid w:val="65DB498B"/>
    <w:rsid w:val="65EF4621"/>
    <w:rsid w:val="65F0E202"/>
    <w:rsid w:val="65F26594"/>
    <w:rsid w:val="660C43F1"/>
    <w:rsid w:val="6611C194"/>
    <w:rsid w:val="6611DA68"/>
    <w:rsid w:val="6616A7C0"/>
    <w:rsid w:val="66178587"/>
    <w:rsid w:val="6625C222"/>
    <w:rsid w:val="6645BCC4"/>
    <w:rsid w:val="664C6FC1"/>
    <w:rsid w:val="664FC3CE"/>
    <w:rsid w:val="66598CBB"/>
    <w:rsid w:val="667170C7"/>
    <w:rsid w:val="667EDBA1"/>
    <w:rsid w:val="6682C833"/>
    <w:rsid w:val="668AEB42"/>
    <w:rsid w:val="669C4F56"/>
    <w:rsid w:val="66AE5D77"/>
    <w:rsid w:val="66B47417"/>
    <w:rsid w:val="66B9B83C"/>
    <w:rsid w:val="66C28356"/>
    <w:rsid w:val="66D73071"/>
    <w:rsid w:val="66D83E1D"/>
    <w:rsid w:val="66F67B82"/>
    <w:rsid w:val="67068B58"/>
    <w:rsid w:val="6709FDD0"/>
    <w:rsid w:val="67189D1B"/>
    <w:rsid w:val="671CB7AA"/>
    <w:rsid w:val="67305FD4"/>
    <w:rsid w:val="6737572E"/>
    <w:rsid w:val="674EA354"/>
    <w:rsid w:val="675069F5"/>
    <w:rsid w:val="67542C98"/>
    <w:rsid w:val="67641BCD"/>
    <w:rsid w:val="676A6192"/>
    <w:rsid w:val="6775F62E"/>
    <w:rsid w:val="677920B4"/>
    <w:rsid w:val="6792B03A"/>
    <w:rsid w:val="679639FE"/>
    <w:rsid w:val="679AD671"/>
    <w:rsid w:val="679DB232"/>
    <w:rsid w:val="679EF417"/>
    <w:rsid w:val="67D2433A"/>
    <w:rsid w:val="67E61E90"/>
    <w:rsid w:val="68022A4B"/>
    <w:rsid w:val="680552A0"/>
    <w:rsid w:val="680C06CA"/>
    <w:rsid w:val="68490154"/>
    <w:rsid w:val="684C2D75"/>
    <w:rsid w:val="6869283A"/>
    <w:rsid w:val="6890B309"/>
    <w:rsid w:val="68A6ADB1"/>
    <w:rsid w:val="68AF724A"/>
    <w:rsid w:val="68D41756"/>
    <w:rsid w:val="68DE35D4"/>
    <w:rsid w:val="68E0AC72"/>
    <w:rsid w:val="68EC11EA"/>
    <w:rsid w:val="68F10F90"/>
    <w:rsid w:val="68F81894"/>
    <w:rsid w:val="69095129"/>
    <w:rsid w:val="691D9AF4"/>
    <w:rsid w:val="691DCA77"/>
    <w:rsid w:val="69292865"/>
    <w:rsid w:val="693004F2"/>
    <w:rsid w:val="693A94A7"/>
    <w:rsid w:val="694885FB"/>
    <w:rsid w:val="69722EC5"/>
    <w:rsid w:val="6991B156"/>
    <w:rsid w:val="699D4D69"/>
    <w:rsid w:val="69A4C5EF"/>
    <w:rsid w:val="69B17416"/>
    <w:rsid w:val="69B4E181"/>
    <w:rsid w:val="69B871E8"/>
    <w:rsid w:val="69BFF456"/>
    <w:rsid w:val="69D4F3AF"/>
    <w:rsid w:val="69EB850B"/>
    <w:rsid w:val="69F28C5B"/>
    <w:rsid w:val="6A001F2E"/>
    <w:rsid w:val="6A0182A1"/>
    <w:rsid w:val="6A0B025E"/>
    <w:rsid w:val="6A0B12F1"/>
    <w:rsid w:val="6A1BB34E"/>
    <w:rsid w:val="6A23CB0D"/>
    <w:rsid w:val="6A380F8E"/>
    <w:rsid w:val="6A3BF573"/>
    <w:rsid w:val="6A3FA4D3"/>
    <w:rsid w:val="6A5A22BD"/>
    <w:rsid w:val="6A5B4146"/>
    <w:rsid w:val="6A5B49C5"/>
    <w:rsid w:val="6A680E5A"/>
    <w:rsid w:val="6A697CA0"/>
    <w:rsid w:val="6A6CED6E"/>
    <w:rsid w:val="6A77840C"/>
    <w:rsid w:val="6A8B915A"/>
    <w:rsid w:val="6A942B1C"/>
    <w:rsid w:val="6AA47514"/>
    <w:rsid w:val="6AADD103"/>
    <w:rsid w:val="6AD474F4"/>
    <w:rsid w:val="6AD9FAFC"/>
    <w:rsid w:val="6AE1C527"/>
    <w:rsid w:val="6AE217E8"/>
    <w:rsid w:val="6AE69618"/>
    <w:rsid w:val="6AE98FD9"/>
    <w:rsid w:val="6AEAFA2A"/>
    <w:rsid w:val="6AEB27FB"/>
    <w:rsid w:val="6AF286F2"/>
    <w:rsid w:val="6AF503E4"/>
    <w:rsid w:val="6AF8FC69"/>
    <w:rsid w:val="6B017E38"/>
    <w:rsid w:val="6B1D4887"/>
    <w:rsid w:val="6B2EE084"/>
    <w:rsid w:val="6B5BA6EF"/>
    <w:rsid w:val="6B5FA611"/>
    <w:rsid w:val="6B659A3A"/>
    <w:rsid w:val="6B6FDCF3"/>
    <w:rsid w:val="6B773524"/>
    <w:rsid w:val="6B83D673"/>
    <w:rsid w:val="6B84B810"/>
    <w:rsid w:val="6B906B3A"/>
    <w:rsid w:val="6B96E0D1"/>
    <w:rsid w:val="6B9908F0"/>
    <w:rsid w:val="6BAF5CCB"/>
    <w:rsid w:val="6BB643F7"/>
    <w:rsid w:val="6BDA239A"/>
    <w:rsid w:val="6BED5156"/>
    <w:rsid w:val="6BF7DB36"/>
    <w:rsid w:val="6BF9A805"/>
    <w:rsid w:val="6C0F0769"/>
    <w:rsid w:val="6C2B2978"/>
    <w:rsid w:val="6C437C5F"/>
    <w:rsid w:val="6C51C7B8"/>
    <w:rsid w:val="6C769B90"/>
    <w:rsid w:val="6C77B71C"/>
    <w:rsid w:val="6C84A571"/>
    <w:rsid w:val="6CABCB9E"/>
    <w:rsid w:val="6CB5BFCB"/>
    <w:rsid w:val="6CCA7B73"/>
    <w:rsid w:val="6CE16D94"/>
    <w:rsid w:val="6CE34622"/>
    <w:rsid w:val="6CE558CC"/>
    <w:rsid w:val="6CF0B33C"/>
    <w:rsid w:val="6D3A64AE"/>
    <w:rsid w:val="6D41D37E"/>
    <w:rsid w:val="6D5E9A41"/>
    <w:rsid w:val="6D6C673B"/>
    <w:rsid w:val="6D6CC47D"/>
    <w:rsid w:val="6D8F1272"/>
    <w:rsid w:val="6D9B190A"/>
    <w:rsid w:val="6D9F0E23"/>
    <w:rsid w:val="6DA56B8D"/>
    <w:rsid w:val="6DAE154D"/>
    <w:rsid w:val="6DE64DC4"/>
    <w:rsid w:val="6DEC1C43"/>
    <w:rsid w:val="6DF82B82"/>
    <w:rsid w:val="6DF83616"/>
    <w:rsid w:val="6E03228F"/>
    <w:rsid w:val="6E0B8E40"/>
    <w:rsid w:val="6E28B2DE"/>
    <w:rsid w:val="6E312E28"/>
    <w:rsid w:val="6E3E44EB"/>
    <w:rsid w:val="6E44A657"/>
    <w:rsid w:val="6E494545"/>
    <w:rsid w:val="6E5752CF"/>
    <w:rsid w:val="6E7FEED8"/>
    <w:rsid w:val="6E8F8FA2"/>
    <w:rsid w:val="6E9FDAD2"/>
    <w:rsid w:val="6EA0364C"/>
    <w:rsid w:val="6EA07AE8"/>
    <w:rsid w:val="6EB6FBC7"/>
    <w:rsid w:val="6EC4BA35"/>
    <w:rsid w:val="6F00402A"/>
    <w:rsid w:val="6F1AA231"/>
    <w:rsid w:val="6F1E458E"/>
    <w:rsid w:val="6F30AC7E"/>
    <w:rsid w:val="6F3AF9AE"/>
    <w:rsid w:val="6F434674"/>
    <w:rsid w:val="6F43822E"/>
    <w:rsid w:val="6F490EFF"/>
    <w:rsid w:val="6F497B36"/>
    <w:rsid w:val="6F5EEDAC"/>
    <w:rsid w:val="6F601A74"/>
    <w:rsid w:val="6F6415C8"/>
    <w:rsid w:val="6F642F8E"/>
    <w:rsid w:val="6F75EADC"/>
    <w:rsid w:val="6F7D9DB1"/>
    <w:rsid w:val="6FACF9CC"/>
    <w:rsid w:val="6FC275EF"/>
    <w:rsid w:val="6FCE1562"/>
    <w:rsid w:val="6FE62FA7"/>
    <w:rsid w:val="7000A61F"/>
    <w:rsid w:val="70263CF8"/>
    <w:rsid w:val="70285B18"/>
    <w:rsid w:val="702DEA20"/>
    <w:rsid w:val="7037AB8A"/>
    <w:rsid w:val="70397B2B"/>
    <w:rsid w:val="703CEA86"/>
    <w:rsid w:val="7048D7C4"/>
    <w:rsid w:val="705A00E6"/>
    <w:rsid w:val="7066A246"/>
    <w:rsid w:val="707445D8"/>
    <w:rsid w:val="708B5C47"/>
    <w:rsid w:val="70A2D1E2"/>
    <w:rsid w:val="70B543E9"/>
    <w:rsid w:val="70D57D7F"/>
    <w:rsid w:val="70E4FD2F"/>
    <w:rsid w:val="70EA62E3"/>
    <w:rsid w:val="70EF6DCE"/>
    <w:rsid w:val="70FA341D"/>
    <w:rsid w:val="70FB1211"/>
    <w:rsid w:val="7103CA4E"/>
    <w:rsid w:val="710C988E"/>
    <w:rsid w:val="7116BD20"/>
    <w:rsid w:val="71172C38"/>
    <w:rsid w:val="711C9DAA"/>
    <w:rsid w:val="71440377"/>
    <w:rsid w:val="714BF58F"/>
    <w:rsid w:val="71551DD0"/>
    <w:rsid w:val="716A44F9"/>
    <w:rsid w:val="71768702"/>
    <w:rsid w:val="7182AE56"/>
    <w:rsid w:val="71A135F7"/>
    <w:rsid w:val="71B84441"/>
    <w:rsid w:val="71C4C3F1"/>
    <w:rsid w:val="71ED7A99"/>
    <w:rsid w:val="71FEA41C"/>
    <w:rsid w:val="7201FE91"/>
    <w:rsid w:val="72051CAE"/>
    <w:rsid w:val="72145C1B"/>
    <w:rsid w:val="7228DD1B"/>
    <w:rsid w:val="72382104"/>
    <w:rsid w:val="724B3262"/>
    <w:rsid w:val="724CD613"/>
    <w:rsid w:val="726DB5CA"/>
    <w:rsid w:val="727A3D0A"/>
    <w:rsid w:val="7288CF63"/>
    <w:rsid w:val="72936656"/>
    <w:rsid w:val="729C46CC"/>
    <w:rsid w:val="72B5464B"/>
    <w:rsid w:val="72BC55BD"/>
    <w:rsid w:val="72C3E6CB"/>
    <w:rsid w:val="72D1E298"/>
    <w:rsid w:val="72D516E0"/>
    <w:rsid w:val="72E0E4B3"/>
    <w:rsid w:val="72F6FE87"/>
    <w:rsid w:val="731079A9"/>
    <w:rsid w:val="7312156D"/>
    <w:rsid w:val="732DDD24"/>
    <w:rsid w:val="73390B05"/>
    <w:rsid w:val="7346C670"/>
    <w:rsid w:val="73491D39"/>
    <w:rsid w:val="737159C7"/>
    <w:rsid w:val="73735EA9"/>
    <w:rsid w:val="738949A7"/>
    <w:rsid w:val="73A4F485"/>
    <w:rsid w:val="73AE8EE5"/>
    <w:rsid w:val="73B3B8B7"/>
    <w:rsid w:val="73C75964"/>
    <w:rsid w:val="73C86230"/>
    <w:rsid w:val="73F29A66"/>
    <w:rsid w:val="7411B8E9"/>
    <w:rsid w:val="7414B2AB"/>
    <w:rsid w:val="741A0B2F"/>
    <w:rsid w:val="741A4B52"/>
    <w:rsid w:val="741CFCC4"/>
    <w:rsid w:val="7420D83A"/>
    <w:rsid w:val="74394387"/>
    <w:rsid w:val="743A9ECD"/>
    <w:rsid w:val="743FDCCF"/>
    <w:rsid w:val="744E3F46"/>
    <w:rsid w:val="7463E6C3"/>
    <w:rsid w:val="7469A199"/>
    <w:rsid w:val="7491C33C"/>
    <w:rsid w:val="74B74B73"/>
    <w:rsid w:val="74C0B20E"/>
    <w:rsid w:val="74C2A31F"/>
    <w:rsid w:val="74E7036D"/>
    <w:rsid w:val="74EE0FA1"/>
    <w:rsid w:val="74F4D0ED"/>
    <w:rsid w:val="75091E89"/>
    <w:rsid w:val="750B1DB7"/>
    <w:rsid w:val="7536D9FF"/>
    <w:rsid w:val="7543FCDD"/>
    <w:rsid w:val="754621AE"/>
    <w:rsid w:val="754D2B00"/>
    <w:rsid w:val="7555EE7A"/>
    <w:rsid w:val="755FBB6E"/>
    <w:rsid w:val="756F57BE"/>
    <w:rsid w:val="7574A23F"/>
    <w:rsid w:val="75816CC6"/>
    <w:rsid w:val="7582567C"/>
    <w:rsid w:val="7588BD58"/>
    <w:rsid w:val="75908A3E"/>
    <w:rsid w:val="7595B818"/>
    <w:rsid w:val="759A1C7C"/>
    <w:rsid w:val="75A2424F"/>
    <w:rsid w:val="75E0EF97"/>
    <w:rsid w:val="7611D4A2"/>
    <w:rsid w:val="761AC38D"/>
    <w:rsid w:val="76211F5A"/>
    <w:rsid w:val="762CEF1A"/>
    <w:rsid w:val="7630CD58"/>
    <w:rsid w:val="76322784"/>
    <w:rsid w:val="7638EAD1"/>
    <w:rsid w:val="7648845B"/>
    <w:rsid w:val="765B3032"/>
    <w:rsid w:val="7669A22B"/>
    <w:rsid w:val="76774268"/>
    <w:rsid w:val="767D2961"/>
    <w:rsid w:val="76870B21"/>
    <w:rsid w:val="7688FF73"/>
    <w:rsid w:val="768D8755"/>
    <w:rsid w:val="7696FF75"/>
    <w:rsid w:val="76981272"/>
    <w:rsid w:val="76A62C00"/>
    <w:rsid w:val="76AD73AE"/>
    <w:rsid w:val="76D1912E"/>
    <w:rsid w:val="76D73C82"/>
    <w:rsid w:val="76E4217D"/>
    <w:rsid w:val="76EAF08C"/>
    <w:rsid w:val="76F093C0"/>
    <w:rsid w:val="76FD417B"/>
    <w:rsid w:val="7701BEEB"/>
    <w:rsid w:val="771AA389"/>
    <w:rsid w:val="77296274"/>
    <w:rsid w:val="7737967D"/>
    <w:rsid w:val="7744B51C"/>
    <w:rsid w:val="77451587"/>
    <w:rsid w:val="775A72E8"/>
    <w:rsid w:val="776E9502"/>
    <w:rsid w:val="77788267"/>
    <w:rsid w:val="77AF4F2B"/>
    <w:rsid w:val="77B7E8B5"/>
    <w:rsid w:val="77C46A77"/>
    <w:rsid w:val="77C687F8"/>
    <w:rsid w:val="77E60DAC"/>
    <w:rsid w:val="77E9BA87"/>
    <w:rsid w:val="77EA4C88"/>
    <w:rsid w:val="78024903"/>
    <w:rsid w:val="7806AC9E"/>
    <w:rsid w:val="78195508"/>
    <w:rsid w:val="78212DC0"/>
    <w:rsid w:val="78285E9C"/>
    <w:rsid w:val="785A993A"/>
    <w:rsid w:val="78616579"/>
    <w:rsid w:val="78637155"/>
    <w:rsid w:val="78777D7B"/>
    <w:rsid w:val="7887E1AC"/>
    <w:rsid w:val="788C18D6"/>
    <w:rsid w:val="78B8583F"/>
    <w:rsid w:val="78BA54CE"/>
    <w:rsid w:val="78D94B27"/>
    <w:rsid w:val="78DFAC76"/>
    <w:rsid w:val="78F6413B"/>
    <w:rsid w:val="790037AB"/>
    <w:rsid w:val="79057858"/>
    <w:rsid w:val="79198A7D"/>
    <w:rsid w:val="792FE05D"/>
    <w:rsid w:val="79324BBF"/>
    <w:rsid w:val="79354813"/>
    <w:rsid w:val="7937F40F"/>
    <w:rsid w:val="79420A5E"/>
    <w:rsid w:val="79483E87"/>
    <w:rsid w:val="7952B14B"/>
    <w:rsid w:val="795638FD"/>
    <w:rsid w:val="7956FBC8"/>
    <w:rsid w:val="795C48FD"/>
    <w:rsid w:val="7973E660"/>
    <w:rsid w:val="798A3C81"/>
    <w:rsid w:val="79973091"/>
    <w:rsid w:val="79A312D3"/>
    <w:rsid w:val="79A3B56E"/>
    <w:rsid w:val="79BFF5EA"/>
    <w:rsid w:val="79C0999C"/>
    <w:rsid w:val="79D65C24"/>
    <w:rsid w:val="79DA96A7"/>
    <w:rsid w:val="79E2929B"/>
    <w:rsid w:val="79F8879B"/>
    <w:rsid w:val="79FECCAF"/>
    <w:rsid w:val="7A0BE520"/>
    <w:rsid w:val="7A186453"/>
    <w:rsid w:val="7A18E97A"/>
    <w:rsid w:val="7A49A008"/>
    <w:rsid w:val="7A518CB4"/>
    <w:rsid w:val="7A54FE7F"/>
    <w:rsid w:val="7AA94980"/>
    <w:rsid w:val="7AAEFD60"/>
    <w:rsid w:val="7AC83483"/>
    <w:rsid w:val="7AF1229D"/>
    <w:rsid w:val="7B1204A6"/>
    <w:rsid w:val="7B1814E6"/>
    <w:rsid w:val="7B198C55"/>
    <w:rsid w:val="7B49318D"/>
    <w:rsid w:val="7B49AB84"/>
    <w:rsid w:val="7B4A3BF4"/>
    <w:rsid w:val="7B4E8D1E"/>
    <w:rsid w:val="7B53F06E"/>
    <w:rsid w:val="7B71E501"/>
    <w:rsid w:val="7B7444EF"/>
    <w:rsid w:val="7B7B7D3B"/>
    <w:rsid w:val="7B8BAC16"/>
    <w:rsid w:val="7B9308F7"/>
    <w:rsid w:val="7B963D3A"/>
    <w:rsid w:val="7B9902CD"/>
    <w:rsid w:val="7B9FDEE3"/>
    <w:rsid w:val="7BBD729F"/>
    <w:rsid w:val="7BBDB6E4"/>
    <w:rsid w:val="7BC0F828"/>
    <w:rsid w:val="7BC90A2D"/>
    <w:rsid w:val="7BD545A3"/>
    <w:rsid w:val="7BE99F69"/>
    <w:rsid w:val="7BEEB06A"/>
    <w:rsid w:val="7BF7B505"/>
    <w:rsid w:val="7BF9D7C8"/>
    <w:rsid w:val="7C01773E"/>
    <w:rsid w:val="7C04E4A0"/>
    <w:rsid w:val="7C04F137"/>
    <w:rsid w:val="7C060CEA"/>
    <w:rsid w:val="7C0CBDBB"/>
    <w:rsid w:val="7C0DD8C2"/>
    <w:rsid w:val="7C18886E"/>
    <w:rsid w:val="7C595E90"/>
    <w:rsid w:val="7C65860C"/>
    <w:rsid w:val="7C6E77A3"/>
    <w:rsid w:val="7C6FB0FC"/>
    <w:rsid w:val="7CA23D7E"/>
    <w:rsid w:val="7CCA2AB4"/>
    <w:rsid w:val="7CD589FD"/>
    <w:rsid w:val="7CDB68C9"/>
    <w:rsid w:val="7CE8BD56"/>
    <w:rsid w:val="7CEEB608"/>
    <w:rsid w:val="7CF3F248"/>
    <w:rsid w:val="7D09685D"/>
    <w:rsid w:val="7D0F9162"/>
    <w:rsid w:val="7D33C6D0"/>
    <w:rsid w:val="7D37126B"/>
    <w:rsid w:val="7D4E053B"/>
    <w:rsid w:val="7D529EDF"/>
    <w:rsid w:val="7D52EF66"/>
    <w:rsid w:val="7D676880"/>
    <w:rsid w:val="7D86EDA2"/>
    <w:rsid w:val="7D98B159"/>
    <w:rsid w:val="7DBB0C5B"/>
    <w:rsid w:val="7DC8732F"/>
    <w:rsid w:val="7DEEFB66"/>
    <w:rsid w:val="7DFBB21D"/>
    <w:rsid w:val="7E082C8E"/>
    <w:rsid w:val="7E1655C8"/>
    <w:rsid w:val="7E33A48E"/>
    <w:rsid w:val="7E5A4B12"/>
    <w:rsid w:val="7E62B69D"/>
    <w:rsid w:val="7E821096"/>
    <w:rsid w:val="7E85F3E1"/>
    <w:rsid w:val="7E87F773"/>
    <w:rsid w:val="7E8C6F1C"/>
    <w:rsid w:val="7E9DCC3F"/>
    <w:rsid w:val="7EA137E7"/>
    <w:rsid w:val="7EAC202D"/>
    <w:rsid w:val="7EAEE33C"/>
    <w:rsid w:val="7EB7C9F4"/>
    <w:rsid w:val="7EFE3FDD"/>
    <w:rsid w:val="7F14D3B1"/>
    <w:rsid w:val="7F2863AA"/>
    <w:rsid w:val="7F436B0A"/>
    <w:rsid w:val="7F43F397"/>
    <w:rsid w:val="7F494AE0"/>
    <w:rsid w:val="7F58173F"/>
    <w:rsid w:val="7F69343B"/>
    <w:rsid w:val="7F6ECCC3"/>
    <w:rsid w:val="7F795D02"/>
    <w:rsid w:val="7F875924"/>
    <w:rsid w:val="7F987EDA"/>
    <w:rsid w:val="7FA2523C"/>
    <w:rsid w:val="7FA5C50E"/>
    <w:rsid w:val="7FD71F48"/>
    <w:rsid w:val="7FD8A369"/>
    <w:rsid w:val="7FE8F8AD"/>
    <w:rsid w:val="7FEB6AD0"/>
    <w:rsid w:val="7FF919F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DAB6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0F7"/>
  </w:style>
  <w:style w:type="paragraph" w:styleId="Heading1">
    <w:name w:val="heading 1"/>
    <w:basedOn w:val="Normal"/>
    <w:next w:val="Normal"/>
    <w:link w:val="Heading1Char"/>
    <w:uiPriority w:val="9"/>
    <w:qFormat/>
    <w:rsid w:val="00582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82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820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820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0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0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0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0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0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2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2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02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EB3"/>
    <w:rPr>
      <w:rFonts w:eastAsiaTheme="majorEastAsia" w:cstheme="majorBidi"/>
      <w:color w:val="272727" w:themeColor="text1" w:themeTint="D8"/>
    </w:rPr>
  </w:style>
  <w:style w:type="paragraph" w:styleId="Title">
    <w:name w:val="Title"/>
    <w:basedOn w:val="Normal"/>
    <w:next w:val="Normal"/>
    <w:link w:val="TitleChar"/>
    <w:uiPriority w:val="10"/>
    <w:qFormat/>
    <w:rsid w:val="00582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0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0F7"/>
    <w:pPr>
      <w:spacing w:before="160"/>
      <w:jc w:val="center"/>
    </w:pPr>
    <w:rPr>
      <w:i/>
      <w:iCs/>
      <w:color w:val="404040" w:themeColor="text1" w:themeTint="BF"/>
    </w:rPr>
  </w:style>
  <w:style w:type="character" w:customStyle="1" w:styleId="QuoteChar">
    <w:name w:val="Quote Char"/>
    <w:basedOn w:val="DefaultParagraphFont"/>
    <w:link w:val="Quote"/>
    <w:uiPriority w:val="29"/>
    <w:rsid w:val="00B02EB3"/>
    <w:rPr>
      <w:i/>
      <w:iCs/>
      <w:color w:val="404040" w:themeColor="text1" w:themeTint="BF"/>
    </w:rPr>
  </w:style>
  <w:style w:type="paragraph" w:styleId="ListParagraph">
    <w:name w:val="List Paragraph"/>
    <w:basedOn w:val="Normal"/>
    <w:uiPriority w:val="34"/>
    <w:qFormat/>
    <w:rsid w:val="005820F7"/>
    <w:pPr>
      <w:ind w:left="720"/>
      <w:contextualSpacing/>
    </w:pPr>
  </w:style>
  <w:style w:type="character" w:styleId="IntenseEmphasis">
    <w:name w:val="Intense Emphasis"/>
    <w:basedOn w:val="DefaultParagraphFont"/>
    <w:uiPriority w:val="21"/>
    <w:qFormat/>
    <w:rsid w:val="00B02EB3"/>
    <w:rPr>
      <w:i/>
      <w:iCs/>
      <w:color w:val="0F4761" w:themeColor="accent1" w:themeShade="BF"/>
    </w:rPr>
  </w:style>
  <w:style w:type="paragraph" w:styleId="IntenseQuote">
    <w:name w:val="Intense Quote"/>
    <w:basedOn w:val="Normal"/>
    <w:next w:val="Normal"/>
    <w:link w:val="IntenseQuoteChar"/>
    <w:uiPriority w:val="30"/>
    <w:qFormat/>
    <w:rsid w:val="00582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EB3"/>
    <w:rPr>
      <w:i/>
      <w:iCs/>
      <w:color w:val="0F4761" w:themeColor="accent1" w:themeShade="BF"/>
    </w:rPr>
  </w:style>
  <w:style w:type="character" w:styleId="IntenseReference">
    <w:name w:val="Intense Reference"/>
    <w:basedOn w:val="DefaultParagraphFont"/>
    <w:uiPriority w:val="32"/>
    <w:qFormat/>
    <w:rsid w:val="00B02EB3"/>
    <w:rPr>
      <w:b/>
      <w:bCs/>
      <w:smallCaps/>
      <w:color w:val="0F4761" w:themeColor="accent1" w:themeShade="BF"/>
      <w:spacing w:val="5"/>
    </w:rPr>
  </w:style>
  <w:style w:type="paragraph" w:styleId="Header">
    <w:name w:val="header"/>
    <w:basedOn w:val="Normal"/>
    <w:link w:val="HeaderChar"/>
    <w:uiPriority w:val="99"/>
    <w:unhideWhenUsed/>
    <w:rsid w:val="00582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235"/>
  </w:style>
  <w:style w:type="paragraph" w:styleId="Footer">
    <w:name w:val="footer"/>
    <w:basedOn w:val="Normal"/>
    <w:link w:val="FooterChar"/>
    <w:uiPriority w:val="99"/>
    <w:unhideWhenUsed/>
    <w:rsid w:val="00582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235"/>
  </w:style>
  <w:style w:type="paragraph" w:styleId="NormalWeb">
    <w:name w:val="Normal (Web)"/>
    <w:basedOn w:val="Normal"/>
    <w:uiPriority w:val="99"/>
    <w:unhideWhenUsed/>
    <w:rsid w:val="005820F7"/>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59"/>
    <w:rsid w:val="00BD0606"/>
    <w:pPr>
      <w:spacing w:after="0" w:line="240" w:lineRule="auto"/>
    </w:pPr>
    <w:rPr>
      <w:kern w:val="0"/>
      <w14:ligatures w14:val="none"/>
    </w:rPr>
    <w:tblPr/>
  </w:style>
  <w:style w:type="paragraph" w:styleId="FootnoteText">
    <w:name w:val="footnote text"/>
    <w:basedOn w:val="Normal"/>
    <w:link w:val="FootnoteTextChar"/>
    <w:uiPriority w:val="99"/>
    <w:semiHidden/>
    <w:unhideWhenUsed/>
    <w:rsid w:val="005820F7"/>
    <w:pPr>
      <w:spacing w:after="0" w:line="240" w:lineRule="auto"/>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BD0606"/>
    <w:rPr>
      <w:rFonts w:ascii="Times New Roman" w:eastAsia="Times New Roman" w:hAnsi="Times New Roman" w:cs="Times New Roman"/>
      <w:kern w:val="0"/>
      <w:sz w:val="20"/>
      <w:szCs w:val="20"/>
      <w:lang w:val="fr-FR"/>
      <w14:ligatures w14:val="none"/>
    </w:rPr>
  </w:style>
  <w:style w:type="character" w:styleId="FootnoteReference">
    <w:name w:val="footnote reference"/>
    <w:basedOn w:val="DefaultParagraphFont"/>
    <w:uiPriority w:val="99"/>
    <w:semiHidden/>
    <w:unhideWhenUsed/>
    <w:rsid w:val="005820F7"/>
    <w:rPr>
      <w:vertAlign w:val="superscript"/>
    </w:rPr>
  </w:style>
  <w:style w:type="character" w:styleId="CommentReference">
    <w:name w:val="annotation reference"/>
    <w:basedOn w:val="DefaultParagraphFont"/>
    <w:uiPriority w:val="99"/>
    <w:semiHidden/>
    <w:unhideWhenUsed/>
    <w:rsid w:val="003942E6"/>
    <w:rPr>
      <w:sz w:val="16"/>
      <w:szCs w:val="16"/>
    </w:rPr>
  </w:style>
  <w:style w:type="paragraph" w:styleId="CommentText">
    <w:name w:val="annotation text"/>
    <w:basedOn w:val="Normal"/>
    <w:link w:val="CommentTextChar"/>
    <w:uiPriority w:val="99"/>
    <w:unhideWhenUsed/>
    <w:rsid w:val="005820F7"/>
    <w:pPr>
      <w:spacing w:line="240" w:lineRule="auto"/>
    </w:pPr>
    <w:rPr>
      <w:sz w:val="20"/>
      <w:szCs w:val="20"/>
    </w:rPr>
  </w:style>
  <w:style w:type="character" w:customStyle="1" w:styleId="CommentTextChar">
    <w:name w:val="Comment Text Char"/>
    <w:basedOn w:val="DefaultParagraphFont"/>
    <w:link w:val="CommentText"/>
    <w:uiPriority w:val="99"/>
    <w:rsid w:val="003942E6"/>
    <w:rPr>
      <w:sz w:val="20"/>
      <w:szCs w:val="20"/>
    </w:rPr>
  </w:style>
  <w:style w:type="paragraph" w:styleId="CommentSubject">
    <w:name w:val="annotation subject"/>
    <w:basedOn w:val="CommentText"/>
    <w:next w:val="CommentText"/>
    <w:link w:val="CommentSubjectChar"/>
    <w:uiPriority w:val="99"/>
    <w:semiHidden/>
    <w:unhideWhenUsed/>
    <w:rsid w:val="003942E6"/>
    <w:rPr>
      <w:b/>
      <w:bCs/>
    </w:rPr>
  </w:style>
  <w:style w:type="character" w:customStyle="1" w:styleId="CommentSubjectChar">
    <w:name w:val="Comment Subject Char"/>
    <w:basedOn w:val="CommentTextChar"/>
    <w:link w:val="CommentSubject"/>
    <w:uiPriority w:val="99"/>
    <w:semiHidden/>
    <w:rsid w:val="003942E6"/>
    <w:rPr>
      <w:b/>
      <w:bCs/>
      <w:sz w:val="20"/>
      <w:szCs w:val="20"/>
    </w:rPr>
  </w:style>
  <w:style w:type="paragraph" w:styleId="Revision">
    <w:name w:val="Revision"/>
    <w:hidden/>
    <w:uiPriority w:val="99"/>
    <w:semiHidden/>
    <w:rsid w:val="005820F7"/>
    <w:pPr>
      <w:spacing w:after="0" w:line="240" w:lineRule="auto"/>
    </w:pPr>
  </w:style>
  <w:style w:type="character" w:styleId="Hyperlink">
    <w:name w:val="Hyperlink"/>
    <w:basedOn w:val="DefaultParagraphFont"/>
    <w:uiPriority w:val="99"/>
    <w:unhideWhenUsed/>
    <w:rsid w:val="63BE1FB7"/>
    <w:rPr>
      <w:color w:val="467886"/>
      <w:u w:val="single"/>
    </w:rPr>
  </w:style>
  <w:style w:type="character" w:customStyle="1" w:styleId="Mention">
    <w:name w:val="Mention"/>
    <w:basedOn w:val="DefaultParagraphFont"/>
    <w:uiPriority w:val="99"/>
    <w:unhideWhenUsed/>
    <w:rsid w:val="00F45BED"/>
    <w:rPr>
      <w:color w:val="2B579A"/>
      <w:shd w:val="clear" w:color="auto" w:fill="E1DFDD"/>
    </w:rPr>
  </w:style>
  <w:style w:type="character" w:styleId="FollowedHyperlink">
    <w:name w:val="FollowedHyperlink"/>
    <w:basedOn w:val="DefaultParagraphFont"/>
    <w:uiPriority w:val="99"/>
    <w:semiHidden/>
    <w:unhideWhenUsed/>
    <w:rsid w:val="00F336ED"/>
    <w:rPr>
      <w:color w:val="96607D" w:themeColor="followedHyperlink"/>
      <w:u w:val="single"/>
    </w:rPr>
  </w:style>
  <w:style w:type="character" w:customStyle="1" w:styleId="UnresolvedMention">
    <w:name w:val="Unresolved Mention"/>
    <w:basedOn w:val="DefaultParagraphFont"/>
    <w:uiPriority w:val="99"/>
    <w:semiHidden/>
    <w:unhideWhenUsed/>
    <w:rsid w:val="002A2D12"/>
    <w:rPr>
      <w:color w:val="605E5C"/>
      <w:shd w:val="clear" w:color="auto" w:fill="E1DFDD"/>
    </w:rPr>
  </w:style>
  <w:style w:type="character" w:customStyle="1" w:styleId="BodyPlaceholderText">
    <w:name w:val="BodyPlaceholderText"/>
    <w:basedOn w:val="PlaceholderText"/>
    <w:semiHidden/>
    <w:rsid w:val="005820F7"/>
    <w:rPr>
      <w:color w:val="3366CC"/>
    </w:rPr>
  </w:style>
  <w:style w:type="character" w:customStyle="1" w:styleId="CrossReference">
    <w:name w:val="Cross Reference"/>
    <w:basedOn w:val="DefaultParagraphFont"/>
    <w:semiHidden/>
    <w:rsid w:val="005820F7"/>
    <w:rPr>
      <w:i/>
    </w:rPr>
  </w:style>
  <w:style w:type="character" w:customStyle="1" w:styleId="InstructionBlue">
    <w:name w:val="InstructionBlue"/>
    <w:semiHidden/>
    <w:rsid w:val="005820F7"/>
    <w:rPr>
      <w:i/>
      <w:color w:val="3366CC"/>
    </w:rPr>
  </w:style>
  <w:style w:type="character" w:customStyle="1" w:styleId="InstructionPlaceholder">
    <w:name w:val="InstructionPlaceholder"/>
    <w:semiHidden/>
    <w:rsid w:val="005820F7"/>
    <w:rPr>
      <w:color w:val="CB3535"/>
    </w:rPr>
  </w:style>
  <w:style w:type="character" w:customStyle="1" w:styleId="InstructionRed">
    <w:name w:val="InstructionRed"/>
    <w:semiHidden/>
    <w:rsid w:val="005820F7"/>
    <w:rPr>
      <w:i/>
      <w:color w:val="CB3535"/>
    </w:rPr>
  </w:style>
  <w:style w:type="character" w:customStyle="1" w:styleId="MarkingLabel">
    <w:name w:val="MarkingLabel"/>
    <w:semiHidden/>
    <w:rsid w:val="005820F7"/>
    <w:rPr>
      <w:b/>
      <w:caps/>
      <w:sz w:val="28"/>
    </w:rPr>
  </w:style>
  <w:style w:type="character" w:customStyle="1" w:styleId="MarkingText">
    <w:name w:val="MarkingText"/>
    <w:semiHidden/>
    <w:rsid w:val="005820F7"/>
    <w:rPr>
      <w:i/>
      <w:sz w:val="28"/>
    </w:rPr>
  </w:style>
  <w:style w:type="character" w:styleId="PlaceholderText">
    <w:name w:val="Placeholder Text"/>
    <w:basedOn w:val="DefaultParagraphFont"/>
    <w:semiHidden/>
    <w:rsid w:val="005820F7"/>
    <w:rPr>
      <w:color w:val="288061"/>
    </w:rPr>
  </w:style>
  <w:style w:type="paragraph" w:customStyle="1" w:styleId="AfterTable">
    <w:name w:val="After Table"/>
    <w:semiHidden/>
    <w:rsid w:val="005820F7"/>
    <w:pPr>
      <w:spacing w:after="0" w:line="240" w:lineRule="auto"/>
    </w:pPr>
    <w:rPr>
      <w:rFonts w:ascii="Times New Roman" w:eastAsia="Times New Roman" w:hAnsi="Times New Roman" w:cs="Times New Roman"/>
      <w:kern w:val="0"/>
      <w:sz w:val="4"/>
      <w:szCs w:val="20"/>
      <w:lang w:eastAsia="en-IE"/>
      <w14:ligatures w14:val="none"/>
    </w:rPr>
  </w:style>
  <w:style w:type="paragraph" w:customStyle="1" w:styleId="AnnexTitle">
    <w:name w:val="AnnexTitle"/>
    <w:basedOn w:val="Normal"/>
    <w:next w:val="Normal"/>
    <w:uiPriority w:val="45"/>
    <w:qFormat/>
    <w:rsid w:val="005820F7"/>
    <w:pPr>
      <w:pageBreakBefore/>
      <w:numPr>
        <w:numId w:val="19"/>
      </w:numPr>
      <w:spacing w:after="480" w:line="240" w:lineRule="auto"/>
      <w:jc w:val="both"/>
      <w:outlineLvl w:val="0"/>
    </w:pPr>
    <w:rPr>
      <w:rFonts w:ascii="Times New Roman" w:eastAsia="Times New Roman" w:hAnsi="Times New Roman" w:cs="Times New Roman"/>
      <w:b/>
      <w:kern w:val="0"/>
      <w:sz w:val="32"/>
      <w:szCs w:val="20"/>
      <w:lang w:eastAsia="en-IE"/>
      <w14:ligatures w14:val="none"/>
    </w:rPr>
  </w:style>
  <w:style w:type="paragraph" w:styleId="Caption">
    <w:name w:val="caption"/>
    <w:basedOn w:val="Normal"/>
    <w:next w:val="Normal"/>
    <w:semiHidden/>
    <w:rsid w:val="005820F7"/>
    <w:pPr>
      <w:spacing w:before="160" w:after="240" w:line="240" w:lineRule="auto"/>
      <w:jc w:val="both"/>
    </w:pPr>
    <w:rPr>
      <w:rFonts w:ascii="Times New Roman" w:eastAsia="Times New Roman" w:hAnsi="Times New Roman" w:cs="Times New Roman"/>
      <w:i/>
      <w:kern w:val="0"/>
      <w:szCs w:val="20"/>
      <w:lang w:eastAsia="en-IE"/>
      <w14:ligatures w14:val="none"/>
    </w:rPr>
  </w:style>
  <w:style w:type="paragraph" w:customStyle="1" w:styleId="ChapterTitle">
    <w:name w:val="ChapterTitle"/>
    <w:basedOn w:val="Normal"/>
    <w:next w:val="SectionTitle"/>
    <w:uiPriority w:val="43"/>
    <w:qFormat/>
    <w:rsid w:val="005820F7"/>
    <w:pPr>
      <w:keepNext/>
      <w:spacing w:after="480" w:line="240" w:lineRule="auto"/>
      <w:jc w:val="center"/>
      <w:outlineLvl w:val="0"/>
    </w:pPr>
    <w:rPr>
      <w:rFonts w:ascii="Times New Roman" w:eastAsia="Times New Roman" w:hAnsi="Times New Roman" w:cs="Times New Roman"/>
      <w:b/>
      <w:kern w:val="0"/>
      <w:sz w:val="32"/>
      <w:szCs w:val="20"/>
      <w:lang w:eastAsia="en-IE"/>
      <w14:ligatures w14:val="none"/>
    </w:rPr>
  </w:style>
  <w:style w:type="paragraph" w:customStyle="1" w:styleId="ConfidentialUE">
    <w:name w:val="Confidential UE"/>
    <w:basedOn w:val="Normal"/>
    <w:semiHidden/>
    <w:rsid w:val="005820F7"/>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Contact">
    <w:name w:val="Contact"/>
    <w:basedOn w:val="Normal"/>
    <w:semiHidden/>
    <w:rsid w:val="005820F7"/>
    <w:pPr>
      <w:spacing w:before="480" w:after="0" w:line="240" w:lineRule="auto"/>
      <w:ind w:left="567" w:hanging="567"/>
      <w:contextualSpacing/>
    </w:pPr>
    <w:rPr>
      <w:rFonts w:ascii="Times New Roman" w:eastAsia="Times New Roman" w:hAnsi="Times New Roman" w:cs="Times New Roman"/>
      <w:kern w:val="0"/>
      <w:sz w:val="24"/>
      <w:szCs w:val="20"/>
      <w:lang w:eastAsia="en-IE"/>
      <w14:ligatures w14:val="none"/>
    </w:rPr>
  </w:style>
  <w:style w:type="paragraph" w:customStyle="1" w:styleId="ContNum">
    <w:name w:val="ContNum"/>
    <w:basedOn w:val="Normal"/>
    <w:uiPriority w:val="20"/>
    <w:qFormat/>
    <w:rsid w:val="005820F7"/>
    <w:pPr>
      <w:numPr>
        <w:numId w:val="18"/>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ContNumLevel2">
    <w:name w:val="ContNum (Level 2)"/>
    <w:basedOn w:val="Normal"/>
    <w:uiPriority w:val="20"/>
    <w:rsid w:val="005820F7"/>
    <w:pPr>
      <w:numPr>
        <w:ilvl w:val="1"/>
        <w:numId w:val="18"/>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ContNumLevel3">
    <w:name w:val="ContNum (Level 3)"/>
    <w:basedOn w:val="Normal"/>
    <w:uiPriority w:val="20"/>
    <w:rsid w:val="005820F7"/>
    <w:pPr>
      <w:numPr>
        <w:ilvl w:val="2"/>
        <w:numId w:val="18"/>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Date">
    <w:name w:val="Date"/>
    <w:basedOn w:val="Normal"/>
    <w:next w:val="References"/>
    <w:link w:val="DateChar"/>
    <w:semiHidden/>
    <w:rsid w:val="005820F7"/>
    <w:pPr>
      <w:spacing w:after="0" w:line="240" w:lineRule="auto"/>
      <w:ind w:left="5102" w:right="-567"/>
    </w:pPr>
    <w:rPr>
      <w:rFonts w:ascii="Times New Roman" w:eastAsia="Times New Roman" w:hAnsi="Times New Roman" w:cs="Times New Roman"/>
      <w:kern w:val="0"/>
      <w:sz w:val="24"/>
      <w:szCs w:val="20"/>
      <w:lang w:eastAsia="en-IE"/>
      <w14:ligatures w14:val="none"/>
    </w:rPr>
  </w:style>
  <w:style w:type="character" w:customStyle="1" w:styleId="DateChar">
    <w:name w:val="Date Char"/>
    <w:basedOn w:val="DefaultParagraphFont"/>
    <w:link w:val="Date"/>
    <w:semiHidden/>
    <w:rsid w:val="005820F7"/>
    <w:rPr>
      <w:rFonts w:ascii="Times New Roman" w:eastAsia="Times New Roman" w:hAnsi="Times New Roman" w:cs="Times New Roman"/>
      <w:kern w:val="0"/>
      <w:sz w:val="24"/>
      <w:szCs w:val="20"/>
      <w:lang w:val="fr-FR" w:eastAsia="en-IE"/>
      <w14:ligatures w14:val="none"/>
    </w:rPr>
  </w:style>
  <w:style w:type="paragraph" w:customStyle="1" w:styleId="Designator">
    <w:name w:val="Designator"/>
    <w:basedOn w:val="Normal"/>
    <w:semiHidden/>
    <w:rsid w:val="005820F7"/>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DoubSign">
    <w:name w:val="DoubSign"/>
    <w:basedOn w:val="Normal"/>
    <w:semiHidden/>
    <w:rsid w:val="005820F7"/>
    <w:pPr>
      <w:spacing w:before="1200" w:after="0" w:line="240" w:lineRule="auto"/>
    </w:pPr>
    <w:rPr>
      <w:rFonts w:ascii="Times New Roman" w:eastAsia="Times New Roman" w:hAnsi="Times New Roman" w:cs="Times New Roman"/>
      <w:kern w:val="0"/>
      <w:sz w:val="24"/>
      <w:szCs w:val="20"/>
      <w:lang w:eastAsia="en-IE"/>
      <w14:ligatures w14:val="none"/>
    </w:rPr>
  </w:style>
  <w:style w:type="paragraph" w:customStyle="1" w:styleId="EmptyParagraph">
    <w:name w:val="Empty Paragraph"/>
    <w:basedOn w:val="Normal"/>
    <w:next w:val="Normal"/>
    <w:semiHidden/>
    <w:rsid w:val="005820F7"/>
    <w:pPr>
      <w:spacing w:before="240" w:after="240" w:line="240" w:lineRule="auto"/>
      <w:jc w:val="both"/>
    </w:pPr>
    <w:rPr>
      <w:rFonts w:ascii="Times New Roman" w:eastAsia="Times New Roman" w:hAnsi="Times New Roman" w:cs="Times New Roman"/>
      <w:kern w:val="0"/>
      <w:sz w:val="24"/>
      <w:szCs w:val="20"/>
      <w:lang w:eastAsia="en-IE"/>
      <w14:ligatures w14:val="none"/>
    </w:rPr>
  </w:style>
  <w:style w:type="paragraph" w:styleId="EndnoteText">
    <w:name w:val="endnote text"/>
    <w:basedOn w:val="Normal"/>
    <w:link w:val="EndnoteTextChar"/>
    <w:semiHidden/>
    <w:rsid w:val="005820F7"/>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EndnoteTextChar">
    <w:name w:val="Endnote Text Char"/>
    <w:basedOn w:val="DefaultParagraphFont"/>
    <w:link w:val="EndnoteText"/>
    <w:semiHidden/>
    <w:rsid w:val="005820F7"/>
    <w:rPr>
      <w:rFonts w:ascii="Times New Roman" w:eastAsia="Times New Roman" w:hAnsi="Times New Roman" w:cs="Times New Roman"/>
      <w:kern w:val="0"/>
      <w:sz w:val="20"/>
      <w:szCs w:val="20"/>
      <w:lang w:val="fr-FR" w:eastAsia="en-IE"/>
      <w14:ligatures w14:val="none"/>
    </w:rPr>
  </w:style>
  <w:style w:type="paragraph" w:customStyle="1" w:styleId="FigureBody">
    <w:name w:val="Figure Body"/>
    <w:basedOn w:val="Normal"/>
    <w:next w:val="FigureSource"/>
    <w:uiPriority w:val="99"/>
    <w:semiHidden/>
    <w:unhideWhenUsed/>
    <w:rsid w:val="005820F7"/>
    <w:pPr>
      <w:keepNext/>
      <w:spacing w:after="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FigureBody1">
    <w:name w:val="Figure Body 1"/>
    <w:basedOn w:val="Text1"/>
    <w:next w:val="FigureSource1"/>
    <w:uiPriority w:val="99"/>
    <w:semiHidden/>
    <w:unhideWhenUsed/>
    <w:rsid w:val="005820F7"/>
    <w:pPr>
      <w:keepNext/>
      <w:spacing w:after="40"/>
    </w:pPr>
  </w:style>
  <w:style w:type="paragraph" w:customStyle="1" w:styleId="FigureBody2">
    <w:name w:val="Figure Body 2"/>
    <w:basedOn w:val="Text2"/>
    <w:next w:val="FigureSource2"/>
    <w:uiPriority w:val="99"/>
    <w:semiHidden/>
    <w:unhideWhenUsed/>
    <w:rsid w:val="005820F7"/>
    <w:pPr>
      <w:keepNext/>
      <w:spacing w:after="40"/>
    </w:pPr>
  </w:style>
  <w:style w:type="paragraph" w:customStyle="1" w:styleId="FigureBody3">
    <w:name w:val="Figure Body 3"/>
    <w:basedOn w:val="Text3"/>
    <w:next w:val="FigureSource3"/>
    <w:uiPriority w:val="99"/>
    <w:semiHidden/>
    <w:unhideWhenUsed/>
    <w:rsid w:val="005820F7"/>
    <w:pPr>
      <w:keepNext/>
      <w:spacing w:after="40"/>
    </w:pPr>
  </w:style>
  <w:style w:type="paragraph" w:customStyle="1" w:styleId="FigureBody4">
    <w:name w:val="Figure Body 4"/>
    <w:basedOn w:val="Text4"/>
    <w:next w:val="FigureSource4"/>
    <w:uiPriority w:val="99"/>
    <w:semiHidden/>
    <w:unhideWhenUsed/>
    <w:rsid w:val="005820F7"/>
    <w:pPr>
      <w:keepNext/>
      <w:spacing w:after="40"/>
    </w:pPr>
  </w:style>
  <w:style w:type="paragraph" w:customStyle="1" w:styleId="FigureSource">
    <w:name w:val="Figure Source"/>
    <w:basedOn w:val="Normal"/>
    <w:next w:val="Normal"/>
    <w:uiPriority w:val="99"/>
    <w:semiHidden/>
    <w:unhideWhenUsed/>
    <w:rsid w:val="005820F7"/>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FigureSource1">
    <w:name w:val="Figure Source 1"/>
    <w:basedOn w:val="Text1"/>
    <w:next w:val="Text1"/>
    <w:uiPriority w:val="99"/>
    <w:semiHidden/>
    <w:unhideWhenUsed/>
    <w:rsid w:val="005820F7"/>
    <w:rPr>
      <w:sz w:val="20"/>
    </w:rPr>
  </w:style>
  <w:style w:type="paragraph" w:customStyle="1" w:styleId="FigureSource2">
    <w:name w:val="Figure Source 2"/>
    <w:basedOn w:val="Text2"/>
    <w:next w:val="Text2"/>
    <w:uiPriority w:val="99"/>
    <w:semiHidden/>
    <w:unhideWhenUsed/>
    <w:rsid w:val="005820F7"/>
    <w:rPr>
      <w:sz w:val="20"/>
    </w:rPr>
  </w:style>
  <w:style w:type="paragraph" w:customStyle="1" w:styleId="FigureSource3">
    <w:name w:val="Figure Source 3"/>
    <w:basedOn w:val="Text3"/>
    <w:next w:val="Text3"/>
    <w:uiPriority w:val="99"/>
    <w:semiHidden/>
    <w:unhideWhenUsed/>
    <w:rsid w:val="005820F7"/>
    <w:rPr>
      <w:sz w:val="20"/>
    </w:rPr>
  </w:style>
  <w:style w:type="paragraph" w:customStyle="1" w:styleId="FigureSource4">
    <w:name w:val="Figure Source 4"/>
    <w:basedOn w:val="Text4"/>
    <w:next w:val="Text4"/>
    <w:uiPriority w:val="99"/>
    <w:semiHidden/>
    <w:unhideWhenUsed/>
    <w:rsid w:val="005820F7"/>
    <w:rPr>
      <w:sz w:val="20"/>
    </w:rPr>
  </w:style>
  <w:style w:type="paragraph" w:customStyle="1" w:styleId="FigureTitle">
    <w:name w:val="Figure Title"/>
    <w:basedOn w:val="Normal"/>
    <w:next w:val="FigureBody"/>
    <w:uiPriority w:val="99"/>
    <w:semiHidden/>
    <w:unhideWhenUsed/>
    <w:rsid w:val="005820F7"/>
    <w:pPr>
      <w:keepNext/>
      <w:spacing w:after="120" w:line="240" w:lineRule="auto"/>
      <w:jc w:val="both"/>
    </w:pPr>
    <w:rPr>
      <w:rFonts w:ascii="Times New Roman" w:eastAsia="Times New Roman" w:hAnsi="Times New Roman" w:cs="Times New Roman"/>
      <w:b/>
      <w:i/>
      <w:kern w:val="0"/>
      <w:sz w:val="24"/>
      <w:szCs w:val="20"/>
      <w:lang w:eastAsia="en-IE"/>
      <w14:ligatures w14:val="none"/>
    </w:rPr>
  </w:style>
  <w:style w:type="paragraph" w:customStyle="1" w:styleId="FigureTitle1">
    <w:name w:val="Figure Title 1"/>
    <w:basedOn w:val="Text1"/>
    <w:next w:val="FigureBody1"/>
    <w:uiPriority w:val="99"/>
    <w:semiHidden/>
    <w:unhideWhenUsed/>
    <w:rsid w:val="005820F7"/>
    <w:pPr>
      <w:keepNext/>
      <w:spacing w:after="120"/>
    </w:pPr>
    <w:rPr>
      <w:b/>
      <w:i/>
    </w:rPr>
  </w:style>
  <w:style w:type="paragraph" w:customStyle="1" w:styleId="FigureTitle2">
    <w:name w:val="Figure Title 2"/>
    <w:basedOn w:val="Text2"/>
    <w:next w:val="FigureBody2"/>
    <w:uiPriority w:val="99"/>
    <w:semiHidden/>
    <w:unhideWhenUsed/>
    <w:rsid w:val="005820F7"/>
    <w:pPr>
      <w:keepNext/>
      <w:spacing w:after="120"/>
    </w:pPr>
    <w:rPr>
      <w:b/>
      <w:i/>
    </w:rPr>
  </w:style>
  <w:style w:type="paragraph" w:customStyle="1" w:styleId="FigureTitle3">
    <w:name w:val="Figure Title 3"/>
    <w:basedOn w:val="Text3"/>
    <w:next w:val="FigureBody3"/>
    <w:uiPriority w:val="99"/>
    <w:semiHidden/>
    <w:unhideWhenUsed/>
    <w:rsid w:val="005820F7"/>
    <w:pPr>
      <w:keepNext/>
      <w:spacing w:after="120"/>
    </w:pPr>
    <w:rPr>
      <w:b/>
      <w:i/>
    </w:rPr>
  </w:style>
  <w:style w:type="paragraph" w:customStyle="1" w:styleId="FigureTitle4">
    <w:name w:val="Figure Title 4"/>
    <w:basedOn w:val="Text4"/>
    <w:next w:val="FigureBody4"/>
    <w:uiPriority w:val="99"/>
    <w:semiHidden/>
    <w:unhideWhenUsed/>
    <w:rsid w:val="005820F7"/>
    <w:pPr>
      <w:keepNext/>
      <w:spacing w:after="120"/>
    </w:pPr>
    <w:rPr>
      <w:b/>
      <w:i/>
    </w:rPr>
  </w:style>
  <w:style w:type="paragraph" w:customStyle="1" w:styleId="FooterLine">
    <w:name w:val="Footer Line"/>
    <w:basedOn w:val="Footer"/>
    <w:next w:val="Footer"/>
    <w:semiHidden/>
    <w:rsid w:val="005820F7"/>
    <w:pPr>
      <w:tabs>
        <w:tab w:val="clear" w:pos="4513"/>
        <w:tab w:val="clear" w:pos="9026"/>
        <w:tab w:val="right" w:pos="8646"/>
      </w:tabs>
      <w:spacing w:before="120" w:line="264" w:lineRule="auto"/>
      <w:jc w:val="both"/>
    </w:pPr>
    <w:rPr>
      <w:rFonts w:ascii="Times New Roman" w:eastAsia="Times New Roman" w:hAnsi="Times New Roman" w:cs="Times New Roman"/>
      <w:kern w:val="0"/>
      <w:sz w:val="16"/>
      <w:szCs w:val="20"/>
      <w:lang w:eastAsia="en-IE"/>
      <w14:ligatures w14:val="none"/>
    </w:rPr>
  </w:style>
  <w:style w:type="paragraph" w:customStyle="1" w:styleId="HistoryTable">
    <w:name w:val="HistoryTable"/>
    <w:basedOn w:val="Normal"/>
    <w:semiHidden/>
    <w:rsid w:val="005820F7"/>
    <w:pPr>
      <w:spacing w:before="60" w:after="60" w:line="240" w:lineRule="auto"/>
    </w:pPr>
    <w:rPr>
      <w:rFonts w:ascii="Times New Roman" w:eastAsia="Times New Roman" w:hAnsi="Times New Roman" w:cs="Times New Roman"/>
      <w:kern w:val="0"/>
      <w:sz w:val="20"/>
      <w:szCs w:val="20"/>
      <w:lang w:eastAsia="en-IE"/>
      <w14:ligatures w14:val="none"/>
    </w:rPr>
  </w:style>
  <w:style w:type="paragraph" w:customStyle="1" w:styleId="HistTableHeading">
    <w:name w:val="HistTableHeading"/>
    <w:basedOn w:val="Normal"/>
    <w:next w:val="HistoryTable"/>
    <w:semiHidden/>
    <w:rsid w:val="005820F7"/>
    <w:pPr>
      <w:spacing w:before="240" w:after="240" w:line="240" w:lineRule="auto"/>
      <w:jc w:val="center"/>
    </w:pPr>
    <w:rPr>
      <w:rFonts w:ascii="Times New Roman Bold" w:eastAsia="Times New Roman" w:hAnsi="Times New Roman Bold" w:cs="Times New Roman"/>
      <w:b/>
      <w:caps/>
      <w:kern w:val="0"/>
      <w:sz w:val="24"/>
      <w:szCs w:val="20"/>
      <w:lang w:eastAsia="en-IE"/>
      <w14:ligatures w14:val="none"/>
    </w:rPr>
  </w:style>
  <w:style w:type="paragraph" w:customStyle="1" w:styleId="LegalNumPar">
    <w:name w:val="LegalNumPar"/>
    <w:basedOn w:val="Normal"/>
    <w:uiPriority w:val="20"/>
    <w:qFormat/>
    <w:rsid w:val="005820F7"/>
    <w:pPr>
      <w:numPr>
        <w:numId w:val="17"/>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customStyle="1" w:styleId="LegalNumPar2">
    <w:name w:val="LegalNumPar2"/>
    <w:basedOn w:val="Normal"/>
    <w:uiPriority w:val="20"/>
    <w:rsid w:val="005820F7"/>
    <w:pPr>
      <w:numPr>
        <w:ilvl w:val="1"/>
        <w:numId w:val="17"/>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customStyle="1" w:styleId="LegalNumPar3">
    <w:name w:val="LegalNumPar3"/>
    <w:basedOn w:val="Normal"/>
    <w:uiPriority w:val="20"/>
    <w:rsid w:val="005820F7"/>
    <w:pPr>
      <w:numPr>
        <w:ilvl w:val="2"/>
        <w:numId w:val="17"/>
      </w:numPr>
      <w:spacing w:after="240" w:line="360" w:lineRule="auto"/>
      <w:jc w:val="both"/>
    </w:pPr>
    <w:rPr>
      <w:rFonts w:ascii="Times New Roman" w:eastAsia="Times New Roman" w:hAnsi="Times New Roman" w:cs="Times New Roman"/>
      <w:kern w:val="0"/>
      <w:sz w:val="24"/>
      <w:szCs w:val="20"/>
      <w:lang w:eastAsia="en-IE"/>
      <w14:ligatures w14:val="none"/>
    </w:rPr>
  </w:style>
  <w:style w:type="paragraph" w:styleId="ListBullet">
    <w:name w:val="List Bullet"/>
    <w:basedOn w:val="Normal"/>
    <w:uiPriority w:val="35"/>
    <w:rsid w:val="005820F7"/>
    <w:pPr>
      <w:numPr>
        <w:numId w:val="1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BulletLevel2">
    <w:name w:val="List Bullet (Level 2)"/>
    <w:basedOn w:val="Normal"/>
    <w:uiPriority w:val="35"/>
    <w:semiHidden/>
    <w:unhideWhenUsed/>
    <w:rsid w:val="005820F7"/>
    <w:pPr>
      <w:numPr>
        <w:ilvl w:val="1"/>
        <w:numId w:val="1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BulletLevel3">
    <w:name w:val="List Bullet (Level 3)"/>
    <w:basedOn w:val="Normal"/>
    <w:uiPriority w:val="35"/>
    <w:semiHidden/>
    <w:unhideWhenUsed/>
    <w:rsid w:val="005820F7"/>
    <w:pPr>
      <w:numPr>
        <w:ilvl w:val="2"/>
        <w:numId w:val="1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BulletLevel4">
    <w:name w:val="List Bullet (Level 4)"/>
    <w:basedOn w:val="Normal"/>
    <w:uiPriority w:val="35"/>
    <w:semiHidden/>
    <w:unhideWhenUsed/>
    <w:rsid w:val="005820F7"/>
    <w:pPr>
      <w:numPr>
        <w:ilvl w:val="3"/>
        <w:numId w:val="1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Bullet1">
    <w:name w:val="List Bullet 1"/>
    <w:basedOn w:val="Text1"/>
    <w:uiPriority w:val="35"/>
    <w:rsid w:val="005820F7"/>
    <w:pPr>
      <w:numPr>
        <w:numId w:val="15"/>
      </w:numPr>
    </w:pPr>
  </w:style>
  <w:style w:type="paragraph" w:customStyle="1" w:styleId="ListBullet1Level2">
    <w:name w:val="List Bullet 1 (Level 2)"/>
    <w:basedOn w:val="Text1"/>
    <w:uiPriority w:val="35"/>
    <w:semiHidden/>
    <w:unhideWhenUsed/>
    <w:rsid w:val="005820F7"/>
    <w:pPr>
      <w:numPr>
        <w:ilvl w:val="1"/>
        <w:numId w:val="15"/>
      </w:numPr>
    </w:pPr>
  </w:style>
  <w:style w:type="paragraph" w:customStyle="1" w:styleId="ListBullet1Level3">
    <w:name w:val="List Bullet 1 (Level 3)"/>
    <w:basedOn w:val="Text1"/>
    <w:uiPriority w:val="35"/>
    <w:semiHidden/>
    <w:unhideWhenUsed/>
    <w:rsid w:val="005820F7"/>
    <w:pPr>
      <w:numPr>
        <w:ilvl w:val="2"/>
        <w:numId w:val="15"/>
      </w:numPr>
    </w:pPr>
  </w:style>
  <w:style w:type="paragraph" w:customStyle="1" w:styleId="ListBullet1Level4">
    <w:name w:val="List Bullet 1 (Level 4)"/>
    <w:basedOn w:val="Text1"/>
    <w:uiPriority w:val="35"/>
    <w:semiHidden/>
    <w:unhideWhenUsed/>
    <w:rsid w:val="005820F7"/>
    <w:pPr>
      <w:numPr>
        <w:ilvl w:val="3"/>
        <w:numId w:val="15"/>
      </w:numPr>
    </w:pPr>
  </w:style>
  <w:style w:type="paragraph" w:styleId="ListBullet2">
    <w:name w:val="List Bullet 2"/>
    <w:basedOn w:val="Text2"/>
    <w:uiPriority w:val="35"/>
    <w:rsid w:val="005820F7"/>
    <w:pPr>
      <w:numPr>
        <w:numId w:val="14"/>
      </w:numPr>
    </w:pPr>
  </w:style>
  <w:style w:type="paragraph" w:customStyle="1" w:styleId="ListBullet2Level2">
    <w:name w:val="List Bullet 2 (Level 2)"/>
    <w:basedOn w:val="Text2"/>
    <w:uiPriority w:val="35"/>
    <w:semiHidden/>
    <w:unhideWhenUsed/>
    <w:rsid w:val="005820F7"/>
    <w:pPr>
      <w:numPr>
        <w:ilvl w:val="1"/>
        <w:numId w:val="14"/>
      </w:numPr>
    </w:pPr>
  </w:style>
  <w:style w:type="paragraph" w:customStyle="1" w:styleId="ListBullet2Level3">
    <w:name w:val="List Bullet 2 (Level 3)"/>
    <w:basedOn w:val="Text2"/>
    <w:uiPriority w:val="35"/>
    <w:semiHidden/>
    <w:unhideWhenUsed/>
    <w:rsid w:val="005820F7"/>
    <w:pPr>
      <w:numPr>
        <w:ilvl w:val="2"/>
        <w:numId w:val="14"/>
      </w:numPr>
    </w:pPr>
  </w:style>
  <w:style w:type="paragraph" w:customStyle="1" w:styleId="ListBullet2Level4">
    <w:name w:val="List Bullet 2 (Level 4)"/>
    <w:basedOn w:val="Text2"/>
    <w:uiPriority w:val="35"/>
    <w:semiHidden/>
    <w:unhideWhenUsed/>
    <w:rsid w:val="005820F7"/>
    <w:pPr>
      <w:numPr>
        <w:ilvl w:val="3"/>
        <w:numId w:val="14"/>
      </w:numPr>
    </w:pPr>
  </w:style>
  <w:style w:type="paragraph" w:styleId="ListBullet3">
    <w:name w:val="List Bullet 3"/>
    <w:basedOn w:val="Text3"/>
    <w:uiPriority w:val="35"/>
    <w:rsid w:val="005820F7"/>
    <w:pPr>
      <w:numPr>
        <w:numId w:val="13"/>
      </w:numPr>
    </w:pPr>
  </w:style>
  <w:style w:type="paragraph" w:customStyle="1" w:styleId="ListBullet3Level2">
    <w:name w:val="List Bullet 3 (Level 2)"/>
    <w:basedOn w:val="Text3"/>
    <w:uiPriority w:val="35"/>
    <w:semiHidden/>
    <w:unhideWhenUsed/>
    <w:rsid w:val="005820F7"/>
    <w:pPr>
      <w:numPr>
        <w:ilvl w:val="1"/>
        <w:numId w:val="13"/>
      </w:numPr>
    </w:pPr>
  </w:style>
  <w:style w:type="paragraph" w:customStyle="1" w:styleId="ListBullet3Level3">
    <w:name w:val="List Bullet 3 (Level 3)"/>
    <w:basedOn w:val="Text3"/>
    <w:uiPriority w:val="35"/>
    <w:semiHidden/>
    <w:unhideWhenUsed/>
    <w:rsid w:val="005820F7"/>
    <w:pPr>
      <w:numPr>
        <w:ilvl w:val="2"/>
        <w:numId w:val="13"/>
      </w:numPr>
    </w:pPr>
  </w:style>
  <w:style w:type="paragraph" w:customStyle="1" w:styleId="ListBullet3Level4">
    <w:name w:val="List Bullet 3 (Level 4)"/>
    <w:basedOn w:val="Text3"/>
    <w:uiPriority w:val="35"/>
    <w:semiHidden/>
    <w:unhideWhenUsed/>
    <w:rsid w:val="005820F7"/>
    <w:pPr>
      <w:numPr>
        <w:ilvl w:val="3"/>
        <w:numId w:val="13"/>
      </w:numPr>
    </w:pPr>
  </w:style>
  <w:style w:type="paragraph" w:styleId="ListBullet4">
    <w:name w:val="List Bullet 4"/>
    <w:basedOn w:val="Text4"/>
    <w:uiPriority w:val="35"/>
    <w:rsid w:val="005820F7"/>
    <w:pPr>
      <w:numPr>
        <w:numId w:val="12"/>
      </w:numPr>
    </w:pPr>
  </w:style>
  <w:style w:type="paragraph" w:customStyle="1" w:styleId="ListBullet4Level2">
    <w:name w:val="List Bullet 4 (Level 2)"/>
    <w:basedOn w:val="Text4"/>
    <w:uiPriority w:val="35"/>
    <w:semiHidden/>
    <w:unhideWhenUsed/>
    <w:rsid w:val="005820F7"/>
    <w:pPr>
      <w:numPr>
        <w:ilvl w:val="1"/>
        <w:numId w:val="12"/>
      </w:numPr>
    </w:pPr>
  </w:style>
  <w:style w:type="paragraph" w:customStyle="1" w:styleId="ListBullet4Level3">
    <w:name w:val="List Bullet 4 (Level 3)"/>
    <w:basedOn w:val="Text4"/>
    <w:uiPriority w:val="35"/>
    <w:semiHidden/>
    <w:unhideWhenUsed/>
    <w:rsid w:val="005820F7"/>
    <w:pPr>
      <w:numPr>
        <w:ilvl w:val="2"/>
        <w:numId w:val="12"/>
      </w:numPr>
    </w:pPr>
  </w:style>
  <w:style w:type="paragraph" w:customStyle="1" w:styleId="ListBullet4Level4">
    <w:name w:val="List Bullet 4 (Level 4)"/>
    <w:basedOn w:val="Text4"/>
    <w:uiPriority w:val="35"/>
    <w:semiHidden/>
    <w:unhideWhenUsed/>
    <w:rsid w:val="005820F7"/>
    <w:pPr>
      <w:numPr>
        <w:ilvl w:val="3"/>
        <w:numId w:val="12"/>
      </w:numPr>
    </w:pPr>
  </w:style>
  <w:style w:type="paragraph" w:customStyle="1" w:styleId="ListDash">
    <w:name w:val="List Dash"/>
    <w:basedOn w:val="Normal"/>
    <w:uiPriority w:val="35"/>
    <w:rsid w:val="005820F7"/>
    <w:pPr>
      <w:numPr>
        <w:numId w:val="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DashLevel2">
    <w:name w:val="List Dash (Level 2)"/>
    <w:basedOn w:val="Normal"/>
    <w:semiHidden/>
    <w:unhideWhenUsed/>
    <w:rsid w:val="005820F7"/>
    <w:pPr>
      <w:numPr>
        <w:ilvl w:val="1"/>
        <w:numId w:val="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DashLevel3">
    <w:name w:val="List Dash (Level 3)"/>
    <w:basedOn w:val="Normal"/>
    <w:semiHidden/>
    <w:unhideWhenUsed/>
    <w:rsid w:val="005820F7"/>
    <w:pPr>
      <w:numPr>
        <w:ilvl w:val="2"/>
        <w:numId w:val="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DashLevel4">
    <w:name w:val="List Dash (Level 4)"/>
    <w:basedOn w:val="Normal"/>
    <w:semiHidden/>
    <w:unhideWhenUsed/>
    <w:rsid w:val="005820F7"/>
    <w:pPr>
      <w:numPr>
        <w:ilvl w:val="3"/>
        <w:numId w:val="6"/>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Dash1">
    <w:name w:val="List Dash 1"/>
    <w:basedOn w:val="Text1"/>
    <w:uiPriority w:val="35"/>
    <w:rsid w:val="005820F7"/>
    <w:pPr>
      <w:numPr>
        <w:numId w:val="5"/>
      </w:numPr>
    </w:pPr>
  </w:style>
  <w:style w:type="paragraph" w:customStyle="1" w:styleId="ListDash1Level2">
    <w:name w:val="List Dash 1 (Level 2)"/>
    <w:basedOn w:val="Text1"/>
    <w:uiPriority w:val="35"/>
    <w:semiHidden/>
    <w:unhideWhenUsed/>
    <w:rsid w:val="005820F7"/>
    <w:pPr>
      <w:numPr>
        <w:ilvl w:val="1"/>
        <w:numId w:val="5"/>
      </w:numPr>
    </w:pPr>
  </w:style>
  <w:style w:type="paragraph" w:customStyle="1" w:styleId="ListDash1Level3">
    <w:name w:val="List Dash 1 (Level 3)"/>
    <w:basedOn w:val="Text1"/>
    <w:uiPriority w:val="35"/>
    <w:semiHidden/>
    <w:unhideWhenUsed/>
    <w:rsid w:val="005820F7"/>
    <w:pPr>
      <w:numPr>
        <w:ilvl w:val="2"/>
        <w:numId w:val="5"/>
      </w:numPr>
    </w:pPr>
  </w:style>
  <w:style w:type="paragraph" w:customStyle="1" w:styleId="ListDash1Level4">
    <w:name w:val="List Dash 1 (Level 4)"/>
    <w:basedOn w:val="Text1"/>
    <w:uiPriority w:val="35"/>
    <w:semiHidden/>
    <w:unhideWhenUsed/>
    <w:rsid w:val="005820F7"/>
    <w:pPr>
      <w:numPr>
        <w:ilvl w:val="3"/>
        <w:numId w:val="5"/>
      </w:numPr>
    </w:pPr>
  </w:style>
  <w:style w:type="paragraph" w:customStyle="1" w:styleId="ListDash2">
    <w:name w:val="List Dash 2"/>
    <w:basedOn w:val="Text2"/>
    <w:uiPriority w:val="35"/>
    <w:rsid w:val="005820F7"/>
    <w:pPr>
      <w:numPr>
        <w:numId w:val="4"/>
      </w:numPr>
    </w:pPr>
  </w:style>
  <w:style w:type="paragraph" w:customStyle="1" w:styleId="ListDash2Level2">
    <w:name w:val="List Dash 2 (Level 2)"/>
    <w:basedOn w:val="Text2"/>
    <w:uiPriority w:val="35"/>
    <w:semiHidden/>
    <w:unhideWhenUsed/>
    <w:rsid w:val="005820F7"/>
    <w:pPr>
      <w:numPr>
        <w:ilvl w:val="1"/>
        <w:numId w:val="4"/>
      </w:numPr>
    </w:pPr>
  </w:style>
  <w:style w:type="paragraph" w:customStyle="1" w:styleId="ListDash2Level3">
    <w:name w:val="List Dash 2 (Level 3)"/>
    <w:basedOn w:val="Text2"/>
    <w:uiPriority w:val="35"/>
    <w:semiHidden/>
    <w:unhideWhenUsed/>
    <w:rsid w:val="005820F7"/>
    <w:pPr>
      <w:numPr>
        <w:ilvl w:val="2"/>
        <w:numId w:val="4"/>
      </w:numPr>
    </w:pPr>
  </w:style>
  <w:style w:type="paragraph" w:customStyle="1" w:styleId="ListDash2Level4">
    <w:name w:val="List Dash 2 (Level 4)"/>
    <w:basedOn w:val="Text2"/>
    <w:uiPriority w:val="35"/>
    <w:semiHidden/>
    <w:unhideWhenUsed/>
    <w:rsid w:val="005820F7"/>
    <w:pPr>
      <w:numPr>
        <w:ilvl w:val="3"/>
        <w:numId w:val="4"/>
      </w:numPr>
    </w:pPr>
  </w:style>
  <w:style w:type="paragraph" w:customStyle="1" w:styleId="ListDash3">
    <w:name w:val="List Dash 3"/>
    <w:basedOn w:val="Text3"/>
    <w:uiPriority w:val="35"/>
    <w:rsid w:val="005820F7"/>
    <w:pPr>
      <w:numPr>
        <w:numId w:val="3"/>
      </w:numPr>
    </w:pPr>
  </w:style>
  <w:style w:type="paragraph" w:customStyle="1" w:styleId="ListDash3Level2">
    <w:name w:val="List Dash 3 (Level 2)"/>
    <w:basedOn w:val="Text3"/>
    <w:uiPriority w:val="35"/>
    <w:semiHidden/>
    <w:unhideWhenUsed/>
    <w:rsid w:val="005820F7"/>
    <w:pPr>
      <w:numPr>
        <w:ilvl w:val="1"/>
        <w:numId w:val="3"/>
      </w:numPr>
    </w:pPr>
  </w:style>
  <w:style w:type="paragraph" w:customStyle="1" w:styleId="ListDash3Level3">
    <w:name w:val="List Dash 3 (Level 3)"/>
    <w:basedOn w:val="Text3"/>
    <w:uiPriority w:val="35"/>
    <w:semiHidden/>
    <w:unhideWhenUsed/>
    <w:rsid w:val="005820F7"/>
    <w:pPr>
      <w:numPr>
        <w:ilvl w:val="2"/>
        <w:numId w:val="3"/>
      </w:numPr>
    </w:pPr>
  </w:style>
  <w:style w:type="paragraph" w:customStyle="1" w:styleId="ListDash3Level4">
    <w:name w:val="List Dash 3 (Level 4)"/>
    <w:basedOn w:val="Text3"/>
    <w:uiPriority w:val="35"/>
    <w:semiHidden/>
    <w:unhideWhenUsed/>
    <w:rsid w:val="005820F7"/>
    <w:pPr>
      <w:numPr>
        <w:ilvl w:val="3"/>
        <w:numId w:val="3"/>
      </w:numPr>
    </w:pPr>
  </w:style>
  <w:style w:type="paragraph" w:customStyle="1" w:styleId="ListDash4">
    <w:name w:val="List Dash 4"/>
    <w:basedOn w:val="Text4"/>
    <w:uiPriority w:val="35"/>
    <w:rsid w:val="005820F7"/>
    <w:pPr>
      <w:numPr>
        <w:numId w:val="2"/>
      </w:numPr>
    </w:pPr>
  </w:style>
  <w:style w:type="paragraph" w:customStyle="1" w:styleId="ListDash4Level2">
    <w:name w:val="List Dash 4 (Level 2)"/>
    <w:basedOn w:val="Text4"/>
    <w:uiPriority w:val="35"/>
    <w:semiHidden/>
    <w:unhideWhenUsed/>
    <w:rsid w:val="005820F7"/>
    <w:pPr>
      <w:numPr>
        <w:ilvl w:val="1"/>
        <w:numId w:val="2"/>
      </w:numPr>
    </w:pPr>
  </w:style>
  <w:style w:type="paragraph" w:customStyle="1" w:styleId="ListDash4Level3">
    <w:name w:val="List Dash 4 (Level 3)"/>
    <w:basedOn w:val="Text4"/>
    <w:uiPriority w:val="35"/>
    <w:semiHidden/>
    <w:unhideWhenUsed/>
    <w:rsid w:val="005820F7"/>
    <w:pPr>
      <w:numPr>
        <w:ilvl w:val="2"/>
        <w:numId w:val="2"/>
      </w:numPr>
    </w:pPr>
  </w:style>
  <w:style w:type="paragraph" w:customStyle="1" w:styleId="ListDash4Level4">
    <w:name w:val="List Dash 4 (Level 4)"/>
    <w:basedOn w:val="Text4"/>
    <w:uiPriority w:val="35"/>
    <w:semiHidden/>
    <w:unhideWhenUsed/>
    <w:rsid w:val="005820F7"/>
    <w:pPr>
      <w:numPr>
        <w:ilvl w:val="3"/>
        <w:numId w:val="2"/>
      </w:numPr>
    </w:pPr>
  </w:style>
  <w:style w:type="paragraph" w:styleId="ListNumber">
    <w:name w:val="List Number"/>
    <w:basedOn w:val="Normal"/>
    <w:uiPriority w:val="30"/>
    <w:rsid w:val="005820F7"/>
    <w:pPr>
      <w:numPr>
        <w:numId w:val="11"/>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NumberLevel2">
    <w:name w:val="List Number (Level 2)"/>
    <w:basedOn w:val="Normal"/>
    <w:uiPriority w:val="30"/>
    <w:rsid w:val="005820F7"/>
    <w:pPr>
      <w:numPr>
        <w:ilvl w:val="1"/>
        <w:numId w:val="11"/>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NumberLevel3">
    <w:name w:val="List Number (Level 3)"/>
    <w:basedOn w:val="Normal"/>
    <w:uiPriority w:val="30"/>
    <w:rsid w:val="005820F7"/>
    <w:pPr>
      <w:numPr>
        <w:ilvl w:val="2"/>
        <w:numId w:val="11"/>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NumberLevel4">
    <w:name w:val="List Number (Level 4)"/>
    <w:basedOn w:val="Normal"/>
    <w:uiPriority w:val="30"/>
    <w:rsid w:val="005820F7"/>
    <w:pPr>
      <w:numPr>
        <w:ilvl w:val="3"/>
        <w:numId w:val="11"/>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Number1">
    <w:name w:val="List Number 1"/>
    <w:basedOn w:val="Text1"/>
    <w:uiPriority w:val="30"/>
    <w:rsid w:val="005820F7"/>
    <w:pPr>
      <w:numPr>
        <w:numId w:val="10"/>
      </w:numPr>
    </w:pPr>
  </w:style>
  <w:style w:type="paragraph" w:customStyle="1" w:styleId="ListNumber1Level2">
    <w:name w:val="List Number 1 (Level 2)"/>
    <w:basedOn w:val="Text1"/>
    <w:uiPriority w:val="30"/>
    <w:semiHidden/>
    <w:unhideWhenUsed/>
    <w:rsid w:val="005820F7"/>
    <w:pPr>
      <w:numPr>
        <w:ilvl w:val="1"/>
        <w:numId w:val="10"/>
      </w:numPr>
    </w:pPr>
  </w:style>
  <w:style w:type="paragraph" w:customStyle="1" w:styleId="ListNumber1Level3">
    <w:name w:val="List Number 1 (Level 3)"/>
    <w:basedOn w:val="Text1"/>
    <w:uiPriority w:val="30"/>
    <w:semiHidden/>
    <w:unhideWhenUsed/>
    <w:rsid w:val="005820F7"/>
    <w:pPr>
      <w:numPr>
        <w:ilvl w:val="2"/>
        <w:numId w:val="10"/>
      </w:numPr>
    </w:pPr>
  </w:style>
  <w:style w:type="paragraph" w:customStyle="1" w:styleId="ListNumber1Level4">
    <w:name w:val="List Number 1 (Level 4)"/>
    <w:basedOn w:val="Text1"/>
    <w:uiPriority w:val="30"/>
    <w:semiHidden/>
    <w:unhideWhenUsed/>
    <w:rsid w:val="005820F7"/>
    <w:pPr>
      <w:numPr>
        <w:ilvl w:val="3"/>
        <w:numId w:val="10"/>
      </w:numPr>
    </w:pPr>
  </w:style>
  <w:style w:type="paragraph" w:styleId="ListNumber2">
    <w:name w:val="List Number 2"/>
    <w:basedOn w:val="Text2"/>
    <w:uiPriority w:val="30"/>
    <w:rsid w:val="005820F7"/>
    <w:pPr>
      <w:numPr>
        <w:numId w:val="9"/>
      </w:numPr>
    </w:pPr>
  </w:style>
  <w:style w:type="paragraph" w:customStyle="1" w:styleId="ListNumber2Level2">
    <w:name w:val="List Number 2 (Level 2)"/>
    <w:basedOn w:val="Text2"/>
    <w:uiPriority w:val="30"/>
    <w:semiHidden/>
    <w:unhideWhenUsed/>
    <w:rsid w:val="005820F7"/>
    <w:pPr>
      <w:numPr>
        <w:ilvl w:val="1"/>
        <w:numId w:val="9"/>
      </w:numPr>
    </w:pPr>
  </w:style>
  <w:style w:type="paragraph" w:customStyle="1" w:styleId="ListNumber2Level3">
    <w:name w:val="List Number 2 (Level 3)"/>
    <w:basedOn w:val="Text2"/>
    <w:uiPriority w:val="30"/>
    <w:semiHidden/>
    <w:unhideWhenUsed/>
    <w:rsid w:val="005820F7"/>
    <w:pPr>
      <w:numPr>
        <w:ilvl w:val="2"/>
        <w:numId w:val="9"/>
      </w:numPr>
    </w:pPr>
  </w:style>
  <w:style w:type="paragraph" w:customStyle="1" w:styleId="ListNumber2Level4">
    <w:name w:val="List Number 2 (Level 4)"/>
    <w:basedOn w:val="Text2"/>
    <w:uiPriority w:val="30"/>
    <w:semiHidden/>
    <w:unhideWhenUsed/>
    <w:rsid w:val="005820F7"/>
    <w:pPr>
      <w:numPr>
        <w:ilvl w:val="3"/>
        <w:numId w:val="9"/>
      </w:numPr>
    </w:pPr>
  </w:style>
  <w:style w:type="paragraph" w:styleId="ListNumber3">
    <w:name w:val="List Number 3"/>
    <w:basedOn w:val="Text3"/>
    <w:uiPriority w:val="30"/>
    <w:rsid w:val="005820F7"/>
    <w:pPr>
      <w:numPr>
        <w:numId w:val="8"/>
      </w:numPr>
    </w:pPr>
  </w:style>
  <w:style w:type="paragraph" w:customStyle="1" w:styleId="ListNumber3Level2">
    <w:name w:val="List Number 3 (Level 2)"/>
    <w:basedOn w:val="Text3"/>
    <w:uiPriority w:val="30"/>
    <w:semiHidden/>
    <w:unhideWhenUsed/>
    <w:rsid w:val="005820F7"/>
    <w:pPr>
      <w:numPr>
        <w:ilvl w:val="1"/>
        <w:numId w:val="8"/>
      </w:numPr>
    </w:pPr>
  </w:style>
  <w:style w:type="paragraph" w:customStyle="1" w:styleId="ListNumber3Level3">
    <w:name w:val="List Number 3 (Level 3)"/>
    <w:basedOn w:val="Text3"/>
    <w:uiPriority w:val="30"/>
    <w:semiHidden/>
    <w:unhideWhenUsed/>
    <w:rsid w:val="005820F7"/>
    <w:pPr>
      <w:numPr>
        <w:ilvl w:val="2"/>
        <w:numId w:val="8"/>
      </w:numPr>
    </w:pPr>
  </w:style>
  <w:style w:type="paragraph" w:customStyle="1" w:styleId="ListNumber3Level4">
    <w:name w:val="List Number 3 (Level 4)"/>
    <w:basedOn w:val="Text3"/>
    <w:uiPriority w:val="30"/>
    <w:semiHidden/>
    <w:unhideWhenUsed/>
    <w:rsid w:val="005820F7"/>
    <w:pPr>
      <w:numPr>
        <w:ilvl w:val="3"/>
        <w:numId w:val="8"/>
      </w:numPr>
    </w:pPr>
  </w:style>
  <w:style w:type="paragraph" w:styleId="ListNumber4">
    <w:name w:val="List Number 4"/>
    <w:basedOn w:val="Text4"/>
    <w:uiPriority w:val="30"/>
    <w:rsid w:val="005820F7"/>
    <w:pPr>
      <w:numPr>
        <w:numId w:val="7"/>
      </w:numPr>
    </w:pPr>
  </w:style>
  <w:style w:type="paragraph" w:customStyle="1" w:styleId="ListNumber4Level2">
    <w:name w:val="List Number 4 (Level 2)"/>
    <w:basedOn w:val="Text4"/>
    <w:uiPriority w:val="30"/>
    <w:semiHidden/>
    <w:unhideWhenUsed/>
    <w:rsid w:val="005820F7"/>
    <w:pPr>
      <w:numPr>
        <w:ilvl w:val="1"/>
        <w:numId w:val="7"/>
      </w:numPr>
    </w:pPr>
  </w:style>
  <w:style w:type="paragraph" w:customStyle="1" w:styleId="ListNumber4Level3">
    <w:name w:val="List Number 4 (Level 3)"/>
    <w:basedOn w:val="Text4"/>
    <w:uiPriority w:val="30"/>
    <w:semiHidden/>
    <w:unhideWhenUsed/>
    <w:rsid w:val="005820F7"/>
    <w:pPr>
      <w:numPr>
        <w:ilvl w:val="2"/>
        <w:numId w:val="7"/>
      </w:numPr>
    </w:pPr>
  </w:style>
  <w:style w:type="paragraph" w:customStyle="1" w:styleId="ListNumber4Level4">
    <w:name w:val="List Number 4 (Level 4)"/>
    <w:basedOn w:val="Text4"/>
    <w:uiPriority w:val="30"/>
    <w:semiHidden/>
    <w:unhideWhenUsed/>
    <w:rsid w:val="005820F7"/>
    <w:pPr>
      <w:numPr>
        <w:ilvl w:val="3"/>
        <w:numId w:val="7"/>
      </w:numPr>
    </w:pPr>
  </w:style>
  <w:style w:type="paragraph" w:customStyle="1" w:styleId="Marking">
    <w:name w:val="Marking"/>
    <w:basedOn w:val="Normal"/>
    <w:semiHidden/>
    <w:rsid w:val="005820F7"/>
    <w:pPr>
      <w:spacing w:after="240" w:line="240" w:lineRule="auto"/>
      <w:ind w:left="5102" w:right="-680"/>
      <w:contextualSpacing/>
    </w:pPr>
    <w:rPr>
      <w:rFonts w:ascii="Times New Roman" w:eastAsia="Times New Roman" w:hAnsi="Times New Roman" w:cs="Times New Roman"/>
      <w:kern w:val="0"/>
      <w:sz w:val="28"/>
      <w:szCs w:val="20"/>
      <w:lang w:eastAsia="en-IE"/>
      <w14:ligatures w14:val="none"/>
    </w:rPr>
  </w:style>
  <w:style w:type="paragraph" w:customStyle="1" w:styleId="NumPar1">
    <w:name w:val="NumPar 1"/>
    <w:basedOn w:val="Heading1"/>
    <w:uiPriority w:val="20"/>
    <w:qFormat/>
    <w:rsid w:val="005820F7"/>
    <w:pPr>
      <w:keepNext w:val="0"/>
      <w:keepLines w:val="0"/>
      <w:spacing w:before="0" w:after="240" w:line="240" w:lineRule="auto"/>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2">
    <w:name w:val="NumPar 2"/>
    <w:basedOn w:val="Heading2"/>
    <w:uiPriority w:val="20"/>
    <w:qFormat/>
    <w:rsid w:val="005820F7"/>
    <w:pPr>
      <w:keepNext w:val="0"/>
      <w:keepLines w:val="0"/>
      <w:numPr>
        <w:ilvl w:val="1"/>
      </w:numPr>
      <w:spacing w:before="0" w:after="240" w:line="240" w:lineRule="auto"/>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3">
    <w:name w:val="NumPar 3"/>
    <w:basedOn w:val="Heading3"/>
    <w:uiPriority w:val="20"/>
    <w:qFormat/>
    <w:rsid w:val="005820F7"/>
    <w:pPr>
      <w:keepNext w:val="0"/>
      <w:keepLines w:val="0"/>
      <w:numPr>
        <w:ilvl w:val="2"/>
      </w:numPr>
      <w:spacing w:before="0" w:after="240" w:line="240" w:lineRule="auto"/>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4">
    <w:name w:val="NumPar 4"/>
    <w:basedOn w:val="Heading4"/>
    <w:uiPriority w:val="20"/>
    <w:qFormat/>
    <w:rsid w:val="005820F7"/>
    <w:pPr>
      <w:keepNext w:val="0"/>
      <w:keepLines w:val="0"/>
      <w:numPr>
        <w:ilvl w:val="3"/>
      </w:numPr>
      <w:spacing w:before="0" w:after="240" w:line="240" w:lineRule="auto"/>
      <w:jc w:val="both"/>
      <w:outlineLvl w:val="9"/>
    </w:pPr>
    <w:rPr>
      <w:rFonts w:ascii="Times New Roman" w:eastAsia="Times New Roman" w:hAnsi="Times New Roman" w:cs="Times New Roman"/>
      <w:i w:val="0"/>
      <w:iCs w:val="0"/>
      <w:color w:val="auto"/>
      <w:kern w:val="0"/>
      <w:sz w:val="24"/>
      <w:szCs w:val="20"/>
      <w:lang w:eastAsia="en-IE"/>
      <w14:ligatures w14:val="none"/>
    </w:rPr>
  </w:style>
  <w:style w:type="paragraph" w:customStyle="1" w:styleId="PartTitle">
    <w:name w:val="PartTitle"/>
    <w:basedOn w:val="Normal"/>
    <w:next w:val="ChapterTitle"/>
    <w:uiPriority w:val="42"/>
    <w:qFormat/>
    <w:rsid w:val="005820F7"/>
    <w:pPr>
      <w:keepNext/>
      <w:pageBreakBefore/>
      <w:spacing w:after="480" w:line="240" w:lineRule="auto"/>
      <w:jc w:val="center"/>
      <w:outlineLvl w:val="0"/>
    </w:pPr>
    <w:rPr>
      <w:rFonts w:ascii="Times New Roman" w:eastAsia="Times New Roman" w:hAnsi="Times New Roman" w:cs="Times New Roman"/>
      <w:b/>
      <w:kern w:val="0"/>
      <w:sz w:val="36"/>
      <w:szCs w:val="20"/>
      <w:lang w:eastAsia="en-IE"/>
      <w14:ligatures w14:val="none"/>
    </w:rPr>
  </w:style>
  <w:style w:type="paragraph" w:customStyle="1" w:styleId="References">
    <w:name w:val="References"/>
    <w:basedOn w:val="Normal"/>
    <w:semiHidden/>
    <w:rsid w:val="005820F7"/>
    <w:pPr>
      <w:spacing w:after="240" w:line="240" w:lineRule="auto"/>
      <w:ind w:left="5102" w:right="-567"/>
      <w:contextualSpacing/>
    </w:pPr>
    <w:rPr>
      <w:rFonts w:ascii="Times New Roman" w:eastAsia="Times New Roman" w:hAnsi="Times New Roman" w:cs="Times New Roman"/>
      <w:kern w:val="0"/>
      <w:sz w:val="20"/>
      <w:szCs w:val="20"/>
      <w:lang w:eastAsia="en-IE"/>
      <w14:ligatures w14:val="none"/>
    </w:rPr>
  </w:style>
  <w:style w:type="paragraph" w:customStyle="1" w:styleId="Releasable">
    <w:name w:val="Releasable"/>
    <w:basedOn w:val="Normal"/>
    <w:semiHidden/>
    <w:rsid w:val="005820F7"/>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RUE">
    <w:name w:val="RUE"/>
    <w:basedOn w:val="Normal"/>
    <w:semiHidden/>
    <w:rsid w:val="005820F7"/>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SecretUE">
    <w:name w:val="Secret UE"/>
    <w:basedOn w:val="Normal"/>
    <w:semiHidden/>
    <w:rsid w:val="005820F7"/>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SectionTitle">
    <w:name w:val="SectionTitle"/>
    <w:basedOn w:val="Normal"/>
    <w:next w:val="Heading1"/>
    <w:uiPriority w:val="44"/>
    <w:qFormat/>
    <w:rsid w:val="005820F7"/>
    <w:pPr>
      <w:keepNext/>
      <w:spacing w:after="480" w:line="240" w:lineRule="auto"/>
      <w:jc w:val="center"/>
      <w:outlineLvl w:val="0"/>
    </w:pPr>
    <w:rPr>
      <w:rFonts w:ascii="Times New Roman" w:eastAsia="Times New Roman" w:hAnsi="Times New Roman" w:cs="Times New Roman"/>
      <w:b/>
      <w:smallCaps/>
      <w:kern w:val="0"/>
      <w:sz w:val="28"/>
      <w:szCs w:val="20"/>
      <w:lang w:eastAsia="en-IE"/>
      <w14:ligatures w14:val="none"/>
    </w:rPr>
  </w:style>
  <w:style w:type="paragraph" w:styleId="Signature">
    <w:name w:val="Signature"/>
    <w:basedOn w:val="Normal"/>
    <w:link w:val="SignatureChar"/>
    <w:semiHidden/>
    <w:rsid w:val="005820F7"/>
    <w:pPr>
      <w:spacing w:before="1200" w:after="0" w:line="240" w:lineRule="auto"/>
      <w:ind w:left="5102"/>
      <w:jc w:val="center"/>
    </w:pPr>
    <w:rPr>
      <w:rFonts w:ascii="Times New Roman" w:eastAsia="Times New Roman" w:hAnsi="Times New Roman" w:cs="Times New Roman"/>
      <w:kern w:val="0"/>
      <w:sz w:val="24"/>
      <w:szCs w:val="20"/>
      <w:lang w:eastAsia="en-IE"/>
      <w14:ligatures w14:val="none"/>
    </w:rPr>
  </w:style>
  <w:style w:type="character" w:customStyle="1" w:styleId="SignatureChar">
    <w:name w:val="Signature Char"/>
    <w:basedOn w:val="DefaultParagraphFont"/>
    <w:link w:val="Signature"/>
    <w:semiHidden/>
    <w:rsid w:val="005820F7"/>
    <w:rPr>
      <w:rFonts w:ascii="Times New Roman" w:eastAsia="Times New Roman" w:hAnsi="Times New Roman" w:cs="Times New Roman"/>
      <w:kern w:val="0"/>
      <w:sz w:val="24"/>
      <w:szCs w:val="20"/>
      <w:lang w:val="fr-FR" w:eastAsia="en-IE"/>
      <w14:ligatures w14:val="none"/>
    </w:rPr>
  </w:style>
  <w:style w:type="paragraph" w:customStyle="1" w:styleId="SignatureL">
    <w:name w:val="SignatureL"/>
    <w:basedOn w:val="Normal"/>
    <w:semiHidden/>
    <w:rsid w:val="005820F7"/>
    <w:pPr>
      <w:spacing w:before="1200" w:after="0" w:line="240" w:lineRule="auto"/>
    </w:pPr>
    <w:rPr>
      <w:rFonts w:ascii="Times New Roman" w:eastAsia="Times New Roman" w:hAnsi="Times New Roman" w:cs="Times New Roman"/>
      <w:kern w:val="0"/>
      <w:sz w:val="24"/>
      <w:szCs w:val="20"/>
      <w:lang w:eastAsia="en-IE"/>
      <w14:ligatures w14:val="none"/>
    </w:rPr>
  </w:style>
  <w:style w:type="paragraph" w:customStyle="1" w:styleId="SubTitle1">
    <w:name w:val="SubTitle 1"/>
    <w:basedOn w:val="Normal"/>
    <w:next w:val="SubTitle2"/>
    <w:uiPriority w:val="41"/>
    <w:qFormat/>
    <w:rsid w:val="005820F7"/>
    <w:pPr>
      <w:spacing w:after="240" w:line="240" w:lineRule="auto"/>
      <w:jc w:val="center"/>
    </w:pPr>
    <w:rPr>
      <w:rFonts w:ascii="Times New Roman" w:eastAsia="Times New Roman" w:hAnsi="Times New Roman" w:cs="Times New Roman"/>
      <w:b/>
      <w:kern w:val="0"/>
      <w:sz w:val="40"/>
      <w:szCs w:val="20"/>
      <w:lang w:eastAsia="en-IE"/>
      <w14:ligatures w14:val="none"/>
    </w:rPr>
  </w:style>
  <w:style w:type="paragraph" w:customStyle="1" w:styleId="SubTitle2">
    <w:name w:val="SubTitle 2"/>
    <w:basedOn w:val="Normal"/>
    <w:uiPriority w:val="41"/>
    <w:qFormat/>
    <w:rsid w:val="005820F7"/>
    <w:pPr>
      <w:spacing w:after="240" w:line="240" w:lineRule="auto"/>
      <w:jc w:val="center"/>
    </w:pPr>
    <w:rPr>
      <w:rFonts w:ascii="Times New Roman" w:eastAsia="Times New Roman" w:hAnsi="Times New Roman" w:cs="Times New Roman"/>
      <w:b/>
      <w:kern w:val="0"/>
      <w:sz w:val="32"/>
      <w:szCs w:val="20"/>
      <w:lang w:eastAsia="en-IE"/>
      <w14:ligatures w14:val="none"/>
    </w:rPr>
  </w:style>
  <w:style w:type="paragraph" w:customStyle="1" w:styleId="TableListBullet">
    <w:name w:val="Table List Bullet"/>
    <w:basedOn w:val="TableText"/>
    <w:uiPriority w:val="55"/>
    <w:rsid w:val="005820F7"/>
    <w:pPr>
      <w:numPr>
        <w:numId w:val="20"/>
      </w:numPr>
    </w:pPr>
  </w:style>
  <w:style w:type="paragraph" w:customStyle="1" w:styleId="TableListBulletLevel2">
    <w:name w:val="Table List Bullet (Level 2)"/>
    <w:basedOn w:val="TableText"/>
    <w:uiPriority w:val="55"/>
    <w:semiHidden/>
    <w:unhideWhenUsed/>
    <w:rsid w:val="005820F7"/>
    <w:pPr>
      <w:numPr>
        <w:ilvl w:val="1"/>
        <w:numId w:val="20"/>
      </w:numPr>
    </w:pPr>
  </w:style>
  <w:style w:type="paragraph" w:customStyle="1" w:styleId="TableListBulletLevel3">
    <w:name w:val="Table List Bullet (Level 3)"/>
    <w:basedOn w:val="TableText"/>
    <w:uiPriority w:val="55"/>
    <w:semiHidden/>
    <w:unhideWhenUsed/>
    <w:rsid w:val="005820F7"/>
    <w:pPr>
      <w:numPr>
        <w:ilvl w:val="2"/>
        <w:numId w:val="20"/>
      </w:numPr>
    </w:pPr>
  </w:style>
  <w:style w:type="paragraph" w:customStyle="1" w:styleId="TableListBulletLevel4">
    <w:name w:val="Table List Bullet (Level 4)"/>
    <w:basedOn w:val="TableText"/>
    <w:uiPriority w:val="55"/>
    <w:semiHidden/>
    <w:unhideWhenUsed/>
    <w:rsid w:val="005820F7"/>
    <w:pPr>
      <w:numPr>
        <w:ilvl w:val="3"/>
        <w:numId w:val="20"/>
      </w:numPr>
    </w:pPr>
  </w:style>
  <w:style w:type="paragraph" w:customStyle="1" w:styleId="TableListDash">
    <w:name w:val="Table List Dash"/>
    <w:basedOn w:val="TableText"/>
    <w:uiPriority w:val="55"/>
    <w:rsid w:val="005820F7"/>
    <w:pPr>
      <w:numPr>
        <w:numId w:val="21"/>
      </w:numPr>
    </w:pPr>
  </w:style>
  <w:style w:type="paragraph" w:customStyle="1" w:styleId="TableListDashLevel2">
    <w:name w:val="Table List Dash (Level 2)"/>
    <w:basedOn w:val="TableText"/>
    <w:uiPriority w:val="55"/>
    <w:semiHidden/>
    <w:unhideWhenUsed/>
    <w:rsid w:val="005820F7"/>
    <w:pPr>
      <w:numPr>
        <w:ilvl w:val="1"/>
        <w:numId w:val="21"/>
      </w:numPr>
    </w:pPr>
  </w:style>
  <w:style w:type="paragraph" w:customStyle="1" w:styleId="TableListDashLevel3">
    <w:name w:val="Table List Dash (Level 3)"/>
    <w:basedOn w:val="TableText"/>
    <w:uiPriority w:val="55"/>
    <w:semiHidden/>
    <w:unhideWhenUsed/>
    <w:rsid w:val="005820F7"/>
    <w:pPr>
      <w:numPr>
        <w:ilvl w:val="2"/>
        <w:numId w:val="21"/>
      </w:numPr>
    </w:pPr>
  </w:style>
  <w:style w:type="paragraph" w:customStyle="1" w:styleId="TableListDashLevel4">
    <w:name w:val="Table List Dash (Level 4)"/>
    <w:basedOn w:val="TableText"/>
    <w:uiPriority w:val="55"/>
    <w:semiHidden/>
    <w:unhideWhenUsed/>
    <w:rsid w:val="005820F7"/>
    <w:pPr>
      <w:numPr>
        <w:ilvl w:val="3"/>
        <w:numId w:val="21"/>
      </w:numPr>
    </w:pPr>
  </w:style>
  <w:style w:type="paragraph" w:customStyle="1" w:styleId="TableListNumber">
    <w:name w:val="Table List Number"/>
    <w:basedOn w:val="TableText"/>
    <w:uiPriority w:val="55"/>
    <w:rsid w:val="005820F7"/>
    <w:pPr>
      <w:numPr>
        <w:numId w:val="22"/>
      </w:numPr>
    </w:pPr>
  </w:style>
  <w:style w:type="paragraph" w:customStyle="1" w:styleId="TableListNumberLevel2">
    <w:name w:val="Table List Number (Level 2)"/>
    <w:basedOn w:val="TableText"/>
    <w:uiPriority w:val="55"/>
    <w:semiHidden/>
    <w:unhideWhenUsed/>
    <w:rsid w:val="005820F7"/>
    <w:pPr>
      <w:numPr>
        <w:ilvl w:val="1"/>
        <w:numId w:val="22"/>
      </w:numPr>
    </w:pPr>
  </w:style>
  <w:style w:type="paragraph" w:customStyle="1" w:styleId="TableListNumberLevel3">
    <w:name w:val="Table List Number (Level 3)"/>
    <w:basedOn w:val="TableText"/>
    <w:uiPriority w:val="55"/>
    <w:semiHidden/>
    <w:unhideWhenUsed/>
    <w:rsid w:val="005820F7"/>
    <w:pPr>
      <w:numPr>
        <w:ilvl w:val="2"/>
        <w:numId w:val="22"/>
      </w:numPr>
    </w:pPr>
  </w:style>
  <w:style w:type="paragraph" w:customStyle="1" w:styleId="TableListNumberLevel4">
    <w:name w:val="Table List Number (Level 4)"/>
    <w:basedOn w:val="TableText"/>
    <w:uiPriority w:val="55"/>
    <w:semiHidden/>
    <w:unhideWhenUsed/>
    <w:rsid w:val="005820F7"/>
    <w:pPr>
      <w:numPr>
        <w:ilvl w:val="3"/>
        <w:numId w:val="22"/>
      </w:numPr>
    </w:pPr>
  </w:style>
  <w:style w:type="paragraph" w:customStyle="1" w:styleId="TableSource">
    <w:name w:val="Table Source"/>
    <w:basedOn w:val="Normal"/>
    <w:next w:val="Normal"/>
    <w:uiPriority w:val="99"/>
    <w:semiHidden/>
    <w:unhideWhenUsed/>
    <w:rsid w:val="005820F7"/>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TableSource1">
    <w:name w:val="Table Source 1"/>
    <w:basedOn w:val="Text1"/>
    <w:next w:val="Text1"/>
    <w:uiPriority w:val="99"/>
    <w:semiHidden/>
    <w:unhideWhenUsed/>
    <w:rsid w:val="005820F7"/>
    <w:rPr>
      <w:sz w:val="20"/>
    </w:rPr>
  </w:style>
  <w:style w:type="paragraph" w:customStyle="1" w:styleId="TableSource2">
    <w:name w:val="Table Source 2"/>
    <w:basedOn w:val="Text2"/>
    <w:next w:val="Text2"/>
    <w:uiPriority w:val="99"/>
    <w:semiHidden/>
    <w:unhideWhenUsed/>
    <w:rsid w:val="005820F7"/>
    <w:rPr>
      <w:sz w:val="20"/>
    </w:rPr>
  </w:style>
  <w:style w:type="paragraph" w:customStyle="1" w:styleId="TableSource3">
    <w:name w:val="Table Source 3"/>
    <w:basedOn w:val="Text3"/>
    <w:next w:val="Text3"/>
    <w:uiPriority w:val="99"/>
    <w:semiHidden/>
    <w:unhideWhenUsed/>
    <w:rsid w:val="005820F7"/>
    <w:rPr>
      <w:sz w:val="20"/>
    </w:rPr>
  </w:style>
  <w:style w:type="paragraph" w:customStyle="1" w:styleId="TableSource4">
    <w:name w:val="Table Source 4"/>
    <w:basedOn w:val="Text4"/>
    <w:next w:val="Text4"/>
    <w:uiPriority w:val="99"/>
    <w:semiHidden/>
    <w:unhideWhenUsed/>
    <w:rsid w:val="005820F7"/>
    <w:rPr>
      <w:sz w:val="20"/>
    </w:rPr>
  </w:style>
  <w:style w:type="paragraph" w:customStyle="1" w:styleId="TableText">
    <w:name w:val="Table Text"/>
    <w:basedOn w:val="Normal"/>
    <w:uiPriority w:val="50"/>
    <w:qFormat/>
    <w:rsid w:val="005820F7"/>
    <w:pPr>
      <w:spacing w:before="60" w:after="60" w:line="240" w:lineRule="auto"/>
    </w:pPr>
    <w:rPr>
      <w:rFonts w:ascii="Times New Roman" w:eastAsia="Times New Roman" w:hAnsi="Times New Roman" w:cs="Times New Roman"/>
      <w:kern w:val="0"/>
      <w:sz w:val="24"/>
      <w:szCs w:val="20"/>
      <w:lang w:eastAsia="en-IE"/>
      <w14:ligatures w14:val="none"/>
    </w:rPr>
  </w:style>
  <w:style w:type="paragraph" w:customStyle="1" w:styleId="TableTitle">
    <w:name w:val="Table Title"/>
    <w:basedOn w:val="Normal"/>
    <w:uiPriority w:val="99"/>
    <w:semiHidden/>
    <w:unhideWhenUsed/>
    <w:rsid w:val="005820F7"/>
    <w:pPr>
      <w:keepNext/>
      <w:spacing w:after="120" w:line="240" w:lineRule="auto"/>
      <w:jc w:val="both"/>
    </w:pPr>
    <w:rPr>
      <w:rFonts w:ascii="Times New Roman" w:eastAsia="Times New Roman" w:hAnsi="Times New Roman" w:cs="Times New Roman"/>
      <w:b/>
      <w:i/>
      <w:kern w:val="0"/>
      <w:sz w:val="24"/>
      <w:szCs w:val="20"/>
      <w:lang w:eastAsia="en-IE"/>
      <w14:ligatures w14:val="none"/>
    </w:rPr>
  </w:style>
  <w:style w:type="paragraph" w:customStyle="1" w:styleId="TableTitle1">
    <w:name w:val="Table Title 1"/>
    <w:basedOn w:val="Text1"/>
    <w:uiPriority w:val="99"/>
    <w:semiHidden/>
    <w:unhideWhenUsed/>
    <w:rsid w:val="005820F7"/>
    <w:pPr>
      <w:keepNext/>
      <w:spacing w:after="120"/>
    </w:pPr>
    <w:rPr>
      <w:b/>
      <w:i/>
    </w:rPr>
  </w:style>
  <w:style w:type="paragraph" w:customStyle="1" w:styleId="TableTitle2">
    <w:name w:val="Table Title 2"/>
    <w:basedOn w:val="Text2"/>
    <w:uiPriority w:val="99"/>
    <w:semiHidden/>
    <w:unhideWhenUsed/>
    <w:rsid w:val="005820F7"/>
    <w:pPr>
      <w:keepNext/>
      <w:spacing w:after="120"/>
    </w:pPr>
    <w:rPr>
      <w:b/>
      <w:i/>
    </w:rPr>
  </w:style>
  <w:style w:type="paragraph" w:customStyle="1" w:styleId="TableTitle3">
    <w:name w:val="Table Title 3"/>
    <w:basedOn w:val="Text3"/>
    <w:uiPriority w:val="99"/>
    <w:semiHidden/>
    <w:unhideWhenUsed/>
    <w:rsid w:val="005820F7"/>
    <w:pPr>
      <w:keepNext/>
      <w:spacing w:after="120"/>
    </w:pPr>
    <w:rPr>
      <w:b/>
      <w:i/>
    </w:rPr>
  </w:style>
  <w:style w:type="paragraph" w:customStyle="1" w:styleId="TableTitle4">
    <w:name w:val="Table Title 4"/>
    <w:basedOn w:val="Text4"/>
    <w:uiPriority w:val="99"/>
    <w:semiHidden/>
    <w:unhideWhenUsed/>
    <w:rsid w:val="005820F7"/>
    <w:pPr>
      <w:keepNext/>
      <w:spacing w:after="120"/>
    </w:pPr>
    <w:rPr>
      <w:b/>
      <w:i/>
    </w:rPr>
  </w:style>
  <w:style w:type="paragraph" w:customStyle="1" w:styleId="Text1">
    <w:name w:val="Text 1"/>
    <w:basedOn w:val="Normal"/>
    <w:qFormat/>
    <w:rsid w:val="005820F7"/>
    <w:pPr>
      <w:spacing w:after="240" w:line="240" w:lineRule="auto"/>
      <w:ind w:left="482"/>
      <w:jc w:val="both"/>
    </w:pPr>
    <w:rPr>
      <w:rFonts w:ascii="Times New Roman" w:eastAsia="Times New Roman" w:hAnsi="Times New Roman" w:cs="Times New Roman"/>
      <w:kern w:val="0"/>
      <w:sz w:val="24"/>
      <w:szCs w:val="20"/>
      <w:lang w:eastAsia="en-IE"/>
      <w14:ligatures w14:val="none"/>
    </w:rPr>
  </w:style>
  <w:style w:type="paragraph" w:customStyle="1" w:styleId="Text2">
    <w:name w:val="Text 2"/>
    <w:basedOn w:val="Normal"/>
    <w:qFormat/>
    <w:rsid w:val="005820F7"/>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paragraph" w:customStyle="1" w:styleId="Text3">
    <w:name w:val="Text 3"/>
    <w:basedOn w:val="Normal"/>
    <w:qFormat/>
    <w:rsid w:val="005820F7"/>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paragraph" w:customStyle="1" w:styleId="Text4">
    <w:name w:val="Text 4"/>
    <w:basedOn w:val="Normal"/>
    <w:qFormat/>
    <w:rsid w:val="005820F7"/>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paragraph" w:styleId="TOC1">
    <w:name w:val="toc 1"/>
    <w:basedOn w:val="Normal"/>
    <w:next w:val="Normal"/>
    <w:semiHidden/>
    <w:rsid w:val="005820F7"/>
    <w:pPr>
      <w:tabs>
        <w:tab w:val="left" w:pos="482"/>
        <w:tab w:val="right" w:leader="dot" w:pos="8640"/>
      </w:tabs>
      <w:spacing w:before="120" w:after="120" w:line="240" w:lineRule="auto"/>
      <w:ind w:left="482" w:right="720" w:hanging="482"/>
      <w:jc w:val="both"/>
    </w:pPr>
    <w:rPr>
      <w:rFonts w:ascii="Times New Roman" w:eastAsia="Times New Roman" w:hAnsi="Times New Roman" w:cs="Times New Roman"/>
      <w:kern w:val="0"/>
      <w:sz w:val="24"/>
      <w:szCs w:val="20"/>
      <w:lang w:eastAsia="en-IE"/>
      <w14:ligatures w14:val="none"/>
    </w:rPr>
  </w:style>
  <w:style w:type="paragraph" w:styleId="TOC2">
    <w:name w:val="toc 2"/>
    <w:basedOn w:val="Normal"/>
    <w:next w:val="Normal"/>
    <w:semiHidden/>
    <w:rsid w:val="005820F7"/>
    <w:pPr>
      <w:tabs>
        <w:tab w:val="left" w:pos="1077"/>
        <w:tab w:val="right" w:leader="dot" w:pos="8640"/>
      </w:tabs>
      <w:spacing w:before="60" w:after="60" w:line="240" w:lineRule="auto"/>
      <w:ind w:left="1077" w:right="720" w:hanging="595"/>
      <w:jc w:val="both"/>
    </w:pPr>
    <w:rPr>
      <w:rFonts w:ascii="Times New Roman" w:eastAsia="Times New Roman" w:hAnsi="Times New Roman" w:cs="Times New Roman"/>
      <w:noProof/>
      <w:kern w:val="0"/>
      <w:sz w:val="24"/>
      <w:szCs w:val="20"/>
      <w:lang w:eastAsia="en-IE"/>
      <w14:ligatures w14:val="none"/>
    </w:rPr>
  </w:style>
  <w:style w:type="paragraph" w:styleId="TOC3">
    <w:name w:val="toc 3"/>
    <w:basedOn w:val="Normal"/>
    <w:next w:val="Normal"/>
    <w:semiHidden/>
    <w:rsid w:val="005820F7"/>
    <w:pPr>
      <w:tabs>
        <w:tab w:val="left" w:pos="1916"/>
        <w:tab w:val="right" w:leader="dot" w:pos="8640"/>
      </w:tabs>
      <w:spacing w:before="60" w:after="60" w:line="240" w:lineRule="auto"/>
      <w:ind w:left="1916" w:right="720" w:hanging="839"/>
      <w:jc w:val="both"/>
    </w:pPr>
    <w:rPr>
      <w:rFonts w:ascii="Times New Roman" w:eastAsia="Times New Roman" w:hAnsi="Times New Roman" w:cs="Times New Roman"/>
      <w:kern w:val="0"/>
      <w:sz w:val="24"/>
      <w:szCs w:val="20"/>
      <w:lang w:eastAsia="en-IE"/>
      <w14:ligatures w14:val="none"/>
    </w:rPr>
  </w:style>
  <w:style w:type="paragraph" w:styleId="TOC4">
    <w:name w:val="toc 4"/>
    <w:basedOn w:val="Normal"/>
    <w:next w:val="Normal"/>
    <w:semiHidden/>
    <w:rsid w:val="005820F7"/>
    <w:pPr>
      <w:tabs>
        <w:tab w:val="left" w:pos="2880"/>
        <w:tab w:val="right" w:leader="dot" w:pos="8640"/>
      </w:tabs>
      <w:spacing w:before="60" w:after="60" w:line="240" w:lineRule="auto"/>
      <w:ind w:left="2880" w:right="720" w:hanging="964"/>
      <w:jc w:val="both"/>
    </w:pPr>
    <w:rPr>
      <w:rFonts w:ascii="Times New Roman" w:eastAsia="Times New Roman" w:hAnsi="Times New Roman" w:cs="Times New Roman"/>
      <w:noProof/>
      <w:kern w:val="0"/>
      <w:sz w:val="24"/>
      <w:szCs w:val="20"/>
      <w:lang w:eastAsia="en-IE"/>
      <w14:ligatures w14:val="none"/>
    </w:rPr>
  </w:style>
  <w:style w:type="paragraph" w:styleId="TOC5">
    <w:name w:val="toc 5"/>
    <w:basedOn w:val="Normal"/>
    <w:next w:val="Normal"/>
    <w:semiHidden/>
    <w:rsid w:val="005820F7"/>
    <w:pPr>
      <w:tabs>
        <w:tab w:val="right" w:leader="dot" w:pos="8640"/>
      </w:tabs>
      <w:spacing w:before="240" w:after="120" w:line="240" w:lineRule="auto"/>
      <w:ind w:right="720"/>
      <w:jc w:val="both"/>
    </w:pPr>
    <w:rPr>
      <w:rFonts w:ascii="Times New Roman" w:eastAsia="Times New Roman" w:hAnsi="Times New Roman" w:cs="Times New Roman"/>
      <w:caps/>
      <w:kern w:val="0"/>
      <w:sz w:val="24"/>
      <w:szCs w:val="20"/>
      <w:lang w:eastAsia="en-IE"/>
      <w14:ligatures w14:val="none"/>
    </w:rPr>
  </w:style>
  <w:style w:type="paragraph" w:styleId="TOC6">
    <w:name w:val="toc 6"/>
    <w:basedOn w:val="Normal"/>
    <w:next w:val="Normal"/>
    <w:semiHidden/>
    <w:rsid w:val="005820F7"/>
    <w:pPr>
      <w:tabs>
        <w:tab w:val="right" w:leader="dot" w:pos="8640"/>
        <w:tab w:val="left" w:pos="2880"/>
      </w:tabs>
      <w:spacing w:before="120" w:after="120" w:line="240" w:lineRule="auto"/>
      <w:ind w:left="1916" w:right="720" w:hanging="1916"/>
      <w:jc w:val="both"/>
    </w:pPr>
    <w:rPr>
      <w:rFonts w:ascii="Times New Roman" w:eastAsia="Times New Roman" w:hAnsi="Times New Roman" w:cs="Times New Roman"/>
      <w:caps/>
      <w:kern w:val="0"/>
      <w:sz w:val="24"/>
      <w:szCs w:val="20"/>
      <w:lang w:eastAsia="en-IE"/>
      <w14:ligatures w14:val="none"/>
    </w:rPr>
  </w:style>
  <w:style w:type="paragraph" w:styleId="TOC7">
    <w:name w:val="toc 7"/>
    <w:basedOn w:val="Normal"/>
    <w:next w:val="Normal"/>
    <w:semiHidden/>
    <w:rsid w:val="005820F7"/>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TOC8">
    <w:name w:val="toc 8"/>
    <w:basedOn w:val="Normal"/>
    <w:next w:val="Normal"/>
    <w:semiHidden/>
    <w:rsid w:val="005820F7"/>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TOC9">
    <w:name w:val="toc 9"/>
    <w:basedOn w:val="Normal"/>
    <w:next w:val="Normal"/>
    <w:semiHidden/>
    <w:rsid w:val="005820F7"/>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TOCHeading">
    <w:name w:val="TOC Heading"/>
    <w:basedOn w:val="Normal"/>
    <w:next w:val="Normal"/>
    <w:semiHidden/>
    <w:rsid w:val="005820F7"/>
    <w:pPr>
      <w:spacing w:before="240" w:after="240" w:line="240" w:lineRule="auto"/>
      <w:jc w:val="center"/>
    </w:pPr>
    <w:rPr>
      <w:rFonts w:ascii="Times New Roman Bold" w:eastAsia="Times New Roman" w:hAnsi="Times New Roman Bold" w:cs="Times New Roman"/>
      <w:b/>
      <w:caps/>
      <w:kern w:val="0"/>
      <w:sz w:val="24"/>
      <w:szCs w:val="20"/>
      <w:lang w:eastAsia="en-IE"/>
      <w14:ligatures w14:val="none"/>
    </w:rPr>
  </w:style>
  <w:style w:type="paragraph" w:customStyle="1" w:styleId="TrsSecretUE">
    <w:name w:val="Très Secret UE"/>
    <w:basedOn w:val="Normal"/>
    <w:semiHidden/>
    <w:rsid w:val="005820F7"/>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ZCom">
    <w:name w:val="Z_Com"/>
    <w:basedOn w:val="Normal"/>
    <w:next w:val="ZDGName"/>
    <w:semiHidden/>
    <w:rsid w:val="005820F7"/>
    <w:pPr>
      <w:widowControl w:val="0"/>
      <w:spacing w:before="90" w:after="0" w:line="240" w:lineRule="auto"/>
      <w:ind w:right="85"/>
    </w:pPr>
    <w:rPr>
      <w:rFonts w:ascii="Times New Roman" w:eastAsia="Times New Roman" w:hAnsi="Times New Roman" w:cs="Times New Roman"/>
      <w:kern w:val="0"/>
      <w:sz w:val="24"/>
      <w:szCs w:val="20"/>
      <w:lang w:eastAsia="en-IE"/>
      <w14:ligatures w14:val="none"/>
    </w:rPr>
  </w:style>
  <w:style w:type="paragraph" w:customStyle="1" w:styleId="ZDGName">
    <w:name w:val="Z_DGName"/>
    <w:basedOn w:val="Normal"/>
    <w:semiHidden/>
    <w:rsid w:val="005820F7"/>
    <w:pPr>
      <w:widowControl w:val="0"/>
      <w:spacing w:after="0" w:line="240" w:lineRule="auto"/>
      <w:ind w:right="85"/>
    </w:pPr>
    <w:rPr>
      <w:rFonts w:ascii="Times New Roman" w:eastAsia="Times New Roman" w:hAnsi="Times New Roman" w:cs="Times New Roman"/>
      <w:kern w:val="0"/>
      <w:sz w:val="16"/>
      <w:szCs w:val="20"/>
      <w:lang w:eastAsia="en-IE"/>
      <w14:ligatures w14:val="none"/>
    </w:rPr>
  </w:style>
  <w:style w:type="paragraph" w:customStyle="1" w:styleId="ZFlag">
    <w:name w:val="Z_Flag"/>
    <w:basedOn w:val="Normal"/>
    <w:next w:val="Normal"/>
    <w:semiHidden/>
    <w:rsid w:val="005820F7"/>
    <w:pPr>
      <w:widowControl w:val="0"/>
      <w:spacing w:after="0" w:line="240" w:lineRule="auto"/>
      <w:ind w:right="85"/>
      <w:jc w:val="both"/>
    </w:pPr>
    <w:rPr>
      <w:rFonts w:ascii="Times New Roman" w:eastAsia="Times New Roman" w:hAnsi="Times New Roman" w:cs="Times New Roman"/>
      <w:kern w:val="0"/>
      <w:sz w:val="24"/>
      <w:szCs w:val="20"/>
      <w:lang w:eastAsia="en-IE"/>
      <w14:ligatures w14:val="none"/>
    </w:rPr>
  </w:style>
  <w:style w:type="table" w:customStyle="1" w:styleId="EurolookClassicBlue">
    <w:name w:val="Eurolook Classic Blu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646567"/>
      </w:rPr>
    </w:tblStylePr>
  </w:style>
  <w:style w:type="table" w:customStyle="1" w:styleId="EurolookClassicGrey4">
    <w:name w:val="Eurolook Classic Grey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646567"/>
      </w:rPr>
    </w:tblStylePr>
  </w:style>
  <w:style w:type="table" w:customStyle="1" w:styleId="EurolookClassicOlive">
    <w:name w:val="Eurolook Classic Oliv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4E7849"/>
      </w:rPr>
    </w:tblStylePr>
  </w:style>
  <w:style w:type="table" w:customStyle="1" w:styleId="EurolookClassicOlive2">
    <w:name w:val="Eurolook Classic Oliv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4E7849"/>
      </w:rPr>
    </w:tblStylePr>
  </w:style>
  <w:style w:type="table" w:customStyle="1" w:styleId="EurolookClassicOlive3">
    <w:name w:val="Eurolook Classic Oliv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4E7849"/>
      </w:rPr>
    </w:tblStylePr>
  </w:style>
  <w:style w:type="table" w:customStyle="1" w:styleId="EurolookClassicOlive4">
    <w:name w:val="Eurolook Classic Oliv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4E7849"/>
      </w:rPr>
    </w:tblStylePr>
  </w:style>
  <w:style w:type="table" w:customStyle="1" w:styleId="EurolookClassicPetrol">
    <w:name w:val="Eurolook Classic Petrol"/>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7D98"/>
      </w:rPr>
    </w:tblStylePr>
  </w:style>
  <w:style w:type="table" w:customStyle="1" w:styleId="EurolookClassicPetrol2">
    <w:name w:val="Eurolook Classic Petrol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7D98"/>
      </w:rPr>
    </w:tblStylePr>
  </w:style>
  <w:style w:type="table" w:customStyle="1" w:styleId="EurolookClassicPetrol3">
    <w:name w:val="Eurolook Classic Petrol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7D98"/>
      </w:rPr>
    </w:tblStylePr>
  </w:style>
  <w:style w:type="table" w:customStyle="1" w:styleId="EurolookClassicPetrol4">
    <w:name w:val="Eurolook Classic Petrol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007D98"/>
      </w:rPr>
    </w:tblStylePr>
  </w:style>
  <w:style w:type="table" w:customStyle="1" w:styleId="EurolookClassicPurple">
    <w:name w:val="Eurolook Classic Purpl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771D7B"/>
      </w:rPr>
    </w:tblStylePr>
  </w:style>
  <w:style w:type="table" w:customStyle="1" w:styleId="EurolookClassicPurple2">
    <w:name w:val="Eurolook Classic Purpl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771D7B"/>
      </w:rPr>
    </w:tblStylePr>
  </w:style>
  <w:style w:type="table" w:customStyle="1" w:styleId="EurolookClassicPurple3">
    <w:name w:val="Eurolook Classic Purpl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771D7B"/>
      </w:rPr>
    </w:tblStylePr>
  </w:style>
  <w:style w:type="table" w:customStyle="1" w:styleId="EurolookClassicPurple4">
    <w:name w:val="Eurolook Classic Purpl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771D7B"/>
      </w:rPr>
    </w:tblStylePr>
  </w:style>
  <w:style w:type="table" w:customStyle="1" w:styleId="EurolookClassicRust">
    <w:name w:val="Eurolook Classic Rust"/>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BF4B36"/>
      </w:rPr>
    </w:tblStylePr>
  </w:style>
  <w:style w:type="table" w:customStyle="1" w:styleId="EurolookClassicRust2">
    <w:name w:val="Eurolook Classic Rust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BF4B36"/>
      </w:rPr>
    </w:tblStylePr>
  </w:style>
  <w:style w:type="table" w:customStyle="1" w:styleId="EurolookClassicRust3">
    <w:name w:val="Eurolook Classic Rust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BF4B36"/>
      </w:rPr>
    </w:tblStylePr>
  </w:style>
  <w:style w:type="table" w:customStyle="1" w:styleId="EurolookClassicRust4">
    <w:name w:val="Eurolook Classic Rust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color w:val="FFFFFF"/>
      </w:rPr>
    </w:tblStylePr>
    <w:tblStylePr w:type="firstCol">
      <w:rPr>
        <w:color w:val="BF4B36"/>
      </w:rPr>
    </w:tblStylePr>
  </w:style>
  <w:style w:type="table" w:customStyle="1" w:styleId="EurolookLightBlue">
    <w:name w:val="Eurolook Light Blu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2">
    <w:name w:val="Eurolook Light Blu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3">
    <w:name w:val="Eurolook Light Blu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4">
    <w:name w:val="Eurolook Light Blu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Grey">
    <w:name w:val="Eurolook Light Grey"/>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2">
    <w:name w:val="Eurolook Light Grey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3">
    <w:name w:val="Eurolook Light Grey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4">
    <w:name w:val="Eurolook Light Grey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Olive">
    <w:name w:val="Eurolook Light Oliv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5820F7"/>
    <w:pPr>
      <w:spacing w:after="240" w:line="240" w:lineRule="auto"/>
    </w:pPr>
    <w:rPr>
      <w:rFonts w:ascii="Times New Roman" w:eastAsia="Times New Roman" w:hAnsi="Times New Roman" w:cs="Times New Roman"/>
      <w:kern w:val="0"/>
      <w:sz w:val="24"/>
      <w:szCs w:val="20"/>
      <w:lang w:eastAsia="en-IE"/>
      <w14:ligatures w14:val="none"/>
    </w:r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5820F7"/>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5820F7"/>
    <w:pPr>
      <w:spacing w:after="0" w:line="240" w:lineRule="auto"/>
    </w:pPr>
    <w:rPr>
      <w:rFonts w:ascii="Times New Roman" w:eastAsia="Times New Roman" w:hAnsi="Times New Roman" w:cs="Times New Roman"/>
      <w:kern w:val="0"/>
      <w:sz w:val="24"/>
      <w:szCs w:val="20"/>
      <w:lang w:val="en-GB"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5820F7"/>
    <w:tblPr>
      <w:tblInd w:w="482" w:type="dxa"/>
    </w:tblPr>
    <w:tblStylePr w:type="firstRow">
      <w:rPr>
        <w:b/>
      </w:rPr>
      <w:tblPr/>
      <w:trPr>
        <w:cantSplit/>
        <w:tblHeader/>
      </w:trPr>
    </w:tblStylePr>
  </w:style>
  <w:style w:type="table" w:customStyle="1" w:styleId="EurolookTable2">
    <w:name w:val="Eurolook Table 2"/>
    <w:basedOn w:val="EurolookTable"/>
    <w:semiHidden/>
    <w:rsid w:val="005820F7"/>
    <w:tblPr>
      <w:tblInd w:w="1202" w:type="dxa"/>
    </w:tblPr>
    <w:tblStylePr w:type="firstRow">
      <w:rPr>
        <w:b/>
      </w:rPr>
      <w:tblPr/>
      <w:trPr>
        <w:cantSplit/>
        <w:tblHeader/>
      </w:trPr>
    </w:tblStylePr>
  </w:style>
  <w:style w:type="table" w:customStyle="1" w:styleId="EurolookTable3">
    <w:name w:val="Eurolook Table 3"/>
    <w:basedOn w:val="EurolookTable"/>
    <w:semiHidden/>
    <w:rsid w:val="005820F7"/>
    <w:tblPr>
      <w:tblInd w:w="1202" w:type="dxa"/>
    </w:tblPr>
    <w:tblStylePr w:type="firstRow">
      <w:rPr>
        <w:b/>
      </w:rPr>
      <w:tblPr/>
      <w:trPr>
        <w:cantSplit/>
        <w:tblHeader/>
      </w:trPr>
    </w:tblStylePr>
  </w:style>
  <w:style w:type="table" w:customStyle="1" w:styleId="EurolookTable4">
    <w:name w:val="Eurolook Table 4"/>
    <w:basedOn w:val="EurolookTable"/>
    <w:semiHidden/>
    <w:rsid w:val="005820F7"/>
    <w:tblPr>
      <w:tblInd w:w="1202" w:type="dxa"/>
    </w:tblPr>
    <w:tblStylePr w:type="firstRow">
      <w:rPr>
        <w:b/>
      </w:rPr>
      <w:tblPr/>
      <w:trPr>
        <w:cantSplit/>
        <w:tblHeader/>
      </w:trPr>
    </w:tblStylePr>
  </w:style>
  <w:style w:type="table" w:customStyle="1" w:styleId="HelperTableBase">
    <w:name w:val="Helper Table Base"/>
    <w:semiHidden/>
    <w:rsid w:val="005820F7"/>
    <w:pPr>
      <w:spacing w:after="0" w:line="240" w:lineRule="auto"/>
    </w:pPr>
    <w:rPr>
      <w:rFonts w:ascii="Times New Roman" w:eastAsia="Times New Roman" w:hAnsi="Times New Roman" w:cs="Times New Roman"/>
      <w:kern w:val="0"/>
      <w:sz w:val="24"/>
      <w:szCs w:val="20"/>
      <w:lang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5820F7"/>
    <w:tblPr/>
  </w:style>
  <w:style w:type="table" w:customStyle="1" w:styleId="TableHistory">
    <w:name w:val="Table History"/>
    <w:basedOn w:val="TableNormal"/>
    <w:semiHidden/>
    <w:rsid w:val="005820F7"/>
    <w:pPr>
      <w:spacing w:before="60" w:after="60" w:line="264" w:lineRule="auto"/>
    </w:pPr>
    <w:rPr>
      <w:rFonts w:ascii="Times New Roman" w:eastAsia="Times New Roman" w:hAnsi="Times New Roman" w:cs="Times New Roman"/>
      <w:kern w:val="0"/>
      <w:szCs w:val="20"/>
      <w:lang w:eastAsia="en-IE"/>
      <w14:ligatures w14:val="none"/>
    </w:rPr>
    <w:tblPr/>
  </w:style>
  <w:style w:type="table" w:customStyle="1" w:styleId="TableLetterhead">
    <w:name w:val="Table Letterhead"/>
    <w:basedOn w:val="TableNormal"/>
    <w:semiHidden/>
    <w:rsid w:val="005820F7"/>
    <w:pPr>
      <w:spacing w:after="0" w:line="240" w:lineRule="auto"/>
    </w:pPr>
    <w:rPr>
      <w:rFonts w:ascii="Times New Roman" w:eastAsia="Times New Roman" w:hAnsi="Times New Roman" w:cs="Times New Roman"/>
      <w:kern w:val="0"/>
      <w:sz w:val="24"/>
      <w:szCs w:val="20"/>
      <w:lang w:eastAsia="en-IE"/>
      <w14:ligatures w14:val="none"/>
    </w:rPr>
    <w:tblPr/>
  </w:style>
  <w:style w:type="character" w:customStyle="1" w:styleId="Marker">
    <w:name w:val="Marker"/>
    <w:basedOn w:val="DefaultParagraphFont"/>
    <w:rsid w:val="005820F7"/>
    <w:rPr>
      <w:color w:val="0000FF"/>
      <w:shd w:val="clear" w:color="auto" w:fill="auto"/>
    </w:rPr>
  </w:style>
  <w:style w:type="paragraph" w:customStyle="1" w:styleId="Pagedecouverture">
    <w:name w:val="Page de couverture"/>
    <w:basedOn w:val="Normal"/>
    <w:next w:val="Normal"/>
    <w:link w:val="PagedecouvertureChar"/>
    <w:rsid w:val="005820F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5820F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5820F7"/>
    <w:rPr>
      <w:rFonts w:ascii="Times New Roman" w:hAnsi="Times New Roman" w:cs="Times New Roman"/>
      <w:kern w:val="0"/>
      <w:sz w:val="24"/>
      <w:lang w:val="fr-FR"/>
      <w14:ligatures w14:val="none"/>
    </w:rPr>
  </w:style>
  <w:style w:type="character" w:customStyle="1" w:styleId="FooterCoverPageChar">
    <w:name w:val="Footer Cover Page Char"/>
    <w:basedOn w:val="PagedecouvertureChar"/>
    <w:link w:val="FooterCoverPage"/>
    <w:rsid w:val="005820F7"/>
    <w:rPr>
      <w:rFonts w:ascii="Times New Roman" w:hAnsi="Times New Roman" w:cs="Times New Roman"/>
      <w:kern w:val="0"/>
      <w:sz w:val="24"/>
      <w:lang w:val="fr-FR"/>
      <w14:ligatures w14:val="none"/>
    </w:rPr>
  </w:style>
  <w:style w:type="paragraph" w:customStyle="1" w:styleId="FooterSensitivity">
    <w:name w:val="Footer Sensitivity"/>
    <w:basedOn w:val="Normal"/>
    <w:link w:val="FooterSensitivityChar"/>
    <w:rsid w:val="005820F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5820F7"/>
    <w:rPr>
      <w:rFonts w:ascii="Times New Roman" w:hAnsi="Times New Roman" w:cs="Times New Roman"/>
      <w:b/>
      <w:kern w:val="0"/>
      <w:sz w:val="32"/>
      <w:lang w:val="fr-FR"/>
      <w14:ligatures w14:val="none"/>
    </w:rPr>
  </w:style>
  <w:style w:type="paragraph" w:customStyle="1" w:styleId="HeaderCoverPage">
    <w:name w:val="Header Cover Page"/>
    <w:basedOn w:val="Normal"/>
    <w:link w:val="HeaderCoverPageChar"/>
    <w:rsid w:val="005820F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5820F7"/>
    <w:rPr>
      <w:rFonts w:ascii="Times New Roman" w:hAnsi="Times New Roman" w:cs="Times New Roman"/>
      <w:kern w:val="0"/>
      <w:sz w:val="24"/>
      <w:lang w:val="fr-FR"/>
      <w14:ligatures w14:val="none"/>
    </w:rPr>
  </w:style>
  <w:style w:type="paragraph" w:customStyle="1" w:styleId="HeaderSensitivity">
    <w:name w:val="Header Sensitivity"/>
    <w:basedOn w:val="Normal"/>
    <w:link w:val="HeaderSensitivityChar"/>
    <w:rsid w:val="005820F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5820F7"/>
    <w:rPr>
      <w:rFonts w:ascii="Times New Roman" w:hAnsi="Times New Roman" w:cs="Times New Roman"/>
      <w:b/>
      <w:kern w:val="0"/>
      <w:sz w:val="32"/>
      <w:lang w:val="fr-FR"/>
      <w14:ligatures w14:val="none"/>
    </w:rPr>
  </w:style>
  <w:style w:type="paragraph" w:customStyle="1" w:styleId="HeaderSensitivityRight">
    <w:name w:val="Header Sensitivity Right"/>
    <w:basedOn w:val="Normal"/>
    <w:link w:val="HeaderSensitivityRightChar"/>
    <w:rsid w:val="005D6B4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5820F7"/>
    <w:rPr>
      <w:rFonts w:ascii="Times New Roman" w:hAnsi="Times New Roman" w:cs="Times New Roman"/>
      <w:kern w:val="0"/>
      <w:sz w:val="28"/>
      <w:lang w:val="fr-FR"/>
      <w14:ligatures w14:val="none"/>
    </w:rPr>
  </w:style>
  <w:style w:type="paragraph" w:customStyle="1" w:styleId="Disclaimer">
    <w:name w:val="Disclaimer"/>
    <w:basedOn w:val="Normal"/>
    <w:rsid w:val="005D6B4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5D6B4B"/>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5D6B4B"/>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5D6B4B"/>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45268">
      <w:bodyDiv w:val="1"/>
      <w:marLeft w:val="0"/>
      <w:marRight w:val="0"/>
      <w:marTop w:val="0"/>
      <w:marBottom w:val="0"/>
      <w:divBdr>
        <w:top w:val="none" w:sz="0" w:space="0" w:color="auto"/>
        <w:left w:val="none" w:sz="0" w:space="0" w:color="auto"/>
        <w:bottom w:val="none" w:sz="0" w:space="0" w:color="auto"/>
        <w:right w:val="none" w:sz="0" w:space="0" w:color="auto"/>
      </w:divBdr>
    </w:div>
    <w:div w:id="220793379">
      <w:bodyDiv w:val="1"/>
      <w:marLeft w:val="0"/>
      <w:marRight w:val="0"/>
      <w:marTop w:val="0"/>
      <w:marBottom w:val="0"/>
      <w:divBdr>
        <w:top w:val="none" w:sz="0" w:space="0" w:color="auto"/>
        <w:left w:val="none" w:sz="0" w:space="0" w:color="auto"/>
        <w:bottom w:val="none" w:sz="0" w:space="0" w:color="auto"/>
        <w:right w:val="none" w:sz="0" w:space="0" w:color="auto"/>
      </w:divBdr>
    </w:div>
    <w:div w:id="222109238">
      <w:bodyDiv w:val="1"/>
      <w:marLeft w:val="0"/>
      <w:marRight w:val="0"/>
      <w:marTop w:val="0"/>
      <w:marBottom w:val="0"/>
      <w:divBdr>
        <w:top w:val="none" w:sz="0" w:space="0" w:color="auto"/>
        <w:left w:val="none" w:sz="0" w:space="0" w:color="auto"/>
        <w:bottom w:val="none" w:sz="0" w:space="0" w:color="auto"/>
        <w:right w:val="none" w:sz="0" w:space="0" w:color="auto"/>
      </w:divBdr>
      <w:divsChild>
        <w:div w:id="1066614073">
          <w:marLeft w:val="0"/>
          <w:marRight w:val="0"/>
          <w:marTop w:val="0"/>
          <w:marBottom w:val="0"/>
          <w:divBdr>
            <w:top w:val="none" w:sz="0" w:space="0" w:color="auto"/>
            <w:left w:val="none" w:sz="0" w:space="0" w:color="auto"/>
            <w:bottom w:val="none" w:sz="0" w:space="0" w:color="auto"/>
            <w:right w:val="none" w:sz="0" w:space="0" w:color="auto"/>
          </w:divBdr>
        </w:div>
        <w:div w:id="1115322967">
          <w:marLeft w:val="0"/>
          <w:marRight w:val="0"/>
          <w:marTop w:val="0"/>
          <w:marBottom w:val="0"/>
          <w:divBdr>
            <w:top w:val="none" w:sz="0" w:space="0" w:color="auto"/>
            <w:left w:val="none" w:sz="0" w:space="0" w:color="auto"/>
            <w:bottom w:val="none" w:sz="0" w:space="0" w:color="auto"/>
            <w:right w:val="none" w:sz="0" w:space="0" w:color="auto"/>
          </w:divBdr>
        </w:div>
      </w:divsChild>
    </w:div>
    <w:div w:id="232397840">
      <w:bodyDiv w:val="1"/>
      <w:marLeft w:val="0"/>
      <w:marRight w:val="0"/>
      <w:marTop w:val="0"/>
      <w:marBottom w:val="0"/>
      <w:divBdr>
        <w:top w:val="none" w:sz="0" w:space="0" w:color="auto"/>
        <w:left w:val="none" w:sz="0" w:space="0" w:color="auto"/>
        <w:bottom w:val="none" w:sz="0" w:space="0" w:color="auto"/>
        <w:right w:val="none" w:sz="0" w:space="0" w:color="auto"/>
      </w:divBdr>
    </w:div>
    <w:div w:id="284384266">
      <w:bodyDiv w:val="1"/>
      <w:marLeft w:val="0"/>
      <w:marRight w:val="0"/>
      <w:marTop w:val="0"/>
      <w:marBottom w:val="0"/>
      <w:divBdr>
        <w:top w:val="none" w:sz="0" w:space="0" w:color="auto"/>
        <w:left w:val="none" w:sz="0" w:space="0" w:color="auto"/>
        <w:bottom w:val="none" w:sz="0" w:space="0" w:color="auto"/>
        <w:right w:val="none" w:sz="0" w:space="0" w:color="auto"/>
      </w:divBdr>
    </w:div>
    <w:div w:id="300695032">
      <w:bodyDiv w:val="1"/>
      <w:marLeft w:val="0"/>
      <w:marRight w:val="0"/>
      <w:marTop w:val="0"/>
      <w:marBottom w:val="0"/>
      <w:divBdr>
        <w:top w:val="none" w:sz="0" w:space="0" w:color="auto"/>
        <w:left w:val="none" w:sz="0" w:space="0" w:color="auto"/>
        <w:bottom w:val="none" w:sz="0" w:space="0" w:color="auto"/>
        <w:right w:val="none" w:sz="0" w:space="0" w:color="auto"/>
      </w:divBdr>
    </w:div>
    <w:div w:id="443039941">
      <w:bodyDiv w:val="1"/>
      <w:marLeft w:val="0"/>
      <w:marRight w:val="0"/>
      <w:marTop w:val="0"/>
      <w:marBottom w:val="0"/>
      <w:divBdr>
        <w:top w:val="none" w:sz="0" w:space="0" w:color="auto"/>
        <w:left w:val="none" w:sz="0" w:space="0" w:color="auto"/>
        <w:bottom w:val="none" w:sz="0" w:space="0" w:color="auto"/>
        <w:right w:val="none" w:sz="0" w:space="0" w:color="auto"/>
      </w:divBdr>
    </w:div>
    <w:div w:id="531769266">
      <w:bodyDiv w:val="1"/>
      <w:marLeft w:val="0"/>
      <w:marRight w:val="0"/>
      <w:marTop w:val="0"/>
      <w:marBottom w:val="0"/>
      <w:divBdr>
        <w:top w:val="none" w:sz="0" w:space="0" w:color="auto"/>
        <w:left w:val="none" w:sz="0" w:space="0" w:color="auto"/>
        <w:bottom w:val="none" w:sz="0" w:space="0" w:color="auto"/>
        <w:right w:val="none" w:sz="0" w:space="0" w:color="auto"/>
      </w:divBdr>
    </w:div>
    <w:div w:id="567149775">
      <w:bodyDiv w:val="1"/>
      <w:marLeft w:val="0"/>
      <w:marRight w:val="0"/>
      <w:marTop w:val="0"/>
      <w:marBottom w:val="0"/>
      <w:divBdr>
        <w:top w:val="none" w:sz="0" w:space="0" w:color="auto"/>
        <w:left w:val="none" w:sz="0" w:space="0" w:color="auto"/>
        <w:bottom w:val="none" w:sz="0" w:space="0" w:color="auto"/>
        <w:right w:val="none" w:sz="0" w:space="0" w:color="auto"/>
      </w:divBdr>
    </w:div>
    <w:div w:id="638145281">
      <w:bodyDiv w:val="1"/>
      <w:marLeft w:val="0"/>
      <w:marRight w:val="0"/>
      <w:marTop w:val="0"/>
      <w:marBottom w:val="0"/>
      <w:divBdr>
        <w:top w:val="none" w:sz="0" w:space="0" w:color="auto"/>
        <w:left w:val="none" w:sz="0" w:space="0" w:color="auto"/>
        <w:bottom w:val="none" w:sz="0" w:space="0" w:color="auto"/>
        <w:right w:val="none" w:sz="0" w:space="0" w:color="auto"/>
      </w:divBdr>
    </w:div>
    <w:div w:id="688411885">
      <w:bodyDiv w:val="1"/>
      <w:marLeft w:val="0"/>
      <w:marRight w:val="0"/>
      <w:marTop w:val="0"/>
      <w:marBottom w:val="0"/>
      <w:divBdr>
        <w:top w:val="none" w:sz="0" w:space="0" w:color="auto"/>
        <w:left w:val="none" w:sz="0" w:space="0" w:color="auto"/>
        <w:bottom w:val="none" w:sz="0" w:space="0" w:color="auto"/>
        <w:right w:val="none" w:sz="0" w:space="0" w:color="auto"/>
      </w:divBdr>
    </w:div>
    <w:div w:id="831137158">
      <w:bodyDiv w:val="1"/>
      <w:marLeft w:val="0"/>
      <w:marRight w:val="0"/>
      <w:marTop w:val="0"/>
      <w:marBottom w:val="0"/>
      <w:divBdr>
        <w:top w:val="none" w:sz="0" w:space="0" w:color="auto"/>
        <w:left w:val="none" w:sz="0" w:space="0" w:color="auto"/>
        <w:bottom w:val="none" w:sz="0" w:space="0" w:color="auto"/>
        <w:right w:val="none" w:sz="0" w:space="0" w:color="auto"/>
      </w:divBdr>
    </w:div>
    <w:div w:id="884297171">
      <w:bodyDiv w:val="1"/>
      <w:marLeft w:val="0"/>
      <w:marRight w:val="0"/>
      <w:marTop w:val="0"/>
      <w:marBottom w:val="0"/>
      <w:divBdr>
        <w:top w:val="none" w:sz="0" w:space="0" w:color="auto"/>
        <w:left w:val="none" w:sz="0" w:space="0" w:color="auto"/>
        <w:bottom w:val="none" w:sz="0" w:space="0" w:color="auto"/>
        <w:right w:val="none" w:sz="0" w:space="0" w:color="auto"/>
      </w:divBdr>
    </w:div>
    <w:div w:id="959261481">
      <w:bodyDiv w:val="1"/>
      <w:marLeft w:val="0"/>
      <w:marRight w:val="0"/>
      <w:marTop w:val="0"/>
      <w:marBottom w:val="0"/>
      <w:divBdr>
        <w:top w:val="none" w:sz="0" w:space="0" w:color="auto"/>
        <w:left w:val="none" w:sz="0" w:space="0" w:color="auto"/>
        <w:bottom w:val="none" w:sz="0" w:space="0" w:color="auto"/>
        <w:right w:val="none" w:sz="0" w:space="0" w:color="auto"/>
      </w:divBdr>
    </w:div>
    <w:div w:id="1070228707">
      <w:bodyDiv w:val="1"/>
      <w:marLeft w:val="0"/>
      <w:marRight w:val="0"/>
      <w:marTop w:val="0"/>
      <w:marBottom w:val="0"/>
      <w:divBdr>
        <w:top w:val="none" w:sz="0" w:space="0" w:color="auto"/>
        <w:left w:val="none" w:sz="0" w:space="0" w:color="auto"/>
        <w:bottom w:val="none" w:sz="0" w:space="0" w:color="auto"/>
        <w:right w:val="none" w:sz="0" w:space="0" w:color="auto"/>
      </w:divBdr>
      <w:divsChild>
        <w:div w:id="218900709">
          <w:marLeft w:val="0"/>
          <w:marRight w:val="0"/>
          <w:marTop w:val="0"/>
          <w:marBottom w:val="0"/>
          <w:divBdr>
            <w:top w:val="none" w:sz="0" w:space="0" w:color="auto"/>
            <w:left w:val="none" w:sz="0" w:space="0" w:color="auto"/>
            <w:bottom w:val="none" w:sz="0" w:space="0" w:color="auto"/>
            <w:right w:val="none" w:sz="0" w:space="0" w:color="auto"/>
          </w:divBdr>
        </w:div>
        <w:div w:id="465318171">
          <w:marLeft w:val="0"/>
          <w:marRight w:val="0"/>
          <w:marTop w:val="0"/>
          <w:marBottom w:val="0"/>
          <w:divBdr>
            <w:top w:val="none" w:sz="0" w:space="0" w:color="auto"/>
            <w:left w:val="none" w:sz="0" w:space="0" w:color="auto"/>
            <w:bottom w:val="none" w:sz="0" w:space="0" w:color="auto"/>
            <w:right w:val="none" w:sz="0" w:space="0" w:color="auto"/>
          </w:divBdr>
        </w:div>
        <w:div w:id="766387393">
          <w:marLeft w:val="0"/>
          <w:marRight w:val="0"/>
          <w:marTop w:val="0"/>
          <w:marBottom w:val="0"/>
          <w:divBdr>
            <w:top w:val="none" w:sz="0" w:space="0" w:color="auto"/>
            <w:left w:val="none" w:sz="0" w:space="0" w:color="auto"/>
            <w:bottom w:val="none" w:sz="0" w:space="0" w:color="auto"/>
            <w:right w:val="none" w:sz="0" w:space="0" w:color="auto"/>
          </w:divBdr>
        </w:div>
        <w:div w:id="1888183635">
          <w:marLeft w:val="0"/>
          <w:marRight w:val="0"/>
          <w:marTop w:val="0"/>
          <w:marBottom w:val="0"/>
          <w:divBdr>
            <w:top w:val="none" w:sz="0" w:space="0" w:color="auto"/>
            <w:left w:val="none" w:sz="0" w:space="0" w:color="auto"/>
            <w:bottom w:val="none" w:sz="0" w:space="0" w:color="auto"/>
            <w:right w:val="none" w:sz="0" w:space="0" w:color="auto"/>
          </w:divBdr>
        </w:div>
        <w:div w:id="1931812704">
          <w:marLeft w:val="0"/>
          <w:marRight w:val="0"/>
          <w:marTop w:val="0"/>
          <w:marBottom w:val="0"/>
          <w:divBdr>
            <w:top w:val="none" w:sz="0" w:space="0" w:color="auto"/>
            <w:left w:val="none" w:sz="0" w:space="0" w:color="auto"/>
            <w:bottom w:val="none" w:sz="0" w:space="0" w:color="auto"/>
            <w:right w:val="none" w:sz="0" w:space="0" w:color="auto"/>
          </w:divBdr>
        </w:div>
      </w:divsChild>
    </w:div>
    <w:div w:id="1137336400">
      <w:bodyDiv w:val="1"/>
      <w:marLeft w:val="0"/>
      <w:marRight w:val="0"/>
      <w:marTop w:val="0"/>
      <w:marBottom w:val="0"/>
      <w:divBdr>
        <w:top w:val="none" w:sz="0" w:space="0" w:color="auto"/>
        <w:left w:val="none" w:sz="0" w:space="0" w:color="auto"/>
        <w:bottom w:val="none" w:sz="0" w:space="0" w:color="auto"/>
        <w:right w:val="none" w:sz="0" w:space="0" w:color="auto"/>
      </w:divBdr>
    </w:div>
    <w:div w:id="1277978931">
      <w:bodyDiv w:val="1"/>
      <w:marLeft w:val="0"/>
      <w:marRight w:val="0"/>
      <w:marTop w:val="0"/>
      <w:marBottom w:val="0"/>
      <w:divBdr>
        <w:top w:val="none" w:sz="0" w:space="0" w:color="auto"/>
        <w:left w:val="none" w:sz="0" w:space="0" w:color="auto"/>
        <w:bottom w:val="none" w:sz="0" w:space="0" w:color="auto"/>
        <w:right w:val="none" w:sz="0" w:space="0" w:color="auto"/>
      </w:divBdr>
      <w:divsChild>
        <w:div w:id="5136822">
          <w:marLeft w:val="0"/>
          <w:marRight w:val="0"/>
          <w:marTop w:val="0"/>
          <w:marBottom w:val="0"/>
          <w:divBdr>
            <w:top w:val="none" w:sz="0" w:space="0" w:color="auto"/>
            <w:left w:val="none" w:sz="0" w:space="0" w:color="auto"/>
            <w:bottom w:val="none" w:sz="0" w:space="0" w:color="auto"/>
            <w:right w:val="none" w:sz="0" w:space="0" w:color="auto"/>
          </w:divBdr>
        </w:div>
        <w:div w:id="46223828">
          <w:marLeft w:val="0"/>
          <w:marRight w:val="0"/>
          <w:marTop w:val="0"/>
          <w:marBottom w:val="0"/>
          <w:divBdr>
            <w:top w:val="none" w:sz="0" w:space="0" w:color="auto"/>
            <w:left w:val="none" w:sz="0" w:space="0" w:color="auto"/>
            <w:bottom w:val="none" w:sz="0" w:space="0" w:color="auto"/>
            <w:right w:val="none" w:sz="0" w:space="0" w:color="auto"/>
          </w:divBdr>
        </w:div>
        <w:div w:id="510031943">
          <w:marLeft w:val="0"/>
          <w:marRight w:val="0"/>
          <w:marTop w:val="0"/>
          <w:marBottom w:val="0"/>
          <w:divBdr>
            <w:top w:val="none" w:sz="0" w:space="0" w:color="auto"/>
            <w:left w:val="none" w:sz="0" w:space="0" w:color="auto"/>
            <w:bottom w:val="none" w:sz="0" w:space="0" w:color="auto"/>
            <w:right w:val="none" w:sz="0" w:space="0" w:color="auto"/>
          </w:divBdr>
        </w:div>
        <w:div w:id="589697112">
          <w:marLeft w:val="0"/>
          <w:marRight w:val="0"/>
          <w:marTop w:val="0"/>
          <w:marBottom w:val="0"/>
          <w:divBdr>
            <w:top w:val="none" w:sz="0" w:space="0" w:color="auto"/>
            <w:left w:val="none" w:sz="0" w:space="0" w:color="auto"/>
            <w:bottom w:val="none" w:sz="0" w:space="0" w:color="auto"/>
            <w:right w:val="none" w:sz="0" w:space="0" w:color="auto"/>
          </w:divBdr>
        </w:div>
        <w:div w:id="2051951985">
          <w:marLeft w:val="0"/>
          <w:marRight w:val="0"/>
          <w:marTop w:val="0"/>
          <w:marBottom w:val="0"/>
          <w:divBdr>
            <w:top w:val="none" w:sz="0" w:space="0" w:color="auto"/>
            <w:left w:val="none" w:sz="0" w:space="0" w:color="auto"/>
            <w:bottom w:val="none" w:sz="0" w:space="0" w:color="auto"/>
            <w:right w:val="none" w:sz="0" w:space="0" w:color="auto"/>
          </w:divBdr>
        </w:div>
      </w:divsChild>
    </w:div>
    <w:div w:id="1385374114">
      <w:bodyDiv w:val="1"/>
      <w:marLeft w:val="0"/>
      <w:marRight w:val="0"/>
      <w:marTop w:val="0"/>
      <w:marBottom w:val="0"/>
      <w:divBdr>
        <w:top w:val="none" w:sz="0" w:space="0" w:color="auto"/>
        <w:left w:val="none" w:sz="0" w:space="0" w:color="auto"/>
        <w:bottom w:val="none" w:sz="0" w:space="0" w:color="auto"/>
        <w:right w:val="none" w:sz="0" w:space="0" w:color="auto"/>
      </w:divBdr>
    </w:div>
    <w:div w:id="1419015219">
      <w:bodyDiv w:val="1"/>
      <w:marLeft w:val="0"/>
      <w:marRight w:val="0"/>
      <w:marTop w:val="0"/>
      <w:marBottom w:val="0"/>
      <w:divBdr>
        <w:top w:val="none" w:sz="0" w:space="0" w:color="auto"/>
        <w:left w:val="none" w:sz="0" w:space="0" w:color="auto"/>
        <w:bottom w:val="none" w:sz="0" w:space="0" w:color="auto"/>
        <w:right w:val="none" w:sz="0" w:space="0" w:color="auto"/>
      </w:divBdr>
      <w:divsChild>
        <w:div w:id="889339180">
          <w:marLeft w:val="0"/>
          <w:marRight w:val="0"/>
          <w:marTop w:val="0"/>
          <w:marBottom w:val="0"/>
          <w:divBdr>
            <w:top w:val="none" w:sz="0" w:space="0" w:color="auto"/>
            <w:left w:val="none" w:sz="0" w:space="0" w:color="auto"/>
            <w:bottom w:val="none" w:sz="0" w:space="0" w:color="auto"/>
            <w:right w:val="none" w:sz="0" w:space="0" w:color="auto"/>
          </w:divBdr>
        </w:div>
        <w:div w:id="2015262850">
          <w:marLeft w:val="0"/>
          <w:marRight w:val="0"/>
          <w:marTop w:val="0"/>
          <w:marBottom w:val="0"/>
          <w:divBdr>
            <w:top w:val="none" w:sz="0" w:space="0" w:color="auto"/>
            <w:left w:val="none" w:sz="0" w:space="0" w:color="auto"/>
            <w:bottom w:val="none" w:sz="0" w:space="0" w:color="auto"/>
            <w:right w:val="none" w:sz="0" w:space="0" w:color="auto"/>
          </w:divBdr>
        </w:div>
      </w:divsChild>
    </w:div>
    <w:div w:id="1455756017">
      <w:bodyDiv w:val="1"/>
      <w:marLeft w:val="0"/>
      <w:marRight w:val="0"/>
      <w:marTop w:val="0"/>
      <w:marBottom w:val="0"/>
      <w:divBdr>
        <w:top w:val="none" w:sz="0" w:space="0" w:color="auto"/>
        <w:left w:val="none" w:sz="0" w:space="0" w:color="auto"/>
        <w:bottom w:val="none" w:sz="0" w:space="0" w:color="auto"/>
        <w:right w:val="none" w:sz="0" w:space="0" w:color="auto"/>
      </w:divBdr>
    </w:div>
    <w:div w:id="1463960215">
      <w:bodyDiv w:val="1"/>
      <w:marLeft w:val="0"/>
      <w:marRight w:val="0"/>
      <w:marTop w:val="0"/>
      <w:marBottom w:val="0"/>
      <w:divBdr>
        <w:top w:val="none" w:sz="0" w:space="0" w:color="auto"/>
        <w:left w:val="none" w:sz="0" w:space="0" w:color="auto"/>
        <w:bottom w:val="none" w:sz="0" w:space="0" w:color="auto"/>
        <w:right w:val="none" w:sz="0" w:space="0" w:color="auto"/>
      </w:divBdr>
    </w:div>
    <w:div w:id="1487824370">
      <w:bodyDiv w:val="1"/>
      <w:marLeft w:val="0"/>
      <w:marRight w:val="0"/>
      <w:marTop w:val="0"/>
      <w:marBottom w:val="0"/>
      <w:divBdr>
        <w:top w:val="none" w:sz="0" w:space="0" w:color="auto"/>
        <w:left w:val="none" w:sz="0" w:space="0" w:color="auto"/>
        <w:bottom w:val="none" w:sz="0" w:space="0" w:color="auto"/>
        <w:right w:val="none" w:sz="0" w:space="0" w:color="auto"/>
      </w:divBdr>
    </w:div>
    <w:div w:id="1550454389">
      <w:bodyDiv w:val="1"/>
      <w:marLeft w:val="0"/>
      <w:marRight w:val="0"/>
      <w:marTop w:val="0"/>
      <w:marBottom w:val="0"/>
      <w:divBdr>
        <w:top w:val="none" w:sz="0" w:space="0" w:color="auto"/>
        <w:left w:val="none" w:sz="0" w:space="0" w:color="auto"/>
        <w:bottom w:val="none" w:sz="0" w:space="0" w:color="auto"/>
        <w:right w:val="none" w:sz="0" w:space="0" w:color="auto"/>
      </w:divBdr>
    </w:div>
    <w:div w:id="1578662169">
      <w:bodyDiv w:val="1"/>
      <w:marLeft w:val="0"/>
      <w:marRight w:val="0"/>
      <w:marTop w:val="0"/>
      <w:marBottom w:val="0"/>
      <w:divBdr>
        <w:top w:val="none" w:sz="0" w:space="0" w:color="auto"/>
        <w:left w:val="none" w:sz="0" w:space="0" w:color="auto"/>
        <w:bottom w:val="none" w:sz="0" w:space="0" w:color="auto"/>
        <w:right w:val="none" w:sz="0" w:space="0" w:color="auto"/>
      </w:divBdr>
    </w:div>
    <w:div w:id="1634673679">
      <w:bodyDiv w:val="1"/>
      <w:marLeft w:val="0"/>
      <w:marRight w:val="0"/>
      <w:marTop w:val="0"/>
      <w:marBottom w:val="0"/>
      <w:divBdr>
        <w:top w:val="none" w:sz="0" w:space="0" w:color="auto"/>
        <w:left w:val="none" w:sz="0" w:space="0" w:color="auto"/>
        <w:bottom w:val="none" w:sz="0" w:space="0" w:color="auto"/>
        <w:right w:val="none" w:sz="0" w:space="0" w:color="auto"/>
      </w:divBdr>
    </w:div>
    <w:div w:id="1654212746">
      <w:bodyDiv w:val="1"/>
      <w:marLeft w:val="0"/>
      <w:marRight w:val="0"/>
      <w:marTop w:val="0"/>
      <w:marBottom w:val="0"/>
      <w:divBdr>
        <w:top w:val="none" w:sz="0" w:space="0" w:color="auto"/>
        <w:left w:val="none" w:sz="0" w:space="0" w:color="auto"/>
        <w:bottom w:val="none" w:sz="0" w:space="0" w:color="auto"/>
        <w:right w:val="none" w:sz="0" w:space="0" w:color="auto"/>
      </w:divBdr>
    </w:div>
    <w:div w:id="1711414177">
      <w:bodyDiv w:val="1"/>
      <w:marLeft w:val="0"/>
      <w:marRight w:val="0"/>
      <w:marTop w:val="0"/>
      <w:marBottom w:val="0"/>
      <w:divBdr>
        <w:top w:val="none" w:sz="0" w:space="0" w:color="auto"/>
        <w:left w:val="none" w:sz="0" w:space="0" w:color="auto"/>
        <w:bottom w:val="none" w:sz="0" w:space="0" w:color="auto"/>
        <w:right w:val="none" w:sz="0" w:space="0" w:color="auto"/>
      </w:divBdr>
    </w:div>
    <w:div w:id="1748376631">
      <w:bodyDiv w:val="1"/>
      <w:marLeft w:val="0"/>
      <w:marRight w:val="0"/>
      <w:marTop w:val="0"/>
      <w:marBottom w:val="0"/>
      <w:divBdr>
        <w:top w:val="none" w:sz="0" w:space="0" w:color="auto"/>
        <w:left w:val="none" w:sz="0" w:space="0" w:color="auto"/>
        <w:bottom w:val="none" w:sz="0" w:space="0" w:color="auto"/>
        <w:right w:val="none" w:sz="0" w:space="0" w:color="auto"/>
      </w:divBdr>
    </w:div>
    <w:div w:id="1778720509">
      <w:bodyDiv w:val="1"/>
      <w:marLeft w:val="0"/>
      <w:marRight w:val="0"/>
      <w:marTop w:val="0"/>
      <w:marBottom w:val="0"/>
      <w:divBdr>
        <w:top w:val="none" w:sz="0" w:space="0" w:color="auto"/>
        <w:left w:val="none" w:sz="0" w:space="0" w:color="auto"/>
        <w:bottom w:val="none" w:sz="0" w:space="0" w:color="auto"/>
        <w:right w:val="none" w:sz="0" w:space="0" w:color="auto"/>
      </w:divBdr>
    </w:div>
    <w:div w:id="1853757476">
      <w:bodyDiv w:val="1"/>
      <w:marLeft w:val="0"/>
      <w:marRight w:val="0"/>
      <w:marTop w:val="0"/>
      <w:marBottom w:val="0"/>
      <w:divBdr>
        <w:top w:val="none" w:sz="0" w:space="0" w:color="auto"/>
        <w:left w:val="none" w:sz="0" w:space="0" w:color="auto"/>
        <w:bottom w:val="none" w:sz="0" w:space="0" w:color="auto"/>
        <w:right w:val="none" w:sz="0" w:space="0" w:color="auto"/>
      </w:divBdr>
    </w:div>
    <w:div w:id="1928003771">
      <w:bodyDiv w:val="1"/>
      <w:marLeft w:val="0"/>
      <w:marRight w:val="0"/>
      <w:marTop w:val="0"/>
      <w:marBottom w:val="0"/>
      <w:divBdr>
        <w:top w:val="none" w:sz="0" w:space="0" w:color="auto"/>
        <w:left w:val="none" w:sz="0" w:space="0" w:color="auto"/>
        <w:bottom w:val="none" w:sz="0" w:space="0" w:color="auto"/>
        <w:right w:val="none" w:sz="0" w:space="0" w:color="auto"/>
      </w:divBdr>
    </w:div>
    <w:div w:id="1990547754">
      <w:bodyDiv w:val="1"/>
      <w:marLeft w:val="0"/>
      <w:marRight w:val="0"/>
      <w:marTop w:val="0"/>
      <w:marBottom w:val="0"/>
      <w:divBdr>
        <w:top w:val="none" w:sz="0" w:space="0" w:color="auto"/>
        <w:left w:val="none" w:sz="0" w:space="0" w:color="auto"/>
        <w:bottom w:val="none" w:sz="0" w:space="0" w:color="auto"/>
        <w:right w:val="none" w:sz="0" w:space="0" w:color="auto"/>
      </w:divBdr>
    </w:div>
    <w:div w:id="2012952823">
      <w:bodyDiv w:val="1"/>
      <w:marLeft w:val="0"/>
      <w:marRight w:val="0"/>
      <w:marTop w:val="0"/>
      <w:marBottom w:val="0"/>
      <w:divBdr>
        <w:top w:val="none" w:sz="0" w:space="0" w:color="auto"/>
        <w:left w:val="none" w:sz="0" w:space="0" w:color="auto"/>
        <w:bottom w:val="none" w:sz="0" w:space="0" w:color="auto"/>
        <w:right w:val="none" w:sz="0" w:space="0" w:color="auto"/>
      </w:divBdr>
    </w:div>
    <w:div w:id="2088919593">
      <w:bodyDiv w:val="1"/>
      <w:marLeft w:val="0"/>
      <w:marRight w:val="0"/>
      <w:marTop w:val="0"/>
      <w:marBottom w:val="0"/>
      <w:divBdr>
        <w:top w:val="none" w:sz="0" w:space="0" w:color="auto"/>
        <w:left w:val="none" w:sz="0" w:space="0" w:color="auto"/>
        <w:bottom w:val="none" w:sz="0" w:space="0" w:color="auto"/>
        <w:right w:val="none" w:sz="0" w:space="0" w:color="auto"/>
      </w:divBdr>
    </w:div>
    <w:div w:id="211937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griculture.ec.europa.eu/common-agricultural-policy/cap-overview/cap-glance_f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2649/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EurolookProperties>
  <ProductCustomizationId>EC</ProductCustomizationId>
  <Created>
    <Version>10.0.47847.0</Version>
    <Date>2025-10-24T15:07:58</Date>
    <Language>EN</Language>
    <Note/>
  </Created>
  <Edited>
    <Version/>
    <Date/>
  </Edited>
  <DocumentModel>
    <Id>6cbda13a-4db2-46c6-876a-ef72275827ef</Id>
    <Name>Report</Name>
  </DocumentModel>
  <CustomTemplate>
    <Id/>
    <Name/>
  </CustomTemplate>
  <DocumentDate>2025-10-24T15:07:58</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EC_SecurityDistributionSpecialHandling MetadataSerializationType="SimpleValue"/>
  </DocumentMetadata>
</EurolookProperties>
</file>

<file path=customXml/item3.xml><?xml version="1.0" encoding="utf-8"?>
<Author Role="Creator" AuthorRoleName="Writer" AuthorRoleDisplayName="Writer" AuthorRoleId="a4fbaff4-b07c-48b4-a21e-e7b9eedf3796">
  <Id>d5be51d8-bc80-46c6-9337-594c6e41e936</Id>
  <Names>
    <Latin>
      <FirstName>Isabelle</FirstName>
      <LastName>MUQUET</LastName>
    </Latin>
    <Greek>
      <FirstName/>
      <LastName/>
    </Greek>
    <Cyrillic>
      <FirstName/>
      <LastName/>
    </Cyrillic>
    <DocumentScript>
      <FirstName>Isabelle</FirstName>
      <LastName>MUQUET</LastName>
      <FullName>Isabelle MUQUET</FullName>
    </DocumentScript>
  </Names>
  <Initials>IM</Initials>
  <Gender>f</Gender>
  <Email>Isabelle.MUQUET@ec.europa.eu</Email>
  <Service>AGRI.A.3</Service>
  <Function ADCode="" ShowInSignature="true" ShowInHeader="false" HeaderText=""/>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2>
  <OrgaEntity3>
    <Id>d618432b-a67d-42c3-8c50-d5faa0e2abc5</Id>
    <LogicalLevel>3</LogicalLevel>
    <Name>AGRI.A.3</Name>
    <HeadLine1>A.3 – Policy performance</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
    <OrgaEntity>
      <Id>d618432b-a67d-42c3-8c50-d5faa0e2abc5</Id>
      <LogicalLevel>3</LogicalLevel>
      <Name>AGRI.A.3</Name>
      <HeadLine1>A.3 – Policy performance</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+32 229-59434</Phone>
    <Office>L130 06/068</Office>
  </MainWorkplace>
  <Workplaces>
    <Workplace IsMain="true">
      <AddressId>f03b5801-04c9-4931-aa17-c6d6c70bc579</AddressId>
      <Fax/>
      <Phone>+32 229-59434</Phone>
      <Office>L130 06/068</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0C5E3586-FD86-40C2-88A3-1435D49A7DA1}">
  <ds:schemaRefs/>
</ds:datastoreItem>
</file>

<file path=customXml/itemProps4.xml><?xml version="1.0" encoding="utf-8"?>
<ds:datastoreItem xmlns:ds="http://schemas.openxmlformats.org/officeDocument/2006/customXml" ds:itemID="{07755085-FB90-4563-822D-CC8C8434B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6097</Words>
  <Characters>34759</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2026-01-19T06:49:00Z</dcterms:created>
  <dcterms:modified xsi:type="dcterms:W3CDTF">2026-01-21T07:32:00Z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2025-11-25T17:32:43Z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ae6f17cd-2980-4b3c-9a92-ee99b34060c7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ies>
</file>