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F7E87" w14:textId="1E8135E4" w:rsidR="00513D3C" w:rsidRPr="00170DF9" w:rsidRDefault="00937E5A" w:rsidP="00937E5A">
      <w:pPr>
        <w:pStyle w:val="Pagedecouverture"/>
        <w:rPr>
          <w:noProof/>
        </w:rPr>
      </w:pPr>
      <w:bookmarkStart w:id="0" w:name="LW_BM_COVERPAGE"/>
      <w:r>
        <w:rPr>
          <w:noProof/>
        </w:rPr>
        <w:pict w14:anchorId="0714A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2D3630-79DD-4300-8B58-DD4E40EB09B0" style="width:455.25pt;height:369pt">
            <v:imagedata r:id="rId11" o:title=""/>
          </v:shape>
        </w:pict>
      </w:r>
    </w:p>
    <w:bookmarkEnd w:id="0"/>
    <w:p w14:paraId="4E8302B7" w14:textId="77777777" w:rsidR="00513D3C" w:rsidRPr="00170DF9" w:rsidRDefault="00513D3C" w:rsidP="00513D3C">
      <w:pPr>
        <w:rPr>
          <w:noProof/>
          <w:lang w:val="en-IE"/>
        </w:rPr>
        <w:sectPr w:rsidR="00513D3C" w:rsidRPr="00170DF9" w:rsidSect="00937E5A">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0DD180D7" w14:textId="2E0B5458" w:rsidR="00E918B5" w:rsidRPr="00170DF9" w:rsidRDefault="00E918B5" w:rsidP="00E918B5">
      <w:pPr>
        <w:rPr>
          <w:rFonts w:ascii="Times New Roman" w:eastAsia="Times New Roman" w:hAnsi="Times New Roman" w:cs="Times New Roman"/>
          <w:smallCaps/>
          <w:noProof/>
          <w:color w:val="000000" w:themeColor="text1"/>
          <w:kern w:val="0"/>
          <w:sz w:val="24"/>
          <w:szCs w:val="24"/>
          <w14:ligatures w14:val="none"/>
        </w:rPr>
      </w:pPr>
      <w:bookmarkStart w:id="1" w:name="_GoBack"/>
      <w:bookmarkEnd w:id="1"/>
      <w:r>
        <w:rPr>
          <w:rFonts w:ascii="Times New Roman" w:hAnsi="Times New Roman"/>
          <w:smallCaps/>
          <w:noProof/>
          <w:color w:val="000000" w:themeColor="text1"/>
          <w:sz w:val="24"/>
        </w:rPr>
        <w:lastRenderedPageBreak/>
        <w:t>Introducere</w:t>
      </w:r>
    </w:p>
    <w:p w14:paraId="7EAAF786" w14:textId="79A293F7" w:rsidR="00681258" w:rsidRPr="00170DF9" w:rsidRDefault="000E642C" w:rsidP="00B56406">
      <w:pPr>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De la introducerea sa, politica agricolă comună (PAC) a evoluat în mod semnificativ, abordând nevoile emergente și adaptându-și modalitățile de lucru. </w:t>
      </w:r>
      <w:r>
        <w:rPr>
          <w:rFonts w:ascii="Times New Roman" w:hAnsi="Times New Roman"/>
          <w:b/>
          <w:noProof/>
          <w:sz w:val="24"/>
        </w:rPr>
        <w:t xml:space="preserve">Noul model de performanță pentru PAC 2023-2027 a mutat accentul de la respectarea normelor detaliate ale UE la o politică bazată pe performanță și pe obiective. Scopul său este de a obține rezultate tangibile și de a îndeplini obiectivele comune, oferind statelor membre o mai mare flexibilitate în luarea deciziilor cu privire la detaliile politicii. </w:t>
      </w:r>
    </w:p>
    <w:p w14:paraId="6C3AA6D6" w14:textId="79C48974" w:rsidR="00E86695" w:rsidRPr="00170DF9" w:rsidRDefault="00BA24EE" w:rsidP="00B56406">
      <w:pPr>
        <w:jc w:val="both"/>
        <w:rPr>
          <w:rFonts w:ascii="Times New Roman" w:eastAsia="Times New Roman" w:hAnsi="Times New Roman" w:cs="Times New Roman"/>
          <w:strike/>
          <w:noProof/>
          <w:kern w:val="0"/>
          <w:sz w:val="24"/>
          <w:szCs w:val="24"/>
          <w14:ligatures w14:val="none"/>
        </w:rPr>
      </w:pPr>
      <w:r>
        <w:rPr>
          <w:rFonts w:ascii="Times New Roman" w:hAnsi="Times New Roman"/>
          <w:b/>
          <w:noProof/>
          <w:sz w:val="24"/>
        </w:rPr>
        <w:t>Acest model se bazează pe (i) un instrument unic de planificare – un plan strategic PAC pentru fiecare stat membru</w:t>
      </w:r>
      <w:r>
        <w:rPr>
          <w:rStyle w:val="FootnoteReference"/>
          <w:rFonts w:ascii="Times New Roman" w:hAnsi="Times New Roman" w:cs="Times New Roman"/>
          <w:b/>
          <w:bCs/>
          <w:noProof/>
          <w:sz w:val="24"/>
          <w:szCs w:val="24"/>
        </w:rPr>
        <w:footnoteReference w:id="2"/>
      </w:r>
      <w:r>
        <w:rPr>
          <w:rFonts w:ascii="Times New Roman" w:hAnsi="Times New Roman"/>
          <w:b/>
          <w:noProof/>
          <w:sz w:val="24"/>
        </w:rPr>
        <w:t xml:space="preserve"> – care integrează pentru prima dată instrumente ale ambelor fonduri PAC în strategii comune de intervenție; (ii) o mai mare participare a părților interesate și (iii) un accent pe performanță,</w:t>
      </w:r>
      <w:r>
        <w:rPr>
          <w:rFonts w:ascii="Times New Roman" w:hAnsi="Times New Roman"/>
          <w:noProof/>
          <w:sz w:val="24"/>
        </w:rPr>
        <w:t xml:space="preserve"> prin instituirea unui cadru comun de performanță și a procesului de evaluare a performanței. Această abordare a fost introdusă pentru a îmbunătăți coerența și a spori eficacitatea intervențiilor PAC, răspunzând în același timp mai bine nevoilor naționale specifice și diverse în ceea ce privește contribuția la realizarea obiectivelor PAC comune ale UE. Noul model de performanță implică, de asemenea, o nouă abordare a asigurării, în care auditurile se axează pe conceperea și funcționarea sistemelor de guvernanță ale statelor membre, în loc să vizeze beneficiarii individuali.</w:t>
      </w:r>
    </w:p>
    <w:p w14:paraId="184D1AEB" w14:textId="0676CFFE" w:rsidR="008F32BB" w:rsidRPr="00170DF9" w:rsidRDefault="00F174FA" w:rsidP="00B56406">
      <w:pPr>
        <w:jc w:val="both"/>
        <w:rPr>
          <w:rFonts w:ascii="Times New Roman" w:hAnsi="Times New Roman" w:cs="Times New Roman"/>
          <w:noProof/>
          <w:sz w:val="24"/>
          <w:szCs w:val="24"/>
        </w:rPr>
      </w:pPr>
      <w:r>
        <w:rPr>
          <w:rFonts w:ascii="Times New Roman" w:hAnsi="Times New Roman"/>
          <w:noProof/>
          <w:sz w:val="24"/>
        </w:rPr>
        <w:t>Acest model de performanță a făcut deja obiectul mai multor ajustări și simplificări bazate pe feedbackul părților interesate și pe solicitările statelor membre după doi ani de punere în aplicare. Informațiile obținute în urma punerii sale în aplicare au constituit, de asemenea, baza după care s-a ghidat propunerea pentru perioada viitoare 2028-2034.</w:t>
      </w:r>
    </w:p>
    <w:p w14:paraId="23D381D8" w14:textId="6CBF8841" w:rsidR="001E47BB" w:rsidRPr="00170DF9" w:rsidRDefault="008F32BB" w:rsidP="00B56406">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Prezentul raport răspunde solicitării colegiuitorilor [articolul 141 alineatul (3) din Regulamentul (UE) 2021/2115 al Parlamentului European și al Consiliului</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de a prezenta informații privind funcționarea noului model de performanță și o primă evaluare a contribuției intervențiilor planificate în cele 28 de planuri strategice PAC la îndeplinirea obiectivelor UE în materie de mediu și de climă. </w:t>
      </w:r>
    </w:p>
    <w:p w14:paraId="0D6069FA" w14:textId="206B7639" w:rsidR="00FD5E29" w:rsidRPr="00170DF9" w:rsidRDefault="00FD5E29" w:rsidP="007D42D3">
      <w:pPr>
        <w:pStyle w:val="Heading1"/>
        <w:numPr>
          <w:ilvl w:val="0"/>
          <w:numId w:val="23"/>
        </w:numPr>
        <w:rPr>
          <w:rFonts w:ascii="Times New Roman" w:hAnsi="Times New Roman" w:cs="Times New Roman"/>
          <w:b/>
          <w:bCs/>
          <w:smallCaps/>
          <w:noProof/>
          <w:color w:val="auto"/>
          <w:sz w:val="24"/>
          <w:szCs w:val="24"/>
        </w:rPr>
      </w:pPr>
      <w:r>
        <w:rPr>
          <w:rFonts w:ascii="Times New Roman" w:hAnsi="Times New Roman"/>
          <w:b/>
          <w:smallCaps/>
          <w:noProof/>
          <w:color w:val="auto"/>
          <w:sz w:val="24"/>
        </w:rPr>
        <w:t xml:space="preserve">Aplicarea noului model de performanță de către statele membre </w:t>
      </w:r>
    </w:p>
    <w:p w14:paraId="2E42DCA8" w14:textId="361D52F3" w:rsidR="00FD5E29" w:rsidRPr="00170DF9" w:rsidRDefault="007C054A" w:rsidP="007D42D3">
      <w:pPr>
        <w:pStyle w:val="ListParagraph"/>
        <w:numPr>
          <w:ilvl w:val="0"/>
          <w:numId w:val="1"/>
        </w:numPr>
        <w:rPr>
          <w:rFonts w:ascii="Times New Roman" w:hAnsi="Times New Roman" w:cs="Times New Roman"/>
          <w:b/>
          <w:smallCaps/>
          <w:noProof/>
          <w:color w:val="E97132" w:themeColor="accent2"/>
          <w:sz w:val="24"/>
          <w:szCs w:val="24"/>
        </w:rPr>
      </w:pPr>
      <w:r>
        <w:rPr>
          <w:rFonts w:ascii="Times New Roman" w:hAnsi="Times New Roman"/>
          <w:b/>
          <w:noProof/>
          <w:sz w:val="24"/>
        </w:rPr>
        <w:t>Elaborarea strategică și bazată într-o mai mare măsură pe dovezi a planurilor PAC</w:t>
      </w:r>
    </w:p>
    <w:p w14:paraId="6CB56610" w14:textId="4469BCB1" w:rsidR="00C82087" w:rsidRPr="00170DF9" w:rsidRDefault="6737572E" w:rsidP="001045A5">
      <w:pPr>
        <w:pStyle w:val="NormalWeb"/>
        <w:jc w:val="both"/>
        <w:rPr>
          <w:noProof/>
        </w:rPr>
      </w:pPr>
      <w:r>
        <w:rPr>
          <w:noProof/>
        </w:rPr>
        <w:t xml:space="preserve">Comisia a prezentat o propunere privind o </w:t>
      </w:r>
      <w:hyperlink r:id="rId18">
        <w:r>
          <w:rPr>
            <w:noProof/>
          </w:rPr>
          <w:t>PAC</w:t>
        </w:r>
      </w:hyperlink>
      <w:r>
        <w:rPr>
          <w:noProof/>
        </w:rPr>
        <w:t xml:space="preserve"> reformată în 2018, în conformitate cu cadrul financiar multianual 2021-2027. În urma negocierilor dintre colegiuitorii UE, regulamentele PAC au fost adoptate abia în 2021 și au început să se aplice de la 1 ianuarie 2023. </w:t>
      </w:r>
    </w:p>
    <w:p w14:paraId="1B60C527" w14:textId="021D1558" w:rsidR="008652DE" w:rsidRPr="00170DF9" w:rsidRDefault="005B00D7" w:rsidP="001045A5">
      <w:pPr>
        <w:pStyle w:val="NormalWeb"/>
        <w:jc w:val="both"/>
        <w:rPr>
          <w:strike/>
          <w:noProof/>
        </w:rPr>
      </w:pPr>
      <w:r>
        <w:rPr>
          <w:noProof/>
        </w:rPr>
        <w:t xml:space="preserve">Pentru a ajuta statele membre să își elaboreze și să își conceapă planurile PAC, Comisia a lansat în 2020 un dialog structurat, cu schimburi privind situația agriculturii și a zonelor rurale din fiecare stat membru, și a publicat </w:t>
      </w:r>
      <w:r>
        <w:rPr>
          <w:noProof/>
          <w:color w:val="000000" w:themeColor="text1"/>
        </w:rPr>
        <w:t>recomandări specifice în decembrie 2020</w:t>
      </w:r>
      <w:r>
        <w:rPr>
          <w:rStyle w:val="FootnoteReference"/>
          <w:noProof/>
          <w:color w:val="000000" w:themeColor="text1"/>
          <w:lang w:val="en-IE"/>
        </w:rPr>
        <w:footnoteReference w:id="4"/>
      </w:r>
      <w:r>
        <w:rPr>
          <w:noProof/>
          <w:color w:val="000000" w:themeColor="text1"/>
        </w:rPr>
        <w:t xml:space="preserve">. </w:t>
      </w:r>
    </w:p>
    <w:p w14:paraId="09EC3D8D" w14:textId="2CAF38CE" w:rsidR="00F964E0" w:rsidRPr="00170DF9" w:rsidRDefault="6737572E" w:rsidP="001045A5">
      <w:pPr>
        <w:pStyle w:val="NormalWeb"/>
        <w:jc w:val="both"/>
        <w:rPr>
          <w:noProof/>
        </w:rPr>
      </w:pPr>
      <w:r>
        <w:rPr>
          <w:noProof/>
        </w:rPr>
        <w:t xml:space="preserve">Pentru a-și concepe intervențiile, statelor membre li s-a solicitat să realizeze o evaluare aprofundată a nevoilor, pe baza unei analize a punctelor forte, a punctelor slabe, a oportunităților și a amenințărilor (SWOT) de pe teritoriul lor și din sectorul lor agroalimentar, precum și să elaboreze o logică de intervenție precisă. Evaluarea trebuia să fie exhaustivă și să evalueze dacă nevoile vor fi abordate prin intermediul planurilor PAC sau al altor instrumente ale UE sau naționale considerate a fi mai adecvate scopului urmărit. </w:t>
      </w:r>
    </w:p>
    <w:p w14:paraId="4334D63D" w14:textId="460AE84B" w:rsidR="001D0927" w:rsidRPr="00170DF9" w:rsidRDefault="27966A74" w:rsidP="001045A5">
      <w:pPr>
        <w:pStyle w:val="NormalWeb"/>
        <w:jc w:val="both"/>
        <w:rPr>
          <w:noProof/>
        </w:rPr>
      </w:pPr>
      <w:r>
        <w:rPr>
          <w:b/>
          <w:noProof/>
        </w:rPr>
        <w:t>Planurile au fost aprobate de Comisie în a doua jumătate a anului 2022</w:t>
      </w:r>
      <w:r>
        <w:rPr>
          <w:noProof/>
        </w:rPr>
        <w:t xml:space="preserve">, în urma răspunsurilor oficiale la scrisorile de observații din partea Comisiei ca răspuns la fiecare plan prezentat. </w:t>
      </w:r>
    </w:p>
    <w:p w14:paraId="39F29968" w14:textId="274CA09C" w:rsidR="004874E1" w:rsidRPr="00170DF9" w:rsidRDefault="00C63CD8" w:rsidP="007D42D3">
      <w:pPr>
        <w:pStyle w:val="ListParagraph"/>
        <w:keepNext/>
        <w:numPr>
          <w:ilvl w:val="0"/>
          <w:numId w:val="24"/>
        </w:numPr>
        <w:rPr>
          <w:rFonts w:ascii="Times New Roman" w:hAnsi="Times New Roman" w:cs="Times New Roman"/>
          <w:b/>
          <w:bCs/>
          <w:noProof/>
          <w:sz w:val="24"/>
          <w:szCs w:val="24"/>
        </w:rPr>
      </w:pPr>
      <w:r>
        <w:rPr>
          <w:rFonts w:ascii="Times New Roman" w:hAnsi="Times New Roman"/>
          <w:b/>
          <w:noProof/>
          <w:sz w:val="24"/>
        </w:rPr>
        <w:t xml:space="preserve">Noua guvernanță </w:t>
      </w:r>
    </w:p>
    <w:p w14:paraId="5780D563" w14:textId="52BC94E3" w:rsidR="00CA3C39" w:rsidRPr="00170DF9" w:rsidRDefault="001914EE" w:rsidP="00E64861">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Planificarea strategică a condus la reorganizări și la noi metode de lucru în administrațiile statelor membre.</w:t>
      </w:r>
      <w:r>
        <w:rPr>
          <w:rFonts w:ascii="Times New Roman" w:hAnsi="Times New Roman"/>
          <w:noProof/>
          <w:sz w:val="24"/>
        </w:rPr>
        <w:t xml:space="preserve"> Un plan unic care să acopere toate intervențiile a necesitat o colaborare mai strânsă între departamentele responsabile cu plățile directe, dezvoltarea rurală și sprijinul sectorial, dar și o mai bună coordonare între ministerele/departamentele regionale și naționale. Statele membre cu practici de lucru colaborative solide între administrații, cu responsabilități clar stabilite și canale eficiente de schimb de informații au fost în măsură să se adapteze mai rapid la acest nou model de performanță. Cu toate acestea, unele state membre cu o repartizare specifică a competențelor naționale și regionale au întâmpinat unele dificultăți.</w:t>
      </w:r>
    </w:p>
    <w:p w14:paraId="134A5DEC" w14:textId="6AF445A1" w:rsidR="00CA3C39" w:rsidRPr="00170DF9" w:rsidRDefault="00DE3CA8" w:rsidP="007777D1">
      <w:pPr>
        <w:spacing w:line="257" w:lineRule="auto"/>
        <w:jc w:val="both"/>
        <w:rPr>
          <w:rFonts w:ascii="Times New Roman" w:eastAsia="Times New Roman" w:hAnsi="Times New Roman" w:cs="Times New Roman"/>
          <w:noProof/>
          <w:kern w:val="0"/>
          <w:sz w:val="24"/>
          <w:szCs w:val="24"/>
          <w14:ligatures w14:val="none"/>
        </w:rPr>
      </w:pPr>
      <w:bookmarkStart w:id="2" w:name="_Hlk212482159"/>
      <w:r>
        <w:rPr>
          <w:rFonts w:ascii="Times New Roman" w:hAnsi="Times New Roman"/>
          <w:noProof/>
          <w:sz w:val="24"/>
        </w:rPr>
        <w:t xml:space="preserve">Dinamica variază foarte mult de la un stat membru la altul, dar noul model de performanță a condus la îmbunătățirea guvernanței PAC, cu dispoziții juridice explicite privind rolul parteneriatului. </w:t>
      </w:r>
      <w:bookmarkEnd w:id="2"/>
      <w:r>
        <w:rPr>
          <w:rFonts w:ascii="Times New Roman" w:hAnsi="Times New Roman"/>
          <w:noProof/>
          <w:sz w:val="24"/>
        </w:rPr>
        <w:t xml:space="preserve">Implicarea prevăzută a părților interesate în elaborarea și punerea în aplicare a planurilor a condus la o mai bună aliniere la necesitățile statelor membre. Cu toate acestea, deși contribuțiile regionale/teritoriale au fost posibile în cadrul planurilor, unele regiuni au considerat că participarea lor în elaborarea planurilor a fost mai mică și s-au confruntat cu unele întârzieri ale contribuțiilor din cauza coordonării naționale. Numărul de pagini al planurilor (adesea de ordinul câtorva mii) a fost, de asemenea, identificat ca fiind o problemă de către mai multe autorități de management și părți interesate. </w:t>
      </w:r>
    </w:p>
    <w:p w14:paraId="52737B17" w14:textId="7FBDD225" w:rsidR="001F3106" w:rsidRPr="00170DF9" w:rsidRDefault="00560EA5" w:rsidP="007D42D3">
      <w:pPr>
        <w:pStyle w:val="SectionTitle"/>
        <w:numPr>
          <w:ilvl w:val="0"/>
          <w:numId w:val="24"/>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Proiectare bazată pe o evaluare a nevoilor și pe diferite opțiuni de planificare</w:t>
      </w:r>
    </w:p>
    <w:p w14:paraId="653E6FE6" w14:textId="6CD2AAE0" w:rsidR="00B82E8C" w:rsidRPr="00170DF9" w:rsidRDefault="00D252FD" w:rsidP="00E64861">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Pentru a-și concepe planurile, statele membre au utilizat analiza SWOT, consultările în cadrul parteneriatului, recomandările și scrisorile de observații ale Comisiei. Ele au subliniat că, deși analiza și identificarea nevoilor au avut loc în condiții adecvate, adoptarea tardivă a legislației UE a redus timpul dedicat inovării și perfecționării conceperii și planificării intervențiilor. Anticiparea la nivel național a fost esențială în această etapă.</w:t>
      </w:r>
    </w:p>
    <w:p w14:paraId="351A201D" w14:textId="5030624B" w:rsidR="00085FC2" w:rsidRPr="00170DF9" w:rsidRDefault="000500A4" w:rsidP="003961D6">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Planurile au fost utilizate în mare măsură pentru a răspunde nevoilor socioeconomice, de mediu și legate de climă. Pentru perioada 2023-2027, 8 % din alocarea PAC a fost planificată pentru dezvoltarea rurală, pe lângă agricultură. În ceea ce privește energia din surse regenerabile, inovarea, digitalizarea, schimbul de cunoștințe privind gestionarea riscurilor și, până la un anumit grad, măsurile de politică rurală, unele state membre au planificat să își atingă obiectivele folosindu-se și de alte fonduri ale UE sau naționale, ceea ce a necesitat o coordonare mai strânsă și a evidențiat potențialul de creare a unor sinergii mai mari. </w:t>
      </w:r>
    </w:p>
    <w:p w14:paraId="31FB5A03" w14:textId="0C6A9CA9" w:rsidR="009817D7" w:rsidRPr="00170DF9" w:rsidRDefault="006358EF" w:rsidP="003961D6">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Buna planificare este piatra de temelie a unui model bazat pe performanță, dar s-a dovedit un deziderat greu de pus în practică.</w:t>
      </w:r>
      <w:r>
        <w:rPr>
          <w:rFonts w:ascii="Times New Roman" w:hAnsi="Times New Roman"/>
          <w:noProof/>
          <w:sz w:val="24"/>
        </w:rPr>
        <w:t xml:space="preserve"> Planificarea realizărilor anuale, a cuantumurilor unitare și a indicatorilor de rezultat (țintelor) pentru exercițiile financiare 2023-2027 a necesitat date relevante, dovezi solide din partea părților interesate și personal cu experiență. Statele membre au adoptat strategii diferite, unele programări având un nivel de granularitate ridicat (de exemplu, numeroase cuantumuri unitare și realizări stabilite la nivelul fiecărei subintervenții), în timp ce altele au optat pentru o granularitate mai redusă (de exemplu, la nivelul fiecărei intervenții). De exemplu, în cele 28 de planuri PAC sunt prevăzute 1 913 intervenții și 10 754 de subintervenții. Cele mai diversificate tipuri de intervenții sunt intervențiile în domeniul mediului și al climei (5 282 de subintervenții) din cadrul măsurilor de dezvoltare rurală și investiții (2 172). </w:t>
      </w:r>
    </w:p>
    <w:p w14:paraId="08C83213" w14:textId="24B87FD6" w:rsidR="001D0927" w:rsidRPr="00170DF9" w:rsidRDefault="00780D12" w:rsidP="007D42D3">
      <w:pPr>
        <w:pStyle w:val="SectionTitle"/>
        <w:numPr>
          <w:ilvl w:val="0"/>
          <w:numId w:val="24"/>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 xml:space="preserve">Evaluarea planurilor a necesitat o abordare cuprinzătoare  </w:t>
      </w:r>
    </w:p>
    <w:p w14:paraId="242607E4" w14:textId="36E783AF" w:rsidR="001B2C46" w:rsidRPr="00170DF9" w:rsidRDefault="001D0927" w:rsidP="001045A5">
      <w:pPr>
        <w:pStyle w:val="NormalWeb"/>
        <w:jc w:val="both"/>
        <w:rPr>
          <w:noProof/>
        </w:rPr>
      </w:pPr>
      <w:r>
        <w:rPr>
          <w:noProof/>
        </w:rPr>
        <w:t>În evaluarea sa, Comisia a analizat dacă planurile prezentate erau în concordanță cu cerințele legislației UE și dacă au contribuit la realizarea a 10 obiective PAC specifice. S-a acordat atenție contribuției strategiei de intervenție planificate la atingerea obiectivelor în materie de mediu și de climă, inclusiv a anumitor obiective ale Pactului verde european, precum și coerenței lor cu actele legislative ale UE din domeniul mediului și al climei și contribuției la acestea</w:t>
      </w:r>
      <w:r>
        <w:rPr>
          <w:rStyle w:val="FootnoteReference"/>
          <w:noProof/>
          <w:lang w:val="en-IE"/>
        </w:rPr>
        <w:footnoteReference w:id="5"/>
      </w:r>
      <w:r>
        <w:rPr>
          <w:noProof/>
        </w:rPr>
        <w:t>, fără regrese în comparație cu perioada 2014-2022</w:t>
      </w:r>
      <w:r>
        <w:rPr>
          <w:rStyle w:val="FootnoteReference"/>
          <w:noProof/>
          <w:lang w:val="en-IE"/>
        </w:rPr>
        <w:footnoteReference w:id="6"/>
      </w:r>
      <w:r>
        <w:rPr>
          <w:noProof/>
        </w:rPr>
        <w:t xml:space="preserve">. </w:t>
      </w:r>
    </w:p>
    <w:p w14:paraId="25CF3C72" w14:textId="792106C9" w:rsidR="001B2C46" w:rsidRPr="00170DF9" w:rsidRDefault="001B2C46" w:rsidP="001B2C46">
      <w:pPr>
        <w:pStyle w:val="NormalWeb"/>
        <w:jc w:val="both"/>
        <w:rPr>
          <w:noProof/>
        </w:rPr>
      </w:pPr>
      <w:r>
        <w:rPr>
          <w:noProof/>
        </w:rPr>
        <w:t>Ambiția PAC se reflectă în țintele stabilite la nivelul indicatorilor de rezultat, care trebuie atinse în urma intervențiilor care au beneficiat de sprijin. Ea se reflectă, de asemenea, în cerințele detaliate și în condițiile de eligibilitate ale intervențiilor respective. Pentru a sprijini evaluarea obiectivă a planurilor, din perspectiva mediului și a climei, o matrice elaborată de Centrul Comun de Cercetare a furnizat dovezi cu privire la legătura dintre practicile agricole și obiective</w:t>
      </w:r>
      <w:r>
        <w:rPr>
          <w:rStyle w:val="FootnoteReference"/>
          <w:noProof/>
          <w:lang w:val="en-IE"/>
        </w:rPr>
        <w:footnoteReference w:id="7"/>
      </w:r>
      <w:r>
        <w:rPr>
          <w:noProof/>
        </w:rPr>
        <w:t xml:space="preserve">. </w:t>
      </w:r>
    </w:p>
    <w:p w14:paraId="538E7BAE" w14:textId="1F9F9560" w:rsidR="0083522B" w:rsidRPr="00170DF9" w:rsidRDefault="6EA0364C" w:rsidP="001045A5">
      <w:pPr>
        <w:pStyle w:val="NormalWeb"/>
        <w:jc w:val="both"/>
        <w:rPr>
          <w:noProof/>
        </w:rPr>
      </w:pPr>
      <w:r>
        <w:rPr>
          <w:noProof/>
        </w:rPr>
        <w:t>Evaluarea obiectivă a caracterului adecvat al strategiei de intervenție și al nivelurilor țintelor fiecărui plan, având în vedere nevoile și obiectivele naționale identificate de statul membru, a fost un proces complex, în special din cauza (i) situațiilor și priorităților diferite din statele membre, (ii) a nivelurilor de planificare diferite; (iii) a legăturilor complexe între intervenții și ținte; (iv) a țintelor exprimate într-o unitate diferită față de obiective (de exemplu, ponderea suprafeței în raport cu variația emisiilor de echivalent CO</w:t>
      </w:r>
      <w:r>
        <w:rPr>
          <w:noProof/>
          <w:vertAlign w:val="subscript"/>
        </w:rPr>
        <w:t>2</w:t>
      </w:r>
      <w:r>
        <w:rPr>
          <w:noProof/>
        </w:rPr>
        <w:t xml:space="preserve">); și (v) a legislației sau a instrumentelor naționale, altele decât PAC, care contribuie la realizarea acelorași obiective. </w:t>
      </w:r>
    </w:p>
    <w:p w14:paraId="2E64E97D" w14:textId="7118A07B" w:rsidR="00466B53" w:rsidRPr="00170DF9" w:rsidRDefault="00F50D9D" w:rsidP="007D42D3">
      <w:pPr>
        <w:pStyle w:val="ListParagraph"/>
        <w:numPr>
          <w:ilvl w:val="0"/>
          <w:numId w:val="1"/>
        </w:numPr>
        <w:jc w:val="both"/>
        <w:rPr>
          <w:rFonts w:ascii="Times New Roman" w:hAnsi="Times New Roman" w:cs="Times New Roman"/>
          <w:b/>
          <w:noProof/>
          <w:sz w:val="24"/>
          <w:szCs w:val="24"/>
        </w:rPr>
      </w:pPr>
      <w:r>
        <w:rPr>
          <w:rFonts w:ascii="Times New Roman" w:hAnsi="Times New Roman"/>
          <w:b/>
          <w:noProof/>
          <w:sz w:val="24"/>
        </w:rPr>
        <w:t>Punerea în aplicare a planurilor își urmează cursul firesc</w:t>
      </w:r>
    </w:p>
    <w:p w14:paraId="705E244B" w14:textId="7EC49A7C" w:rsidR="00466B53" w:rsidRPr="00170DF9" w:rsidRDefault="00466B53" w:rsidP="00913160">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După adoptarea legislației secundare a Uniunii la sfârșitul anului 2022, statele membre și-au finalizat cadrul național de punere în aplicare a PAC (acte legislative, procese de depunere a cererilor, sisteme informatice). Administrațiile au avut un volum de muncă considerabil, în special deoarece punerea în aplicare a programelor de dezvoltare rurală pentru perioada 2014-2022 continuă în paralel</w:t>
      </w:r>
      <w:bookmarkStart w:id="3" w:name="_Hlk211850389"/>
      <w:r>
        <w:rPr>
          <w:rFonts w:ascii="Times New Roman" w:hAnsi="Times New Roman"/>
          <w:noProof/>
          <w:sz w:val="24"/>
        </w:rPr>
        <w:t xml:space="preserve"> timp de încă trei ani (până la sfârșitul anului 2025). În practică, acest lucru a condus la probleme de capacitate și la o presiune ridicată legată de termene asupra dezvoltării instrumentelor informatice și elaborării cererilor de proiecte și, uneori, la întârzieri și la comunicarea tardivă cu beneficiarii, care afectează adoptarea și percepția în rândul fermierilor.</w:t>
      </w:r>
    </w:p>
    <w:bookmarkEnd w:id="3"/>
    <w:p w14:paraId="26399A89" w14:textId="012E9A69" w:rsidR="001B2C46" w:rsidRPr="00170DF9" w:rsidRDefault="00A8054C" w:rsidP="004103DF">
      <w:pPr>
        <w:spacing w:line="257" w:lineRule="auto"/>
        <w:jc w:val="both"/>
        <w:rPr>
          <w:rFonts w:ascii="Times New Roman" w:eastAsia="Arial" w:hAnsi="Times New Roman" w:cs="Times New Roman"/>
          <w:noProof/>
          <w:sz w:val="24"/>
          <w:szCs w:val="24"/>
        </w:rPr>
      </w:pPr>
      <w:r>
        <w:rPr>
          <w:rFonts w:ascii="Times New Roman" w:hAnsi="Times New Roman"/>
          <w:noProof/>
          <w:sz w:val="24"/>
        </w:rPr>
        <w:t>Rapoartele anuale privind performanța, principalul instrument de raportare al noului model de performanță,</w:t>
      </w:r>
      <w:r>
        <w:rPr>
          <w:rFonts w:ascii="Times New Roman" w:hAnsi="Times New Roman"/>
          <w:b/>
          <w:noProof/>
          <w:sz w:val="24"/>
        </w:rPr>
        <w:t xml:space="preserve"> </w:t>
      </w:r>
      <w:r>
        <w:rPr>
          <w:rFonts w:ascii="Times New Roman" w:hAnsi="Times New Roman"/>
          <w:noProof/>
          <w:sz w:val="24"/>
        </w:rPr>
        <w:t>au două părți: o parte calitativă, care prezintă progresele înregistrate în punerea în aplicare a planurilor, și o parte cantitativă, care oferă indicatori de performanță și justificări pentru abaterile de la</w:t>
      </w:r>
      <w:r>
        <w:rPr>
          <w:rFonts w:ascii="Times New Roman" w:hAnsi="Times New Roman"/>
          <w:b/>
          <w:noProof/>
          <w:sz w:val="24"/>
        </w:rPr>
        <w:t xml:space="preserve"> </w:t>
      </w:r>
      <w:r>
        <w:rPr>
          <w:rFonts w:ascii="Times New Roman" w:hAnsi="Times New Roman"/>
          <w:noProof/>
          <w:sz w:val="24"/>
        </w:rPr>
        <w:t xml:space="preserve">valorile obiectivelor de etapă ale indicatorilor de rezultat. </w:t>
      </w:r>
    </w:p>
    <w:p w14:paraId="46C272CD" w14:textId="3B606EB9" w:rsidR="008A6E0C" w:rsidRPr="00170DF9" w:rsidRDefault="00466B53" w:rsidP="004103DF">
      <w:pPr>
        <w:spacing w:line="257" w:lineRule="auto"/>
        <w:jc w:val="both"/>
        <w:rPr>
          <w:rFonts w:ascii="Times New Roman" w:hAnsi="Times New Roman" w:cs="Times New Roman"/>
          <w:noProof/>
          <w:sz w:val="24"/>
          <w:szCs w:val="24"/>
        </w:rPr>
      </w:pPr>
      <w:r>
        <w:rPr>
          <w:rFonts w:ascii="Times New Roman" w:hAnsi="Times New Roman"/>
          <w:noProof/>
          <w:sz w:val="24"/>
        </w:rPr>
        <w:t>Având în vedere calendarul de punere în aplicare a intervențiilor, raportul privind performanța pentru exercițiul financiar 2024 prezentat în februarie 2025 a fost primul raport care conținea date privind toți indicatorii de rezultat și majoritatea intervențiilor planificate. În cadrul noului model de performanță, statele membre au planificat pentru prima dată realizările și rezultatele anuale legate de sprijinul pentru venit, de dezvoltarea rurală și de intervențiile sectoriale.</w:t>
      </w:r>
    </w:p>
    <w:p w14:paraId="61F1734F" w14:textId="17E5072B" w:rsidR="00466B53" w:rsidRPr="00170DF9" w:rsidRDefault="00466B53" w:rsidP="00204DDD">
      <w:pPr>
        <w:pStyle w:val="SectionTitle"/>
        <w:numPr>
          <w:ilvl w:val="0"/>
          <w:numId w:val="31"/>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Buna planificare a intervențiilor bazate pe suprafață</w:t>
      </w:r>
    </w:p>
    <w:p w14:paraId="30BE378E" w14:textId="2B5F0ACF" w:rsidR="001B2C46" w:rsidRPr="00170DF9" w:rsidRDefault="00F50D9D" w:rsidP="00DD720F">
      <w:pPr>
        <w:jc w:val="both"/>
        <w:rPr>
          <w:rFonts w:ascii="Times New Roman" w:hAnsi="Times New Roman" w:cs="Times New Roman"/>
          <w:noProof/>
          <w:sz w:val="24"/>
          <w:szCs w:val="24"/>
        </w:rPr>
      </w:pPr>
      <w:r>
        <w:rPr>
          <w:rFonts w:ascii="Times New Roman" w:hAnsi="Times New Roman"/>
          <w:noProof/>
          <w:sz w:val="24"/>
        </w:rPr>
        <w:t xml:space="preserve">Compararea planificării și a realizărilor obținute permite evaluarea progreselor înregistrate în punerea în aplicare a planurilor și a dificultăților întâmpinate. </w:t>
      </w:r>
    </w:p>
    <w:p w14:paraId="2AF68439" w14:textId="782E81EF" w:rsidR="001B2C46" w:rsidRPr="00170DF9" w:rsidRDefault="00466B53" w:rsidP="007D42D3">
      <w:pPr>
        <w:pStyle w:val="ListParagraph"/>
        <w:numPr>
          <w:ilvl w:val="0"/>
          <w:numId w:val="25"/>
        </w:numPr>
        <w:jc w:val="both"/>
        <w:rPr>
          <w:rFonts w:ascii="Times New Roman" w:hAnsi="Times New Roman" w:cs="Times New Roman"/>
          <w:noProof/>
          <w:sz w:val="24"/>
          <w:szCs w:val="24"/>
        </w:rPr>
      </w:pPr>
      <w:r>
        <w:rPr>
          <w:rFonts w:ascii="Times New Roman" w:hAnsi="Times New Roman"/>
          <w:noProof/>
          <w:sz w:val="24"/>
        </w:rPr>
        <w:t xml:space="preserve">Sprijinul de bază pentru venit este intervenția cu gradul de utilizare de către fermieri cel mai apropiat de planificarea la nivelul UE (100 %), dar și în cadrul fiecărui plan. </w:t>
      </w:r>
    </w:p>
    <w:p w14:paraId="6E7E4F7E" w14:textId="2B3BACC1" w:rsidR="001B2C46"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Utilizarea sprijinului redistributiv pentru venit reprezintă 98 % din valoarea planificată a UE, cu unele variații de la un plan la altul. </w:t>
      </w:r>
    </w:p>
    <w:p w14:paraId="71332116" w14:textId="77777777" w:rsidR="001B2C46"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Cu toate acestea, sprijinul cuplat pentru venit și finanțarea suplimentară pentru tinerii fermieri au fost mai dificil de planificat. </w:t>
      </w:r>
    </w:p>
    <w:p w14:paraId="06E187BA" w14:textId="715C869E" w:rsidR="00466B53"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Fiind un instrument nou introdus, utilizarea eco-schemelor a fost, în general, subestimată, deoarece acestea acoperă o suprafață cu 10 % mai mare decât cea planificată la nivelul UE, cu variații semnificative de la un plan la altul.</w:t>
      </w:r>
    </w:p>
    <w:p w14:paraId="15209EE0" w14:textId="6D66AAD0" w:rsidR="00466B53" w:rsidRPr="00170DF9" w:rsidRDefault="00466B53" w:rsidP="00DD720F">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nivelul UE, utilizarea sprijinului bazat pe suprafață pentru dezvoltarea rurală a atins un nivel cuprins între 87 % și 91 % din suprafața planificată. Investițiile, ajutoarele pentru instalare și proiectele de formare sau de cooperare sunt, de obicei, încetinite în primii ani ai perioadei de programare, în special în cazul în care noile intervenții se suprapun cu măsuri similare din perioada de programare anterioară. În ansamblu, cheltuielile din aceste domenii au fost mai mici decât se anticipase, cu excepția investițiilor neproductive realizate în cadrul fermei. </w:t>
      </w:r>
    </w:p>
    <w:p w14:paraId="651A0D17" w14:textId="61B397E3" w:rsidR="00466B53" w:rsidRPr="00170DF9" w:rsidRDefault="00D520B8" w:rsidP="007D42D3">
      <w:pPr>
        <w:pStyle w:val="SectionTitle"/>
        <w:numPr>
          <w:ilvl w:val="0"/>
          <w:numId w:val="27"/>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 xml:space="preserve">Dificultăți în planificarea cuantumurilor unitare ale intervenției </w:t>
      </w:r>
    </w:p>
    <w:p w14:paraId="0011B80C" w14:textId="0825DFC6" w:rsidR="00C03E90" w:rsidRPr="00170DF9" w:rsidRDefault="00223D17" w:rsidP="00DD720F">
      <w:pPr>
        <w:jc w:val="both"/>
        <w:rPr>
          <w:rFonts w:ascii="Times New Roman" w:hAnsi="Times New Roman" w:cs="Times New Roman"/>
          <w:noProof/>
          <w:kern w:val="0"/>
          <w:sz w:val="24"/>
          <w:szCs w:val="24"/>
          <w14:ligatures w14:val="none"/>
        </w:rPr>
      </w:pPr>
      <w:r>
        <w:rPr>
          <w:rFonts w:ascii="Times New Roman" w:hAnsi="Times New Roman"/>
          <w:noProof/>
          <w:sz w:val="24"/>
        </w:rPr>
        <w:t>Statele membre pot ajusta plata către beneficiar pe baza utilizării unei intervenții (încadrate într-un interval), având în vedere dificultatea de a anticipa utilizarea și necesitatea de a gestiona mai bine pachetele financiare. Doar jumătate din eco-scheme au fost plătite la valoarea unitară de referință (± 10 %). Sprijinul cuplat a fost, în general, mai recompensat decât se planificase, cu o utilizare mai scăzută decât se anticipase. Ajustarea ajutoarelor pentru investiții a fost dificilă, întrucât doar 23 % din subintervenții au fost plătite la valoarea medie de referință (± 10 %). Discrepanțele observate au fost puse în principal pe seama modificărilor contextului economic și geopolitic de la elaborarea planurilor sau preciziei scăzute a estimărilor privind gradul de utilizare.</w:t>
      </w:r>
    </w:p>
    <w:p w14:paraId="1181E25F" w14:textId="4D20FEE1" w:rsidR="001A35BD" w:rsidRPr="00170DF9" w:rsidRDefault="000652C1" w:rsidP="007D42D3">
      <w:pPr>
        <w:pStyle w:val="SectionTitle"/>
        <w:numPr>
          <w:ilvl w:val="0"/>
          <w:numId w:val="28"/>
        </w:numPr>
        <w:spacing w:after="240"/>
        <w:jc w:val="left"/>
        <w:rPr>
          <w:rFonts w:ascii="Times New Roman Bold" w:eastAsia="Arial" w:hAnsi="Times New Roman Bold"/>
          <w:smallCaps w:val="0"/>
          <w:noProof/>
          <w:sz w:val="24"/>
          <w:szCs w:val="24"/>
        </w:rPr>
      </w:pPr>
      <w:r>
        <w:rPr>
          <w:rFonts w:ascii="Times New Roman Bold" w:hAnsi="Times New Roman Bold"/>
          <w:smallCaps w:val="0"/>
          <w:noProof/>
          <w:sz w:val="24"/>
        </w:rPr>
        <w:t>Încetarea verificării performanței</w:t>
      </w:r>
    </w:p>
    <w:p w14:paraId="6E290B0E" w14:textId="7073DE68" w:rsidR="00ED4573" w:rsidRPr="00170DF9" w:rsidRDefault="001A35BD" w:rsidP="001A35BD">
      <w:pPr>
        <w:spacing w:line="257" w:lineRule="auto"/>
        <w:jc w:val="both"/>
        <w:rPr>
          <w:rFonts w:ascii="Times New Roman" w:eastAsia="Arial" w:hAnsi="Times New Roman" w:cs="Times New Roman"/>
          <w:strike/>
          <w:noProof/>
          <w:sz w:val="24"/>
          <w:szCs w:val="24"/>
        </w:rPr>
      </w:pPr>
      <w:r>
        <w:rPr>
          <w:rFonts w:ascii="Times New Roman" w:hAnsi="Times New Roman"/>
          <w:noProof/>
          <w:sz w:val="24"/>
        </w:rPr>
        <w:t>Obiectivul exercițiului anual de verificare a performanței a fost de a verifica dacă toate cheltuielile declarate aveau un grad de realizare corespunzător. Acest lucru a fost verificat prin compararea, pentru fiecare intervenție, a cuantumului unitar realizat, calculat pe baza raportului anual privind performanța, cu cuantumul unitar planificat (maxim) prevăzut în plan. După doi ani de punere în aplicare, a devenit evident că sarcina administrativă a exercițiului anual de verificare a performanței, în special necesitatea de a justifica fiecare abatere de la cuantumul unitar, nu era proporțională cu asigurarea suplimentară furnizată cu privire la cheltuielile efectuate în cadrul PAC. Prin urmare, a fost propusă încetarea sa în pachetul de simplificare a PAC din 2025</w:t>
      </w:r>
      <w:r>
        <w:rPr>
          <w:rStyle w:val="FootnoteReference"/>
          <w:rFonts w:ascii="Times New Roman" w:eastAsia="Arial" w:hAnsi="Times New Roman" w:cs="Times New Roman"/>
          <w:noProof/>
          <w:sz w:val="24"/>
          <w:szCs w:val="24"/>
        </w:rPr>
        <w:footnoteReference w:id="8"/>
      </w:r>
      <w:r>
        <w:rPr>
          <w:rFonts w:ascii="Times New Roman" w:hAnsi="Times New Roman"/>
          <w:noProof/>
          <w:sz w:val="24"/>
        </w:rPr>
        <w:t xml:space="preserve">, fără a afecta capacitatea Uniunii de a asigura o supraveghere bugetară și o asigurare eficace. </w:t>
      </w:r>
    </w:p>
    <w:p w14:paraId="328C791E" w14:textId="5C0ECAF2" w:rsidR="00466B53" w:rsidRPr="00170DF9" w:rsidRDefault="00466B53" w:rsidP="00610B29">
      <w:pPr>
        <w:pStyle w:val="SectionTitle"/>
        <w:numPr>
          <w:ilvl w:val="0"/>
          <w:numId w:val="32"/>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Se înregistrează unele abateri de la obiectivele de etapă cauzate de începerea punerii în aplicare, dar încă nu sunt necesare acțiuni corective</w:t>
      </w:r>
    </w:p>
    <w:p w14:paraId="520F468B" w14:textId="61491625" w:rsidR="00466B53" w:rsidRPr="00170DF9" w:rsidRDefault="004421A9" w:rsidP="00A92AC8">
      <w:pPr>
        <w:spacing w:line="257" w:lineRule="auto"/>
        <w:jc w:val="both"/>
        <w:rPr>
          <w:rFonts w:ascii="Times New Roman" w:eastAsia="Times New Roman" w:hAnsi="Times New Roman" w:cs="Times New Roman"/>
          <w:b/>
          <w:noProof/>
          <w:kern w:val="0"/>
          <w:sz w:val="24"/>
          <w:szCs w:val="24"/>
          <w14:ligatures w14:val="none"/>
        </w:rPr>
      </w:pPr>
      <w:r>
        <w:rPr>
          <w:rFonts w:ascii="Times New Roman" w:hAnsi="Times New Roman"/>
          <w:noProof/>
          <w:sz w:val="24"/>
        </w:rPr>
        <w:t>Pe baza raportului privind performanța din 2024, Comisia a efectuat în 2025 prima analiză bienală a performanței</w:t>
      </w:r>
      <w:r>
        <w:rPr>
          <w:rStyle w:val="FootnoteReference"/>
          <w:rFonts w:ascii="Times New Roman" w:hAnsi="Times New Roman" w:cs="Times New Roman"/>
          <w:noProof/>
          <w:szCs w:val="24"/>
        </w:rPr>
        <w:footnoteReference w:id="9"/>
      </w:r>
      <w:r>
        <w:rPr>
          <w:noProof/>
        </w:rPr>
        <w:t xml:space="preserve">, </w:t>
      </w:r>
      <w:r>
        <w:rPr>
          <w:rFonts w:ascii="Times New Roman" w:hAnsi="Times New Roman"/>
          <w:noProof/>
          <w:sz w:val="24"/>
        </w:rPr>
        <w:t xml:space="preserve">luând în considerare o selecție de 22 de indicatori de rezultat. </w:t>
      </w:r>
      <w:r>
        <w:rPr>
          <w:rFonts w:ascii="Times New Roman" w:hAnsi="Times New Roman"/>
          <w:b/>
          <w:noProof/>
          <w:sz w:val="24"/>
        </w:rPr>
        <w:t>Toate rapoartele privind performanța au indicat abateri de peste 35 % pentru unul sau mai mulți indicatori de rezultat.</w:t>
      </w:r>
      <w:r>
        <w:rPr>
          <w:rFonts w:ascii="Times New Roman" w:hAnsi="Times New Roman"/>
          <w:noProof/>
          <w:sz w:val="24"/>
        </w:rPr>
        <w:t xml:space="preserve"> Acestea au fost legate în principal de intervențiile pentru dezvoltarea rurală: cunoaștere și inovare, investiții în modernizarea fermelor, o mai bună organizare a lanțului de aprovizionare și terenuri împădurite. Justificările statelor membre au fost legate în principal de întârzierile în instituirea noului cadru și de utilizarea pachetelor financiare rămase ale programelor de dezvoltare rurală pentru perioada 2014-2022 din care sunt finanțate măsuri similare. Potrivit statelor membre, majoritatea acestor dificultăți vor fi abordate pe termen mediu și nu ar trebui să aibă un impact asupra obiectivelor finale.</w:t>
      </w:r>
    </w:p>
    <w:p w14:paraId="2F1229C0" w14:textId="27C99384" w:rsidR="00466B53" w:rsidRPr="00170DF9" w:rsidRDefault="00466B53" w:rsidP="00A92AC8">
      <w:pPr>
        <w:spacing w:line="257" w:lineRule="auto"/>
        <w:jc w:val="both"/>
        <w:rPr>
          <w:rFonts w:ascii="Times New Roman" w:eastAsia="Arial" w:hAnsi="Times New Roman" w:cs="Times New Roman"/>
          <w:noProof/>
          <w:sz w:val="24"/>
          <w:szCs w:val="24"/>
        </w:rPr>
      </w:pPr>
      <w:r>
        <w:rPr>
          <w:rFonts w:ascii="Times New Roman" w:hAnsi="Times New Roman"/>
          <w:noProof/>
          <w:sz w:val="24"/>
        </w:rPr>
        <w:t>Abaterile au fost discutate cu fiecare stat membru în cadrul fiecărei reuniuni anuale de evaluare. Întrucât justificările prezentate și măsurile de remediere avute în vedere păreau suficiente pentru a aborda abaterile înregistrate, Comisia nu a solicitat niciun plan de acțiune. Este de așteptat ca întârzierile și decalajele rezultate între valorile efective și cele planificate să poată fi recuperate în următorii ani. Situația va fi examinată din nou în rapoartele de performanță din 2025.</w:t>
      </w:r>
    </w:p>
    <w:p w14:paraId="66D869C3" w14:textId="0ACEF87C" w:rsidR="00466B53" w:rsidRPr="00170DF9" w:rsidRDefault="00466B53" w:rsidP="006F417D">
      <w:pPr>
        <w:pStyle w:val="SectionTitle"/>
        <w:numPr>
          <w:ilvl w:val="0"/>
          <w:numId w:val="33"/>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Ajustarea pachetelor financiare planificate în funcție de gradul de utilizare efectivă</w:t>
      </w:r>
    </w:p>
    <w:p w14:paraId="175E54D4" w14:textId="097A3424" w:rsidR="00466B53" w:rsidRPr="00170DF9" w:rsidRDefault="004B3632" w:rsidP="00360005">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Statele membre au posibilitatea de a realoca sumele necheltuite de la o intervenție la alta, în anumite condiții. În exercițiul financiar 2024, statele membre au utilizat această posibilitate în special pentru plățile directe. Eco-schema a fost o noutate, iar unele state membre au întâmpinat dificultăți în cheltuirea sumelor planificate. În plus, eco-schema este o intervenție dedicată înscrisă în buget, iar marja pentru compensarea sumelor cu cele pentru alte intervenții a rămas limitată. Eco-schemele care nu au avut rezultate satisfăcătoare au fost revizuite sau promovate mai bine în rândul beneficiarilor potențiali. Situația actuală a cheltuielilor pentru 2025 indică o situație mult îmbunătățită, cu o depășire semnificativă a creditelor bugetare pentru eco-scheme. Unele dintre sumele necheltuite au fost alocate pentru plata redistributivă și suplimentarea destinată tinerilor fermieri. Sprijinul de bază pentru venit a fost bine executat în comparație cu perioada de programare anterioară. </w:t>
      </w:r>
    </w:p>
    <w:p w14:paraId="18E90D94" w14:textId="70D80E72" w:rsidR="00466B53" w:rsidRPr="00170DF9" w:rsidRDefault="00F645FD" w:rsidP="006A10B6">
      <w:pPr>
        <w:pStyle w:val="SectionTitle"/>
        <w:numPr>
          <w:ilvl w:val="0"/>
          <w:numId w:val="33"/>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Planurile PAC sunt documente evolutive</w:t>
      </w:r>
    </w:p>
    <w:p w14:paraId="7722166A" w14:textId="47D21882" w:rsidR="00C726D6" w:rsidRPr="00170DF9" w:rsidRDefault="00155039" w:rsidP="008A6DDA">
      <w:pPr>
        <w:jc w:val="both"/>
        <w:rPr>
          <w:rFonts w:ascii="Times New Roman" w:hAnsi="Times New Roman" w:cs="Times New Roman"/>
          <w:noProof/>
          <w:sz w:val="24"/>
          <w:szCs w:val="24"/>
        </w:rPr>
      </w:pPr>
      <w:r>
        <w:rPr>
          <w:rFonts w:ascii="Times New Roman" w:hAnsi="Times New Roman"/>
          <w:noProof/>
          <w:sz w:val="24"/>
        </w:rPr>
        <w:t xml:space="preserve">Modificările planurilor reprezintă o caracteristică necesară a oricărui proces de programare, deoarece oferă flexibilitatea necesară pentru a aborda dificultățile întâmpinate pe teren și nevoile emergente. </w:t>
      </w:r>
    </w:p>
    <w:p w14:paraId="2A49793C" w14:textId="00F8C1A3" w:rsidR="00271BA1" w:rsidRPr="00170DF9" w:rsidRDefault="000855CB" w:rsidP="008A6DDA">
      <w:pPr>
        <w:jc w:val="both"/>
        <w:rPr>
          <w:rFonts w:ascii="Times New Roman" w:hAnsi="Times New Roman" w:cs="Times New Roman"/>
          <w:noProof/>
          <w:sz w:val="24"/>
          <w:szCs w:val="24"/>
        </w:rPr>
      </w:pPr>
      <w:r>
        <w:rPr>
          <w:rFonts w:ascii="Times New Roman" w:hAnsi="Times New Roman"/>
          <w:b/>
          <w:noProof/>
          <w:sz w:val="24"/>
        </w:rPr>
        <w:t>Până în septembrie 2025, statele membre solicitaseră 93 de modificări. Până în septembrie 2025, toate planurile au fost modificate de două până la cinci ori de la aprobarea lor</w:t>
      </w:r>
      <w:r>
        <w:rPr>
          <w:rFonts w:ascii="Times New Roman" w:hAnsi="Times New Roman"/>
          <w:noProof/>
          <w:sz w:val="24"/>
        </w:rPr>
        <w:t>. Modificările reflectă circumstanțele economice în schimbare, necesitatea de a face intervențiile mai atractive sau de a le simplifica. Prin modificări, 34 % din ținte au fost schimbate, cu variații semnificative de la un plan la altul. Țintele majorate cel mai des vizează obiective sociale din cauza necesității de a le alinia la strategiile din cadrul inițiativei LEADER</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în cauză după aprobarea planurilor. În ansamblu, modificările au fost echilibrate între majorările și reducerile țintelor, inclusiv în ceea ce privește țintele legate de arhitectura verde. </w:t>
      </w:r>
      <w:r>
        <w:rPr>
          <w:rFonts w:ascii="Times New Roman" w:hAnsi="Times New Roman"/>
          <w:noProof/>
          <w:sz w:val="24"/>
          <w:shd w:val="clear" w:color="auto" w:fill="FFFFFF"/>
        </w:rPr>
        <w:t xml:space="preserve">În evaluarea modificărilor, </w:t>
      </w:r>
      <w:r>
        <w:rPr>
          <w:rFonts w:ascii="Times New Roman" w:hAnsi="Times New Roman"/>
          <w:noProof/>
          <w:sz w:val="24"/>
        </w:rPr>
        <w:t>Comisia a asigurat coerența, precum și menținerea unor condiții de concurență echitabile, luând în considerare, în același timp, provocările naționale specifice.</w:t>
      </w:r>
    </w:p>
    <w:p w14:paraId="203A00D3" w14:textId="209E34D1" w:rsidR="000E38DB" w:rsidRPr="00170DF9" w:rsidRDefault="001C16F0" w:rsidP="001F4887">
      <w:pPr>
        <w:spacing w:line="257"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2025, Comisia a propus simplificarea în continuare a procesului de modificare a planurilor prin limitarea cererilor oficiale de modificare numai la modificările strategice, ceea ce ar permite modificarea mai rapidă a planurilor. Propunerea denumită Omnibus 3</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a fost adoptată și se va aplica în 2026.</w:t>
      </w:r>
    </w:p>
    <w:p w14:paraId="206D03D5" w14:textId="0DE0FF73" w:rsidR="64637E3E" w:rsidRPr="00170DF9" w:rsidRDefault="00F647EB" w:rsidP="006A10B6">
      <w:pPr>
        <w:pStyle w:val="SectionTitle"/>
        <w:numPr>
          <w:ilvl w:val="0"/>
          <w:numId w:val="33"/>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 xml:space="preserve">Un nou model de asigurare și principiul auditului unic </w:t>
      </w:r>
    </w:p>
    <w:p w14:paraId="23C1B88E" w14:textId="6B1A11C4" w:rsidR="0C54D3A3" w:rsidRPr="00170DF9" w:rsidRDefault="31317195" w:rsidP="000C0B43">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În cadrul noului model de performanță, asigurarea se bazează pe buna funcționare a sistemelor de guvernanță ale statelor membre. Eligibilitatea cheltuielilor este asigurată de agențiile de plăți și verificată anual de organismele de certificare.</w:t>
      </w:r>
      <w:r>
        <w:rPr>
          <w:rFonts w:ascii="Times New Roman" w:hAnsi="Times New Roman"/>
          <w:noProof/>
          <w:sz w:val="24"/>
        </w:rPr>
        <w:t xml:space="preserve"> Organismele de certificare emit avize cu privire la conturile anuale, la eficacitatea sistemelor de guvernanță și la fiabilitatea raportării privind performanța. Comisia efectuează audituri bazate pe analiza riscurilor în principal cu privire la activitatea lor și, numai atunci când acest lucru nu este satisfăcător, cu privire la agențiile de plăți însele.</w:t>
      </w:r>
    </w:p>
    <w:p w14:paraId="41FB3D9D" w14:textId="651A320A" w:rsidR="00C726D6" w:rsidRPr="00170DF9" w:rsidRDefault="676A6192" w:rsidP="004B5FB2">
      <w:pPr>
        <w:jc w:val="both"/>
        <w:rPr>
          <w:rFonts w:ascii="Times New Roman" w:hAnsi="Times New Roman" w:cs="Times New Roman"/>
          <w:noProof/>
          <w:sz w:val="24"/>
          <w:szCs w:val="24"/>
        </w:rPr>
      </w:pPr>
      <w:r>
        <w:rPr>
          <w:rFonts w:ascii="Times New Roman" w:hAnsi="Times New Roman"/>
          <w:noProof/>
          <w:sz w:val="24"/>
        </w:rPr>
        <w:t xml:space="preserve">Consolidarea principiului auditului unic este o caracteristică esențială a reformei. Deși sporește eficiența, consolidează responsabilitatea la nivel național și evită suprapunerea controalelor, noul model face, de asemenea, ca asigurarea să devină mai dependentă de activitatea promptă și fiabilă a organismelor de certificare. Comisia menține contacte periodice cu agențiile de plăți și cu organismele de certificare pentru a asigura o înțelegere comună și îndeplinirea consecventă a cerințelor de asigurare. În cazul în care Comisia detectează deficiențe grave în sistemele de guvernanță, sunt lansate proceduri de conformitate și, dacă deficiențele sunt confirmate, acestea conduc la corecții financiare. </w:t>
      </w:r>
    </w:p>
    <w:p w14:paraId="1B225A0D" w14:textId="0FB6211C" w:rsidR="00924CC0" w:rsidRPr="00170DF9" w:rsidRDefault="19C71FFD" w:rsidP="004B5FB2">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perioada 1 ianuarie 2024-30 septembrie 2025, Comisia a efectuat 78 de audituri ale sistemelor de guvernanță în ansamblu sau ale unor intervenții PAC selectate. În unele cazuri, au fost identificate potențiale deficiențe grave și au fost lansate proceduri de verificare a conformității pentru a evalua posibilele riscuri pentru bugetul UE. Întrucât acestea necesită timp, până la sfârșitul lunii septembrie 2025 nu fusese finalizată nicio procedură de verificare a conformității.</w:t>
      </w:r>
    </w:p>
    <w:p w14:paraId="16C8698B" w14:textId="0900808B" w:rsidR="00F50D9D" w:rsidRPr="00170DF9" w:rsidRDefault="00F50D9D" w:rsidP="006A10B6">
      <w:pPr>
        <w:pStyle w:val="SectionTitle"/>
        <w:numPr>
          <w:ilvl w:val="0"/>
          <w:numId w:val="33"/>
        </w:numPr>
        <w:spacing w:after="240"/>
        <w:jc w:val="left"/>
        <w:rPr>
          <w:rFonts w:ascii="Times New Roman Bold" w:eastAsia="Arial" w:hAnsi="Times New Roman Bold"/>
          <w:smallCaps w:val="0"/>
          <w:noProof/>
          <w:sz w:val="24"/>
          <w:szCs w:val="24"/>
        </w:rPr>
      </w:pPr>
      <w:r>
        <w:rPr>
          <w:rFonts w:ascii="Times New Roman Bold" w:hAnsi="Times New Roman Bold"/>
          <w:smallCaps w:val="0"/>
          <w:noProof/>
          <w:sz w:val="24"/>
        </w:rPr>
        <w:t>O nouă abordare preventivă cu ajutorul sistemului de monitorizare a suprafețelor</w:t>
      </w:r>
    </w:p>
    <w:p w14:paraId="2185BC1C" w14:textId="2556670F" w:rsidR="00F50D9D" w:rsidRPr="00170DF9" w:rsidRDefault="00F50D9D" w:rsidP="00792485">
      <w:pPr>
        <w:jc w:val="both"/>
        <w:rPr>
          <w:rFonts w:ascii="Times New Roman" w:eastAsia="Aptos" w:hAnsi="Times New Roman" w:cs="Times New Roman"/>
          <w:noProof/>
          <w:kern w:val="0"/>
          <w:sz w:val="24"/>
          <w:szCs w:val="24"/>
          <w14:ligatures w14:val="none"/>
        </w:rPr>
      </w:pPr>
      <w:r>
        <w:rPr>
          <w:rFonts w:ascii="Times New Roman" w:hAnsi="Times New Roman"/>
          <w:noProof/>
          <w:sz w:val="24"/>
        </w:rPr>
        <w:t>În cadrul noului model de performanță, responsabilitatea pentru conceperea și punerea în aplicare a controalelor în cadrul sistemului integrat de administrare și control a fost transferată în mare măsură statelor membre. Introducerea sistemului de monitorizare a suprafețelor le obligă să monitorizeze, pe baza imaginilor prin satelit, îndeplinirea condițiilor de eligibilitate de către fermieri, atunci când acest lucru este posibil din punct de vedere tehnic. O astfel de monitorizare înlocuiește controalele la fața locului, reducând astfel în mare măsură sarcina administrativă. Abordarea preventivă a sistemului de monitorizare a suprafețelor permite, de asemenea, fermierilor să își corecteze cererile PAC fără a fi penalizați. În anul de cerere 2023, acest lucru a condus la corecții pentru 3,3 milioane de hectare (2 % din suprafața agricolă utilizată a UE – SAU), contribuind la reducerea sancțiunilor și la reducerea sarcinii administrative pentru fermieri și administrații.</w:t>
      </w:r>
    </w:p>
    <w:p w14:paraId="228E4402" w14:textId="381E0934" w:rsidR="00F50D9D" w:rsidRPr="00170DF9" w:rsidRDefault="00F50D9D" w:rsidP="00792485">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Cu toate acestea, statele membre și fermierii ar putea beneficia și mai mult de pe urma utilizării sistemului de monitorizare a suprafețelor prin creșterea posibilității de monitorizare a mai multor intervenții și condiții de eligibilitate în cadrul planurilor în scopul sprijinirii acestei abordări preventive. </w:t>
      </w:r>
    </w:p>
    <w:p w14:paraId="16368D2E" w14:textId="0AFB5D8D" w:rsidR="00ED4474" w:rsidRPr="00170DF9" w:rsidRDefault="004E6C87" w:rsidP="007D42D3">
      <w:pPr>
        <w:pStyle w:val="ListParagraph"/>
        <w:keepNext/>
        <w:numPr>
          <w:ilvl w:val="0"/>
          <w:numId w:val="1"/>
        </w:numPr>
        <w:ind w:left="1077" w:hanging="357"/>
        <w:jc w:val="both"/>
        <w:rPr>
          <w:rFonts w:ascii="Times New Roman" w:hAnsi="Times New Roman" w:cs="Times New Roman"/>
          <w:b/>
          <w:noProof/>
          <w:sz w:val="24"/>
          <w:szCs w:val="24"/>
        </w:rPr>
      </w:pPr>
      <w:r>
        <w:rPr>
          <w:rFonts w:ascii="Times New Roman" w:hAnsi="Times New Roman"/>
          <w:b/>
          <w:noProof/>
          <w:sz w:val="24"/>
        </w:rPr>
        <w:t xml:space="preserve">O monitorizare mai bună și mai cuprinzătoare a performanței </w:t>
      </w:r>
    </w:p>
    <w:p w14:paraId="07A4C409" w14:textId="796113F3" w:rsidR="00BE46F8" w:rsidRPr="00170DF9" w:rsidRDefault="00BE46F8" w:rsidP="002033CC">
      <w:pPr>
        <w:jc w:val="both"/>
        <w:rPr>
          <w:rFonts w:ascii="Times New Roman" w:hAnsi="Times New Roman" w:cs="Times New Roman"/>
          <w:noProof/>
          <w:sz w:val="24"/>
          <w:szCs w:val="24"/>
        </w:rPr>
      </w:pPr>
      <w:r>
        <w:rPr>
          <w:rFonts w:ascii="Times New Roman" w:hAnsi="Times New Roman"/>
          <w:noProof/>
          <w:sz w:val="24"/>
        </w:rPr>
        <w:t xml:space="preserve">Cadrul de performanță permite monitorizarea progreselor înregistrate în punerea în aplicare și pregătește terenul pentru un proces de îmbunătățire continuă. </w:t>
      </w:r>
    </w:p>
    <w:p w14:paraId="10E4C885" w14:textId="3DEDE6CE" w:rsidR="008D7748" w:rsidRPr="00170DF9" w:rsidRDefault="00BE46F8" w:rsidP="002033C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Cadrul integrează raportarea privind plățile directe, dezvoltarea rurală și intervențiile sectoriale în același set de indicatori de rezultat, în funcție de scopul acestora. Acesta stabilește o listă exhaustivă de indicatori de performanță. Fiecare intervenție este legată de un indicator de realizare și de toți indicatorii de rezultat relevanți</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pentru a asigura o descriere cuprinzătoare a contribuțiilor PAC. </w:t>
      </w:r>
    </w:p>
    <w:p w14:paraId="23F811E3" w14:textId="57FEE56E" w:rsidR="008D7748" w:rsidRPr="00170DF9" w:rsidRDefault="008D7748" w:rsidP="75A2424F">
      <w:pPr>
        <w:jc w:val="both"/>
        <w:rPr>
          <w:rFonts w:ascii="Times New Roman" w:eastAsia="Times New Roman" w:hAnsi="Times New Roman" w:cs="Times New Roman"/>
          <w:noProof/>
          <w:color w:val="333333"/>
          <w:sz w:val="24"/>
          <w:szCs w:val="24"/>
        </w:rPr>
      </w:pPr>
      <w:r>
        <w:rPr>
          <w:rFonts w:ascii="Times New Roman" w:hAnsi="Times New Roman"/>
          <w:noProof/>
          <w:sz w:val="24"/>
        </w:rPr>
        <w:t>Integrarea raportării atât pentru monitorizarea, cât și pentru asigurarea politicilor în raportul anual privind performanța</w:t>
      </w:r>
      <w:r>
        <w:rPr>
          <w:noProof/>
        </w:rPr>
        <w:t xml:space="preserve"> </w:t>
      </w:r>
      <w:r>
        <w:rPr>
          <w:rFonts w:ascii="Times New Roman" w:hAnsi="Times New Roman"/>
          <w:noProof/>
          <w:sz w:val="24"/>
        </w:rPr>
        <w:t>a raționalizat procesele și a sporit coerența. Cu toate acestea, integrarea a condus, de asemenea, la norme de calcul mai complexe (realizări parțiale) și la agregări dificile (proliferarea unităților de măsură). Autoritățile de management</w:t>
      </w:r>
      <w:r>
        <w:rPr>
          <w:rFonts w:ascii="Times New Roman" w:hAnsi="Times New Roman"/>
          <w:noProof/>
          <w:color w:val="333333"/>
          <w:sz w:val="24"/>
        </w:rPr>
        <w:t xml:space="preserve"> </w:t>
      </w:r>
      <w:r>
        <w:rPr>
          <w:rFonts w:ascii="Times New Roman" w:hAnsi="Times New Roman"/>
          <w:noProof/>
          <w:sz w:val="24"/>
        </w:rPr>
        <w:t xml:space="preserve">au întâmpinat dificultăți în respectarea termenului de 15 februarie pentru raportul anual privind performanța și în furnizarea tuturor datelor certificate și a </w:t>
      </w:r>
      <w:r>
        <w:rPr>
          <w:rFonts w:ascii="Times New Roman" w:hAnsi="Times New Roman"/>
          <w:noProof/>
          <w:color w:val="333333"/>
          <w:sz w:val="24"/>
        </w:rPr>
        <w:t xml:space="preserve">justificărilor necesare, în timp ce, în scopul monitorizării, </w:t>
      </w:r>
      <w:r>
        <w:rPr>
          <w:rFonts w:ascii="Times New Roman" w:hAnsi="Times New Roman"/>
          <w:noProof/>
          <w:sz w:val="24"/>
        </w:rPr>
        <w:t>disponibilitatea datelor a fost întârziată.</w:t>
      </w:r>
    </w:p>
    <w:p w14:paraId="5E937B48" w14:textId="10BF3A8D" w:rsidR="008D7748" w:rsidRPr="00170DF9" w:rsidRDefault="00540A1A" w:rsidP="002033C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Indicatorii de rezultat actuali se bazează în principal pe acoperirea acțiunilor, deoarece este dificil să se măsoare rezultatele directe ale politicilor. Cu toate acestea, Comisia a elaborat estimări generale privind atenuarea schimbărilor climatice și a cantității de conținut organic din sol pentru a putea propune indicatori de rezultat care să măsoare rezultatele pentru perioada 2028-2034.</w:t>
      </w:r>
    </w:p>
    <w:p w14:paraId="07CDE763" w14:textId="4767AA23" w:rsidR="00774919" w:rsidRPr="00170DF9" w:rsidRDefault="002E479E" w:rsidP="002033CC">
      <w:pPr>
        <w:jc w:val="both"/>
        <w:rPr>
          <w:rFonts w:ascii="Times New Roman" w:hAnsi="Times New Roman" w:cs="Times New Roman"/>
          <w:noProof/>
          <w:sz w:val="24"/>
          <w:szCs w:val="24"/>
        </w:rPr>
      </w:pPr>
      <w:r>
        <w:rPr>
          <w:rFonts w:ascii="Times New Roman" w:hAnsi="Times New Roman"/>
          <w:noProof/>
          <w:sz w:val="24"/>
        </w:rPr>
        <w:t xml:space="preserve">Statele membre trebuie să evalueze contribuția planurilor lor la realizarea tuturor obiectivelor în cursul perioadei de programare și să dispună de mai multă libertate în elaborarea planurilor lor de evaluare. Cu sprijinul Comisiei și al Rețelei PAC a UE, majoritatea statelor membre au elaborat planuri de evaluare ambițioase. </w:t>
      </w:r>
    </w:p>
    <w:p w14:paraId="6DBF81FD" w14:textId="77777777" w:rsidR="008C139F" w:rsidRPr="00170DF9" w:rsidRDefault="008C139F" w:rsidP="002033CC">
      <w:pPr>
        <w:jc w:val="both"/>
        <w:rPr>
          <w:rFonts w:ascii="Times New Roman" w:eastAsia="Times New Roman" w:hAnsi="Times New Roman" w:cs="Times New Roman"/>
          <w:noProof/>
          <w:kern w:val="0"/>
          <w:sz w:val="24"/>
          <w:szCs w:val="24"/>
          <w:lang w:val="en-GB" w:eastAsia="en-IE"/>
          <w14:ligatures w14:val="none"/>
        </w:rPr>
      </w:pPr>
    </w:p>
    <w:p w14:paraId="471F43B0" w14:textId="3D1B6C5B" w:rsidR="00AF2E3B" w:rsidRPr="00170DF9" w:rsidRDefault="00B7161D" w:rsidP="007D42D3">
      <w:pPr>
        <w:pStyle w:val="NormalWeb"/>
        <w:numPr>
          <w:ilvl w:val="0"/>
          <w:numId w:val="1"/>
        </w:numPr>
        <w:jc w:val="both"/>
        <w:rPr>
          <w:b/>
          <w:noProof/>
        </w:rPr>
      </w:pPr>
      <w:r>
        <w:rPr>
          <w:b/>
          <w:noProof/>
        </w:rPr>
        <w:t>Un efort de simplificare major</w:t>
      </w:r>
    </w:p>
    <w:p w14:paraId="79522D54" w14:textId="2319827E" w:rsidR="00E067AB" w:rsidRPr="00170DF9" w:rsidRDefault="00E067AB" w:rsidP="00492007">
      <w:pPr>
        <w:pStyle w:val="NormalWeb"/>
        <w:jc w:val="both"/>
        <w:rPr>
          <w:noProof/>
        </w:rPr>
      </w:pPr>
      <w:r>
        <w:rPr>
          <w:noProof/>
        </w:rPr>
        <w:t xml:space="preserve">Experiența dobândită în ceea ce privește punerea în aplicare a planurilor a evidențiat necesitatea unor ajustări specifice ale anumitor aspecte ale cadrului PAC în vederea reducerii sarcinii administrative pentru fermieri și administrații. În acest scop, în 2024 și 2025 au fost elaborate două pachete de acțiuni legislative și nelegislative menite să sporească flexibilitatea, proporționalitatea și claritatea normelor legate de PAC (cum ar fi cele privind </w:t>
      </w:r>
      <w:r>
        <w:rPr>
          <w:i/>
          <w:noProof/>
        </w:rPr>
        <w:t>forța majoră</w:t>
      </w:r>
      <w:r>
        <w:rPr>
          <w:noProof/>
        </w:rPr>
        <w:t>).</w:t>
      </w:r>
    </w:p>
    <w:p w14:paraId="1A94EF5E" w14:textId="7F2CD6D4" w:rsidR="00540A1A" w:rsidRPr="00170DF9" w:rsidRDefault="00540A1A" w:rsidP="00E067AB">
      <w:pPr>
        <w:pStyle w:val="NormalWeb"/>
        <w:jc w:val="both"/>
        <w:rPr>
          <w:rFonts w:eastAsia="Arial"/>
          <w:noProof/>
        </w:rPr>
      </w:pPr>
      <w:r>
        <w:rPr>
          <w:noProof/>
        </w:rPr>
        <w:t xml:space="preserve">Pe de o parte, mai multe modificări sporesc flexibilitatea modului în care fermierii gestionează terenurile în cadrul instrumentelor de sprijin ale PAC și permit o mai bună aliniere la realitățile din cadrul fermelor (ajustări ale normelor de condiționalitate). Pe de altă parte, unele modificări raționalizează punerea în aplicare a planurilor PAC pentru autoritățile naționale (modificări, încetarea verificării performanței). </w:t>
      </w:r>
    </w:p>
    <w:p w14:paraId="7BB75694" w14:textId="32949023" w:rsidR="00E067AB" w:rsidRPr="00170DF9" w:rsidRDefault="009C5D4A" w:rsidP="002C4629">
      <w:pPr>
        <w:pStyle w:val="NormalWeb"/>
        <w:jc w:val="both"/>
        <w:rPr>
          <w:noProof/>
        </w:rPr>
      </w:pPr>
      <w:r>
        <w:rPr>
          <w:noProof/>
        </w:rPr>
        <w:t>Comisia a publicat, de asemenea, o foaie de parcurs cu acțiuni suplimentare de simplificare programate pentru 2025, subliniind acțiunile și instrumentele planificate, precum și un calendar orientativ pentru îmbunătățiri suplimentare ale legislației secundare privind PAC. </w:t>
      </w:r>
    </w:p>
    <w:p w14:paraId="102DF1E6" w14:textId="1338AA7F" w:rsidR="00A02698" w:rsidRPr="00170DF9" w:rsidRDefault="0F8AE130" w:rsidP="0075732F">
      <w:pPr>
        <w:pStyle w:val="Heading1"/>
        <w:numPr>
          <w:ilvl w:val="0"/>
          <w:numId w:val="30"/>
        </w:numPr>
        <w:rPr>
          <w:rFonts w:ascii="Times New Roman" w:hAnsi="Times New Roman" w:cs="Times New Roman"/>
          <w:b/>
          <w:bCs/>
          <w:smallCaps/>
          <w:noProof/>
          <w:color w:val="auto"/>
          <w:sz w:val="24"/>
          <w:szCs w:val="24"/>
        </w:rPr>
      </w:pPr>
      <w:r>
        <w:rPr>
          <w:rFonts w:ascii="Times New Roman" w:hAnsi="Times New Roman"/>
          <w:b/>
          <w:smallCaps/>
          <w:noProof/>
          <w:color w:val="auto"/>
          <w:sz w:val="24"/>
        </w:rPr>
        <w:t xml:space="preserve">Contribuția planurilor strategice PAC la îndeplinirea angajamentelor UE în materie de mediu și de climă </w:t>
      </w:r>
    </w:p>
    <w:p w14:paraId="47082BBD" w14:textId="453E4046" w:rsidR="009462B6" w:rsidRPr="00170DF9" w:rsidRDefault="009462B6" w:rsidP="00FC27A3">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Obiectivele PAC în materie de mediu și de climă vizează combaterea schimbărilor climatice, protejarea resurselor naturale și consolidarea biodiversității. PAC 2023-2027 a introdus o combinație de politici constând în intervenții, condiționalitate și un buget dedicat (arhitectura verde a PAC) pentru îndeplinirea acestor obiective. Statele membre au elaborat strategii de mediu pentru a contribui la actele legislative ale UE din domeniul mediului și al climei și pentru a contribui la atingerea obiectivelor Pactului verde al UE, precum și pentru a îndeplini obligația</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de a aduce o contribuție generală mai mare la realizarea acestor obiective specifice în comparație cu perioada 2014-2022.</w:t>
      </w:r>
    </w:p>
    <w:p w14:paraId="189A998F" w14:textId="233BBC52" w:rsidR="006C1556" w:rsidRPr="00170DF9" w:rsidRDefault="006C1556" w:rsidP="00FC27A3">
      <w:pPr>
        <w:jc w:val="both"/>
        <w:rPr>
          <w:rFonts w:ascii="Times New Roman" w:hAnsi="Times New Roman" w:cs="Times New Roman"/>
          <w:noProof/>
          <w:sz w:val="24"/>
          <w:szCs w:val="24"/>
        </w:rPr>
      </w:pPr>
      <w:r>
        <w:rPr>
          <w:rFonts w:ascii="Times New Roman" w:hAnsi="Times New Roman"/>
          <w:b/>
          <w:noProof/>
          <w:sz w:val="24"/>
        </w:rPr>
        <w:t>Fiecare stat membru și-a ales propriul mix de politici pentru a-și concepe arhitectura verde.</w:t>
      </w:r>
      <w:r>
        <w:rPr>
          <w:rFonts w:ascii="Times New Roman" w:hAnsi="Times New Roman"/>
          <w:noProof/>
          <w:sz w:val="24"/>
        </w:rPr>
        <w:t xml:space="preserve"> Intervențiile bazate pe suprafață sunt completate de sprijin pentru investiții verzi, cooperare sau proiecte de formare. </w:t>
      </w:r>
      <w:bookmarkStart w:id="4" w:name="_Hlk212708330"/>
      <w:r>
        <w:rPr>
          <w:rFonts w:ascii="Times New Roman" w:hAnsi="Times New Roman"/>
          <w:noProof/>
          <w:sz w:val="24"/>
        </w:rPr>
        <w:t xml:space="preserve">Actuala PAC continuă să sprijine angajamentele și investițiile în materie de gestionare, bine cunoscute de fermieri și adaptate la nevoile acestora. </w:t>
      </w:r>
      <w:bookmarkEnd w:id="4"/>
      <w:r>
        <w:rPr>
          <w:rFonts w:ascii="Times New Roman" w:hAnsi="Times New Roman"/>
          <w:noProof/>
          <w:sz w:val="24"/>
        </w:rPr>
        <w:t>În ceea ce privește bunele condiții agricole și de mediu (GAEC), în 2024 au fost introduse unele ajustări pentru o mai bună adaptare a punerii în aplicare la realitățile agriculturii: derogări specifice, derogări temporare și obligația de a recompensa menținerea și crearea zonelor neproductive.</w:t>
      </w:r>
    </w:p>
    <w:p w14:paraId="7E01C28F" w14:textId="33D40251" w:rsidR="006C1556" w:rsidRPr="00170DF9" w:rsidRDefault="00040E9F" w:rsidP="000B46F8">
      <w:pPr>
        <w:jc w:val="both"/>
        <w:rPr>
          <w:rFonts w:ascii="Times New Roman" w:hAnsi="Times New Roman" w:cs="Times New Roman"/>
          <w:noProof/>
          <w:kern w:val="0"/>
          <w:sz w:val="24"/>
          <w:szCs w:val="24"/>
          <w14:ligatures w14:val="none"/>
        </w:rPr>
      </w:pPr>
      <w:r>
        <w:rPr>
          <w:rFonts w:ascii="Times New Roman" w:hAnsi="Times New Roman"/>
          <w:b/>
          <w:noProof/>
          <w:sz w:val="24"/>
        </w:rPr>
        <w:t xml:space="preserve">Introduse în 2023, eco-schemele permit extinderea acțiunilor de agromediu, </w:t>
      </w:r>
      <w:r>
        <w:rPr>
          <w:rFonts w:ascii="Times New Roman" w:hAnsi="Times New Roman"/>
          <w:noProof/>
          <w:sz w:val="24"/>
        </w:rPr>
        <w:t xml:space="preserve">cu un buget dedicat important și angajamente anuale. Unele state membre s-au axat pe implicarea multor fermieri într-o schimbare mică și treptată, dar la scară largă, a practicilor agricole, în timp ce altele au conceput intervenții mai specifice. Toate statele membre au trebuit să găsească echilibrul corect între nivelul primei și ambiția de a asigura atractivitatea sistemului. În majoritatea planurilor, aderarea la eco-schemă a fost mai mare decât se anticipase, în timp ce în alte câteva au fost necesare modificări pentru a adapta intervențiile și a sprijini adoptarea lor de către fermieri. </w:t>
      </w:r>
      <w:r>
        <w:rPr>
          <w:rFonts w:ascii="Times New Roman" w:hAnsi="Times New Roman"/>
          <w:b/>
          <w:noProof/>
          <w:sz w:val="24"/>
        </w:rPr>
        <w:t>La nivelul UE, 47 % dintre fermieri au primit sprijin în cadrul eco-schemelor în exercițiul financiar 2024, pentru 58 % din SAU.</w:t>
      </w:r>
    </w:p>
    <w:p w14:paraId="62D1BFAF" w14:textId="36CC92DB" w:rsidR="00FD06E4" w:rsidRPr="00170DF9" w:rsidRDefault="00A15126" w:rsidP="002F14C5">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După doi ani de punere în aplicare, este prea devreme pentru a măsura impactul real al intervențiilor asupra îndeplinirii obiectivelor în materie de mediu și de climă din planurile PAC. </w:t>
      </w:r>
      <w:bookmarkStart w:id="5" w:name="_Hlk212483470"/>
      <w:r>
        <w:rPr>
          <w:rFonts w:ascii="Times New Roman" w:hAnsi="Times New Roman"/>
          <w:noProof/>
          <w:sz w:val="24"/>
        </w:rPr>
        <w:t>În multe cazuri, impactul poate fi măsurat numai după mai mulți ani (de exemplu, regenerarea biodiversității, poluarea aerului și a apei, sănătatea solului etc.).</w:t>
      </w:r>
      <w:bookmarkEnd w:id="5"/>
      <w:r>
        <w:rPr>
          <w:rFonts w:ascii="Times New Roman" w:hAnsi="Times New Roman"/>
          <w:noProof/>
          <w:sz w:val="24"/>
        </w:rPr>
        <w:t xml:space="preserve"> Cu toate acestea, trei studii recente contribuie la estimarea și cuantificarea contribuțiilor potențiale ale intervențiilor planificate la realizarea obiectivelor respective. Studiile au evaluat fiecare intervenție PAC pe baza (i) practicilor (sau cerințelor) agricole sprijinite, (ii) a acoperirii planificate și (iii) a impactului fiecărei practici agricole asupra climei, biodiversității, aerului curat și sănătății solului. </w:t>
      </w:r>
    </w:p>
    <w:p w14:paraId="0DBD43BF" w14:textId="5B05101B" w:rsidR="006C1556" w:rsidRPr="00170DF9" w:rsidRDefault="005373CB" w:rsidP="00FC27A3">
      <w:pPr>
        <w:jc w:val="both"/>
        <w:rPr>
          <w:rFonts w:ascii="Times New Roman" w:hAnsi="Times New Roman" w:cs="Times New Roman"/>
          <w:noProof/>
          <w:sz w:val="24"/>
          <w:szCs w:val="24"/>
        </w:rPr>
      </w:pPr>
      <w:r>
        <w:rPr>
          <w:rFonts w:ascii="Times New Roman" w:hAnsi="Times New Roman"/>
          <w:noProof/>
          <w:sz w:val="24"/>
        </w:rPr>
        <w:t xml:space="preserve">Studiul intitulat </w:t>
      </w:r>
      <w:r>
        <w:rPr>
          <w:rFonts w:ascii="Times New Roman" w:hAnsi="Times New Roman"/>
          <w:i/>
          <w:noProof/>
          <w:sz w:val="24"/>
        </w:rPr>
        <w:t>„Budget tracking of the CAP contribution to climate change, biodiversity and clean air action”</w:t>
      </w:r>
      <w:r>
        <w:rPr>
          <w:rFonts w:ascii="Times New Roman" w:hAnsi="Times New Roman"/>
          <w:noProof/>
          <w:sz w:val="24"/>
        </w:rPr>
        <w:t xml:space="preserve"> (Urmărirea bugetară a contribuției PAC la acțiunile în domeniul schimbărilor climatice, al biodiversității și al aerului curat)</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arată că </w:t>
      </w:r>
      <w:r>
        <w:rPr>
          <w:rFonts w:ascii="Times New Roman" w:hAnsi="Times New Roman"/>
          <w:b/>
          <w:noProof/>
          <w:sz w:val="24"/>
        </w:rPr>
        <w:t>33 % din bugetul PAC are o contribuție pozitivă la combaterea schimbărilor climatice, 39 % la biodiversitate și 20 % la aerul curat.</w:t>
      </w:r>
      <w:r>
        <w:rPr>
          <w:rFonts w:ascii="Times New Roman" w:hAnsi="Times New Roman"/>
          <w:noProof/>
          <w:sz w:val="24"/>
        </w:rPr>
        <w:t xml:space="preserve"> În plus, studiul arată că există mai multe intervenții care contribuie, nu numai cele privind arhitectura verde. Această abordare ia în considerare definițiile intervențiilor și direcționarea sprijinului</w:t>
      </w:r>
      <w:r>
        <w:rPr>
          <w:rStyle w:val="FootnoteReference"/>
          <w:rFonts w:ascii="Times New Roman" w:hAnsi="Times New Roman" w:cs="Times New Roman"/>
          <w:bCs/>
          <w:noProof/>
          <w:sz w:val="24"/>
          <w:szCs w:val="24"/>
        </w:rPr>
        <w:footnoteReference w:id="15"/>
      </w:r>
      <w:r>
        <w:rPr>
          <w:rFonts w:ascii="Times New Roman" w:hAnsi="Times New Roman"/>
          <w:noProof/>
          <w:sz w:val="24"/>
        </w:rPr>
        <w:t xml:space="preserve"> și are ca rezultat o contribuție la obiectivele legate de schimbările climatice ușor mai scăzută decât în cazul utilizării markerilor Rio</w:t>
      </w:r>
      <w:r>
        <w:rPr>
          <w:rStyle w:val="FootnoteReference"/>
          <w:rFonts w:ascii="Times New Roman" w:eastAsia="Times New Roman" w:hAnsi="Times New Roman" w:cs="Times New Roman"/>
          <w:noProof/>
          <w:sz w:val="24"/>
          <w:szCs w:val="24"/>
          <w:lang w:val="en-IE" w:eastAsia="en-IE"/>
        </w:rPr>
        <w:footnoteReference w:id="16"/>
      </w:r>
      <w:r>
        <w:rPr>
          <w:rFonts w:ascii="Times New Roman" w:hAnsi="Times New Roman"/>
          <w:noProof/>
          <w:sz w:val="24"/>
        </w:rPr>
        <w:t xml:space="preserve">, dar comparabilă. Acest lucru dovedește relevanța markerilor Rio, o abordare simplificată care este necesară în faza de planificare. Metodologiile de urmărire bugetară respective evaluează doar impactul pozitiv, iar acest lucru ar trebui avut în vedere la interpretarea rezultatelor, care ar trebui să fie completate prin evaluări </w:t>
      </w:r>
      <w:r>
        <w:rPr>
          <w:rFonts w:ascii="Times New Roman" w:hAnsi="Times New Roman"/>
          <w:i/>
          <w:noProof/>
          <w:sz w:val="24"/>
        </w:rPr>
        <w:t>ex post</w:t>
      </w:r>
      <w:r>
        <w:rPr>
          <w:rFonts w:ascii="Times New Roman" w:hAnsi="Times New Roman"/>
          <w:noProof/>
          <w:sz w:val="24"/>
        </w:rPr>
        <w:t>.</w:t>
      </w:r>
    </w:p>
    <w:p w14:paraId="42B63AC2" w14:textId="55883F1F" w:rsidR="006C1556" w:rsidRPr="00170DF9" w:rsidRDefault="00363D1D" w:rsidP="00FC27A3">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 xml:space="preserve">Planurile PAC reprezintă o contribuție potențială semnificativă la atingerea obiectivelor de atenuare a schimbărilor climatice pentru 2030. </w:t>
      </w:r>
      <w:r>
        <w:rPr>
          <w:rFonts w:ascii="Times New Roman" w:hAnsi="Times New Roman"/>
          <w:noProof/>
          <w:sz w:val="24"/>
        </w:rPr>
        <w:t xml:space="preserve">Studiul intitulat </w:t>
      </w:r>
      <w:r>
        <w:rPr>
          <w:rFonts w:ascii="Times New Roman" w:hAnsi="Times New Roman"/>
          <w:i/>
          <w:noProof/>
          <w:sz w:val="24"/>
        </w:rPr>
        <w:t>„Rough estimation of the climate change mitigation potential of the plans”</w:t>
      </w:r>
      <w:r>
        <w:rPr>
          <w:rFonts w:ascii="Times New Roman" w:hAnsi="Times New Roman"/>
          <w:noProof/>
          <w:sz w:val="24"/>
        </w:rPr>
        <w:t xml:space="preserve"> (Estimare aproximativă a potențialului de atenuare a schimbărilor climatice al planurilor)</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indică o potențială contribuție pozitivă a celor 28 de planuri la reducerea emisiilor de gaze cu efect de seră și la absorbția sporită a unui număr de 35 de milioane de tone de echivalent CO</w:t>
      </w:r>
      <w:r>
        <w:rPr>
          <w:rFonts w:ascii="Times New Roman" w:hAnsi="Times New Roman"/>
          <w:noProof/>
          <w:sz w:val="24"/>
          <w:vertAlign w:val="subscript"/>
        </w:rPr>
        <w:t xml:space="preserve">2 </w:t>
      </w:r>
      <w:r>
        <w:rPr>
          <w:rFonts w:ascii="Times New Roman" w:hAnsi="Times New Roman"/>
          <w:noProof/>
          <w:sz w:val="24"/>
        </w:rPr>
        <w:t>pe an în medie în perioada 2023-2027, distribuite astfel: reducerea emisiilor, altele decât cele de CO</w:t>
      </w:r>
      <w:r>
        <w:rPr>
          <w:rFonts w:ascii="Times New Roman" w:hAnsi="Times New Roman"/>
          <w:noProof/>
          <w:sz w:val="24"/>
          <w:vertAlign w:val="subscript"/>
        </w:rPr>
        <w:t>2</w:t>
      </w:r>
      <w:r>
        <w:rPr>
          <w:rFonts w:ascii="Times New Roman" w:hAnsi="Times New Roman"/>
          <w:noProof/>
          <w:sz w:val="24"/>
        </w:rPr>
        <w:t>, cu 5 milioane de tone și absorbții de carbon de 30 de milioane de tone pe an. Există o serie de incertitudini cu privire la această estimare, în special, măsura în care contribuția pozitivă anuală poate fi cumulată până în 2027 depinde în mare măsură de adiționalitatea utilizării efective a practicilor de către fermieri pe parcursul întregii perioade.</w:t>
      </w:r>
    </w:p>
    <w:p w14:paraId="57CB84EA" w14:textId="6D7B1F93" w:rsidR="006C1556" w:rsidRPr="00170DF9" w:rsidRDefault="00983662"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Statele membre</w:t>
      </w:r>
      <w:r>
        <w:rPr>
          <w:rFonts w:ascii="Times New Roman" w:hAnsi="Times New Roman"/>
          <w:b/>
          <w:noProof/>
          <w:sz w:val="24"/>
        </w:rPr>
        <w:t xml:space="preserve"> </w:t>
      </w:r>
      <w:r>
        <w:rPr>
          <w:rFonts w:ascii="Times New Roman" w:hAnsi="Times New Roman"/>
          <w:noProof/>
          <w:sz w:val="24"/>
        </w:rPr>
        <w:t>au elaborat</w:t>
      </w:r>
      <w:r>
        <w:rPr>
          <w:rFonts w:ascii="Times New Roman" w:hAnsi="Times New Roman"/>
          <w:b/>
          <w:noProof/>
          <w:sz w:val="24"/>
        </w:rPr>
        <w:t xml:space="preserve"> o gamă largă de intervenții pentru a îmbunătăți sănătatea solului, care contribuie la realizarea tuturor celor trei obiective specifice. </w:t>
      </w:r>
      <w:r>
        <w:rPr>
          <w:rFonts w:ascii="Times New Roman" w:hAnsi="Times New Roman"/>
          <w:noProof/>
          <w:sz w:val="24"/>
        </w:rPr>
        <w:t xml:space="preserve">Studiul intitulat </w:t>
      </w:r>
      <w:r>
        <w:rPr>
          <w:rFonts w:ascii="Times New Roman" w:hAnsi="Times New Roman"/>
          <w:i/>
          <w:noProof/>
          <w:sz w:val="24"/>
        </w:rPr>
        <w:t>„Rough estimate of the soil protection potential of the CAP”</w:t>
      </w:r>
      <w:r>
        <w:rPr>
          <w:rFonts w:ascii="Times New Roman" w:hAnsi="Times New Roman"/>
          <w:noProof/>
          <w:sz w:val="24"/>
        </w:rPr>
        <w:t xml:space="preserve"> (Estimare aproximativă a potențialului de protecție a solului al PAC)</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examinează opțiunile de punere în aplicare a 13 planuri reprezentând diversitatea pedoclimatică a UE, în care protecția solului este identificată ca fiind o prioritate. Studiul evaluează șase caracteristici ale solului. De exemplu, creșterea potențială a cantității de carbon organic din solul agricol este estimată la 0,92 % pe an pentru intervențiile PAC și la 0,14 % pe an pentru cerințele GAEC. Rotația și diversificarea culturilor generează cea mai mare parte a creșterii potențiale estimate a cantității de conținut organic din sol. Acesta este un rezultat preliminar, care rămâne „aproximativ” din cauza unor limitări constând în principal în dificultatea de a ține seama de contextul local, și nu acoperă toate aspectele legate de sănătatea solului (de exemplu, salinizarea, tasarea subsolului etc.).</w:t>
      </w:r>
    </w:p>
    <w:p w14:paraId="44DD6D81" w14:textId="593E1A08" w:rsidR="006C1556" w:rsidRPr="00170DF9" w:rsidRDefault="00585109" w:rsidP="00D324DC">
      <w:pPr>
        <w:jc w:val="both"/>
        <w:rPr>
          <w:rFonts w:ascii="Times New Roman" w:hAnsi="Times New Roman" w:cs="Times New Roman"/>
          <w:noProof/>
          <w:sz w:val="24"/>
          <w:szCs w:val="24"/>
        </w:rPr>
      </w:pPr>
      <w:r>
        <w:rPr>
          <w:rFonts w:ascii="Times New Roman" w:hAnsi="Times New Roman"/>
          <w:noProof/>
          <w:sz w:val="24"/>
        </w:rPr>
        <w:t xml:space="preserve">Studiile menționate mai sus estimează contribuțiile PAC pe baza acțiunilor planificate, prin urmare ele nu pot prevedea dinainte rezultatele finale. Cu toate acestea, punerea în aplicare a planurilor arată că, </w:t>
      </w:r>
      <w:r>
        <w:rPr>
          <w:rFonts w:ascii="Times New Roman" w:hAnsi="Times New Roman"/>
          <w:b/>
          <w:noProof/>
          <w:sz w:val="24"/>
        </w:rPr>
        <w:t>în</w:t>
      </w:r>
      <w:r>
        <w:rPr>
          <w:rFonts w:ascii="Times New Roman" w:hAnsi="Times New Roman"/>
          <w:noProof/>
          <w:sz w:val="24"/>
        </w:rPr>
        <w:t xml:space="preserve"> </w:t>
      </w:r>
      <w:r>
        <w:rPr>
          <w:rFonts w:ascii="Times New Roman" w:hAnsi="Times New Roman"/>
          <w:b/>
          <w:noProof/>
          <w:sz w:val="24"/>
        </w:rPr>
        <w:t>medie, la nivelul UE</w:t>
      </w:r>
      <w:r>
        <w:rPr>
          <w:rFonts w:ascii="Times New Roman" w:hAnsi="Times New Roman"/>
          <w:noProof/>
          <w:sz w:val="24"/>
        </w:rPr>
        <w:t xml:space="preserve">, </w:t>
      </w:r>
      <w:r>
        <w:rPr>
          <w:rFonts w:ascii="Times New Roman" w:hAnsi="Times New Roman"/>
          <w:b/>
          <w:noProof/>
          <w:sz w:val="24"/>
        </w:rPr>
        <w:t>majoritatea obiectivelor de etapă anuale în materie de mediu și climă au fost depășite în 2024</w:t>
      </w:r>
      <w:r>
        <w:rPr>
          <w:rStyle w:val="FootnoteReference"/>
          <w:rFonts w:ascii="Times New Roman" w:hAnsi="Times New Roman" w:cs="Times New Roman"/>
          <w:b/>
          <w:noProof/>
          <w:sz w:val="24"/>
          <w:szCs w:val="24"/>
        </w:rPr>
        <w:footnoteReference w:id="19"/>
      </w:r>
      <w:r>
        <w:rPr>
          <w:rFonts w:ascii="Times New Roman" w:hAnsi="Times New Roman"/>
          <w:noProof/>
          <w:sz w:val="24"/>
        </w:rPr>
        <w:t>. În special, intervențiile pentru îmbunătățirea și protejarea solului acoperă 51 % din SAU a UE, iar acțiunile de îmbunătățire a stocării carbonului în sol și în biomasă acoperă 35 % din SAU, ceea ce este de bun augur pentru viitor.</w:t>
      </w:r>
    </w:p>
    <w:p w14:paraId="1848755D" w14:textId="050F7A95" w:rsidR="006C1556" w:rsidRPr="00170DF9" w:rsidRDefault="00163D49" w:rsidP="00D324DC">
      <w:pPr>
        <w:jc w:val="both"/>
        <w:rPr>
          <w:rFonts w:ascii="Times New Roman" w:eastAsia="Times New Roman" w:hAnsi="Times New Roman" w:cs="Times New Roman"/>
          <w:b/>
          <w:noProof/>
          <w:kern w:val="0"/>
          <w:sz w:val="24"/>
          <w:szCs w:val="24"/>
          <w14:ligatures w14:val="none"/>
        </w:rPr>
      </w:pPr>
      <w:r>
        <w:rPr>
          <w:rFonts w:ascii="Times New Roman" w:hAnsi="Times New Roman"/>
          <w:b/>
          <w:noProof/>
          <w:sz w:val="24"/>
        </w:rPr>
        <w:t>În ceea ce privește obiectivele Pactului verde european, se pot observa unele tendințe pozitive, chiar dacă este prea devreme pentru a evalua contribuția PAC.</w:t>
      </w:r>
    </w:p>
    <w:p w14:paraId="66076594" w14:textId="0C7F478D" w:rsidR="00B37AFE" w:rsidRPr="00170DF9" w:rsidRDefault="00D225E0"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2023, </w:t>
      </w:r>
      <w:r>
        <w:rPr>
          <w:rFonts w:ascii="Times New Roman" w:hAnsi="Times New Roman"/>
          <w:b/>
          <w:noProof/>
          <w:sz w:val="24"/>
        </w:rPr>
        <w:t>11 % din SAU era destinată agriculturii ecologice</w:t>
      </w:r>
      <w:r>
        <w:rPr>
          <w:rFonts w:ascii="Times New Roman" w:hAnsi="Times New Roman"/>
          <w:noProof/>
          <w:sz w:val="24"/>
        </w:rPr>
        <w:t>, 6 % din SAU beneficiind de sprijin specific bazat pe suprafață pentru sectorul ecologic. Cu toate acestea, unele state membre au declarat că au întâmpinat dificultăți în atingerea obiectivului lor privind terenurile utilizate pentru agricultura ecologică din cauza cererii mai mici decât se preconizase pentru produsele ecologice și a creșterii costurilor. Acestea au planificat acțiuni de remediere, dar</w:t>
      </w:r>
      <w:r>
        <w:rPr>
          <w:rFonts w:ascii="Times New Roman" w:hAnsi="Times New Roman"/>
          <w:b/>
          <w:noProof/>
          <w:sz w:val="24"/>
        </w:rPr>
        <w:t xml:space="preserve"> </w:t>
      </w:r>
      <w:r>
        <w:rPr>
          <w:rFonts w:ascii="Times New Roman" w:hAnsi="Times New Roman"/>
          <w:noProof/>
          <w:sz w:val="24"/>
        </w:rPr>
        <w:t>obiectivul ca 25 % din terenurile agricole să fie utilizate pentru agricultura ecologică poate fi atins numai în condițiile unei creșteri puternice și în ceea ce privește cererea de produse ecologice.</w:t>
      </w:r>
    </w:p>
    <w:p w14:paraId="4365A3C8" w14:textId="6D4A623E" w:rsidR="006C1556" w:rsidRPr="00170DF9" w:rsidRDefault="00865428" w:rsidP="00D324DC">
      <w:pPr>
        <w:jc w:val="both"/>
        <w:rPr>
          <w:rFonts w:ascii="Times New Roman" w:hAnsi="Times New Roman" w:cs="Times New Roman"/>
          <w:noProof/>
          <w:sz w:val="24"/>
          <w:szCs w:val="24"/>
        </w:rPr>
      </w:pPr>
      <w:r>
        <w:rPr>
          <w:rFonts w:ascii="Times New Roman" w:hAnsi="Times New Roman"/>
          <w:noProof/>
          <w:sz w:val="24"/>
        </w:rPr>
        <w:t xml:space="preserve">Obiectivul Pactului verde al UE de reducere cu 50 % a </w:t>
      </w:r>
      <w:r>
        <w:rPr>
          <w:rFonts w:ascii="Times New Roman" w:hAnsi="Times New Roman"/>
          <w:b/>
          <w:noProof/>
          <w:sz w:val="24"/>
        </w:rPr>
        <w:t>pierderilor de nutrienți</w:t>
      </w:r>
      <w:r>
        <w:rPr>
          <w:rFonts w:ascii="Times New Roman" w:hAnsi="Times New Roman"/>
          <w:noProof/>
          <w:sz w:val="24"/>
        </w:rPr>
        <w:t>, asigurând în același timp faptul că fertilitatea solului nu se degradează, este legat de o reducere a utilizării îngrășămintelor cu cel puțin 20 % până în 2030 comparativ cu media din perioada 2012-2014. Aproape toate planurile sprijină o fertilizare mai echilibrată și practici îmbunătățite, de exemplu, interzicerea îngrășămintelor sintetice sau înlocuirea acestora cu îngrășăminte organice, agricultura de precizie, precum și alte practici de limitare a pierderilor de nutrienți în aer și în apă. Practicile de gestionare durabilă a nutrienților au fost puse în aplicare pentru 14 % din SAU a UE în exercițiul financiar 2024. În medie, între 2021 și 2023, fermierii din întreaga UE au utilizat 8,9 milioane de tone de îngrășăminte pe bază de azot, cu 9 % mai puțin decât între 2012 și 2014 (perioada de referință). Întrucât declinul recent se datorează parțial costului ridicat al îngrășămintelor azotate sintetice, ca urmare a războiului în curs din Ucraina, este prea devreme pentru a evalua impactul acestuia în ceea ce privește atingerea acestui obiectiv ambițios.</w:t>
      </w:r>
    </w:p>
    <w:p w14:paraId="64CD6C84" w14:textId="4B82259E" w:rsidR="006C1556" w:rsidRPr="00170DF9" w:rsidRDefault="006C1556"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Obiectivul Pactului verde al UE în ceea ce privește </w:t>
      </w:r>
      <w:r>
        <w:rPr>
          <w:rFonts w:ascii="Times New Roman" w:hAnsi="Times New Roman"/>
          <w:b/>
          <w:noProof/>
          <w:sz w:val="24"/>
        </w:rPr>
        <w:t>antimicrobienele</w:t>
      </w:r>
      <w:r>
        <w:rPr>
          <w:rFonts w:ascii="Times New Roman" w:hAnsi="Times New Roman"/>
          <w:noProof/>
          <w:sz w:val="24"/>
        </w:rPr>
        <w:t xml:space="preserve"> este de a realiza o reducere cu 50 % a vânzărilor pentru</w:t>
      </w:r>
      <w:r>
        <w:rPr>
          <w:rFonts w:ascii="Times New Roman" w:hAnsi="Times New Roman"/>
          <w:b/>
          <w:noProof/>
          <w:sz w:val="24"/>
        </w:rPr>
        <w:t xml:space="preserve"> </w:t>
      </w:r>
      <w:r>
        <w:rPr>
          <w:rFonts w:ascii="Times New Roman" w:hAnsi="Times New Roman"/>
          <w:noProof/>
          <w:sz w:val="24"/>
        </w:rPr>
        <w:t>animalele de fermă și cele de acvacultură până în 2030, comparativ cu nivelurile din 2018. Agenția Europeană pentru Medicamente (EMA) a anunțat o scădere cu 25 % a vânzărilor totale de antimicrobiene destinate utilizării la animalele de la care se obțin produse alimentare în UE în perioada 2018-2023</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aducând UE mai aproape de atingerea obiectivului de reducere pentru 2030. </w:t>
      </w:r>
    </w:p>
    <w:p w14:paraId="3D13CC2C" w14:textId="4B073B5B" w:rsidR="0038766A" w:rsidRPr="00170DF9" w:rsidRDefault="00904674"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S-au realizat multe progrese pentru ca utilizarea </w:t>
      </w:r>
      <w:r>
        <w:rPr>
          <w:rFonts w:ascii="Times New Roman" w:hAnsi="Times New Roman"/>
          <w:b/>
          <w:noProof/>
          <w:sz w:val="24"/>
        </w:rPr>
        <w:t xml:space="preserve">pesticidelor </w:t>
      </w:r>
      <w:r>
        <w:rPr>
          <w:rFonts w:ascii="Times New Roman" w:hAnsi="Times New Roman"/>
          <w:noProof/>
          <w:sz w:val="24"/>
        </w:rPr>
        <w:t>să devină mai durabilă și pentru a reduce utilizarea acestora, practicile relevante acoperind 29 % din SAU a UE în exercițiul financiar 2024, în principal prin angajamente de agromediu și climă și prin sprijin pentru agricultura ecologică. Rotația culturilor și zonele tampon îndeplinesc un rol important în reducerea utilizării pesticidelor. Cu toate acestea, este prea devreme pentru a evalua măsura în care intervențiile PAC contribuie la atingerea obiectivelor Pactului verde european (reducerea cu 50 % a utilizării globale a pesticidelor chimice și a riscului prezentat de acestea, precum și a utilizării celor mai periculoase pesticide în comparație cu perioada 2015-2017).</w:t>
      </w:r>
    </w:p>
    <w:p w14:paraId="20ACBEBA" w14:textId="7D43CFBF" w:rsidR="006C1556" w:rsidRPr="00170DF9" w:rsidRDefault="004F23B6"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nivelul UE, </w:t>
      </w:r>
      <w:r>
        <w:rPr>
          <w:rFonts w:ascii="Times New Roman" w:hAnsi="Times New Roman"/>
          <w:b/>
          <w:noProof/>
          <w:sz w:val="24"/>
        </w:rPr>
        <w:t>elementele de peisaj</w:t>
      </w:r>
      <w:r>
        <w:rPr>
          <w:rFonts w:ascii="Times New Roman" w:hAnsi="Times New Roman"/>
          <w:noProof/>
          <w:sz w:val="24"/>
        </w:rPr>
        <w:t xml:space="preserve"> au acoperit 5,6 % din terenurile agricole în 2022</w:t>
      </w:r>
      <w:r>
        <w:rPr>
          <w:rStyle w:val="FootnoteReference"/>
          <w:rFonts w:ascii="Times New Roman" w:hAnsi="Times New Roman" w:cs="Times New Roman"/>
          <w:noProof/>
          <w:sz w:val="24"/>
          <w:szCs w:val="24"/>
        </w:rPr>
        <w:footnoteReference w:id="21"/>
      </w:r>
      <w:r>
        <w:rPr>
          <w:rFonts w:ascii="Times New Roman" w:hAnsi="Times New Roman"/>
          <w:noProof/>
          <w:sz w:val="24"/>
        </w:rPr>
        <w:t>, iar terenurile lăsate în pârloagă 3,6 % în 2020, astfel încât ambele vor contribui la atingerea obiectivului ca 10 % din suprafața agricolă să reprezinte elemente de peisaj de mare diversitate. Intervențiile care sprijină elementele de peisaj din planurile PAC sunt, în general, mai ample și vizează sporirea biodiversității, a habitatelor și a speciilor printr-o mai mare diversitate structurală. Obiectivul de etapă anual relevant a fost atins în majoritatea planurilor, 1,5 % din SAU a UE fiind acoperită de sprijin pentru gestionarea elementelor de peisaj în exercițiul financiar 2024. Începând din 2025, din cauza costurilor suportate de fermieri pentru îndeplinirea acesteia, obligația de a menține o pondere minimă a suprafeței arabile pentru elementele de peisaj și terenurile lăsate în pârloagă în temeiul GAEC 8 a fost înlocuită cu obligația statelor membre de a propune o eco-schemă echivalentă care să sprijine menținerea și stabilirea de noi elemente de peisaj.</w:t>
      </w:r>
    </w:p>
    <w:p w14:paraId="4B4D6E69" w14:textId="77777777" w:rsidR="0018347F" w:rsidRDefault="0018347F" w:rsidP="00492007">
      <w:pPr>
        <w:rPr>
          <w:rFonts w:ascii="Times New Roman" w:hAnsi="Times New Roman" w:cs="Times New Roman"/>
          <w:smallCaps/>
          <w:noProof/>
          <w:color w:val="000000" w:themeColor="text1"/>
          <w:sz w:val="24"/>
          <w:szCs w:val="24"/>
          <w:lang w:val="en-IE"/>
        </w:rPr>
      </w:pPr>
    </w:p>
    <w:p w14:paraId="6728A5B8" w14:textId="77777777" w:rsidR="00537E72" w:rsidRPr="00170DF9" w:rsidRDefault="00537E72" w:rsidP="00492007">
      <w:pPr>
        <w:rPr>
          <w:rFonts w:ascii="Times New Roman" w:hAnsi="Times New Roman" w:cs="Times New Roman"/>
          <w:smallCaps/>
          <w:noProof/>
          <w:color w:val="000000" w:themeColor="text1"/>
          <w:sz w:val="24"/>
          <w:szCs w:val="24"/>
          <w:lang w:val="en-IE"/>
        </w:rPr>
      </w:pPr>
    </w:p>
    <w:p w14:paraId="2B4F07ED" w14:textId="7E4229E0" w:rsidR="003C4FC2" w:rsidRPr="00170DF9" w:rsidRDefault="009B46F7" w:rsidP="00492007">
      <w:pPr>
        <w:rPr>
          <w:rFonts w:ascii="Times New Roman" w:eastAsia="Times New Roman" w:hAnsi="Times New Roman" w:cs="Times New Roman"/>
          <w:smallCaps/>
          <w:noProof/>
          <w:color w:val="000000" w:themeColor="text1"/>
          <w:kern w:val="0"/>
          <w:sz w:val="24"/>
          <w:szCs w:val="24"/>
          <w14:ligatures w14:val="none"/>
        </w:rPr>
      </w:pPr>
      <w:r>
        <w:rPr>
          <w:rFonts w:ascii="Times New Roman" w:hAnsi="Times New Roman"/>
          <w:smallCaps/>
          <w:noProof/>
          <w:color w:val="000000" w:themeColor="text1"/>
          <w:sz w:val="24"/>
        </w:rPr>
        <w:t xml:space="preserve">Concluzie </w:t>
      </w:r>
    </w:p>
    <w:p w14:paraId="5C02FBF1" w14:textId="18F7AC2F" w:rsidR="0036141E" w:rsidRPr="00170DF9" w:rsidRDefault="00C916A0" w:rsidP="0066128D">
      <w:pPr>
        <w:jc w:val="both"/>
        <w:rPr>
          <w:rFonts w:ascii="Times New Roman" w:hAnsi="Times New Roman" w:cs="Times New Roman"/>
          <w:noProof/>
          <w:sz w:val="24"/>
          <w:szCs w:val="24"/>
        </w:rPr>
      </w:pPr>
      <w:r>
        <w:rPr>
          <w:rFonts w:ascii="Times New Roman" w:hAnsi="Times New Roman"/>
          <w:noProof/>
          <w:sz w:val="24"/>
        </w:rPr>
        <w:t xml:space="preserve">Noutatea noului model de performanță constă în integrarea mai strategică a instrumentelor sale, în flexibilitatea mai mare pe care o oferă statelor membre pentru a adapta conceperea intervențiilor la nevoile lor. Programarea strategică bazată pe evaluarea nevoilor a fost salutată de statele membre și de beneficiari, iar noul model de performanță a avut un impact pozitiv asupra guvernanței PAC (parteneriat, utilizarea dovezilor). Introducerea sistemului de monitorizare a suprafețelor oferă, de asemenea, oportunități de reducere a sarcinii administrative pentru fermieri și administrații. </w:t>
      </w:r>
    </w:p>
    <w:p w14:paraId="51A71273" w14:textId="1E64C886" w:rsidR="00713DA0" w:rsidRPr="00170DF9" w:rsidRDefault="1D67ACE9" w:rsidP="00AC4E65">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Cu toate acestea, adoptarea tardivă a cadrului juridic al Uniunii a reprezentat o sursă de complicații pentru statele membre și acestea au subliniat importanța primirii de informații în timp util pentru a permite o abordare integrată și coordonată a setului de instrumente al PAC și pentru a evita suprareglementarea. Nu au fost utilizate toate flexibilitățile, inclusiv cele destinate simplificării normelor de către statele membre</w:t>
      </w:r>
      <w:r>
        <w:rPr>
          <w:noProof/>
        </w:rPr>
        <w:t xml:space="preserve">, </w:t>
      </w:r>
      <w:r>
        <w:rPr>
          <w:rFonts w:ascii="Times New Roman" w:hAnsi="Times New Roman"/>
          <w:noProof/>
          <w:sz w:val="24"/>
        </w:rPr>
        <w:t xml:space="preserve">pentru a evita riscul de corecții financiare. </w:t>
      </w:r>
    </w:p>
    <w:p w14:paraId="665504C8" w14:textId="1C3655B8" w:rsidR="00FD2BD2" w:rsidRPr="00170DF9" w:rsidRDefault="00F052D5">
      <w:pPr>
        <w:jc w:val="both"/>
        <w:rPr>
          <w:rFonts w:ascii="Times New Roman" w:hAnsi="Times New Roman" w:cs="Times New Roman"/>
          <w:noProof/>
          <w:sz w:val="24"/>
          <w:szCs w:val="24"/>
        </w:rPr>
      </w:pPr>
      <w:r>
        <w:rPr>
          <w:rFonts w:ascii="Times New Roman" w:hAnsi="Times New Roman"/>
          <w:noProof/>
          <w:sz w:val="24"/>
        </w:rPr>
        <w:t xml:space="preserve">Complexitatea inutilă a fost abordată, de asemenea, prin două propuneri de simplificare prezentate de Comisie în martie 2024 și în mai 2025, care prevăd, în special, (i) înlocuirea obligației de a menține o cotă minimă de suprafață arabilă pentru elementele de peisaj și terenurile lăsate în pârloagă cu o eco-schemă echivalentă și voluntară pentru fermieri și (ii) încetarea exercițiului anual de verificare a performanței.  </w:t>
      </w:r>
    </w:p>
    <w:p w14:paraId="014697BA" w14:textId="17ADC2AB" w:rsidR="00BB6BC5" w:rsidRPr="00170DF9" w:rsidRDefault="00FD2BD2">
      <w:pPr>
        <w:jc w:val="both"/>
        <w:rPr>
          <w:rFonts w:ascii="Times New Roman" w:hAnsi="Times New Roman" w:cs="Times New Roman"/>
          <w:noProof/>
          <w:sz w:val="24"/>
          <w:szCs w:val="24"/>
        </w:rPr>
      </w:pPr>
      <w:r>
        <w:rPr>
          <w:rFonts w:ascii="Times New Roman" w:hAnsi="Times New Roman"/>
          <w:noProof/>
          <w:sz w:val="24"/>
        </w:rPr>
        <w:t>Experiența a arătat că statele membre au reușit să corecteze sau să adapteze planurile prin intermediul unor modificări. Pentru a facilita modificări suplimentare, a fost introdusă o procedură de notificare pentru modificările nestrategice. Trebuie găsit un echilibru adecvat între simplificarea planificării și a raportării și nivelul de informații necesare pentru a evalua conformitatea cu legislația UE și contribuția planurilor la obiectivele PAC specifice și între adaptabilitatea planurilor și accentul pus atât pe performanță pe parcursul perioadei de programare, cât și pe asigurarea certitudinii pentru fermieri.</w:t>
      </w:r>
    </w:p>
    <w:p w14:paraId="701571F7" w14:textId="7DC9A51D" w:rsidR="00A265B2" w:rsidRPr="00170DF9" w:rsidRDefault="00A265B2" w:rsidP="00A265B2">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urma primei evaluări bianuale a performanței, Comisia a concluzionat că punerea în aplicare a planurilor își urmează cursul firesc, abaterile rămânând în limitele stabilite la articolul 135 din Regulamentul (UE) 2021/2115. Niciunul dintre planuri nu necesită acțiuni corective. </w:t>
      </w:r>
    </w:p>
    <w:p w14:paraId="4525D8F4" w14:textId="1DF9E6CD" w:rsidR="001A4D68" w:rsidRPr="00170DF9" w:rsidRDefault="00ED72F1" w:rsidP="001A4D68">
      <w:pPr>
        <w:jc w:val="both"/>
        <w:rPr>
          <w:rFonts w:ascii="Times New Roman" w:eastAsia="Times New Roman" w:hAnsi="Times New Roman" w:cs="Times New Roman"/>
          <w:smallCaps/>
          <w:noProof/>
          <w:kern w:val="0"/>
          <w:sz w:val="24"/>
          <w:szCs w:val="24"/>
          <w14:ligatures w14:val="none"/>
        </w:rPr>
      </w:pPr>
      <w:r>
        <w:rPr>
          <w:rFonts w:ascii="Times New Roman" w:hAnsi="Times New Roman"/>
          <w:noProof/>
          <w:sz w:val="24"/>
        </w:rPr>
        <w:t>Analiza confirmă faptul că planurile au potențialul de a contribui la îndeplinirea obiectivelor PAC în materie de mediu și de climă. Punerea în aplicare a planurilor PAC arată că, în medie, la nivelul UE, majoritatea obiectivelor de etapă aferente indicatorilor anuali de rezultat în materie de mediu și de climă au fost depășite în 2024. Cu toate acestea, cuantificarea contribuției planurilor PAC la atingerea obiectivelor în materie de mediu și de climă necesită o perioadă mai lungă de evaluare și de luare în considerare a impactului altor factori relevanți.</w:t>
      </w:r>
    </w:p>
    <w:p w14:paraId="7F13902D" w14:textId="1BA34650" w:rsidR="00E610D3" w:rsidRPr="00C468A5" w:rsidRDefault="00DA5081" w:rsidP="00891EDC">
      <w:pPr>
        <w:jc w:val="both"/>
        <w:rPr>
          <w:rFonts w:ascii="Times New Roman" w:hAnsi="Times New Roman" w:cs="Times New Roman"/>
          <w:smallCaps/>
          <w:noProof/>
          <w:color w:val="215E99" w:themeColor="text2" w:themeTint="BF"/>
          <w:sz w:val="24"/>
          <w:szCs w:val="24"/>
        </w:rPr>
      </w:pPr>
      <w:r>
        <w:rPr>
          <w:rFonts w:ascii="Times New Roman" w:hAnsi="Times New Roman"/>
          <w:noProof/>
          <w:sz w:val="24"/>
        </w:rPr>
        <w:t>Toate cele de mai sus au fost luate în considerare la elaborarea propunerilor privind cadrul financiar multianual și PAC 2028-2034.</w:t>
      </w:r>
    </w:p>
    <w:sectPr w:rsidR="00E610D3" w:rsidRPr="00C468A5" w:rsidSect="008D7A72">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CCB04" w14:textId="77777777" w:rsidR="00AF33F9" w:rsidRDefault="00AF33F9" w:rsidP="005820F7">
      <w:pPr>
        <w:spacing w:after="0" w:line="240" w:lineRule="auto"/>
      </w:pPr>
      <w:r>
        <w:separator/>
      </w:r>
    </w:p>
  </w:endnote>
  <w:endnote w:type="continuationSeparator" w:id="0">
    <w:p w14:paraId="5C29CE12" w14:textId="77777777" w:rsidR="00AF33F9" w:rsidRDefault="00AF33F9" w:rsidP="005820F7">
      <w:pPr>
        <w:spacing w:after="0" w:line="240" w:lineRule="auto"/>
      </w:pPr>
      <w:r>
        <w:continuationSeparator/>
      </w:r>
    </w:p>
  </w:endnote>
  <w:endnote w:type="continuationNotice" w:id="1">
    <w:p w14:paraId="2B3E0BBB" w14:textId="77777777" w:rsidR="00AF33F9" w:rsidRDefault="00AF33F9" w:rsidP="005820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5FB3D" w14:textId="089D4C49" w:rsidR="00937E5A" w:rsidRPr="00937E5A" w:rsidRDefault="00937E5A" w:rsidP="00937E5A">
    <w:pPr>
      <w:pStyle w:val="FooterCoverPage"/>
      <w:rPr>
        <w:rFonts w:ascii="Arial" w:hAnsi="Arial" w:cs="Arial"/>
        <w:b/>
        <w:sz w:val="48"/>
      </w:rPr>
    </w:pPr>
    <w:r w:rsidRPr="00937E5A">
      <w:rPr>
        <w:rFonts w:ascii="Arial" w:hAnsi="Arial" w:cs="Arial"/>
        <w:b/>
        <w:sz w:val="48"/>
      </w:rPr>
      <w:t>RO</w:t>
    </w:r>
    <w:r w:rsidRPr="00937E5A">
      <w:rPr>
        <w:rFonts w:ascii="Arial" w:hAnsi="Arial" w:cs="Arial"/>
        <w:b/>
        <w:sz w:val="48"/>
      </w:rPr>
      <w:tab/>
    </w:r>
    <w:r w:rsidRPr="00937E5A">
      <w:rPr>
        <w:rFonts w:ascii="Arial" w:hAnsi="Arial" w:cs="Arial"/>
        <w:b/>
        <w:sz w:val="48"/>
      </w:rPr>
      <w:tab/>
    </w:r>
    <w:r w:rsidRPr="00937E5A">
      <w:tab/>
    </w:r>
    <w:r w:rsidRPr="00937E5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DA4FC" w14:textId="0D40349E" w:rsidR="00937E5A" w:rsidRPr="00937E5A" w:rsidRDefault="00937E5A" w:rsidP="00937E5A">
    <w:pPr>
      <w:pStyle w:val="FooterCoverPage"/>
      <w:rPr>
        <w:rFonts w:ascii="Arial" w:hAnsi="Arial" w:cs="Arial"/>
        <w:b/>
        <w:sz w:val="48"/>
      </w:rPr>
    </w:pPr>
    <w:r w:rsidRPr="00937E5A">
      <w:rPr>
        <w:rFonts w:ascii="Arial" w:hAnsi="Arial" w:cs="Arial"/>
        <w:b/>
        <w:sz w:val="48"/>
      </w:rPr>
      <w:t>RO</w:t>
    </w:r>
    <w:r w:rsidRPr="00937E5A">
      <w:rPr>
        <w:rFonts w:ascii="Arial" w:hAnsi="Arial" w:cs="Arial"/>
        <w:b/>
        <w:sz w:val="48"/>
      </w:rPr>
      <w:tab/>
    </w:r>
    <w:r w:rsidRPr="00937E5A">
      <w:rPr>
        <w:rFonts w:ascii="Arial" w:hAnsi="Arial" w:cs="Arial"/>
        <w:b/>
        <w:sz w:val="48"/>
      </w:rPr>
      <w:tab/>
    </w:r>
    <w:r w:rsidRPr="00937E5A">
      <w:tab/>
    </w:r>
    <w:r w:rsidRPr="00937E5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91DE4" w14:textId="77777777" w:rsidR="00937E5A" w:rsidRPr="00937E5A" w:rsidRDefault="00937E5A" w:rsidP="00937E5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5A933" w14:textId="77777777" w:rsidR="00513D3C" w:rsidRDefault="00513D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366175"/>
      <w:docPartObj>
        <w:docPartGallery w:val="Page Numbers (Bottom of Page)"/>
        <w:docPartUnique/>
      </w:docPartObj>
    </w:sdtPr>
    <w:sdtEndPr>
      <w:rPr>
        <w:rFonts w:ascii="Times New Roman" w:hAnsi="Times New Roman" w:cs="Times New Roman"/>
      </w:rPr>
    </w:sdtEndPr>
    <w:sdtContent>
      <w:p w14:paraId="47E2D25D" w14:textId="44401313" w:rsidR="00513D3C" w:rsidRPr="00B272DB" w:rsidRDefault="00D378EB" w:rsidP="008D7A72">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37E5A">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055850"/>
      <w:docPartObj>
        <w:docPartGallery w:val="Page Numbers (Bottom of Page)"/>
        <w:docPartUnique/>
      </w:docPartObj>
    </w:sdtPr>
    <w:sdtEndPr>
      <w:rPr>
        <w:noProof/>
      </w:rPr>
    </w:sdtEndPr>
    <w:sdtContent>
      <w:p w14:paraId="7FDCFFFD" w14:textId="03E79CA5" w:rsidR="00513D3C" w:rsidRDefault="006E039A" w:rsidP="008D7A72">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F287A" w14:textId="77777777" w:rsidR="00AF33F9" w:rsidRDefault="00AF33F9" w:rsidP="005820F7">
      <w:pPr>
        <w:spacing w:after="0" w:line="240" w:lineRule="auto"/>
      </w:pPr>
      <w:r>
        <w:separator/>
      </w:r>
    </w:p>
  </w:footnote>
  <w:footnote w:type="continuationSeparator" w:id="0">
    <w:p w14:paraId="3875F5AA" w14:textId="77777777" w:rsidR="00AF33F9" w:rsidRDefault="00AF33F9" w:rsidP="005820F7">
      <w:pPr>
        <w:spacing w:after="0" w:line="240" w:lineRule="auto"/>
      </w:pPr>
      <w:r>
        <w:continuationSeparator/>
      </w:r>
    </w:p>
  </w:footnote>
  <w:footnote w:type="continuationNotice" w:id="1">
    <w:p w14:paraId="5EC918C7" w14:textId="77777777" w:rsidR="00AF33F9" w:rsidRDefault="00AF33F9" w:rsidP="005820F7">
      <w:pPr>
        <w:spacing w:after="0" w:line="240" w:lineRule="auto"/>
      </w:pPr>
    </w:p>
  </w:footnote>
  <w:footnote w:id="2">
    <w:p w14:paraId="4C0CB8A1" w14:textId="2382A216" w:rsidR="0352C5DF" w:rsidRDefault="0352C5DF" w:rsidP="004E6B03">
      <w:pPr>
        <w:pStyle w:val="FootnoteText"/>
      </w:pPr>
      <w:r>
        <w:rPr>
          <w:rStyle w:val="FootnoteReference"/>
        </w:rPr>
        <w:footnoteRef/>
      </w:r>
      <w:r>
        <w:t xml:space="preserve"> Cu excepția Belgiei.</w:t>
      </w:r>
    </w:p>
  </w:footnote>
  <w:footnote w:id="3">
    <w:p w14:paraId="6E71363A" w14:textId="5D4F6776" w:rsidR="002310D3" w:rsidRPr="00227505" w:rsidRDefault="002310D3" w:rsidP="002310D3">
      <w:pPr>
        <w:pStyle w:val="FootnoteText"/>
      </w:pPr>
      <w:r>
        <w:rPr>
          <w:rStyle w:val="FootnoteReference"/>
        </w:rPr>
        <w:footnoteRef/>
      </w:r>
      <w:r>
        <w:t xml:space="preserv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ELI:  </w:t>
      </w:r>
      <w:hyperlink r:id="rId1" w:tooltip="Oferă acces la acest document prin identificatorul său uniform de resurse ELI." w:history="1">
        <w:r>
          <w:rPr>
            <w:rStyle w:val="Hyperlink"/>
          </w:rPr>
          <w:t>http://data.europa.eu/eli/reg/2021/2115/oj</w:t>
        </w:r>
      </w:hyperlink>
      <w:r>
        <w:t xml:space="preserve">). </w:t>
      </w:r>
    </w:p>
  </w:footnote>
  <w:footnote w:id="4">
    <w:p w14:paraId="25AB5B1F" w14:textId="2715ED95" w:rsidR="00E46B1F" w:rsidRPr="00E46B1F" w:rsidRDefault="00AE38A0" w:rsidP="00E46B1F">
      <w:pPr>
        <w:pStyle w:val="FootnoteText"/>
      </w:pPr>
      <w:r>
        <w:rPr>
          <w:rStyle w:val="FootnoteReference"/>
        </w:rPr>
        <w:footnoteRef/>
      </w:r>
      <w:r>
        <w:t xml:space="preserve"> Comunicare a Comisiei către Parlamentul European, Consiliu, Comitetul Economic și Social European și Comitetul Regiunilor – Recomandări adresate statelor membre cu privire la planurile lor strategice pentru Politica Agricolă Comună, COM/2020/846 final.</w:t>
      </w:r>
    </w:p>
    <w:p w14:paraId="3636DAE7" w14:textId="39D370BB" w:rsidR="00AE38A0" w:rsidRPr="00A5297E" w:rsidRDefault="00AE38A0">
      <w:pPr>
        <w:pStyle w:val="FootnoteText"/>
        <w:rPr>
          <w:lang w:val="en-IE"/>
        </w:rPr>
      </w:pPr>
    </w:p>
  </w:footnote>
  <w:footnote w:id="5">
    <w:p w14:paraId="5CEC6656" w14:textId="41FC96BA" w:rsidR="00C04617" w:rsidRPr="00063997" w:rsidRDefault="00C04617">
      <w:pPr>
        <w:pStyle w:val="FootnoteText"/>
      </w:pPr>
      <w:r>
        <w:rPr>
          <w:rStyle w:val="FootnoteReference"/>
        </w:rPr>
        <w:footnoteRef/>
      </w:r>
      <w:r>
        <w:t xml:space="preserve"> Astfel cum sunt enumerate în anexa XIII la Regulamentul (UE) 2021/2115.</w:t>
      </w:r>
    </w:p>
  </w:footnote>
  <w:footnote w:id="6">
    <w:p w14:paraId="1FFDD33A" w14:textId="1DB42D26" w:rsidR="002246E7" w:rsidRPr="00063997" w:rsidRDefault="002246E7">
      <w:pPr>
        <w:pStyle w:val="FootnoteText"/>
      </w:pPr>
      <w:r>
        <w:rPr>
          <w:rStyle w:val="FootnoteReference"/>
        </w:rPr>
        <w:footnoteRef/>
      </w:r>
      <w:r>
        <w:t xml:space="preserve"> Articolul 105 din Regulamentul (UE) 2021/2155.</w:t>
      </w:r>
    </w:p>
  </w:footnote>
  <w:footnote w:id="7">
    <w:p w14:paraId="1A4E9F75" w14:textId="7D0A9249" w:rsidR="001B2C46" w:rsidRPr="00003CE7" w:rsidRDefault="001B2C46" w:rsidP="001B2C46">
      <w:pPr>
        <w:pStyle w:val="FootnoteText"/>
      </w:pPr>
      <w:r>
        <w:rPr>
          <w:rStyle w:val="FootnoteReference"/>
        </w:rPr>
        <w:footnoteRef/>
      </w:r>
      <w:r>
        <w:t xml:space="preserve"> A se vedea trimiterile 1, 2 și 9 din documentul de lucru însoțitor al serviciilor Comisiei. Trimiterile, precum și datele suplimentare pot fi găsite în documentul de lucru al serviciilor Comisiei care însoțește prezentul raport. </w:t>
      </w:r>
    </w:p>
  </w:footnote>
  <w:footnote w:id="8">
    <w:p w14:paraId="257A73F9" w14:textId="0EAFAB6F" w:rsidR="00C2206B" w:rsidRPr="00134BB8" w:rsidRDefault="00C2206B">
      <w:pPr>
        <w:pStyle w:val="FootnoteText"/>
      </w:pPr>
      <w:r>
        <w:rPr>
          <w:rStyle w:val="FootnoteReference"/>
        </w:rPr>
        <w:footnoteRef/>
      </w:r>
      <w:r>
        <w:t xml:space="preserve"> Propunere de regulament al Parlamentului European și al Consiliului de modificare a Regulamentului (UE) 2021/2115 în ceea ce privește sistemul de condiționalitate, tipurile de intervenții sub formă de plăți directe, tipurile de intervenții în anumite sectoare și dezvoltarea rurală și rapoartele anuale privind performanța și a Regulamentului (UE) 2021/2116 în ceea ce privește guvernanța datelor și guvernanța</w:t>
      </w:r>
      <w:r>
        <w:rPr>
          <w:b/>
        </w:rPr>
        <w:t xml:space="preserve"> </w:t>
      </w:r>
      <w:r>
        <w:t>interoperabilității, suspendările plăților în legătură cu verificarea anuală a performanței și controalele și sancțiunile aferente, COM/2025/236 final.</w:t>
      </w:r>
    </w:p>
  </w:footnote>
  <w:footnote w:id="9">
    <w:p w14:paraId="45A0E7CE" w14:textId="543A1B70" w:rsidR="005F1567" w:rsidRPr="001F4887" w:rsidRDefault="005F1567">
      <w:pPr>
        <w:pStyle w:val="FootnoteText"/>
      </w:pPr>
      <w:r>
        <w:rPr>
          <w:rStyle w:val="FootnoteReference"/>
        </w:rPr>
        <w:footnoteRef/>
      </w:r>
      <w:r>
        <w:t xml:space="preserve"> O dată la doi ani, Comisia verifică dacă valorile-țintă planificate (obiectivele de etapă) se îndreaptă în direcția atingerii valorilor planificate ale indicatorilor de rezultat. O abatere de peste 35 % în primul an și de 25 % ulterior ar trebui justificată. Comisia ar putea solicita acțiuni corective în cazul în care justificările furnizate nu sunt suficient de convingătoare.</w:t>
      </w:r>
    </w:p>
  </w:footnote>
  <w:footnote w:id="10">
    <w:p w14:paraId="2880C618" w14:textId="16AAD138" w:rsidR="000D60EE" w:rsidRPr="003502D3" w:rsidRDefault="000D60EE">
      <w:pPr>
        <w:pStyle w:val="FootnoteText"/>
      </w:pPr>
      <w:r>
        <w:rPr>
          <w:rStyle w:val="FootnoteReference"/>
        </w:rPr>
        <w:footnoteRef/>
      </w:r>
      <w:r>
        <w:t xml:space="preserve"> Inițiativa LEADER: legături între activitățile sau acțiunile de dezvoltare a economiei rurale.</w:t>
      </w:r>
    </w:p>
  </w:footnote>
  <w:footnote w:id="11">
    <w:p w14:paraId="3F071EAC" w14:textId="018F6FF4" w:rsidR="005826DC" w:rsidRPr="00A41DF8" w:rsidRDefault="005826DC">
      <w:pPr>
        <w:pStyle w:val="FootnoteText"/>
      </w:pPr>
      <w:r>
        <w:rPr>
          <w:rStyle w:val="FootnoteReference"/>
        </w:rPr>
        <w:footnoteRef/>
      </w:r>
      <w:r>
        <w:t xml:space="preserve"> Regulamentul (UE) 2025/2649 al Parlamentului European și al Consiliului din 19 decembrie 2025 de modificare a Regulamentului (UE) 2021/2115 în ceea ce privește sistemul de condiționalitate, tipurile de intervenții sub formă de plăți directe, tipurile de intervenții în anumite sectoare, dezvoltarea rurală și rapoartele anuale privind performanța și a Regulamentului (UE) 2021/2116 în ceea ce privește suspendările plăților, verificarea anuală a performanței și controalele și sancțiunile (JO L, 2025/2649, 31.12.2025, ELI: </w:t>
      </w:r>
      <w:hyperlink r:id="rId2" w:tgtFrame="_blank" w:tooltip="Oferă acces la acest document prin identificatorul său uniform de resurse ELI." w:history="1">
        <w:r>
          <w:rPr>
            <w:rStyle w:val="Hyperlink"/>
          </w:rPr>
          <w:t>http://data.europa.eu/eli/reg/2025/2649/oj</w:t>
        </w:r>
      </w:hyperlink>
      <w:r>
        <w:t>).</w:t>
      </w:r>
    </w:p>
  </w:footnote>
  <w:footnote w:id="12">
    <w:p w14:paraId="043302C2" w14:textId="3E5CA4C0" w:rsidR="008D7748" w:rsidRPr="00A13533" w:rsidRDefault="008D7748" w:rsidP="008D7748">
      <w:pPr>
        <w:pStyle w:val="FootnoteText"/>
      </w:pPr>
      <w:r>
        <w:rPr>
          <w:rStyle w:val="FootnoteReference"/>
        </w:rPr>
        <w:footnoteRef/>
      </w:r>
      <w:r>
        <w:t xml:space="preserve"> Intervențiile trebuie să fie legate de toți indicatorii de rezultat la care contribuie direct și semnificativ.</w:t>
      </w:r>
    </w:p>
  </w:footnote>
  <w:footnote w:id="13">
    <w:p w14:paraId="4A50121A" w14:textId="09578B9E" w:rsidR="003A35C1" w:rsidRPr="00C2260F" w:rsidRDefault="003A35C1">
      <w:pPr>
        <w:pStyle w:val="FootnoteText"/>
      </w:pPr>
      <w:r>
        <w:rPr>
          <w:rStyle w:val="FootnoteReference"/>
        </w:rPr>
        <w:footnoteRef/>
      </w:r>
      <w:r>
        <w:t xml:space="preserve"> Articolul 105 din Regulamentul (UE) 2021/2115.</w:t>
      </w:r>
    </w:p>
  </w:footnote>
  <w:footnote w:id="14">
    <w:p w14:paraId="2BCE1FC6" w14:textId="0C903D33" w:rsidR="00704812" w:rsidRPr="00C2260F" w:rsidRDefault="00704812">
      <w:pPr>
        <w:pStyle w:val="FootnoteText"/>
      </w:pPr>
      <w:r>
        <w:rPr>
          <w:rStyle w:val="FootnoteReference"/>
        </w:rPr>
        <w:footnoteRef/>
      </w:r>
      <w:r>
        <w:t xml:space="preserve"> A se vedea trimiterea 3 și tabelul 4 din documentul de lucru însoțitor al serviciilor Comisiei.</w:t>
      </w:r>
    </w:p>
  </w:footnote>
  <w:footnote w:id="15">
    <w:p w14:paraId="2A5DE0C1" w14:textId="77777777" w:rsidR="00F01138" w:rsidRPr="009C2222" w:rsidRDefault="00F01138" w:rsidP="00F01138">
      <w:pPr>
        <w:pStyle w:val="FootnoteText"/>
      </w:pPr>
      <w:r>
        <w:rPr>
          <w:rStyle w:val="FootnoteReference"/>
        </w:rPr>
        <w:footnoteRef/>
      </w:r>
      <w:r>
        <w:t xml:space="preserve"> Metodologia de urmărire aplicată în studiu</w:t>
      </w:r>
      <w:r>
        <w:rPr>
          <w:sz w:val="24"/>
        </w:rPr>
        <w:t xml:space="preserve"> </w:t>
      </w:r>
      <w:r>
        <w:t>se bazează într-o măsură semnificativ crescută pe date științifice și este mai detaliată față de metodologia actuală de urmărire bugetară în domeniul climei și, prin urmare, se preconizează că va produce rezultate mai precise.</w:t>
      </w:r>
    </w:p>
  </w:footnote>
  <w:footnote w:id="16">
    <w:p w14:paraId="7607B8E3" w14:textId="564B9C67" w:rsidR="3C2A47B8" w:rsidRDefault="3C2A47B8" w:rsidP="2C779313">
      <w:pPr>
        <w:pStyle w:val="FootnoteText"/>
      </w:pPr>
      <w:r>
        <w:rPr>
          <w:rStyle w:val="FootnoteReference"/>
        </w:rPr>
        <w:footnoteRef/>
      </w:r>
      <w:r>
        <w:t xml:space="preserve"> Markerii Rio sunt indicatori calitativi elaborați de OCDE pentru a ajuta țările donatoare și agențiile de dezvoltare să urmărească măsura în care ajutorul pentru dezvoltare sprijină obiectivele de mediu în cadrul obiectivelor Convențiilor de la Rio, cum ar fi biodiversitatea, deșertificarea și schimbările climatice (atenuarea schimbărilor climatice și adaptarea la acestea). </w:t>
      </w:r>
    </w:p>
  </w:footnote>
  <w:footnote w:id="17">
    <w:p w14:paraId="7EDD4A46" w14:textId="51B466E7" w:rsidR="00E321EB" w:rsidRPr="00CC0042" w:rsidRDefault="00E321EB">
      <w:pPr>
        <w:pStyle w:val="FootnoteText"/>
      </w:pPr>
      <w:r>
        <w:rPr>
          <w:rStyle w:val="FootnoteReference"/>
        </w:rPr>
        <w:footnoteRef/>
      </w:r>
      <w:r>
        <w:t xml:space="preserve"> A se vedea trimiterea 4 din documentul de lucru însoțitor al serviciilor Comisiei.</w:t>
      </w:r>
    </w:p>
  </w:footnote>
  <w:footnote w:id="18">
    <w:p w14:paraId="5C482328" w14:textId="3349DF0B" w:rsidR="00C2020A" w:rsidRPr="00492007" w:rsidRDefault="00C2020A">
      <w:pPr>
        <w:pStyle w:val="FootnoteText"/>
      </w:pPr>
      <w:r>
        <w:rPr>
          <w:rStyle w:val="FootnoteReference"/>
        </w:rPr>
        <w:footnoteRef/>
      </w:r>
      <w:r>
        <w:t xml:space="preserve"> A se vedea trimiterea 5 din documentul de lucru însoțitor al serviciilor Comisiei.</w:t>
      </w:r>
    </w:p>
  </w:footnote>
  <w:footnote w:id="19">
    <w:p w14:paraId="50C9820A" w14:textId="10DC9C04" w:rsidR="00240B21" w:rsidRPr="00E764B4" w:rsidRDefault="00240B21">
      <w:pPr>
        <w:pStyle w:val="FootnoteText"/>
      </w:pPr>
      <w:r>
        <w:rPr>
          <w:rStyle w:val="FootnoteReference"/>
        </w:rPr>
        <w:footnoteRef/>
      </w:r>
      <w:r>
        <w:t xml:space="preserve"> A se vedea trimiterea 8 din documentul de lucru însoțitor al serviciilor Comisiei.</w:t>
      </w:r>
    </w:p>
  </w:footnote>
  <w:footnote w:id="20">
    <w:p w14:paraId="07112313" w14:textId="08420293" w:rsidR="0004588F" w:rsidRPr="00E764B4" w:rsidRDefault="0004588F">
      <w:pPr>
        <w:pStyle w:val="FootnoteText"/>
      </w:pPr>
      <w:r>
        <w:rPr>
          <w:rStyle w:val="FootnoteReference"/>
        </w:rPr>
        <w:footnoteRef/>
      </w:r>
      <w:r>
        <w:t xml:space="preserve"> A se vedea trimiterea 6 din documentul de lucru însoțitor al serviciilor Comisiei.</w:t>
      </w:r>
    </w:p>
  </w:footnote>
  <w:footnote w:id="21">
    <w:p w14:paraId="25A9E18B" w14:textId="40F7E7E9" w:rsidR="00E002F0" w:rsidRPr="00E764B4" w:rsidRDefault="00E002F0">
      <w:pPr>
        <w:pStyle w:val="FootnoteText"/>
      </w:pPr>
      <w:r>
        <w:rPr>
          <w:rStyle w:val="FootnoteReference"/>
        </w:rPr>
        <w:footnoteRef/>
      </w:r>
      <w:r>
        <w:t xml:space="preserve"> A se vedea trimiterea 7 din documentul de lucru însoțitor al serviciilor Comisiei.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B2A91" w14:textId="77777777" w:rsidR="00937E5A" w:rsidRPr="00937E5A" w:rsidRDefault="00937E5A" w:rsidP="00937E5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C4F67" w14:textId="77777777" w:rsidR="00937E5A" w:rsidRPr="00937E5A" w:rsidRDefault="00937E5A" w:rsidP="00937E5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7E586" w14:textId="77777777" w:rsidR="00937E5A" w:rsidRPr="00937E5A" w:rsidRDefault="00937E5A" w:rsidP="00937E5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196DE" w14:textId="77777777" w:rsidR="00513D3C" w:rsidRDefault="00513D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2148B" w14:textId="77777777" w:rsidR="00513D3C" w:rsidRDefault="00513D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Letterhead"/>
      <w:tblW w:w="9480" w:type="dxa"/>
      <w:tblLook w:val="0620" w:firstRow="1" w:lastRow="0" w:firstColumn="0" w:lastColumn="0" w:noHBand="1" w:noVBand="1"/>
      <w:tblDescription w:val="Acest tabel conține logoul Comisiei Europene în coloana din stânga și informații despre entitatea organizațională a semnatarului în coloana din dreapta."/>
    </w:tblPr>
    <w:tblGrid>
      <w:gridCol w:w="2400"/>
      <w:gridCol w:w="7080"/>
    </w:tblGrid>
    <w:tr w:rsidR="00261BEA" w14:paraId="473BABC8" w14:textId="77777777" w:rsidTr="004D5A70">
      <w:trPr>
        <w:cantSplit/>
      </w:trPr>
      <w:tc>
        <w:tcPr>
          <w:tcW w:w="2400" w:type="dxa"/>
        </w:tcPr>
        <w:p w14:paraId="45670E0B" w14:textId="0B3F8671" w:rsidR="00261BEA" w:rsidRDefault="00261BEA" w:rsidP="00261BEA">
          <w:pPr>
            <w:pStyle w:val="ZFlag"/>
          </w:pPr>
        </w:p>
      </w:tc>
      <w:tc>
        <w:tcPr>
          <w:tcW w:w="7080" w:type="dxa"/>
        </w:tcPr>
        <w:p w14:paraId="2D4EE889" w14:textId="5A7642CF" w:rsidR="00261BEA" w:rsidRDefault="00261BEA" w:rsidP="00261BEA">
          <w:pPr>
            <w:pStyle w:val="ZDGName"/>
            <w:rPr>
              <w:b/>
            </w:rPr>
          </w:pPr>
        </w:p>
      </w:tc>
    </w:tr>
  </w:tbl>
  <w:p w14:paraId="2FAC9AF3" w14:textId="77777777" w:rsidR="00513D3C" w:rsidRDefault="00513D3C" w:rsidP="00A23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2501"/>
    <w:multiLevelType w:val="hybridMultilevel"/>
    <w:tmpl w:val="A968A3DC"/>
    <w:lvl w:ilvl="0" w:tplc="27600244">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B841D8"/>
    <w:multiLevelType w:val="hybridMultilevel"/>
    <w:tmpl w:val="75B631F8"/>
    <w:lvl w:ilvl="0" w:tplc="69CE9A3E">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2900F7"/>
    <w:multiLevelType w:val="multilevel"/>
    <w:tmpl w:val="86725F6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89C24CF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1E65D6E"/>
    <w:multiLevelType w:val="hybridMultilevel"/>
    <w:tmpl w:val="FA82E65C"/>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0B7201"/>
    <w:multiLevelType w:val="multilevel"/>
    <w:tmpl w:val="2666A52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D214D75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F48E7F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CB78701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862254E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8CE4F15"/>
    <w:multiLevelType w:val="hybridMultilevel"/>
    <w:tmpl w:val="E2904A2C"/>
    <w:lvl w:ilvl="0" w:tplc="F4B08548">
      <w:start w:val="1"/>
      <w:numFmt w:val="upperLetter"/>
      <w:lvlText w:val="%1."/>
      <w:lvlJc w:val="left"/>
      <w:pPr>
        <w:ind w:left="1080" w:hanging="360"/>
      </w:pPr>
      <w:rPr>
        <w:rFonts w:ascii="Times New Roman Bold" w:hAnsi="Times New Roman Bold"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C7B624F"/>
    <w:multiLevelType w:val="multilevel"/>
    <w:tmpl w:val="4526412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43E06CC"/>
    <w:multiLevelType w:val="hybridMultilevel"/>
    <w:tmpl w:val="5A1410D0"/>
    <w:lvl w:ilvl="0" w:tplc="FB5476CE">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9A9734C"/>
    <w:multiLevelType w:val="hybridMultilevel"/>
    <w:tmpl w:val="4E5C85A8"/>
    <w:lvl w:ilvl="0" w:tplc="18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8DFDF8"/>
    <w:multiLevelType w:val="multilevel"/>
    <w:tmpl w:val="281E576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33CA3F6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F4BEE1B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32A07DF"/>
    <w:multiLevelType w:val="hybridMultilevel"/>
    <w:tmpl w:val="3A287122"/>
    <w:lvl w:ilvl="0" w:tplc="112E85DC">
      <w:start w:val="2"/>
      <w:numFmt w:val="upperRoman"/>
      <w:lvlText w:val="%1."/>
      <w:lvlJc w:val="righ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324F1E"/>
    <w:multiLevelType w:val="multilevel"/>
    <w:tmpl w:val="62D283C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6694D5B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EF3C6EB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1CC70B4"/>
    <w:multiLevelType w:val="hybridMultilevel"/>
    <w:tmpl w:val="92EA9DB6"/>
    <w:lvl w:ilvl="0" w:tplc="A5182132">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9E662A"/>
    <w:multiLevelType w:val="multilevel"/>
    <w:tmpl w:val="313AC36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6D1A0BA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64B25F5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5F7ED2C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1BC0F2F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4091C66"/>
    <w:multiLevelType w:val="hybridMultilevel"/>
    <w:tmpl w:val="15C0BA92"/>
    <w:lvl w:ilvl="0" w:tplc="12E4F57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FA205EC"/>
    <w:multiLevelType w:val="hybridMultilevel"/>
    <w:tmpl w:val="0F942550"/>
    <w:lvl w:ilvl="0" w:tplc="B18017C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1787124"/>
    <w:multiLevelType w:val="hybridMultilevel"/>
    <w:tmpl w:val="C77C9CC4"/>
    <w:lvl w:ilvl="0" w:tplc="C37E6216">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977472E"/>
    <w:multiLevelType w:val="multilevel"/>
    <w:tmpl w:val="94D2B53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E836FA9"/>
    <w:multiLevelType w:val="hybridMultilevel"/>
    <w:tmpl w:val="022A6994"/>
    <w:lvl w:ilvl="0" w:tplc="59F0A406">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0"/>
  </w:num>
  <w:num w:numId="2">
    <w:abstractNumId w:val="2"/>
  </w:num>
  <w:num w:numId="3">
    <w:abstractNumId w:val="18"/>
  </w:num>
  <w:num w:numId="4">
    <w:abstractNumId w:val="11"/>
  </w:num>
  <w:num w:numId="5">
    <w:abstractNumId w:val="19"/>
  </w:num>
  <w:num w:numId="6">
    <w:abstractNumId w:val="25"/>
  </w:num>
  <w:num w:numId="7">
    <w:abstractNumId w:val="30"/>
  </w:num>
  <w:num w:numId="8">
    <w:abstractNumId w:val="3"/>
  </w:num>
  <w:num w:numId="9">
    <w:abstractNumId w:val="9"/>
  </w:num>
  <w:num w:numId="10">
    <w:abstractNumId w:val="22"/>
  </w:num>
  <w:num w:numId="11">
    <w:abstractNumId w:val="5"/>
  </w:num>
  <w:num w:numId="12">
    <w:abstractNumId w:val="7"/>
  </w:num>
  <w:num w:numId="13">
    <w:abstractNumId w:val="8"/>
  </w:num>
  <w:num w:numId="14">
    <w:abstractNumId w:val="14"/>
  </w:num>
  <w:num w:numId="15">
    <w:abstractNumId w:val="20"/>
  </w:num>
  <w:num w:numId="16">
    <w:abstractNumId w:val="24"/>
  </w:num>
  <w:num w:numId="17">
    <w:abstractNumId w:val="15"/>
  </w:num>
  <w:num w:numId="18">
    <w:abstractNumId w:val="16"/>
  </w:num>
  <w:num w:numId="19">
    <w:abstractNumId w:val="32"/>
  </w:num>
  <w:num w:numId="20">
    <w:abstractNumId w:val="23"/>
  </w:num>
  <w:num w:numId="21">
    <w:abstractNumId w:val="26"/>
  </w:num>
  <w:num w:numId="22">
    <w:abstractNumId w:val="6"/>
  </w:num>
  <w:num w:numId="23">
    <w:abstractNumId w:val="29"/>
  </w:num>
  <w:num w:numId="24">
    <w:abstractNumId w:val="28"/>
  </w:num>
  <w:num w:numId="25">
    <w:abstractNumId w:val="12"/>
  </w:num>
  <w:num w:numId="26">
    <w:abstractNumId w:val="13"/>
  </w:num>
  <w:num w:numId="27">
    <w:abstractNumId w:val="1"/>
  </w:num>
  <w:num w:numId="28">
    <w:abstractNumId w:val="0"/>
  </w:num>
  <w:num w:numId="29">
    <w:abstractNumId w:val="4"/>
  </w:num>
  <w:num w:numId="30">
    <w:abstractNumId w:val="17"/>
  </w:num>
  <w:num w:numId="31">
    <w:abstractNumId w:val="27"/>
  </w:num>
  <w:num w:numId="32">
    <w:abstractNumId w:val="21"/>
  </w:num>
  <w:num w:numId="3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22D3630-79DD-4300-8B58-DD4E40EB09B0"/>
    <w:docVar w:name="LW_COVERPAGE_TYPE" w:val="1"/>
    <w:docVar w:name="LW_CROSSREFERENCE" w:val="{SWD(2026) 19 final}"/>
    <w:docVar w:name="LW_DocType" w:val="NORMAL"/>
    <w:docVar w:name="LW_EMISSION" w:val="26.1.2026"/>
    <w:docVar w:name="LW_EMISSION_ISODATE" w:val="2026-01-26"/>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d__x000b__x000d__x000d__x000d__x000d__x000d__x000b_&lt;FMT:Bold&gt;privind utilizarea noului model de performan\u539?\u259? de c\u259?tre statele membre \u537?i contribu\u539?ia planurilor strategice PAC ale statelor membre la îndeplinirea angajamentelor Uniunii în materie de mediu \u537?i de clim\u259?&lt;/FMT&gt;_x000d__x000b__x000d__x000d__x000d__x000d__x000d__x000b_"/>
    <w:docVar w:name="LW_TYPE.DOC.CP" w:val="RAPORT AL COMISIEI C\u258?TRE PARLAMENTUL EUROPEAN \u536?I CONSILIU"/>
    <w:docVar w:name="LwApiVersions" w:val="LW4CoDe 1.24.5.0; LW 9.2, Build 20251112"/>
  </w:docVars>
  <w:rsids>
    <w:rsidRoot w:val="00B02EB3"/>
    <w:rsid w:val="00000048"/>
    <w:rsid w:val="0000089C"/>
    <w:rsid w:val="00000DB6"/>
    <w:rsid w:val="00000E33"/>
    <w:rsid w:val="00000ED7"/>
    <w:rsid w:val="00001040"/>
    <w:rsid w:val="000014C0"/>
    <w:rsid w:val="00001639"/>
    <w:rsid w:val="000016A6"/>
    <w:rsid w:val="000019BA"/>
    <w:rsid w:val="0000262C"/>
    <w:rsid w:val="000028DC"/>
    <w:rsid w:val="00002A2E"/>
    <w:rsid w:val="00002C7C"/>
    <w:rsid w:val="00002C86"/>
    <w:rsid w:val="00002CA8"/>
    <w:rsid w:val="00002F1F"/>
    <w:rsid w:val="0000326B"/>
    <w:rsid w:val="000038EF"/>
    <w:rsid w:val="00003C33"/>
    <w:rsid w:val="00003CE7"/>
    <w:rsid w:val="00003E3C"/>
    <w:rsid w:val="00004058"/>
    <w:rsid w:val="000041C9"/>
    <w:rsid w:val="000045D0"/>
    <w:rsid w:val="000048A4"/>
    <w:rsid w:val="000049E3"/>
    <w:rsid w:val="00004E41"/>
    <w:rsid w:val="00004F2A"/>
    <w:rsid w:val="000052E3"/>
    <w:rsid w:val="00005B14"/>
    <w:rsid w:val="00007279"/>
    <w:rsid w:val="00007382"/>
    <w:rsid w:val="000079CB"/>
    <w:rsid w:val="00007B15"/>
    <w:rsid w:val="00007D3A"/>
    <w:rsid w:val="00010235"/>
    <w:rsid w:val="00010BF4"/>
    <w:rsid w:val="000116F0"/>
    <w:rsid w:val="0001197F"/>
    <w:rsid w:val="00011BD8"/>
    <w:rsid w:val="00011D9A"/>
    <w:rsid w:val="0001220C"/>
    <w:rsid w:val="00012210"/>
    <w:rsid w:val="00012815"/>
    <w:rsid w:val="00013178"/>
    <w:rsid w:val="00013492"/>
    <w:rsid w:val="0001353C"/>
    <w:rsid w:val="000136AA"/>
    <w:rsid w:val="00013750"/>
    <w:rsid w:val="00013B53"/>
    <w:rsid w:val="00013C68"/>
    <w:rsid w:val="00014F88"/>
    <w:rsid w:val="00015566"/>
    <w:rsid w:val="00015CDE"/>
    <w:rsid w:val="00015E45"/>
    <w:rsid w:val="00015F0B"/>
    <w:rsid w:val="00015F9F"/>
    <w:rsid w:val="000165F9"/>
    <w:rsid w:val="000166D4"/>
    <w:rsid w:val="00016911"/>
    <w:rsid w:val="00016A7C"/>
    <w:rsid w:val="0001731C"/>
    <w:rsid w:val="0002009D"/>
    <w:rsid w:val="000201BF"/>
    <w:rsid w:val="0002066E"/>
    <w:rsid w:val="00020A39"/>
    <w:rsid w:val="00021337"/>
    <w:rsid w:val="00021564"/>
    <w:rsid w:val="00021D9E"/>
    <w:rsid w:val="00021FB8"/>
    <w:rsid w:val="00022441"/>
    <w:rsid w:val="000224B8"/>
    <w:rsid w:val="000224DB"/>
    <w:rsid w:val="00022891"/>
    <w:rsid w:val="00022BF5"/>
    <w:rsid w:val="00022FFF"/>
    <w:rsid w:val="0002324D"/>
    <w:rsid w:val="000236C9"/>
    <w:rsid w:val="00023B09"/>
    <w:rsid w:val="00023CD3"/>
    <w:rsid w:val="00024129"/>
    <w:rsid w:val="0002444A"/>
    <w:rsid w:val="00024973"/>
    <w:rsid w:val="00024F1C"/>
    <w:rsid w:val="000257DB"/>
    <w:rsid w:val="00025A4C"/>
    <w:rsid w:val="00025C81"/>
    <w:rsid w:val="00026254"/>
    <w:rsid w:val="00026736"/>
    <w:rsid w:val="000267BE"/>
    <w:rsid w:val="00026C00"/>
    <w:rsid w:val="00026D57"/>
    <w:rsid w:val="0002731D"/>
    <w:rsid w:val="00027685"/>
    <w:rsid w:val="000276D9"/>
    <w:rsid w:val="000277C4"/>
    <w:rsid w:val="00027C00"/>
    <w:rsid w:val="00030413"/>
    <w:rsid w:val="000304DF"/>
    <w:rsid w:val="000313FE"/>
    <w:rsid w:val="000322E7"/>
    <w:rsid w:val="000326EF"/>
    <w:rsid w:val="00032912"/>
    <w:rsid w:val="00032B55"/>
    <w:rsid w:val="00032BD1"/>
    <w:rsid w:val="00032EB1"/>
    <w:rsid w:val="00032F90"/>
    <w:rsid w:val="00033169"/>
    <w:rsid w:val="000333F4"/>
    <w:rsid w:val="0003446C"/>
    <w:rsid w:val="0003455B"/>
    <w:rsid w:val="00035354"/>
    <w:rsid w:val="0003565A"/>
    <w:rsid w:val="00035927"/>
    <w:rsid w:val="00035994"/>
    <w:rsid w:val="00035C3A"/>
    <w:rsid w:val="00035D27"/>
    <w:rsid w:val="00036618"/>
    <w:rsid w:val="00036AFE"/>
    <w:rsid w:val="00036CF9"/>
    <w:rsid w:val="00037465"/>
    <w:rsid w:val="00037BB5"/>
    <w:rsid w:val="00040733"/>
    <w:rsid w:val="000407E4"/>
    <w:rsid w:val="00040B78"/>
    <w:rsid w:val="00040C03"/>
    <w:rsid w:val="00040E9F"/>
    <w:rsid w:val="00041092"/>
    <w:rsid w:val="0004147D"/>
    <w:rsid w:val="0004188F"/>
    <w:rsid w:val="00041E67"/>
    <w:rsid w:val="00042D9D"/>
    <w:rsid w:val="00042EC4"/>
    <w:rsid w:val="00042EEA"/>
    <w:rsid w:val="00043104"/>
    <w:rsid w:val="00043239"/>
    <w:rsid w:val="000435AB"/>
    <w:rsid w:val="0004370D"/>
    <w:rsid w:val="00043AB3"/>
    <w:rsid w:val="00043E20"/>
    <w:rsid w:val="00043EE1"/>
    <w:rsid w:val="000440A4"/>
    <w:rsid w:val="00044226"/>
    <w:rsid w:val="00044355"/>
    <w:rsid w:val="00045443"/>
    <w:rsid w:val="0004583D"/>
    <w:rsid w:val="0004588F"/>
    <w:rsid w:val="00045A5C"/>
    <w:rsid w:val="00045A9D"/>
    <w:rsid w:val="00045F2C"/>
    <w:rsid w:val="00046287"/>
    <w:rsid w:val="00046A53"/>
    <w:rsid w:val="00046B2F"/>
    <w:rsid w:val="00046D7A"/>
    <w:rsid w:val="00047302"/>
    <w:rsid w:val="00047753"/>
    <w:rsid w:val="00047938"/>
    <w:rsid w:val="000479AE"/>
    <w:rsid w:val="00047A95"/>
    <w:rsid w:val="00047BF4"/>
    <w:rsid w:val="00047CFA"/>
    <w:rsid w:val="000500A4"/>
    <w:rsid w:val="00050193"/>
    <w:rsid w:val="000503A8"/>
    <w:rsid w:val="00051406"/>
    <w:rsid w:val="00051684"/>
    <w:rsid w:val="000516BE"/>
    <w:rsid w:val="0005180C"/>
    <w:rsid w:val="000518AB"/>
    <w:rsid w:val="00051CEA"/>
    <w:rsid w:val="000521E7"/>
    <w:rsid w:val="00052365"/>
    <w:rsid w:val="0005242C"/>
    <w:rsid w:val="000524FD"/>
    <w:rsid w:val="0005268A"/>
    <w:rsid w:val="00052AA0"/>
    <w:rsid w:val="00052C0B"/>
    <w:rsid w:val="00053994"/>
    <w:rsid w:val="00053C12"/>
    <w:rsid w:val="00053CE6"/>
    <w:rsid w:val="00053F20"/>
    <w:rsid w:val="0005446A"/>
    <w:rsid w:val="0005452E"/>
    <w:rsid w:val="00054742"/>
    <w:rsid w:val="00054C16"/>
    <w:rsid w:val="00054E62"/>
    <w:rsid w:val="00054E7D"/>
    <w:rsid w:val="00054F9A"/>
    <w:rsid w:val="00055BB8"/>
    <w:rsid w:val="00055E24"/>
    <w:rsid w:val="00056229"/>
    <w:rsid w:val="000564E1"/>
    <w:rsid w:val="0005671D"/>
    <w:rsid w:val="00056FA4"/>
    <w:rsid w:val="000570FD"/>
    <w:rsid w:val="000571E1"/>
    <w:rsid w:val="00057542"/>
    <w:rsid w:val="00057732"/>
    <w:rsid w:val="00057BF0"/>
    <w:rsid w:val="000603D1"/>
    <w:rsid w:val="000605C9"/>
    <w:rsid w:val="000607CB"/>
    <w:rsid w:val="000607FF"/>
    <w:rsid w:val="000610A3"/>
    <w:rsid w:val="00061538"/>
    <w:rsid w:val="00061878"/>
    <w:rsid w:val="0006192B"/>
    <w:rsid w:val="00061B5F"/>
    <w:rsid w:val="0006206F"/>
    <w:rsid w:val="000624E0"/>
    <w:rsid w:val="000625C9"/>
    <w:rsid w:val="00063125"/>
    <w:rsid w:val="000633A3"/>
    <w:rsid w:val="00063651"/>
    <w:rsid w:val="000637E6"/>
    <w:rsid w:val="00063997"/>
    <w:rsid w:val="00063D89"/>
    <w:rsid w:val="00063E28"/>
    <w:rsid w:val="00063FE9"/>
    <w:rsid w:val="00064B13"/>
    <w:rsid w:val="00064DE8"/>
    <w:rsid w:val="000650AC"/>
    <w:rsid w:val="000652C1"/>
    <w:rsid w:val="000655F4"/>
    <w:rsid w:val="00066138"/>
    <w:rsid w:val="0006716A"/>
    <w:rsid w:val="00067A6B"/>
    <w:rsid w:val="00067BD6"/>
    <w:rsid w:val="00067CE6"/>
    <w:rsid w:val="00067D43"/>
    <w:rsid w:val="00067D82"/>
    <w:rsid w:val="00070023"/>
    <w:rsid w:val="00070345"/>
    <w:rsid w:val="00070606"/>
    <w:rsid w:val="0007070A"/>
    <w:rsid w:val="0007073D"/>
    <w:rsid w:val="0007097C"/>
    <w:rsid w:val="00070A39"/>
    <w:rsid w:val="00071851"/>
    <w:rsid w:val="00071928"/>
    <w:rsid w:val="00071CF6"/>
    <w:rsid w:val="0007200F"/>
    <w:rsid w:val="000721AC"/>
    <w:rsid w:val="000722B1"/>
    <w:rsid w:val="00072420"/>
    <w:rsid w:val="00072482"/>
    <w:rsid w:val="00072B15"/>
    <w:rsid w:val="00072BCB"/>
    <w:rsid w:val="00072E9C"/>
    <w:rsid w:val="0007304D"/>
    <w:rsid w:val="00073168"/>
    <w:rsid w:val="000732E7"/>
    <w:rsid w:val="000734DE"/>
    <w:rsid w:val="000734EC"/>
    <w:rsid w:val="000739CC"/>
    <w:rsid w:val="00073BBF"/>
    <w:rsid w:val="00073EAC"/>
    <w:rsid w:val="0007462C"/>
    <w:rsid w:val="000746A6"/>
    <w:rsid w:val="00074AB8"/>
    <w:rsid w:val="00074D13"/>
    <w:rsid w:val="00075834"/>
    <w:rsid w:val="00075DE1"/>
    <w:rsid w:val="00076058"/>
    <w:rsid w:val="000767BC"/>
    <w:rsid w:val="000767CC"/>
    <w:rsid w:val="00076A51"/>
    <w:rsid w:val="000770FB"/>
    <w:rsid w:val="000771B8"/>
    <w:rsid w:val="00077302"/>
    <w:rsid w:val="0007731C"/>
    <w:rsid w:val="00077443"/>
    <w:rsid w:val="000774D1"/>
    <w:rsid w:val="00077F4D"/>
    <w:rsid w:val="0008006D"/>
    <w:rsid w:val="00080527"/>
    <w:rsid w:val="00080613"/>
    <w:rsid w:val="00080C1F"/>
    <w:rsid w:val="000812A6"/>
    <w:rsid w:val="00081968"/>
    <w:rsid w:val="00081A95"/>
    <w:rsid w:val="00081E6F"/>
    <w:rsid w:val="00081FA1"/>
    <w:rsid w:val="0008234B"/>
    <w:rsid w:val="00082C2C"/>
    <w:rsid w:val="00082F6A"/>
    <w:rsid w:val="000831E7"/>
    <w:rsid w:val="000834C5"/>
    <w:rsid w:val="00083F4F"/>
    <w:rsid w:val="00084170"/>
    <w:rsid w:val="00084303"/>
    <w:rsid w:val="0008446F"/>
    <w:rsid w:val="000849D1"/>
    <w:rsid w:val="000851A8"/>
    <w:rsid w:val="000851E4"/>
    <w:rsid w:val="000855CB"/>
    <w:rsid w:val="00085606"/>
    <w:rsid w:val="00085707"/>
    <w:rsid w:val="00085FC2"/>
    <w:rsid w:val="000868FD"/>
    <w:rsid w:val="00086B40"/>
    <w:rsid w:val="00086E58"/>
    <w:rsid w:val="00086EF3"/>
    <w:rsid w:val="0008741B"/>
    <w:rsid w:val="00090246"/>
    <w:rsid w:val="00090317"/>
    <w:rsid w:val="000909A5"/>
    <w:rsid w:val="00090A18"/>
    <w:rsid w:val="00090D76"/>
    <w:rsid w:val="00091191"/>
    <w:rsid w:val="000915E0"/>
    <w:rsid w:val="00091FE5"/>
    <w:rsid w:val="0009265C"/>
    <w:rsid w:val="00092833"/>
    <w:rsid w:val="00092B96"/>
    <w:rsid w:val="00092F46"/>
    <w:rsid w:val="00092FDA"/>
    <w:rsid w:val="000932C3"/>
    <w:rsid w:val="000934E8"/>
    <w:rsid w:val="00093BAC"/>
    <w:rsid w:val="000944A2"/>
    <w:rsid w:val="00094C62"/>
    <w:rsid w:val="00094E28"/>
    <w:rsid w:val="00095BCB"/>
    <w:rsid w:val="00095BE6"/>
    <w:rsid w:val="00095F77"/>
    <w:rsid w:val="00095FE3"/>
    <w:rsid w:val="00096392"/>
    <w:rsid w:val="00096860"/>
    <w:rsid w:val="000968A4"/>
    <w:rsid w:val="000977F9"/>
    <w:rsid w:val="00097EBC"/>
    <w:rsid w:val="00099084"/>
    <w:rsid w:val="000A00C0"/>
    <w:rsid w:val="000A0161"/>
    <w:rsid w:val="000A0613"/>
    <w:rsid w:val="000A07B6"/>
    <w:rsid w:val="000A0BEC"/>
    <w:rsid w:val="000A11D4"/>
    <w:rsid w:val="000A1A12"/>
    <w:rsid w:val="000A1A4E"/>
    <w:rsid w:val="000A1F4E"/>
    <w:rsid w:val="000A3E1D"/>
    <w:rsid w:val="000A3F57"/>
    <w:rsid w:val="000A4259"/>
    <w:rsid w:val="000A4497"/>
    <w:rsid w:val="000A45F0"/>
    <w:rsid w:val="000A4A49"/>
    <w:rsid w:val="000A4CD9"/>
    <w:rsid w:val="000A5168"/>
    <w:rsid w:val="000A5A92"/>
    <w:rsid w:val="000A5C1F"/>
    <w:rsid w:val="000A601D"/>
    <w:rsid w:val="000A60C8"/>
    <w:rsid w:val="000A61E7"/>
    <w:rsid w:val="000A6D33"/>
    <w:rsid w:val="000A7289"/>
    <w:rsid w:val="000A74BA"/>
    <w:rsid w:val="000A74DA"/>
    <w:rsid w:val="000A7603"/>
    <w:rsid w:val="000A7823"/>
    <w:rsid w:val="000A7874"/>
    <w:rsid w:val="000A7B2F"/>
    <w:rsid w:val="000A7D39"/>
    <w:rsid w:val="000B0082"/>
    <w:rsid w:val="000B023C"/>
    <w:rsid w:val="000B05A4"/>
    <w:rsid w:val="000B0B9A"/>
    <w:rsid w:val="000B17D1"/>
    <w:rsid w:val="000B1A56"/>
    <w:rsid w:val="000B1BD2"/>
    <w:rsid w:val="000B1E7B"/>
    <w:rsid w:val="000B236C"/>
    <w:rsid w:val="000B26F6"/>
    <w:rsid w:val="000B27A3"/>
    <w:rsid w:val="000B2B66"/>
    <w:rsid w:val="000B2EE4"/>
    <w:rsid w:val="000B31E8"/>
    <w:rsid w:val="000B3252"/>
    <w:rsid w:val="000B3318"/>
    <w:rsid w:val="000B379F"/>
    <w:rsid w:val="000B3FA4"/>
    <w:rsid w:val="000B464C"/>
    <w:rsid w:val="000B46F8"/>
    <w:rsid w:val="000B4DB9"/>
    <w:rsid w:val="000B53A0"/>
    <w:rsid w:val="000B548F"/>
    <w:rsid w:val="000B5BD6"/>
    <w:rsid w:val="000B5F17"/>
    <w:rsid w:val="000B608C"/>
    <w:rsid w:val="000B670E"/>
    <w:rsid w:val="000B6E21"/>
    <w:rsid w:val="000B754F"/>
    <w:rsid w:val="000B78DD"/>
    <w:rsid w:val="000B7A4C"/>
    <w:rsid w:val="000B7B1E"/>
    <w:rsid w:val="000B7BF9"/>
    <w:rsid w:val="000C00A1"/>
    <w:rsid w:val="000C04A1"/>
    <w:rsid w:val="000C08CC"/>
    <w:rsid w:val="000C0951"/>
    <w:rsid w:val="000C0AF1"/>
    <w:rsid w:val="000C0B43"/>
    <w:rsid w:val="000C0BA5"/>
    <w:rsid w:val="000C10EC"/>
    <w:rsid w:val="000C1129"/>
    <w:rsid w:val="000C1496"/>
    <w:rsid w:val="000C14FF"/>
    <w:rsid w:val="000C1729"/>
    <w:rsid w:val="000C1C68"/>
    <w:rsid w:val="000C1CA5"/>
    <w:rsid w:val="000C20C3"/>
    <w:rsid w:val="000C29F2"/>
    <w:rsid w:val="000C2A0A"/>
    <w:rsid w:val="000C2CEF"/>
    <w:rsid w:val="000C2E08"/>
    <w:rsid w:val="000C4145"/>
    <w:rsid w:val="000C47A4"/>
    <w:rsid w:val="000C485B"/>
    <w:rsid w:val="000C4B2B"/>
    <w:rsid w:val="000C4DE6"/>
    <w:rsid w:val="000C4F74"/>
    <w:rsid w:val="000C534D"/>
    <w:rsid w:val="000C5717"/>
    <w:rsid w:val="000C597B"/>
    <w:rsid w:val="000C5987"/>
    <w:rsid w:val="000C5B2A"/>
    <w:rsid w:val="000C5CBB"/>
    <w:rsid w:val="000C64E3"/>
    <w:rsid w:val="000C6DEB"/>
    <w:rsid w:val="000C6F03"/>
    <w:rsid w:val="000C6FB3"/>
    <w:rsid w:val="000C700A"/>
    <w:rsid w:val="000C7283"/>
    <w:rsid w:val="000C7464"/>
    <w:rsid w:val="000C7CCB"/>
    <w:rsid w:val="000D0755"/>
    <w:rsid w:val="000D0BF0"/>
    <w:rsid w:val="000D1DDC"/>
    <w:rsid w:val="000D1E1B"/>
    <w:rsid w:val="000D2067"/>
    <w:rsid w:val="000D23D9"/>
    <w:rsid w:val="000D2846"/>
    <w:rsid w:val="000D2D62"/>
    <w:rsid w:val="000D2D76"/>
    <w:rsid w:val="000D2FBB"/>
    <w:rsid w:val="000D350D"/>
    <w:rsid w:val="000D3DA3"/>
    <w:rsid w:val="000D3E8C"/>
    <w:rsid w:val="000D3F61"/>
    <w:rsid w:val="000D41B2"/>
    <w:rsid w:val="000D42D1"/>
    <w:rsid w:val="000D44B5"/>
    <w:rsid w:val="000D45D6"/>
    <w:rsid w:val="000D4828"/>
    <w:rsid w:val="000D4EFB"/>
    <w:rsid w:val="000D5327"/>
    <w:rsid w:val="000D53D3"/>
    <w:rsid w:val="000D570C"/>
    <w:rsid w:val="000D5B2F"/>
    <w:rsid w:val="000D5B8D"/>
    <w:rsid w:val="000D60EE"/>
    <w:rsid w:val="000D6137"/>
    <w:rsid w:val="000D6569"/>
    <w:rsid w:val="000D66B5"/>
    <w:rsid w:val="000D69D9"/>
    <w:rsid w:val="000D72F0"/>
    <w:rsid w:val="000D75BA"/>
    <w:rsid w:val="000D79E0"/>
    <w:rsid w:val="000D7A8D"/>
    <w:rsid w:val="000D7F46"/>
    <w:rsid w:val="000E0591"/>
    <w:rsid w:val="000E0977"/>
    <w:rsid w:val="000E0AA4"/>
    <w:rsid w:val="000E0ABA"/>
    <w:rsid w:val="000E0E9F"/>
    <w:rsid w:val="000E0EC4"/>
    <w:rsid w:val="000E1876"/>
    <w:rsid w:val="000E18B7"/>
    <w:rsid w:val="000E25A4"/>
    <w:rsid w:val="000E25BD"/>
    <w:rsid w:val="000E2626"/>
    <w:rsid w:val="000E2916"/>
    <w:rsid w:val="000E2AAF"/>
    <w:rsid w:val="000E2AC3"/>
    <w:rsid w:val="000E2CD9"/>
    <w:rsid w:val="000E3536"/>
    <w:rsid w:val="000E36A0"/>
    <w:rsid w:val="000E38DB"/>
    <w:rsid w:val="000E3959"/>
    <w:rsid w:val="000E3997"/>
    <w:rsid w:val="000E3CD1"/>
    <w:rsid w:val="000E3FCC"/>
    <w:rsid w:val="000E3FD0"/>
    <w:rsid w:val="000E4813"/>
    <w:rsid w:val="000E4E4E"/>
    <w:rsid w:val="000E553A"/>
    <w:rsid w:val="000E5853"/>
    <w:rsid w:val="000E642C"/>
    <w:rsid w:val="000E646D"/>
    <w:rsid w:val="000E680F"/>
    <w:rsid w:val="000E71C9"/>
    <w:rsid w:val="000E723A"/>
    <w:rsid w:val="000E7C5E"/>
    <w:rsid w:val="000E7DB8"/>
    <w:rsid w:val="000F03C5"/>
    <w:rsid w:val="000F0DD9"/>
    <w:rsid w:val="000F15F6"/>
    <w:rsid w:val="000F16BF"/>
    <w:rsid w:val="000F16CC"/>
    <w:rsid w:val="000F180A"/>
    <w:rsid w:val="000F21D3"/>
    <w:rsid w:val="000F2312"/>
    <w:rsid w:val="000F265A"/>
    <w:rsid w:val="000F283C"/>
    <w:rsid w:val="000F2903"/>
    <w:rsid w:val="000F2F37"/>
    <w:rsid w:val="000F30F9"/>
    <w:rsid w:val="000F32D6"/>
    <w:rsid w:val="000F35EC"/>
    <w:rsid w:val="000F3768"/>
    <w:rsid w:val="000F3DB6"/>
    <w:rsid w:val="000F3EC1"/>
    <w:rsid w:val="000F4149"/>
    <w:rsid w:val="000F4930"/>
    <w:rsid w:val="000F4AF5"/>
    <w:rsid w:val="000F5324"/>
    <w:rsid w:val="000F5802"/>
    <w:rsid w:val="000F596D"/>
    <w:rsid w:val="000F5A4D"/>
    <w:rsid w:val="000F5BE9"/>
    <w:rsid w:val="000F5F35"/>
    <w:rsid w:val="000F5F67"/>
    <w:rsid w:val="000F6093"/>
    <w:rsid w:val="000F6286"/>
    <w:rsid w:val="000F64DB"/>
    <w:rsid w:val="000F67B0"/>
    <w:rsid w:val="000F6876"/>
    <w:rsid w:val="000F6D02"/>
    <w:rsid w:val="000F6DB0"/>
    <w:rsid w:val="000F701D"/>
    <w:rsid w:val="000F7592"/>
    <w:rsid w:val="000F75B7"/>
    <w:rsid w:val="000FF2E0"/>
    <w:rsid w:val="00100124"/>
    <w:rsid w:val="0010074A"/>
    <w:rsid w:val="00100819"/>
    <w:rsid w:val="00100C90"/>
    <w:rsid w:val="00100FD1"/>
    <w:rsid w:val="00101190"/>
    <w:rsid w:val="001011D5"/>
    <w:rsid w:val="001017B1"/>
    <w:rsid w:val="00101F13"/>
    <w:rsid w:val="0010234D"/>
    <w:rsid w:val="00102456"/>
    <w:rsid w:val="00102479"/>
    <w:rsid w:val="00102720"/>
    <w:rsid w:val="00102721"/>
    <w:rsid w:val="00102C1E"/>
    <w:rsid w:val="00102EA7"/>
    <w:rsid w:val="00103034"/>
    <w:rsid w:val="00103702"/>
    <w:rsid w:val="001043B1"/>
    <w:rsid w:val="001045A5"/>
    <w:rsid w:val="00104BE4"/>
    <w:rsid w:val="001058AE"/>
    <w:rsid w:val="00105970"/>
    <w:rsid w:val="0010608C"/>
    <w:rsid w:val="001063E3"/>
    <w:rsid w:val="00106D40"/>
    <w:rsid w:val="00107B4A"/>
    <w:rsid w:val="00110603"/>
    <w:rsid w:val="0011078A"/>
    <w:rsid w:val="00110947"/>
    <w:rsid w:val="00110FAC"/>
    <w:rsid w:val="00111504"/>
    <w:rsid w:val="00111637"/>
    <w:rsid w:val="001117AB"/>
    <w:rsid w:val="0011181B"/>
    <w:rsid w:val="00111949"/>
    <w:rsid w:val="001119D3"/>
    <w:rsid w:val="00112798"/>
    <w:rsid w:val="00112886"/>
    <w:rsid w:val="00112976"/>
    <w:rsid w:val="00112E28"/>
    <w:rsid w:val="00113329"/>
    <w:rsid w:val="00113620"/>
    <w:rsid w:val="0011381B"/>
    <w:rsid w:val="00113992"/>
    <w:rsid w:val="00113A3F"/>
    <w:rsid w:val="00113A42"/>
    <w:rsid w:val="00113B31"/>
    <w:rsid w:val="00113F6D"/>
    <w:rsid w:val="001140C1"/>
    <w:rsid w:val="001154F0"/>
    <w:rsid w:val="00115548"/>
    <w:rsid w:val="00115845"/>
    <w:rsid w:val="001159BE"/>
    <w:rsid w:val="00115CFB"/>
    <w:rsid w:val="00115E62"/>
    <w:rsid w:val="00115F42"/>
    <w:rsid w:val="00116103"/>
    <w:rsid w:val="0011684A"/>
    <w:rsid w:val="00116C7C"/>
    <w:rsid w:val="00116D08"/>
    <w:rsid w:val="0011717A"/>
    <w:rsid w:val="00117A88"/>
    <w:rsid w:val="00117C86"/>
    <w:rsid w:val="00117D59"/>
    <w:rsid w:val="00117E5C"/>
    <w:rsid w:val="00120774"/>
    <w:rsid w:val="00120E5B"/>
    <w:rsid w:val="001210B5"/>
    <w:rsid w:val="001217A9"/>
    <w:rsid w:val="001219DF"/>
    <w:rsid w:val="00121B06"/>
    <w:rsid w:val="001226C6"/>
    <w:rsid w:val="0012278D"/>
    <w:rsid w:val="00122823"/>
    <w:rsid w:val="00122AE9"/>
    <w:rsid w:val="00122C45"/>
    <w:rsid w:val="00123898"/>
    <w:rsid w:val="00123B9D"/>
    <w:rsid w:val="001247AB"/>
    <w:rsid w:val="0012496B"/>
    <w:rsid w:val="00124DDE"/>
    <w:rsid w:val="00124F90"/>
    <w:rsid w:val="001251D2"/>
    <w:rsid w:val="0012542D"/>
    <w:rsid w:val="001258EC"/>
    <w:rsid w:val="00125D97"/>
    <w:rsid w:val="00125F02"/>
    <w:rsid w:val="0012607F"/>
    <w:rsid w:val="001262C5"/>
    <w:rsid w:val="001262D6"/>
    <w:rsid w:val="001263A4"/>
    <w:rsid w:val="001266F5"/>
    <w:rsid w:val="00126CCF"/>
    <w:rsid w:val="001271EC"/>
    <w:rsid w:val="001274E3"/>
    <w:rsid w:val="00127792"/>
    <w:rsid w:val="00127B7C"/>
    <w:rsid w:val="00127BD8"/>
    <w:rsid w:val="00130655"/>
    <w:rsid w:val="00130814"/>
    <w:rsid w:val="00130CAF"/>
    <w:rsid w:val="00130EFB"/>
    <w:rsid w:val="00131162"/>
    <w:rsid w:val="001318F0"/>
    <w:rsid w:val="00131ADD"/>
    <w:rsid w:val="00131F57"/>
    <w:rsid w:val="00132104"/>
    <w:rsid w:val="0013242F"/>
    <w:rsid w:val="00132F23"/>
    <w:rsid w:val="0013310A"/>
    <w:rsid w:val="00133574"/>
    <w:rsid w:val="00133DFF"/>
    <w:rsid w:val="00134546"/>
    <w:rsid w:val="001348FA"/>
    <w:rsid w:val="00134BB8"/>
    <w:rsid w:val="00134E88"/>
    <w:rsid w:val="00134EF7"/>
    <w:rsid w:val="00134FB1"/>
    <w:rsid w:val="001353FC"/>
    <w:rsid w:val="00135FFD"/>
    <w:rsid w:val="001368C8"/>
    <w:rsid w:val="00136D63"/>
    <w:rsid w:val="00137250"/>
    <w:rsid w:val="0013781E"/>
    <w:rsid w:val="00137B80"/>
    <w:rsid w:val="00140221"/>
    <w:rsid w:val="00140275"/>
    <w:rsid w:val="001405A9"/>
    <w:rsid w:val="00140820"/>
    <w:rsid w:val="00140BB8"/>
    <w:rsid w:val="00140F89"/>
    <w:rsid w:val="00141302"/>
    <w:rsid w:val="00142FBA"/>
    <w:rsid w:val="0014304A"/>
    <w:rsid w:val="0014340F"/>
    <w:rsid w:val="00143803"/>
    <w:rsid w:val="00143896"/>
    <w:rsid w:val="00143916"/>
    <w:rsid w:val="00143A4F"/>
    <w:rsid w:val="00143D79"/>
    <w:rsid w:val="00144456"/>
    <w:rsid w:val="00144478"/>
    <w:rsid w:val="001444C1"/>
    <w:rsid w:val="00144642"/>
    <w:rsid w:val="00144717"/>
    <w:rsid w:val="00144835"/>
    <w:rsid w:val="00145158"/>
    <w:rsid w:val="001451D7"/>
    <w:rsid w:val="001457B3"/>
    <w:rsid w:val="00145953"/>
    <w:rsid w:val="00145BD2"/>
    <w:rsid w:val="00145C76"/>
    <w:rsid w:val="00145D9F"/>
    <w:rsid w:val="00146994"/>
    <w:rsid w:val="00146B16"/>
    <w:rsid w:val="00146CAA"/>
    <w:rsid w:val="0014740B"/>
    <w:rsid w:val="00150AA7"/>
    <w:rsid w:val="00150EA9"/>
    <w:rsid w:val="00150F66"/>
    <w:rsid w:val="0015122B"/>
    <w:rsid w:val="001512A9"/>
    <w:rsid w:val="0015157B"/>
    <w:rsid w:val="001516A0"/>
    <w:rsid w:val="001518DD"/>
    <w:rsid w:val="00151AA0"/>
    <w:rsid w:val="00151E32"/>
    <w:rsid w:val="00151E8D"/>
    <w:rsid w:val="00152156"/>
    <w:rsid w:val="00152679"/>
    <w:rsid w:val="0015280C"/>
    <w:rsid w:val="00152B9F"/>
    <w:rsid w:val="00152C57"/>
    <w:rsid w:val="001531D0"/>
    <w:rsid w:val="0015372F"/>
    <w:rsid w:val="001542F1"/>
    <w:rsid w:val="0015487F"/>
    <w:rsid w:val="00154A0D"/>
    <w:rsid w:val="00154A96"/>
    <w:rsid w:val="00154BC6"/>
    <w:rsid w:val="00154F48"/>
    <w:rsid w:val="00155039"/>
    <w:rsid w:val="0015510A"/>
    <w:rsid w:val="00155134"/>
    <w:rsid w:val="001555DC"/>
    <w:rsid w:val="0015586C"/>
    <w:rsid w:val="00155A3C"/>
    <w:rsid w:val="00155FA9"/>
    <w:rsid w:val="00156082"/>
    <w:rsid w:val="00156108"/>
    <w:rsid w:val="00156491"/>
    <w:rsid w:val="001564D5"/>
    <w:rsid w:val="00156578"/>
    <w:rsid w:val="00156D03"/>
    <w:rsid w:val="00156E78"/>
    <w:rsid w:val="00157155"/>
    <w:rsid w:val="00157672"/>
    <w:rsid w:val="001576DC"/>
    <w:rsid w:val="0015780A"/>
    <w:rsid w:val="00157A00"/>
    <w:rsid w:val="00157DD6"/>
    <w:rsid w:val="00157EA1"/>
    <w:rsid w:val="00160125"/>
    <w:rsid w:val="00160C4E"/>
    <w:rsid w:val="00161617"/>
    <w:rsid w:val="00161C5B"/>
    <w:rsid w:val="00161FC0"/>
    <w:rsid w:val="00162493"/>
    <w:rsid w:val="001626A5"/>
    <w:rsid w:val="00162D34"/>
    <w:rsid w:val="00162F34"/>
    <w:rsid w:val="00162FE7"/>
    <w:rsid w:val="00163713"/>
    <w:rsid w:val="001637C4"/>
    <w:rsid w:val="00163996"/>
    <w:rsid w:val="00163B84"/>
    <w:rsid w:val="00163D49"/>
    <w:rsid w:val="00163F8F"/>
    <w:rsid w:val="0016439E"/>
    <w:rsid w:val="001643A7"/>
    <w:rsid w:val="00164983"/>
    <w:rsid w:val="00164A00"/>
    <w:rsid w:val="00164E92"/>
    <w:rsid w:val="001658F1"/>
    <w:rsid w:val="001659A0"/>
    <w:rsid w:val="001670B6"/>
    <w:rsid w:val="001675E8"/>
    <w:rsid w:val="00167991"/>
    <w:rsid w:val="001702E4"/>
    <w:rsid w:val="001705F4"/>
    <w:rsid w:val="0017099B"/>
    <w:rsid w:val="00170B8F"/>
    <w:rsid w:val="00170D3A"/>
    <w:rsid w:val="00170DF9"/>
    <w:rsid w:val="00171398"/>
    <w:rsid w:val="0017139B"/>
    <w:rsid w:val="001714D3"/>
    <w:rsid w:val="001716B8"/>
    <w:rsid w:val="001726D7"/>
    <w:rsid w:val="00172767"/>
    <w:rsid w:val="001728E0"/>
    <w:rsid w:val="00172C15"/>
    <w:rsid w:val="0017319B"/>
    <w:rsid w:val="00173D6E"/>
    <w:rsid w:val="00174760"/>
    <w:rsid w:val="00174B34"/>
    <w:rsid w:val="00174F0D"/>
    <w:rsid w:val="0017552A"/>
    <w:rsid w:val="0017572D"/>
    <w:rsid w:val="00175912"/>
    <w:rsid w:val="00175A18"/>
    <w:rsid w:val="00175C7B"/>
    <w:rsid w:val="00175D72"/>
    <w:rsid w:val="001761E5"/>
    <w:rsid w:val="001763C7"/>
    <w:rsid w:val="00176619"/>
    <w:rsid w:val="00176AF1"/>
    <w:rsid w:val="00176D21"/>
    <w:rsid w:val="0017758A"/>
    <w:rsid w:val="0017770B"/>
    <w:rsid w:val="001802D3"/>
    <w:rsid w:val="001809C7"/>
    <w:rsid w:val="00180CB4"/>
    <w:rsid w:val="00180DF6"/>
    <w:rsid w:val="0018146C"/>
    <w:rsid w:val="001816F8"/>
    <w:rsid w:val="0018176D"/>
    <w:rsid w:val="00181BF2"/>
    <w:rsid w:val="00181D48"/>
    <w:rsid w:val="00181F8F"/>
    <w:rsid w:val="0018203C"/>
    <w:rsid w:val="001821B4"/>
    <w:rsid w:val="001825F6"/>
    <w:rsid w:val="00182937"/>
    <w:rsid w:val="00182BC8"/>
    <w:rsid w:val="00182EC8"/>
    <w:rsid w:val="00182FE9"/>
    <w:rsid w:val="0018347F"/>
    <w:rsid w:val="001834F9"/>
    <w:rsid w:val="001835A6"/>
    <w:rsid w:val="0018380A"/>
    <w:rsid w:val="00183BBE"/>
    <w:rsid w:val="00184017"/>
    <w:rsid w:val="001842AF"/>
    <w:rsid w:val="0018449E"/>
    <w:rsid w:val="001847B9"/>
    <w:rsid w:val="00185922"/>
    <w:rsid w:val="001859D7"/>
    <w:rsid w:val="00185DC1"/>
    <w:rsid w:val="00185FE3"/>
    <w:rsid w:val="00185FEF"/>
    <w:rsid w:val="0018662F"/>
    <w:rsid w:val="00186819"/>
    <w:rsid w:val="00186BF0"/>
    <w:rsid w:val="00186D45"/>
    <w:rsid w:val="0018743E"/>
    <w:rsid w:val="00187C39"/>
    <w:rsid w:val="00187C53"/>
    <w:rsid w:val="00187EF7"/>
    <w:rsid w:val="0019087C"/>
    <w:rsid w:val="00190A0D"/>
    <w:rsid w:val="00190D14"/>
    <w:rsid w:val="00191233"/>
    <w:rsid w:val="001913B3"/>
    <w:rsid w:val="001914EE"/>
    <w:rsid w:val="00191512"/>
    <w:rsid w:val="00191A6F"/>
    <w:rsid w:val="00192B0B"/>
    <w:rsid w:val="00192D52"/>
    <w:rsid w:val="0019309C"/>
    <w:rsid w:val="001933E7"/>
    <w:rsid w:val="0019347A"/>
    <w:rsid w:val="0019364C"/>
    <w:rsid w:val="001938F7"/>
    <w:rsid w:val="00193E54"/>
    <w:rsid w:val="001942DB"/>
    <w:rsid w:val="0019470C"/>
    <w:rsid w:val="00194770"/>
    <w:rsid w:val="001952FD"/>
    <w:rsid w:val="001958BF"/>
    <w:rsid w:val="00195D6C"/>
    <w:rsid w:val="0019608E"/>
    <w:rsid w:val="00196186"/>
    <w:rsid w:val="00196369"/>
    <w:rsid w:val="00196CFC"/>
    <w:rsid w:val="00196D2D"/>
    <w:rsid w:val="00197A07"/>
    <w:rsid w:val="00197FEE"/>
    <w:rsid w:val="001A0872"/>
    <w:rsid w:val="001A0E01"/>
    <w:rsid w:val="001A10AE"/>
    <w:rsid w:val="001A12AA"/>
    <w:rsid w:val="001A1567"/>
    <w:rsid w:val="001A169C"/>
    <w:rsid w:val="001A183A"/>
    <w:rsid w:val="001A1BF2"/>
    <w:rsid w:val="001A1D7C"/>
    <w:rsid w:val="001A1F21"/>
    <w:rsid w:val="001A2912"/>
    <w:rsid w:val="001A2B5B"/>
    <w:rsid w:val="001A2F79"/>
    <w:rsid w:val="001A3358"/>
    <w:rsid w:val="001A35BD"/>
    <w:rsid w:val="001A366B"/>
    <w:rsid w:val="001A46C2"/>
    <w:rsid w:val="001A473A"/>
    <w:rsid w:val="001A4A10"/>
    <w:rsid w:val="001A4D68"/>
    <w:rsid w:val="001A5376"/>
    <w:rsid w:val="001A5404"/>
    <w:rsid w:val="001A57DC"/>
    <w:rsid w:val="001A59CA"/>
    <w:rsid w:val="001A5BE0"/>
    <w:rsid w:val="001A5D61"/>
    <w:rsid w:val="001A609B"/>
    <w:rsid w:val="001A6EBF"/>
    <w:rsid w:val="001A729D"/>
    <w:rsid w:val="001A73FA"/>
    <w:rsid w:val="001A7695"/>
    <w:rsid w:val="001A780B"/>
    <w:rsid w:val="001A78EB"/>
    <w:rsid w:val="001B0421"/>
    <w:rsid w:val="001B05AC"/>
    <w:rsid w:val="001B05F2"/>
    <w:rsid w:val="001B0D4E"/>
    <w:rsid w:val="001B123E"/>
    <w:rsid w:val="001B190D"/>
    <w:rsid w:val="001B1EB5"/>
    <w:rsid w:val="001B2C46"/>
    <w:rsid w:val="001B381F"/>
    <w:rsid w:val="001B38A5"/>
    <w:rsid w:val="001B3BD1"/>
    <w:rsid w:val="001B452D"/>
    <w:rsid w:val="001B46DE"/>
    <w:rsid w:val="001B533C"/>
    <w:rsid w:val="001B5BEE"/>
    <w:rsid w:val="001B5F74"/>
    <w:rsid w:val="001B6352"/>
    <w:rsid w:val="001B67AC"/>
    <w:rsid w:val="001B6893"/>
    <w:rsid w:val="001B6B73"/>
    <w:rsid w:val="001B6D6B"/>
    <w:rsid w:val="001B6DE3"/>
    <w:rsid w:val="001B740A"/>
    <w:rsid w:val="001B7BCC"/>
    <w:rsid w:val="001B7D12"/>
    <w:rsid w:val="001B7D33"/>
    <w:rsid w:val="001B7E28"/>
    <w:rsid w:val="001C0089"/>
    <w:rsid w:val="001C05D5"/>
    <w:rsid w:val="001C0782"/>
    <w:rsid w:val="001C0D96"/>
    <w:rsid w:val="001C0FC8"/>
    <w:rsid w:val="001C109F"/>
    <w:rsid w:val="001C12AE"/>
    <w:rsid w:val="001C1439"/>
    <w:rsid w:val="001C16F0"/>
    <w:rsid w:val="001C1860"/>
    <w:rsid w:val="001C1A6D"/>
    <w:rsid w:val="001C1B9D"/>
    <w:rsid w:val="001C1CD7"/>
    <w:rsid w:val="001C1E97"/>
    <w:rsid w:val="001C2A29"/>
    <w:rsid w:val="001C3AC9"/>
    <w:rsid w:val="001C3C0B"/>
    <w:rsid w:val="001C4328"/>
    <w:rsid w:val="001C4B4D"/>
    <w:rsid w:val="001C54C8"/>
    <w:rsid w:val="001C54E9"/>
    <w:rsid w:val="001C5A60"/>
    <w:rsid w:val="001C5A75"/>
    <w:rsid w:val="001C5B85"/>
    <w:rsid w:val="001C5FFC"/>
    <w:rsid w:val="001C6048"/>
    <w:rsid w:val="001C6658"/>
    <w:rsid w:val="001C691C"/>
    <w:rsid w:val="001C6C2F"/>
    <w:rsid w:val="001C6FB5"/>
    <w:rsid w:val="001C7840"/>
    <w:rsid w:val="001C7A70"/>
    <w:rsid w:val="001C7D39"/>
    <w:rsid w:val="001C7FD7"/>
    <w:rsid w:val="001D02D7"/>
    <w:rsid w:val="001D0927"/>
    <w:rsid w:val="001D0EE9"/>
    <w:rsid w:val="001D10FE"/>
    <w:rsid w:val="001D18AB"/>
    <w:rsid w:val="001D1B2C"/>
    <w:rsid w:val="001D1B41"/>
    <w:rsid w:val="001D1BFD"/>
    <w:rsid w:val="001D1D15"/>
    <w:rsid w:val="001D1F2A"/>
    <w:rsid w:val="001D2289"/>
    <w:rsid w:val="001D2AA5"/>
    <w:rsid w:val="001D2D69"/>
    <w:rsid w:val="001D39BD"/>
    <w:rsid w:val="001D3D9F"/>
    <w:rsid w:val="001D3E38"/>
    <w:rsid w:val="001D3ECD"/>
    <w:rsid w:val="001D4D5E"/>
    <w:rsid w:val="001D4F87"/>
    <w:rsid w:val="001D5A09"/>
    <w:rsid w:val="001D614D"/>
    <w:rsid w:val="001D7B16"/>
    <w:rsid w:val="001D7EA2"/>
    <w:rsid w:val="001E0E29"/>
    <w:rsid w:val="001E12ED"/>
    <w:rsid w:val="001E1697"/>
    <w:rsid w:val="001E16EE"/>
    <w:rsid w:val="001E1708"/>
    <w:rsid w:val="001E1B19"/>
    <w:rsid w:val="001E1C71"/>
    <w:rsid w:val="001E1FD2"/>
    <w:rsid w:val="001E2099"/>
    <w:rsid w:val="001E3079"/>
    <w:rsid w:val="001E4107"/>
    <w:rsid w:val="001E424E"/>
    <w:rsid w:val="001E47BB"/>
    <w:rsid w:val="001E4DB0"/>
    <w:rsid w:val="001E4F11"/>
    <w:rsid w:val="001E55C6"/>
    <w:rsid w:val="001E5BC7"/>
    <w:rsid w:val="001E61B2"/>
    <w:rsid w:val="001E630F"/>
    <w:rsid w:val="001E6473"/>
    <w:rsid w:val="001E64B7"/>
    <w:rsid w:val="001E665E"/>
    <w:rsid w:val="001E68A7"/>
    <w:rsid w:val="001E6965"/>
    <w:rsid w:val="001E6BD3"/>
    <w:rsid w:val="001E6D6A"/>
    <w:rsid w:val="001E727F"/>
    <w:rsid w:val="001E77F1"/>
    <w:rsid w:val="001E7BC3"/>
    <w:rsid w:val="001E7E4B"/>
    <w:rsid w:val="001E91C8"/>
    <w:rsid w:val="001F005F"/>
    <w:rsid w:val="001F1176"/>
    <w:rsid w:val="001F17B2"/>
    <w:rsid w:val="001F19A2"/>
    <w:rsid w:val="001F1AF9"/>
    <w:rsid w:val="001F1C2A"/>
    <w:rsid w:val="001F2146"/>
    <w:rsid w:val="001F30A9"/>
    <w:rsid w:val="001F3106"/>
    <w:rsid w:val="001F34D7"/>
    <w:rsid w:val="001F3ABE"/>
    <w:rsid w:val="001F420B"/>
    <w:rsid w:val="001F426B"/>
    <w:rsid w:val="001F4887"/>
    <w:rsid w:val="001F4979"/>
    <w:rsid w:val="001F5088"/>
    <w:rsid w:val="001F5369"/>
    <w:rsid w:val="001F537A"/>
    <w:rsid w:val="001F54F1"/>
    <w:rsid w:val="001F5C78"/>
    <w:rsid w:val="001F5F7C"/>
    <w:rsid w:val="001F6344"/>
    <w:rsid w:val="001F6778"/>
    <w:rsid w:val="001F71F1"/>
    <w:rsid w:val="001F7A27"/>
    <w:rsid w:val="001F7AEF"/>
    <w:rsid w:val="001F7D10"/>
    <w:rsid w:val="001F7D3A"/>
    <w:rsid w:val="00200871"/>
    <w:rsid w:val="00201281"/>
    <w:rsid w:val="002016CC"/>
    <w:rsid w:val="002017ED"/>
    <w:rsid w:val="002018EB"/>
    <w:rsid w:val="0020206D"/>
    <w:rsid w:val="002021FE"/>
    <w:rsid w:val="002026E9"/>
    <w:rsid w:val="00202AA5"/>
    <w:rsid w:val="00202C88"/>
    <w:rsid w:val="00202E0A"/>
    <w:rsid w:val="002033CC"/>
    <w:rsid w:val="002045B5"/>
    <w:rsid w:val="00204DDD"/>
    <w:rsid w:val="00204E09"/>
    <w:rsid w:val="002055B8"/>
    <w:rsid w:val="002055C0"/>
    <w:rsid w:val="00205822"/>
    <w:rsid w:val="00205F88"/>
    <w:rsid w:val="002065A7"/>
    <w:rsid w:val="00206861"/>
    <w:rsid w:val="00206C54"/>
    <w:rsid w:val="00206CC3"/>
    <w:rsid w:val="00206CCD"/>
    <w:rsid w:val="00206CF9"/>
    <w:rsid w:val="00207071"/>
    <w:rsid w:val="002073A2"/>
    <w:rsid w:val="002079FF"/>
    <w:rsid w:val="00207A58"/>
    <w:rsid w:val="00207FA1"/>
    <w:rsid w:val="0021010A"/>
    <w:rsid w:val="002102A2"/>
    <w:rsid w:val="0021073F"/>
    <w:rsid w:val="00210A36"/>
    <w:rsid w:val="00210AFF"/>
    <w:rsid w:val="00210D42"/>
    <w:rsid w:val="00210E1B"/>
    <w:rsid w:val="002112EC"/>
    <w:rsid w:val="0021167C"/>
    <w:rsid w:val="002117ED"/>
    <w:rsid w:val="00211A06"/>
    <w:rsid w:val="00211ED8"/>
    <w:rsid w:val="002126F3"/>
    <w:rsid w:val="00212A60"/>
    <w:rsid w:val="00212ACF"/>
    <w:rsid w:val="00212CDB"/>
    <w:rsid w:val="0021346F"/>
    <w:rsid w:val="00213984"/>
    <w:rsid w:val="00213D49"/>
    <w:rsid w:val="00214144"/>
    <w:rsid w:val="0021436E"/>
    <w:rsid w:val="00214541"/>
    <w:rsid w:val="00214A5B"/>
    <w:rsid w:val="00214F48"/>
    <w:rsid w:val="00215532"/>
    <w:rsid w:val="00215AD9"/>
    <w:rsid w:val="00215B4D"/>
    <w:rsid w:val="00216989"/>
    <w:rsid w:val="00216C15"/>
    <w:rsid w:val="00217BBC"/>
    <w:rsid w:val="00217E5A"/>
    <w:rsid w:val="00217F6D"/>
    <w:rsid w:val="00220053"/>
    <w:rsid w:val="00220412"/>
    <w:rsid w:val="00220FF2"/>
    <w:rsid w:val="00221108"/>
    <w:rsid w:val="00221A17"/>
    <w:rsid w:val="00221CBE"/>
    <w:rsid w:val="00221E99"/>
    <w:rsid w:val="00222453"/>
    <w:rsid w:val="00222C64"/>
    <w:rsid w:val="00222E77"/>
    <w:rsid w:val="00223182"/>
    <w:rsid w:val="00223C68"/>
    <w:rsid w:val="00223D17"/>
    <w:rsid w:val="0022428A"/>
    <w:rsid w:val="00224653"/>
    <w:rsid w:val="002246E7"/>
    <w:rsid w:val="00224779"/>
    <w:rsid w:val="0022477A"/>
    <w:rsid w:val="00224B8C"/>
    <w:rsid w:val="00224FB3"/>
    <w:rsid w:val="00225693"/>
    <w:rsid w:val="00226D30"/>
    <w:rsid w:val="002270C2"/>
    <w:rsid w:val="002277D1"/>
    <w:rsid w:val="00227B5F"/>
    <w:rsid w:val="00227CD6"/>
    <w:rsid w:val="00227FD5"/>
    <w:rsid w:val="00230607"/>
    <w:rsid w:val="00230836"/>
    <w:rsid w:val="002309FD"/>
    <w:rsid w:val="00230D1E"/>
    <w:rsid w:val="00230F29"/>
    <w:rsid w:val="00231096"/>
    <w:rsid w:val="002310D3"/>
    <w:rsid w:val="0023126C"/>
    <w:rsid w:val="0023193B"/>
    <w:rsid w:val="00231ADE"/>
    <w:rsid w:val="00231B09"/>
    <w:rsid w:val="00231BB9"/>
    <w:rsid w:val="00232895"/>
    <w:rsid w:val="00232C2A"/>
    <w:rsid w:val="00232EE6"/>
    <w:rsid w:val="00232EE9"/>
    <w:rsid w:val="00233404"/>
    <w:rsid w:val="00233489"/>
    <w:rsid w:val="00233757"/>
    <w:rsid w:val="0023385B"/>
    <w:rsid w:val="0023390F"/>
    <w:rsid w:val="00233C78"/>
    <w:rsid w:val="00234044"/>
    <w:rsid w:val="00234133"/>
    <w:rsid w:val="002343CC"/>
    <w:rsid w:val="0023445E"/>
    <w:rsid w:val="00234585"/>
    <w:rsid w:val="00234920"/>
    <w:rsid w:val="00234C4E"/>
    <w:rsid w:val="002350E2"/>
    <w:rsid w:val="002351A5"/>
    <w:rsid w:val="002355B2"/>
    <w:rsid w:val="00235A4D"/>
    <w:rsid w:val="00235A6C"/>
    <w:rsid w:val="00235F67"/>
    <w:rsid w:val="0023641F"/>
    <w:rsid w:val="0023689F"/>
    <w:rsid w:val="002370B1"/>
    <w:rsid w:val="002372CC"/>
    <w:rsid w:val="00237668"/>
    <w:rsid w:val="0023783A"/>
    <w:rsid w:val="002378AF"/>
    <w:rsid w:val="00237976"/>
    <w:rsid w:val="00237CF4"/>
    <w:rsid w:val="002402A4"/>
    <w:rsid w:val="0024060A"/>
    <w:rsid w:val="00240777"/>
    <w:rsid w:val="00240942"/>
    <w:rsid w:val="00240B21"/>
    <w:rsid w:val="002413CA"/>
    <w:rsid w:val="00241E67"/>
    <w:rsid w:val="00241E71"/>
    <w:rsid w:val="002422FA"/>
    <w:rsid w:val="00242643"/>
    <w:rsid w:val="00242687"/>
    <w:rsid w:val="00243379"/>
    <w:rsid w:val="002441D0"/>
    <w:rsid w:val="0024442A"/>
    <w:rsid w:val="00244E18"/>
    <w:rsid w:val="00244F4F"/>
    <w:rsid w:val="0024504B"/>
    <w:rsid w:val="0024518A"/>
    <w:rsid w:val="002451C7"/>
    <w:rsid w:val="00245501"/>
    <w:rsid w:val="00245BBF"/>
    <w:rsid w:val="00245E26"/>
    <w:rsid w:val="00246062"/>
    <w:rsid w:val="002464A4"/>
    <w:rsid w:val="00246623"/>
    <w:rsid w:val="002468E8"/>
    <w:rsid w:val="00246BD1"/>
    <w:rsid w:val="002477C5"/>
    <w:rsid w:val="00247E56"/>
    <w:rsid w:val="00247F4C"/>
    <w:rsid w:val="00250041"/>
    <w:rsid w:val="002500D1"/>
    <w:rsid w:val="00250201"/>
    <w:rsid w:val="002506C3"/>
    <w:rsid w:val="0025094D"/>
    <w:rsid w:val="002510D5"/>
    <w:rsid w:val="002511DD"/>
    <w:rsid w:val="0025138F"/>
    <w:rsid w:val="00251B67"/>
    <w:rsid w:val="00251E11"/>
    <w:rsid w:val="00252B54"/>
    <w:rsid w:val="00252BF4"/>
    <w:rsid w:val="00253287"/>
    <w:rsid w:val="00253294"/>
    <w:rsid w:val="002532F5"/>
    <w:rsid w:val="00253F00"/>
    <w:rsid w:val="00254058"/>
    <w:rsid w:val="002543D7"/>
    <w:rsid w:val="00254733"/>
    <w:rsid w:val="00255248"/>
    <w:rsid w:val="00255402"/>
    <w:rsid w:val="002554D4"/>
    <w:rsid w:val="00255589"/>
    <w:rsid w:val="00255B91"/>
    <w:rsid w:val="00255ECE"/>
    <w:rsid w:val="00255FB8"/>
    <w:rsid w:val="0025613F"/>
    <w:rsid w:val="002563D9"/>
    <w:rsid w:val="00256410"/>
    <w:rsid w:val="002564FF"/>
    <w:rsid w:val="002568C9"/>
    <w:rsid w:val="00257D58"/>
    <w:rsid w:val="00260476"/>
    <w:rsid w:val="00260A87"/>
    <w:rsid w:val="00260C63"/>
    <w:rsid w:val="00260C99"/>
    <w:rsid w:val="002615E3"/>
    <w:rsid w:val="00261634"/>
    <w:rsid w:val="0026192F"/>
    <w:rsid w:val="00261BEA"/>
    <w:rsid w:val="002622B6"/>
    <w:rsid w:val="002625A3"/>
    <w:rsid w:val="00262DA7"/>
    <w:rsid w:val="00263204"/>
    <w:rsid w:val="00263442"/>
    <w:rsid w:val="00263478"/>
    <w:rsid w:val="0026373E"/>
    <w:rsid w:val="00263A4A"/>
    <w:rsid w:val="00263B86"/>
    <w:rsid w:val="002648C1"/>
    <w:rsid w:val="0026519F"/>
    <w:rsid w:val="00265236"/>
    <w:rsid w:val="00265392"/>
    <w:rsid w:val="002656BA"/>
    <w:rsid w:val="0026571F"/>
    <w:rsid w:val="00265D07"/>
    <w:rsid w:val="00265DD5"/>
    <w:rsid w:val="00266391"/>
    <w:rsid w:val="002665D4"/>
    <w:rsid w:val="00266736"/>
    <w:rsid w:val="00266DC2"/>
    <w:rsid w:val="00267DD9"/>
    <w:rsid w:val="00267FEB"/>
    <w:rsid w:val="0027037B"/>
    <w:rsid w:val="002709F7"/>
    <w:rsid w:val="00270C41"/>
    <w:rsid w:val="0027117F"/>
    <w:rsid w:val="002719D0"/>
    <w:rsid w:val="00271BA1"/>
    <w:rsid w:val="00272551"/>
    <w:rsid w:val="00272563"/>
    <w:rsid w:val="00272756"/>
    <w:rsid w:val="002732C4"/>
    <w:rsid w:val="00273555"/>
    <w:rsid w:val="002736F6"/>
    <w:rsid w:val="00273877"/>
    <w:rsid w:val="00274117"/>
    <w:rsid w:val="00274261"/>
    <w:rsid w:val="00274A05"/>
    <w:rsid w:val="00274DE8"/>
    <w:rsid w:val="00275059"/>
    <w:rsid w:val="0027529F"/>
    <w:rsid w:val="00275CCA"/>
    <w:rsid w:val="0027621D"/>
    <w:rsid w:val="00276682"/>
    <w:rsid w:val="0027673B"/>
    <w:rsid w:val="00276A6E"/>
    <w:rsid w:val="00276FDC"/>
    <w:rsid w:val="00280137"/>
    <w:rsid w:val="0028041E"/>
    <w:rsid w:val="002804B3"/>
    <w:rsid w:val="00280BDA"/>
    <w:rsid w:val="002814DC"/>
    <w:rsid w:val="002818B5"/>
    <w:rsid w:val="00281982"/>
    <w:rsid w:val="00282064"/>
    <w:rsid w:val="002820C2"/>
    <w:rsid w:val="002820E8"/>
    <w:rsid w:val="0028240F"/>
    <w:rsid w:val="0028299A"/>
    <w:rsid w:val="00282C0E"/>
    <w:rsid w:val="0028345F"/>
    <w:rsid w:val="00283851"/>
    <w:rsid w:val="00283DC9"/>
    <w:rsid w:val="00283E1E"/>
    <w:rsid w:val="002844FC"/>
    <w:rsid w:val="00284B52"/>
    <w:rsid w:val="00284E0B"/>
    <w:rsid w:val="002850AA"/>
    <w:rsid w:val="002854F1"/>
    <w:rsid w:val="002856C3"/>
    <w:rsid w:val="0028583D"/>
    <w:rsid w:val="00285B44"/>
    <w:rsid w:val="00285C42"/>
    <w:rsid w:val="00285E73"/>
    <w:rsid w:val="0028660E"/>
    <w:rsid w:val="00286A41"/>
    <w:rsid w:val="00287146"/>
    <w:rsid w:val="0028749C"/>
    <w:rsid w:val="002878C9"/>
    <w:rsid w:val="00290158"/>
    <w:rsid w:val="00290685"/>
    <w:rsid w:val="00290DDD"/>
    <w:rsid w:val="0029110E"/>
    <w:rsid w:val="00291EB7"/>
    <w:rsid w:val="00292310"/>
    <w:rsid w:val="00292433"/>
    <w:rsid w:val="002924D8"/>
    <w:rsid w:val="00292532"/>
    <w:rsid w:val="00292537"/>
    <w:rsid w:val="002929C3"/>
    <w:rsid w:val="00292DC2"/>
    <w:rsid w:val="00292E11"/>
    <w:rsid w:val="00293209"/>
    <w:rsid w:val="002936BB"/>
    <w:rsid w:val="00293782"/>
    <w:rsid w:val="0029378A"/>
    <w:rsid w:val="00293840"/>
    <w:rsid w:val="00293873"/>
    <w:rsid w:val="00293D18"/>
    <w:rsid w:val="00293D88"/>
    <w:rsid w:val="002945A6"/>
    <w:rsid w:val="002947B9"/>
    <w:rsid w:val="00294ABE"/>
    <w:rsid w:val="00294DB1"/>
    <w:rsid w:val="00294E77"/>
    <w:rsid w:val="00295A72"/>
    <w:rsid w:val="002963B3"/>
    <w:rsid w:val="00296A82"/>
    <w:rsid w:val="00296C4A"/>
    <w:rsid w:val="00297368"/>
    <w:rsid w:val="00297A9B"/>
    <w:rsid w:val="00297ED3"/>
    <w:rsid w:val="00297F0C"/>
    <w:rsid w:val="002A0372"/>
    <w:rsid w:val="002A069E"/>
    <w:rsid w:val="002A07E2"/>
    <w:rsid w:val="002A0BF7"/>
    <w:rsid w:val="002A0D23"/>
    <w:rsid w:val="002A1A0B"/>
    <w:rsid w:val="002A1C12"/>
    <w:rsid w:val="002A2637"/>
    <w:rsid w:val="002A2D12"/>
    <w:rsid w:val="002A32AC"/>
    <w:rsid w:val="002A362F"/>
    <w:rsid w:val="002A3717"/>
    <w:rsid w:val="002A39C9"/>
    <w:rsid w:val="002A4064"/>
    <w:rsid w:val="002A42E7"/>
    <w:rsid w:val="002A452B"/>
    <w:rsid w:val="002A45A4"/>
    <w:rsid w:val="002A46BD"/>
    <w:rsid w:val="002A4825"/>
    <w:rsid w:val="002A4EC1"/>
    <w:rsid w:val="002A5057"/>
    <w:rsid w:val="002A515C"/>
    <w:rsid w:val="002A53E8"/>
    <w:rsid w:val="002A5641"/>
    <w:rsid w:val="002A5719"/>
    <w:rsid w:val="002A5C1F"/>
    <w:rsid w:val="002A731D"/>
    <w:rsid w:val="002A743A"/>
    <w:rsid w:val="002A7735"/>
    <w:rsid w:val="002A7A8D"/>
    <w:rsid w:val="002A7D77"/>
    <w:rsid w:val="002A7F81"/>
    <w:rsid w:val="002B0680"/>
    <w:rsid w:val="002B07B7"/>
    <w:rsid w:val="002B0A5E"/>
    <w:rsid w:val="002B16D1"/>
    <w:rsid w:val="002B1D92"/>
    <w:rsid w:val="002B1D94"/>
    <w:rsid w:val="002B22A5"/>
    <w:rsid w:val="002B23F4"/>
    <w:rsid w:val="002B2434"/>
    <w:rsid w:val="002B24AB"/>
    <w:rsid w:val="002B24F8"/>
    <w:rsid w:val="002B250A"/>
    <w:rsid w:val="002B285E"/>
    <w:rsid w:val="002B2B3E"/>
    <w:rsid w:val="002B447D"/>
    <w:rsid w:val="002B4676"/>
    <w:rsid w:val="002B4B5D"/>
    <w:rsid w:val="002B4C83"/>
    <w:rsid w:val="002B4D48"/>
    <w:rsid w:val="002B510E"/>
    <w:rsid w:val="002B5812"/>
    <w:rsid w:val="002B5E62"/>
    <w:rsid w:val="002B6221"/>
    <w:rsid w:val="002B669A"/>
    <w:rsid w:val="002B771B"/>
    <w:rsid w:val="002B778F"/>
    <w:rsid w:val="002B7917"/>
    <w:rsid w:val="002B79D7"/>
    <w:rsid w:val="002B7DD2"/>
    <w:rsid w:val="002C0427"/>
    <w:rsid w:val="002C0530"/>
    <w:rsid w:val="002C0A01"/>
    <w:rsid w:val="002C0B49"/>
    <w:rsid w:val="002C0F54"/>
    <w:rsid w:val="002C1BA4"/>
    <w:rsid w:val="002C1BDC"/>
    <w:rsid w:val="002C1F2E"/>
    <w:rsid w:val="002C29BE"/>
    <w:rsid w:val="002C2A04"/>
    <w:rsid w:val="002C3030"/>
    <w:rsid w:val="002C3224"/>
    <w:rsid w:val="002C3383"/>
    <w:rsid w:val="002C35A8"/>
    <w:rsid w:val="002C3737"/>
    <w:rsid w:val="002C3AA3"/>
    <w:rsid w:val="002C3C6B"/>
    <w:rsid w:val="002C3F94"/>
    <w:rsid w:val="002C3FF1"/>
    <w:rsid w:val="002C424A"/>
    <w:rsid w:val="002C45F7"/>
    <w:rsid w:val="002C4629"/>
    <w:rsid w:val="002C5346"/>
    <w:rsid w:val="002C544E"/>
    <w:rsid w:val="002C5710"/>
    <w:rsid w:val="002C57E9"/>
    <w:rsid w:val="002C5AF6"/>
    <w:rsid w:val="002C5B19"/>
    <w:rsid w:val="002C7224"/>
    <w:rsid w:val="002C75F8"/>
    <w:rsid w:val="002D0227"/>
    <w:rsid w:val="002D02BB"/>
    <w:rsid w:val="002D0417"/>
    <w:rsid w:val="002D0553"/>
    <w:rsid w:val="002D0620"/>
    <w:rsid w:val="002D083A"/>
    <w:rsid w:val="002D094A"/>
    <w:rsid w:val="002D0B4B"/>
    <w:rsid w:val="002D0EB0"/>
    <w:rsid w:val="002D100F"/>
    <w:rsid w:val="002D10D0"/>
    <w:rsid w:val="002D14AA"/>
    <w:rsid w:val="002D1943"/>
    <w:rsid w:val="002D1BAC"/>
    <w:rsid w:val="002D1D45"/>
    <w:rsid w:val="002D1F4E"/>
    <w:rsid w:val="002D20F6"/>
    <w:rsid w:val="002D21DB"/>
    <w:rsid w:val="002D24CA"/>
    <w:rsid w:val="002D2700"/>
    <w:rsid w:val="002D296D"/>
    <w:rsid w:val="002D2A7B"/>
    <w:rsid w:val="002D2C26"/>
    <w:rsid w:val="002D2EE5"/>
    <w:rsid w:val="002D2FCF"/>
    <w:rsid w:val="002D337A"/>
    <w:rsid w:val="002D385A"/>
    <w:rsid w:val="002D3A32"/>
    <w:rsid w:val="002D3A4B"/>
    <w:rsid w:val="002D3B87"/>
    <w:rsid w:val="002D4604"/>
    <w:rsid w:val="002D4734"/>
    <w:rsid w:val="002D567F"/>
    <w:rsid w:val="002D58C0"/>
    <w:rsid w:val="002D5A35"/>
    <w:rsid w:val="002D5B9F"/>
    <w:rsid w:val="002D5BE1"/>
    <w:rsid w:val="002D62EE"/>
    <w:rsid w:val="002D6343"/>
    <w:rsid w:val="002D6682"/>
    <w:rsid w:val="002D6726"/>
    <w:rsid w:val="002D678B"/>
    <w:rsid w:val="002D6A78"/>
    <w:rsid w:val="002D6E92"/>
    <w:rsid w:val="002D7028"/>
    <w:rsid w:val="002D7128"/>
    <w:rsid w:val="002D73A1"/>
    <w:rsid w:val="002E03F4"/>
    <w:rsid w:val="002E089A"/>
    <w:rsid w:val="002E0C42"/>
    <w:rsid w:val="002E0FD6"/>
    <w:rsid w:val="002E0FF3"/>
    <w:rsid w:val="002E13AC"/>
    <w:rsid w:val="002E18A5"/>
    <w:rsid w:val="002E21E5"/>
    <w:rsid w:val="002E24EB"/>
    <w:rsid w:val="002E2611"/>
    <w:rsid w:val="002E28C4"/>
    <w:rsid w:val="002E2960"/>
    <w:rsid w:val="002E2A9B"/>
    <w:rsid w:val="002E2DBD"/>
    <w:rsid w:val="002E2EEC"/>
    <w:rsid w:val="002E2F62"/>
    <w:rsid w:val="002E2FDA"/>
    <w:rsid w:val="002E3113"/>
    <w:rsid w:val="002E388E"/>
    <w:rsid w:val="002E3CBD"/>
    <w:rsid w:val="002E426F"/>
    <w:rsid w:val="002E458C"/>
    <w:rsid w:val="002E46A9"/>
    <w:rsid w:val="002E46CE"/>
    <w:rsid w:val="002E479E"/>
    <w:rsid w:val="002E4B99"/>
    <w:rsid w:val="002E4D94"/>
    <w:rsid w:val="002E4EC9"/>
    <w:rsid w:val="002E507B"/>
    <w:rsid w:val="002E5874"/>
    <w:rsid w:val="002E5F8B"/>
    <w:rsid w:val="002E6226"/>
    <w:rsid w:val="002E6906"/>
    <w:rsid w:val="002E6967"/>
    <w:rsid w:val="002E6B47"/>
    <w:rsid w:val="002E7360"/>
    <w:rsid w:val="002E7665"/>
    <w:rsid w:val="002E7749"/>
    <w:rsid w:val="002E78C9"/>
    <w:rsid w:val="002E7CBB"/>
    <w:rsid w:val="002F008F"/>
    <w:rsid w:val="002F01B0"/>
    <w:rsid w:val="002F076E"/>
    <w:rsid w:val="002F07C4"/>
    <w:rsid w:val="002F0A5D"/>
    <w:rsid w:val="002F0E4B"/>
    <w:rsid w:val="002F1013"/>
    <w:rsid w:val="002F1067"/>
    <w:rsid w:val="002F14C5"/>
    <w:rsid w:val="002F1C31"/>
    <w:rsid w:val="002F2779"/>
    <w:rsid w:val="002F29C7"/>
    <w:rsid w:val="002F315B"/>
    <w:rsid w:val="002F392D"/>
    <w:rsid w:val="002F45D4"/>
    <w:rsid w:val="002F4959"/>
    <w:rsid w:val="002F50B6"/>
    <w:rsid w:val="002F54CA"/>
    <w:rsid w:val="002F5936"/>
    <w:rsid w:val="002F5C97"/>
    <w:rsid w:val="002F5F44"/>
    <w:rsid w:val="002F635F"/>
    <w:rsid w:val="002F6443"/>
    <w:rsid w:val="002F64C8"/>
    <w:rsid w:val="002F66AD"/>
    <w:rsid w:val="002F6B75"/>
    <w:rsid w:val="002F6CBC"/>
    <w:rsid w:val="002F7050"/>
    <w:rsid w:val="002F7145"/>
    <w:rsid w:val="002F7303"/>
    <w:rsid w:val="002F7329"/>
    <w:rsid w:val="002F790C"/>
    <w:rsid w:val="002F7A7A"/>
    <w:rsid w:val="002F7FD1"/>
    <w:rsid w:val="003003F4"/>
    <w:rsid w:val="003004A3"/>
    <w:rsid w:val="0030050E"/>
    <w:rsid w:val="003006FC"/>
    <w:rsid w:val="00300E99"/>
    <w:rsid w:val="00300F70"/>
    <w:rsid w:val="00301551"/>
    <w:rsid w:val="00301806"/>
    <w:rsid w:val="00301E54"/>
    <w:rsid w:val="003023E1"/>
    <w:rsid w:val="00302550"/>
    <w:rsid w:val="0030288D"/>
    <w:rsid w:val="003032FC"/>
    <w:rsid w:val="0030331E"/>
    <w:rsid w:val="003033F4"/>
    <w:rsid w:val="003035C5"/>
    <w:rsid w:val="00303ED6"/>
    <w:rsid w:val="003047B2"/>
    <w:rsid w:val="00304CDB"/>
    <w:rsid w:val="0030507A"/>
    <w:rsid w:val="003052CB"/>
    <w:rsid w:val="00305636"/>
    <w:rsid w:val="00305AA2"/>
    <w:rsid w:val="00305B45"/>
    <w:rsid w:val="00305E00"/>
    <w:rsid w:val="0030650A"/>
    <w:rsid w:val="00306BCA"/>
    <w:rsid w:val="00306D33"/>
    <w:rsid w:val="00307033"/>
    <w:rsid w:val="00307223"/>
    <w:rsid w:val="00307E62"/>
    <w:rsid w:val="0031042A"/>
    <w:rsid w:val="003105E8"/>
    <w:rsid w:val="00310E38"/>
    <w:rsid w:val="00311343"/>
    <w:rsid w:val="003122AA"/>
    <w:rsid w:val="003122FD"/>
    <w:rsid w:val="0031239C"/>
    <w:rsid w:val="003124E6"/>
    <w:rsid w:val="0031254A"/>
    <w:rsid w:val="00312754"/>
    <w:rsid w:val="003129EF"/>
    <w:rsid w:val="00312AC0"/>
    <w:rsid w:val="00312CB3"/>
    <w:rsid w:val="00313668"/>
    <w:rsid w:val="00313C4C"/>
    <w:rsid w:val="00314752"/>
    <w:rsid w:val="0031484A"/>
    <w:rsid w:val="003149D9"/>
    <w:rsid w:val="003152D5"/>
    <w:rsid w:val="00315B2A"/>
    <w:rsid w:val="00315E6F"/>
    <w:rsid w:val="00316445"/>
    <w:rsid w:val="003165C9"/>
    <w:rsid w:val="0031681E"/>
    <w:rsid w:val="00316EBC"/>
    <w:rsid w:val="00316F2D"/>
    <w:rsid w:val="0031701C"/>
    <w:rsid w:val="00317176"/>
    <w:rsid w:val="003171AB"/>
    <w:rsid w:val="0031755F"/>
    <w:rsid w:val="00317971"/>
    <w:rsid w:val="00317A51"/>
    <w:rsid w:val="00320005"/>
    <w:rsid w:val="003205EE"/>
    <w:rsid w:val="00320DFA"/>
    <w:rsid w:val="00320E07"/>
    <w:rsid w:val="00320ED1"/>
    <w:rsid w:val="0032102A"/>
    <w:rsid w:val="0032131F"/>
    <w:rsid w:val="003213EA"/>
    <w:rsid w:val="00322470"/>
    <w:rsid w:val="003224B5"/>
    <w:rsid w:val="00322508"/>
    <w:rsid w:val="00322A64"/>
    <w:rsid w:val="0032315C"/>
    <w:rsid w:val="0032435E"/>
    <w:rsid w:val="00324480"/>
    <w:rsid w:val="00324639"/>
    <w:rsid w:val="003246F7"/>
    <w:rsid w:val="00325B9D"/>
    <w:rsid w:val="00326154"/>
    <w:rsid w:val="0032620E"/>
    <w:rsid w:val="003263DF"/>
    <w:rsid w:val="00326408"/>
    <w:rsid w:val="003267DA"/>
    <w:rsid w:val="00326D4C"/>
    <w:rsid w:val="00326E19"/>
    <w:rsid w:val="00326E77"/>
    <w:rsid w:val="003277DC"/>
    <w:rsid w:val="00327CCC"/>
    <w:rsid w:val="00327D18"/>
    <w:rsid w:val="00327DA5"/>
    <w:rsid w:val="0033058C"/>
    <w:rsid w:val="003305A5"/>
    <w:rsid w:val="003306EC"/>
    <w:rsid w:val="003308CE"/>
    <w:rsid w:val="003309D3"/>
    <w:rsid w:val="0033104B"/>
    <w:rsid w:val="00331240"/>
    <w:rsid w:val="00331365"/>
    <w:rsid w:val="00331409"/>
    <w:rsid w:val="003314F8"/>
    <w:rsid w:val="00331E05"/>
    <w:rsid w:val="00332138"/>
    <w:rsid w:val="003324B1"/>
    <w:rsid w:val="00332513"/>
    <w:rsid w:val="00332692"/>
    <w:rsid w:val="00332C1C"/>
    <w:rsid w:val="003332EB"/>
    <w:rsid w:val="00333DBF"/>
    <w:rsid w:val="00334080"/>
    <w:rsid w:val="003341B0"/>
    <w:rsid w:val="00334AB6"/>
    <w:rsid w:val="00334CDC"/>
    <w:rsid w:val="00334DFC"/>
    <w:rsid w:val="0033546B"/>
    <w:rsid w:val="003356BB"/>
    <w:rsid w:val="003359A1"/>
    <w:rsid w:val="00335AE8"/>
    <w:rsid w:val="00335BC7"/>
    <w:rsid w:val="00335C21"/>
    <w:rsid w:val="00335FA8"/>
    <w:rsid w:val="003369B0"/>
    <w:rsid w:val="00336DD9"/>
    <w:rsid w:val="003372D2"/>
    <w:rsid w:val="0033736B"/>
    <w:rsid w:val="003401B6"/>
    <w:rsid w:val="00340306"/>
    <w:rsid w:val="0034063B"/>
    <w:rsid w:val="00340745"/>
    <w:rsid w:val="00340849"/>
    <w:rsid w:val="00340B8F"/>
    <w:rsid w:val="00340D31"/>
    <w:rsid w:val="00340DC3"/>
    <w:rsid w:val="003411AA"/>
    <w:rsid w:val="00341219"/>
    <w:rsid w:val="003417AD"/>
    <w:rsid w:val="00341A74"/>
    <w:rsid w:val="00341CB2"/>
    <w:rsid w:val="0034254F"/>
    <w:rsid w:val="003428BA"/>
    <w:rsid w:val="00342C12"/>
    <w:rsid w:val="003438DA"/>
    <w:rsid w:val="00343DE0"/>
    <w:rsid w:val="003447DC"/>
    <w:rsid w:val="003449D7"/>
    <w:rsid w:val="00344B96"/>
    <w:rsid w:val="003452B1"/>
    <w:rsid w:val="00345683"/>
    <w:rsid w:val="003456AF"/>
    <w:rsid w:val="00345763"/>
    <w:rsid w:val="0034585D"/>
    <w:rsid w:val="00345F34"/>
    <w:rsid w:val="0034690F"/>
    <w:rsid w:val="00346A93"/>
    <w:rsid w:val="00347108"/>
    <w:rsid w:val="00347176"/>
    <w:rsid w:val="00347FE5"/>
    <w:rsid w:val="003502D3"/>
    <w:rsid w:val="003503AA"/>
    <w:rsid w:val="00350FA4"/>
    <w:rsid w:val="0035113D"/>
    <w:rsid w:val="0035118D"/>
    <w:rsid w:val="00351493"/>
    <w:rsid w:val="003516BA"/>
    <w:rsid w:val="00351C32"/>
    <w:rsid w:val="00352165"/>
    <w:rsid w:val="003524A5"/>
    <w:rsid w:val="0035256C"/>
    <w:rsid w:val="0035269F"/>
    <w:rsid w:val="00352993"/>
    <w:rsid w:val="00352D4B"/>
    <w:rsid w:val="003537A6"/>
    <w:rsid w:val="00353AFC"/>
    <w:rsid w:val="00353D53"/>
    <w:rsid w:val="00353DCE"/>
    <w:rsid w:val="00354221"/>
    <w:rsid w:val="0035428F"/>
    <w:rsid w:val="00354A3F"/>
    <w:rsid w:val="00354C09"/>
    <w:rsid w:val="00354EC1"/>
    <w:rsid w:val="00354F74"/>
    <w:rsid w:val="00355138"/>
    <w:rsid w:val="00355949"/>
    <w:rsid w:val="00355A30"/>
    <w:rsid w:val="00355EF8"/>
    <w:rsid w:val="00355FC6"/>
    <w:rsid w:val="00356200"/>
    <w:rsid w:val="003566E0"/>
    <w:rsid w:val="00356A73"/>
    <w:rsid w:val="00356C4C"/>
    <w:rsid w:val="00356C66"/>
    <w:rsid w:val="00357429"/>
    <w:rsid w:val="003574AE"/>
    <w:rsid w:val="0035757B"/>
    <w:rsid w:val="00357B91"/>
    <w:rsid w:val="00357C33"/>
    <w:rsid w:val="00360005"/>
    <w:rsid w:val="00360842"/>
    <w:rsid w:val="003609E8"/>
    <w:rsid w:val="00360C24"/>
    <w:rsid w:val="00360CCC"/>
    <w:rsid w:val="0036141E"/>
    <w:rsid w:val="003621B3"/>
    <w:rsid w:val="00362E80"/>
    <w:rsid w:val="00362EDE"/>
    <w:rsid w:val="00362F4A"/>
    <w:rsid w:val="00363104"/>
    <w:rsid w:val="003633E3"/>
    <w:rsid w:val="0036373C"/>
    <w:rsid w:val="00363882"/>
    <w:rsid w:val="00363CA9"/>
    <w:rsid w:val="00363CFC"/>
    <w:rsid w:val="00363D1D"/>
    <w:rsid w:val="003640BE"/>
    <w:rsid w:val="0036437C"/>
    <w:rsid w:val="00364729"/>
    <w:rsid w:val="003647AD"/>
    <w:rsid w:val="00364C99"/>
    <w:rsid w:val="003652FB"/>
    <w:rsid w:val="003654AC"/>
    <w:rsid w:val="00366097"/>
    <w:rsid w:val="00366564"/>
    <w:rsid w:val="0036660D"/>
    <w:rsid w:val="003669F9"/>
    <w:rsid w:val="003675B3"/>
    <w:rsid w:val="00367917"/>
    <w:rsid w:val="00367CB6"/>
    <w:rsid w:val="00370001"/>
    <w:rsid w:val="00370799"/>
    <w:rsid w:val="00370BC7"/>
    <w:rsid w:val="003718E7"/>
    <w:rsid w:val="00371CFF"/>
    <w:rsid w:val="00371DBD"/>
    <w:rsid w:val="00371E98"/>
    <w:rsid w:val="003722EB"/>
    <w:rsid w:val="0037240E"/>
    <w:rsid w:val="00372899"/>
    <w:rsid w:val="0037305A"/>
    <w:rsid w:val="00373972"/>
    <w:rsid w:val="0037445F"/>
    <w:rsid w:val="00374C8B"/>
    <w:rsid w:val="0037583F"/>
    <w:rsid w:val="00375B3D"/>
    <w:rsid w:val="00375DAC"/>
    <w:rsid w:val="003760C6"/>
    <w:rsid w:val="00376382"/>
    <w:rsid w:val="00376439"/>
    <w:rsid w:val="00376DE1"/>
    <w:rsid w:val="00376F6A"/>
    <w:rsid w:val="0037761F"/>
    <w:rsid w:val="003778AC"/>
    <w:rsid w:val="0037799C"/>
    <w:rsid w:val="00377E9B"/>
    <w:rsid w:val="00380206"/>
    <w:rsid w:val="00380D1F"/>
    <w:rsid w:val="00380E2D"/>
    <w:rsid w:val="00381121"/>
    <w:rsid w:val="003813E1"/>
    <w:rsid w:val="0038187B"/>
    <w:rsid w:val="00381C30"/>
    <w:rsid w:val="00382048"/>
    <w:rsid w:val="0038287B"/>
    <w:rsid w:val="00382BBA"/>
    <w:rsid w:val="00382E5F"/>
    <w:rsid w:val="00382F4B"/>
    <w:rsid w:val="003830F3"/>
    <w:rsid w:val="0038343A"/>
    <w:rsid w:val="003835AC"/>
    <w:rsid w:val="0038363C"/>
    <w:rsid w:val="0038394C"/>
    <w:rsid w:val="00383D1F"/>
    <w:rsid w:val="0038448E"/>
    <w:rsid w:val="0038466D"/>
    <w:rsid w:val="00384830"/>
    <w:rsid w:val="00384BE2"/>
    <w:rsid w:val="00384CF3"/>
    <w:rsid w:val="0038500E"/>
    <w:rsid w:val="003851B1"/>
    <w:rsid w:val="00385574"/>
    <w:rsid w:val="0038561F"/>
    <w:rsid w:val="00385FF8"/>
    <w:rsid w:val="00386A63"/>
    <w:rsid w:val="00386C25"/>
    <w:rsid w:val="00387045"/>
    <w:rsid w:val="003872AF"/>
    <w:rsid w:val="003874CC"/>
    <w:rsid w:val="0038766A"/>
    <w:rsid w:val="00387CE8"/>
    <w:rsid w:val="00387F6D"/>
    <w:rsid w:val="00390272"/>
    <w:rsid w:val="00390595"/>
    <w:rsid w:val="00390A7E"/>
    <w:rsid w:val="00390C9B"/>
    <w:rsid w:val="00391AAD"/>
    <w:rsid w:val="00391C3E"/>
    <w:rsid w:val="00391C4D"/>
    <w:rsid w:val="00391F39"/>
    <w:rsid w:val="0039211E"/>
    <w:rsid w:val="0039214F"/>
    <w:rsid w:val="00392218"/>
    <w:rsid w:val="0039290E"/>
    <w:rsid w:val="00392941"/>
    <w:rsid w:val="0039299B"/>
    <w:rsid w:val="003934C1"/>
    <w:rsid w:val="003938F7"/>
    <w:rsid w:val="00393CC7"/>
    <w:rsid w:val="0039408A"/>
    <w:rsid w:val="003942E6"/>
    <w:rsid w:val="00394382"/>
    <w:rsid w:val="003944AD"/>
    <w:rsid w:val="00394708"/>
    <w:rsid w:val="00394ACE"/>
    <w:rsid w:val="00394C49"/>
    <w:rsid w:val="00394C4B"/>
    <w:rsid w:val="00394CE6"/>
    <w:rsid w:val="003953AA"/>
    <w:rsid w:val="00395697"/>
    <w:rsid w:val="00395741"/>
    <w:rsid w:val="003959B6"/>
    <w:rsid w:val="00395F7F"/>
    <w:rsid w:val="0039617D"/>
    <w:rsid w:val="003961D6"/>
    <w:rsid w:val="003961E0"/>
    <w:rsid w:val="003961E3"/>
    <w:rsid w:val="00396B02"/>
    <w:rsid w:val="00396DBE"/>
    <w:rsid w:val="003970AD"/>
    <w:rsid w:val="00397140"/>
    <w:rsid w:val="00397A43"/>
    <w:rsid w:val="00397B19"/>
    <w:rsid w:val="00397C15"/>
    <w:rsid w:val="00397FB9"/>
    <w:rsid w:val="003A02D0"/>
    <w:rsid w:val="003A03DB"/>
    <w:rsid w:val="003A0743"/>
    <w:rsid w:val="003A0861"/>
    <w:rsid w:val="003A0EE2"/>
    <w:rsid w:val="003A149A"/>
    <w:rsid w:val="003A183C"/>
    <w:rsid w:val="003A1BF2"/>
    <w:rsid w:val="003A1E1F"/>
    <w:rsid w:val="003A2119"/>
    <w:rsid w:val="003A2382"/>
    <w:rsid w:val="003A269F"/>
    <w:rsid w:val="003A2848"/>
    <w:rsid w:val="003A293B"/>
    <w:rsid w:val="003A299F"/>
    <w:rsid w:val="003A2CA9"/>
    <w:rsid w:val="003A3170"/>
    <w:rsid w:val="003A35C1"/>
    <w:rsid w:val="003A35D5"/>
    <w:rsid w:val="003A4674"/>
    <w:rsid w:val="003A4942"/>
    <w:rsid w:val="003A4ABE"/>
    <w:rsid w:val="003A4D5A"/>
    <w:rsid w:val="003A5CD8"/>
    <w:rsid w:val="003A5D78"/>
    <w:rsid w:val="003A6204"/>
    <w:rsid w:val="003A6782"/>
    <w:rsid w:val="003A67EA"/>
    <w:rsid w:val="003A68FA"/>
    <w:rsid w:val="003A6A09"/>
    <w:rsid w:val="003A6D55"/>
    <w:rsid w:val="003A6FDB"/>
    <w:rsid w:val="003A705D"/>
    <w:rsid w:val="003A77CD"/>
    <w:rsid w:val="003A7B16"/>
    <w:rsid w:val="003A7B5D"/>
    <w:rsid w:val="003A7D83"/>
    <w:rsid w:val="003A7F0A"/>
    <w:rsid w:val="003A7FD0"/>
    <w:rsid w:val="003B0E59"/>
    <w:rsid w:val="003B1508"/>
    <w:rsid w:val="003B1587"/>
    <w:rsid w:val="003B1674"/>
    <w:rsid w:val="003B1963"/>
    <w:rsid w:val="003B1A32"/>
    <w:rsid w:val="003B1E6E"/>
    <w:rsid w:val="003B21E2"/>
    <w:rsid w:val="003B2575"/>
    <w:rsid w:val="003B3569"/>
    <w:rsid w:val="003B36B5"/>
    <w:rsid w:val="003B3D2A"/>
    <w:rsid w:val="003B3F08"/>
    <w:rsid w:val="003B3FAA"/>
    <w:rsid w:val="003B408D"/>
    <w:rsid w:val="003B428C"/>
    <w:rsid w:val="003B4326"/>
    <w:rsid w:val="003B43C5"/>
    <w:rsid w:val="003B47A4"/>
    <w:rsid w:val="003B5282"/>
    <w:rsid w:val="003B534D"/>
    <w:rsid w:val="003B5531"/>
    <w:rsid w:val="003B575E"/>
    <w:rsid w:val="003B6112"/>
    <w:rsid w:val="003B6218"/>
    <w:rsid w:val="003B6322"/>
    <w:rsid w:val="003B636C"/>
    <w:rsid w:val="003B6AFD"/>
    <w:rsid w:val="003B6D4B"/>
    <w:rsid w:val="003B6FEE"/>
    <w:rsid w:val="003B7135"/>
    <w:rsid w:val="003B75F0"/>
    <w:rsid w:val="003B7943"/>
    <w:rsid w:val="003B7956"/>
    <w:rsid w:val="003B7B06"/>
    <w:rsid w:val="003B7BE8"/>
    <w:rsid w:val="003B7E4C"/>
    <w:rsid w:val="003B7FBD"/>
    <w:rsid w:val="003C0173"/>
    <w:rsid w:val="003C01C8"/>
    <w:rsid w:val="003C0302"/>
    <w:rsid w:val="003C069E"/>
    <w:rsid w:val="003C0BA4"/>
    <w:rsid w:val="003C0C45"/>
    <w:rsid w:val="003C1987"/>
    <w:rsid w:val="003C1ED3"/>
    <w:rsid w:val="003C2E9C"/>
    <w:rsid w:val="003C314C"/>
    <w:rsid w:val="003C33A7"/>
    <w:rsid w:val="003C39B1"/>
    <w:rsid w:val="003C3A5E"/>
    <w:rsid w:val="003C3CE6"/>
    <w:rsid w:val="003C40A5"/>
    <w:rsid w:val="003C4A39"/>
    <w:rsid w:val="003C4FC2"/>
    <w:rsid w:val="003C500A"/>
    <w:rsid w:val="003C5186"/>
    <w:rsid w:val="003C5DE3"/>
    <w:rsid w:val="003C6023"/>
    <w:rsid w:val="003C6A46"/>
    <w:rsid w:val="003C6D73"/>
    <w:rsid w:val="003C72CB"/>
    <w:rsid w:val="003C7B2D"/>
    <w:rsid w:val="003C7CAD"/>
    <w:rsid w:val="003D0256"/>
    <w:rsid w:val="003D0A50"/>
    <w:rsid w:val="003D0AC7"/>
    <w:rsid w:val="003D0AE8"/>
    <w:rsid w:val="003D0B96"/>
    <w:rsid w:val="003D156B"/>
    <w:rsid w:val="003D19A5"/>
    <w:rsid w:val="003D1ED6"/>
    <w:rsid w:val="003D2727"/>
    <w:rsid w:val="003D295C"/>
    <w:rsid w:val="003D2AC3"/>
    <w:rsid w:val="003D2AD7"/>
    <w:rsid w:val="003D2B7E"/>
    <w:rsid w:val="003D349D"/>
    <w:rsid w:val="003D380F"/>
    <w:rsid w:val="003D3A8A"/>
    <w:rsid w:val="003D3AA9"/>
    <w:rsid w:val="003D3D9D"/>
    <w:rsid w:val="003D43E1"/>
    <w:rsid w:val="003D450A"/>
    <w:rsid w:val="003D4630"/>
    <w:rsid w:val="003D4751"/>
    <w:rsid w:val="003D506F"/>
    <w:rsid w:val="003D50D7"/>
    <w:rsid w:val="003D57B9"/>
    <w:rsid w:val="003D5BBB"/>
    <w:rsid w:val="003D6B4C"/>
    <w:rsid w:val="003D6DC9"/>
    <w:rsid w:val="003D6F43"/>
    <w:rsid w:val="003D72CD"/>
    <w:rsid w:val="003D75C8"/>
    <w:rsid w:val="003E00C4"/>
    <w:rsid w:val="003E0397"/>
    <w:rsid w:val="003E03FE"/>
    <w:rsid w:val="003E08DB"/>
    <w:rsid w:val="003E0B33"/>
    <w:rsid w:val="003E0D68"/>
    <w:rsid w:val="003E1FC1"/>
    <w:rsid w:val="003E219D"/>
    <w:rsid w:val="003E29A6"/>
    <w:rsid w:val="003E3109"/>
    <w:rsid w:val="003E3513"/>
    <w:rsid w:val="003E3607"/>
    <w:rsid w:val="003E3E33"/>
    <w:rsid w:val="003E3EF7"/>
    <w:rsid w:val="003E3F4F"/>
    <w:rsid w:val="003E4043"/>
    <w:rsid w:val="003E408C"/>
    <w:rsid w:val="003E40B2"/>
    <w:rsid w:val="003E4253"/>
    <w:rsid w:val="003E437C"/>
    <w:rsid w:val="003E4524"/>
    <w:rsid w:val="003E486D"/>
    <w:rsid w:val="003E4BBC"/>
    <w:rsid w:val="003E4D2A"/>
    <w:rsid w:val="003E59FE"/>
    <w:rsid w:val="003E5A3B"/>
    <w:rsid w:val="003E5ECA"/>
    <w:rsid w:val="003E6030"/>
    <w:rsid w:val="003E6A60"/>
    <w:rsid w:val="003E6A8E"/>
    <w:rsid w:val="003E7555"/>
    <w:rsid w:val="003E75A7"/>
    <w:rsid w:val="003E7668"/>
    <w:rsid w:val="003E7932"/>
    <w:rsid w:val="003E7BF9"/>
    <w:rsid w:val="003E7F96"/>
    <w:rsid w:val="003F03A9"/>
    <w:rsid w:val="003F03B1"/>
    <w:rsid w:val="003F0783"/>
    <w:rsid w:val="003F0A52"/>
    <w:rsid w:val="003F101A"/>
    <w:rsid w:val="003F137D"/>
    <w:rsid w:val="003F17AC"/>
    <w:rsid w:val="003F1F8F"/>
    <w:rsid w:val="003F1FC7"/>
    <w:rsid w:val="003F21AE"/>
    <w:rsid w:val="003F250E"/>
    <w:rsid w:val="003F286A"/>
    <w:rsid w:val="003F2C20"/>
    <w:rsid w:val="003F3089"/>
    <w:rsid w:val="003F3369"/>
    <w:rsid w:val="003F345F"/>
    <w:rsid w:val="003F3613"/>
    <w:rsid w:val="003F3E7F"/>
    <w:rsid w:val="003F439F"/>
    <w:rsid w:val="003F49F1"/>
    <w:rsid w:val="003F4BDF"/>
    <w:rsid w:val="003F4E62"/>
    <w:rsid w:val="003F5EA7"/>
    <w:rsid w:val="003F60E2"/>
    <w:rsid w:val="003F6C68"/>
    <w:rsid w:val="003F6D69"/>
    <w:rsid w:val="003F6EF8"/>
    <w:rsid w:val="003F6F4F"/>
    <w:rsid w:val="003F7125"/>
    <w:rsid w:val="003F7450"/>
    <w:rsid w:val="003F7670"/>
    <w:rsid w:val="003F7E57"/>
    <w:rsid w:val="003F7F48"/>
    <w:rsid w:val="004001A3"/>
    <w:rsid w:val="004002DF"/>
    <w:rsid w:val="004006BE"/>
    <w:rsid w:val="0040072A"/>
    <w:rsid w:val="00400CCD"/>
    <w:rsid w:val="00400ED4"/>
    <w:rsid w:val="00400F88"/>
    <w:rsid w:val="0040132F"/>
    <w:rsid w:val="00402096"/>
    <w:rsid w:val="00402367"/>
    <w:rsid w:val="00402836"/>
    <w:rsid w:val="00402840"/>
    <w:rsid w:val="0040294B"/>
    <w:rsid w:val="00402AA1"/>
    <w:rsid w:val="00402B08"/>
    <w:rsid w:val="00402BA1"/>
    <w:rsid w:val="004038F0"/>
    <w:rsid w:val="004038FA"/>
    <w:rsid w:val="00403C7B"/>
    <w:rsid w:val="00403DEE"/>
    <w:rsid w:val="00403EDE"/>
    <w:rsid w:val="00404F0A"/>
    <w:rsid w:val="004052FF"/>
    <w:rsid w:val="0040587D"/>
    <w:rsid w:val="004059E4"/>
    <w:rsid w:val="00405A83"/>
    <w:rsid w:val="00405FDC"/>
    <w:rsid w:val="0040605B"/>
    <w:rsid w:val="0040697C"/>
    <w:rsid w:val="00406A94"/>
    <w:rsid w:val="00406CB4"/>
    <w:rsid w:val="004078D8"/>
    <w:rsid w:val="00407A7D"/>
    <w:rsid w:val="00407F6A"/>
    <w:rsid w:val="0041022E"/>
    <w:rsid w:val="004103DF"/>
    <w:rsid w:val="004105FB"/>
    <w:rsid w:val="00410FE8"/>
    <w:rsid w:val="004111B5"/>
    <w:rsid w:val="004123CC"/>
    <w:rsid w:val="004124B9"/>
    <w:rsid w:val="00412526"/>
    <w:rsid w:val="0041252E"/>
    <w:rsid w:val="004126F5"/>
    <w:rsid w:val="00414260"/>
    <w:rsid w:val="00414575"/>
    <w:rsid w:val="00414C90"/>
    <w:rsid w:val="00414E4A"/>
    <w:rsid w:val="00415D47"/>
    <w:rsid w:val="00416544"/>
    <w:rsid w:val="004165D6"/>
    <w:rsid w:val="00416940"/>
    <w:rsid w:val="00417524"/>
    <w:rsid w:val="00417585"/>
    <w:rsid w:val="004176F9"/>
    <w:rsid w:val="00420204"/>
    <w:rsid w:val="0042075A"/>
    <w:rsid w:val="00420F27"/>
    <w:rsid w:val="00421C86"/>
    <w:rsid w:val="00421DB2"/>
    <w:rsid w:val="00422200"/>
    <w:rsid w:val="0042289C"/>
    <w:rsid w:val="0042299F"/>
    <w:rsid w:val="00422CF0"/>
    <w:rsid w:val="00422D27"/>
    <w:rsid w:val="00422E89"/>
    <w:rsid w:val="00423064"/>
    <w:rsid w:val="00423EF4"/>
    <w:rsid w:val="00424057"/>
    <w:rsid w:val="00424AC9"/>
    <w:rsid w:val="00424F54"/>
    <w:rsid w:val="004253B4"/>
    <w:rsid w:val="0042575F"/>
    <w:rsid w:val="00425859"/>
    <w:rsid w:val="00425E0E"/>
    <w:rsid w:val="00425F7D"/>
    <w:rsid w:val="0042601A"/>
    <w:rsid w:val="0042665A"/>
    <w:rsid w:val="00426846"/>
    <w:rsid w:val="00426919"/>
    <w:rsid w:val="00426A01"/>
    <w:rsid w:val="00426EB8"/>
    <w:rsid w:val="00426FDC"/>
    <w:rsid w:val="0042703F"/>
    <w:rsid w:val="00427261"/>
    <w:rsid w:val="00427276"/>
    <w:rsid w:val="004273D7"/>
    <w:rsid w:val="00427C38"/>
    <w:rsid w:val="00427E45"/>
    <w:rsid w:val="00427FF8"/>
    <w:rsid w:val="0043085A"/>
    <w:rsid w:val="00430AF3"/>
    <w:rsid w:val="00430F38"/>
    <w:rsid w:val="00430FE5"/>
    <w:rsid w:val="004310F0"/>
    <w:rsid w:val="004314C7"/>
    <w:rsid w:val="004319CC"/>
    <w:rsid w:val="004322AB"/>
    <w:rsid w:val="0043247F"/>
    <w:rsid w:val="00432503"/>
    <w:rsid w:val="004339CC"/>
    <w:rsid w:val="00433B19"/>
    <w:rsid w:val="00433D6A"/>
    <w:rsid w:val="00433FEA"/>
    <w:rsid w:val="004341BF"/>
    <w:rsid w:val="0043470E"/>
    <w:rsid w:val="004347FD"/>
    <w:rsid w:val="00434AF2"/>
    <w:rsid w:val="00434D00"/>
    <w:rsid w:val="00434D2E"/>
    <w:rsid w:val="004351F1"/>
    <w:rsid w:val="0043545E"/>
    <w:rsid w:val="00435937"/>
    <w:rsid w:val="00435F29"/>
    <w:rsid w:val="00435FA3"/>
    <w:rsid w:val="004361D6"/>
    <w:rsid w:val="004375E9"/>
    <w:rsid w:val="00437877"/>
    <w:rsid w:val="00437E4C"/>
    <w:rsid w:val="00437F1B"/>
    <w:rsid w:val="00440038"/>
    <w:rsid w:val="0044020C"/>
    <w:rsid w:val="00440253"/>
    <w:rsid w:val="0044048B"/>
    <w:rsid w:val="00440684"/>
    <w:rsid w:val="00440904"/>
    <w:rsid w:val="00440A9B"/>
    <w:rsid w:val="00440B62"/>
    <w:rsid w:val="00440CCF"/>
    <w:rsid w:val="00441412"/>
    <w:rsid w:val="00441CAB"/>
    <w:rsid w:val="004421A9"/>
    <w:rsid w:val="004423E2"/>
    <w:rsid w:val="004426F9"/>
    <w:rsid w:val="00442A1A"/>
    <w:rsid w:val="00442C76"/>
    <w:rsid w:val="00442ECA"/>
    <w:rsid w:val="00443133"/>
    <w:rsid w:val="004437BA"/>
    <w:rsid w:val="004438DF"/>
    <w:rsid w:val="00443C52"/>
    <w:rsid w:val="00443E0D"/>
    <w:rsid w:val="0044404F"/>
    <w:rsid w:val="00444665"/>
    <w:rsid w:val="00444987"/>
    <w:rsid w:val="004449ED"/>
    <w:rsid w:val="00444D7B"/>
    <w:rsid w:val="0044535F"/>
    <w:rsid w:val="0044565F"/>
    <w:rsid w:val="0044578C"/>
    <w:rsid w:val="004457E1"/>
    <w:rsid w:val="0044598E"/>
    <w:rsid w:val="00445B1B"/>
    <w:rsid w:val="0044641F"/>
    <w:rsid w:val="004465F8"/>
    <w:rsid w:val="00447106"/>
    <w:rsid w:val="004471C7"/>
    <w:rsid w:val="004474F2"/>
    <w:rsid w:val="00447F96"/>
    <w:rsid w:val="00450383"/>
    <w:rsid w:val="004508D1"/>
    <w:rsid w:val="004509A3"/>
    <w:rsid w:val="00450BFB"/>
    <w:rsid w:val="00451090"/>
    <w:rsid w:val="00451772"/>
    <w:rsid w:val="00451E1B"/>
    <w:rsid w:val="00451E6A"/>
    <w:rsid w:val="0045210B"/>
    <w:rsid w:val="00452126"/>
    <w:rsid w:val="00452D44"/>
    <w:rsid w:val="00452D49"/>
    <w:rsid w:val="0045370B"/>
    <w:rsid w:val="00453D0A"/>
    <w:rsid w:val="00453FE0"/>
    <w:rsid w:val="0045423A"/>
    <w:rsid w:val="00454B88"/>
    <w:rsid w:val="00454FFF"/>
    <w:rsid w:val="00455028"/>
    <w:rsid w:val="00455181"/>
    <w:rsid w:val="0045530D"/>
    <w:rsid w:val="00455374"/>
    <w:rsid w:val="004555A9"/>
    <w:rsid w:val="0045565E"/>
    <w:rsid w:val="00455E24"/>
    <w:rsid w:val="00455F82"/>
    <w:rsid w:val="004563AA"/>
    <w:rsid w:val="00456401"/>
    <w:rsid w:val="00456B60"/>
    <w:rsid w:val="00456EC2"/>
    <w:rsid w:val="004571F8"/>
    <w:rsid w:val="0045757B"/>
    <w:rsid w:val="00457868"/>
    <w:rsid w:val="00457A65"/>
    <w:rsid w:val="00457FA8"/>
    <w:rsid w:val="00460256"/>
    <w:rsid w:val="004604BF"/>
    <w:rsid w:val="00460792"/>
    <w:rsid w:val="004608D0"/>
    <w:rsid w:val="004608D8"/>
    <w:rsid w:val="00461709"/>
    <w:rsid w:val="00461748"/>
    <w:rsid w:val="0046174D"/>
    <w:rsid w:val="0046186B"/>
    <w:rsid w:val="00461C1D"/>
    <w:rsid w:val="00461CDC"/>
    <w:rsid w:val="00461ECB"/>
    <w:rsid w:val="004623EF"/>
    <w:rsid w:val="00462870"/>
    <w:rsid w:val="00462B52"/>
    <w:rsid w:val="00462C8A"/>
    <w:rsid w:val="00462E5B"/>
    <w:rsid w:val="004633C8"/>
    <w:rsid w:val="00463456"/>
    <w:rsid w:val="00463906"/>
    <w:rsid w:val="0046405E"/>
    <w:rsid w:val="004642A0"/>
    <w:rsid w:val="00464806"/>
    <w:rsid w:val="00464AF9"/>
    <w:rsid w:val="00465412"/>
    <w:rsid w:val="004655B8"/>
    <w:rsid w:val="004657E4"/>
    <w:rsid w:val="004661D0"/>
    <w:rsid w:val="00466284"/>
    <w:rsid w:val="0046639B"/>
    <w:rsid w:val="004668CD"/>
    <w:rsid w:val="00466B53"/>
    <w:rsid w:val="00466B7E"/>
    <w:rsid w:val="00466E0C"/>
    <w:rsid w:val="00467392"/>
    <w:rsid w:val="00467482"/>
    <w:rsid w:val="00467CF7"/>
    <w:rsid w:val="004707EF"/>
    <w:rsid w:val="00470AC1"/>
    <w:rsid w:val="00470ADF"/>
    <w:rsid w:val="00471401"/>
    <w:rsid w:val="0047166C"/>
    <w:rsid w:val="004717FD"/>
    <w:rsid w:val="00471E74"/>
    <w:rsid w:val="00471EA6"/>
    <w:rsid w:val="0047257A"/>
    <w:rsid w:val="00472EF5"/>
    <w:rsid w:val="00473173"/>
    <w:rsid w:val="0047356C"/>
    <w:rsid w:val="0047373A"/>
    <w:rsid w:val="00473744"/>
    <w:rsid w:val="00474505"/>
    <w:rsid w:val="004746E9"/>
    <w:rsid w:val="00474A3E"/>
    <w:rsid w:val="0047564B"/>
    <w:rsid w:val="00475EA3"/>
    <w:rsid w:val="00476173"/>
    <w:rsid w:val="0047647A"/>
    <w:rsid w:val="00476A75"/>
    <w:rsid w:val="00476C91"/>
    <w:rsid w:val="00477B27"/>
    <w:rsid w:val="00480311"/>
    <w:rsid w:val="0048074C"/>
    <w:rsid w:val="00480DFA"/>
    <w:rsid w:val="00481095"/>
    <w:rsid w:val="00481AFD"/>
    <w:rsid w:val="00481D6B"/>
    <w:rsid w:val="0048200C"/>
    <w:rsid w:val="0048219F"/>
    <w:rsid w:val="004826D1"/>
    <w:rsid w:val="0048278A"/>
    <w:rsid w:val="00482830"/>
    <w:rsid w:val="00482FC8"/>
    <w:rsid w:val="00483AF5"/>
    <w:rsid w:val="00483B07"/>
    <w:rsid w:val="00483D96"/>
    <w:rsid w:val="004845B7"/>
    <w:rsid w:val="00484620"/>
    <w:rsid w:val="00485184"/>
    <w:rsid w:val="004857A3"/>
    <w:rsid w:val="00486127"/>
    <w:rsid w:val="004863CC"/>
    <w:rsid w:val="004868F8"/>
    <w:rsid w:val="0048694B"/>
    <w:rsid w:val="00486AD6"/>
    <w:rsid w:val="00486E25"/>
    <w:rsid w:val="00486F9C"/>
    <w:rsid w:val="004874E1"/>
    <w:rsid w:val="00487817"/>
    <w:rsid w:val="004878E7"/>
    <w:rsid w:val="00487C40"/>
    <w:rsid w:val="00490141"/>
    <w:rsid w:val="0049079C"/>
    <w:rsid w:val="004908DD"/>
    <w:rsid w:val="00490AD8"/>
    <w:rsid w:val="00490BD5"/>
    <w:rsid w:val="00491689"/>
    <w:rsid w:val="00491DF0"/>
    <w:rsid w:val="00492007"/>
    <w:rsid w:val="00492080"/>
    <w:rsid w:val="00492320"/>
    <w:rsid w:val="00492BBD"/>
    <w:rsid w:val="00492DDD"/>
    <w:rsid w:val="00492F4E"/>
    <w:rsid w:val="00493174"/>
    <w:rsid w:val="00493B4D"/>
    <w:rsid w:val="004943EB"/>
    <w:rsid w:val="00494BFA"/>
    <w:rsid w:val="00494CB3"/>
    <w:rsid w:val="00494DD7"/>
    <w:rsid w:val="004956F1"/>
    <w:rsid w:val="00495989"/>
    <w:rsid w:val="00495E7C"/>
    <w:rsid w:val="00496167"/>
    <w:rsid w:val="00496946"/>
    <w:rsid w:val="00496DDC"/>
    <w:rsid w:val="004974CD"/>
    <w:rsid w:val="00497A7A"/>
    <w:rsid w:val="00497B4B"/>
    <w:rsid w:val="004A030C"/>
    <w:rsid w:val="004A0477"/>
    <w:rsid w:val="004A0A4C"/>
    <w:rsid w:val="004A0DB9"/>
    <w:rsid w:val="004A11FF"/>
    <w:rsid w:val="004A164D"/>
    <w:rsid w:val="004A2769"/>
    <w:rsid w:val="004A39EA"/>
    <w:rsid w:val="004A3A03"/>
    <w:rsid w:val="004A3BCE"/>
    <w:rsid w:val="004A3FC6"/>
    <w:rsid w:val="004A4146"/>
    <w:rsid w:val="004A44FD"/>
    <w:rsid w:val="004A4871"/>
    <w:rsid w:val="004A4875"/>
    <w:rsid w:val="004A4A8F"/>
    <w:rsid w:val="004A5291"/>
    <w:rsid w:val="004A53DD"/>
    <w:rsid w:val="004A5496"/>
    <w:rsid w:val="004A558B"/>
    <w:rsid w:val="004A5860"/>
    <w:rsid w:val="004A59E2"/>
    <w:rsid w:val="004A5F48"/>
    <w:rsid w:val="004A69A7"/>
    <w:rsid w:val="004A6AFF"/>
    <w:rsid w:val="004A6C0F"/>
    <w:rsid w:val="004A7802"/>
    <w:rsid w:val="004B03C6"/>
    <w:rsid w:val="004B06D2"/>
    <w:rsid w:val="004B07B7"/>
    <w:rsid w:val="004B1342"/>
    <w:rsid w:val="004B18A4"/>
    <w:rsid w:val="004B1C32"/>
    <w:rsid w:val="004B2460"/>
    <w:rsid w:val="004B2504"/>
    <w:rsid w:val="004B288E"/>
    <w:rsid w:val="004B2940"/>
    <w:rsid w:val="004B2C67"/>
    <w:rsid w:val="004B2C97"/>
    <w:rsid w:val="004B2EE6"/>
    <w:rsid w:val="004B33AE"/>
    <w:rsid w:val="004B33DD"/>
    <w:rsid w:val="004B3441"/>
    <w:rsid w:val="004B3632"/>
    <w:rsid w:val="004B3641"/>
    <w:rsid w:val="004B3870"/>
    <w:rsid w:val="004B397C"/>
    <w:rsid w:val="004B3DBD"/>
    <w:rsid w:val="004B40B2"/>
    <w:rsid w:val="004B4425"/>
    <w:rsid w:val="004B4526"/>
    <w:rsid w:val="004B4546"/>
    <w:rsid w:val="004B46A2"/>
    <w:rsid w:val="004B48DC"/>
    <w:rsid w:val="004B492C"/>
    <w:rsid w:val="004B5418"/>
    <w:rsid w:val="004B55C3"/>
    <w:rsid w:val="004B56AA"/>
    <w:rsid w:val="004B575C"/>
    <w:rsid w:val="004B5851"/>
    <w:rsid w:val="004B5B71"/>
    <w:rsid w:val="004B5FB2"/>
    <w:rsid w:val="004B5FF2"/>
    <w:rsid w:val="004B6125"/>
    <w:rsid w:val="004B6B81"/>
    <w:rsid w:val="004B6BB3"/>
    <w:rsid w:val="004B6D73"/>
    <w:rsid w:val="004B7009"/>
    <w:rsid w:val="004B752D"/>
    <w:rsid w:val="004B755E"/>
    <w:rsid w:val="004B7952"/>
    <w:rsid w:val="004B79D7"/>
    <w:rsid w:val="004C00DD"/>
    <w:rsid w:val="004C0137"/>
    <w:rsid w:val="004C0331"/>
    <w:rsid w:val="004C04AF"/>
    <w:rsid w:val="004C0AB4"/>
    <w:rsid w:val="004C1068"/>
    <w:rsid w:val="004C1668"/>
    <w:rsid w:val="004C179D"/>
    <w:rsid w:val="004C1A62"/>
    <w:rsid w:val="004C1AB7"/>
    <w:rsid w:val="004C1C74"/>
    <w:rsid w:val="004C2359"/>
    <w:rsid w:val="004C27CA"/>
    <w:rsid w:val="004C280E"/>
    <w:rsid w:val="004C2855"/>
    <w:rsid w:val="004C28F1"/>
    <w:rsid w:val="004C293D"/>
    <w:rsid w:val="004C299A"/>
    <w:rsid w:val="004C3030"/>
    <w:rsid w:val="004C3227"/>
    <w:rsid w:val="004C357B"/>
    <w:rsid w:val="004C3E32"/>
    <w:rsid w:val="004C43E3"/>
    <w:rsid w:val="004C4435"/>
    <w:rsid w:val="004C4808"/>
    <w:rsid w:val="004C5043"/>
    <w:rsid w:val="004C5108"/>
    <w:rsid w:val="004C57EA"/>
    <w:rsid w:val="004C58A0"/>
    <w:rsid w:val="004C5EE4"/>
    <w:rsid w:val="004C62D4"/>
    <w:rsid w:val="004C62DF"/>
    <w:rsid w:val="004C6425"/>
    <w:rsid w:val="004C6610"/>
    <w:rsid w:val="004C6619"/>
    <w:rsid w:val="004C697E"/>
    <w:rsid w:val="004C6DB0"/>
    <w:rsid w:val="004C7413"/>
    <w:rsid w:val="004C7885"/>
    <w:rsid w:val="004C79AE"/>
    <w:rsid w:val="004D00A0"/>
    <w:rsid w:val="004D03ED"/>
    <w:rsid w:val="004D05C5"/>
    <w:rsid w:val="004D1D32"/>
    <w:rsid w:val="004D1E6D"/>
    <w:rsid w:val="004D1F0D"/>
    <w:rsid w:val="004D2765"/>
    <w:rsid w:val="004D277F"/>
    <w:rsid w:val="004D3507"/>
    <w:rsid w:val="004D3951"/>
    <w:rsid w:val="004D3C4F"/>
    <w:rsid w:val="004D3EA6"/>
    <w:rsid w:val="004D40A6"/>
    <w:rsid w:val="004D4490"/>
    <w:rsid w:val="004D477C"/>
    <w:rsid w:val="004D4B43"/>
    <w:rsid w:val="004D50A3"/>
    <w:rsid w:val="004D5A70"/>
    <w:rsid w:val="004D5BC2"/>
    <w:rsid w:val="004D5DA5"/>
    <w:rsid w:val="004D5E18"/>
    <w:rsid w:val="004D6567"/>
    <w:rsid w:val="004D6A7A"/>
    <w:rsid w:val="004D6C6B"/>
    <w:rsid w:val="004D7128"/>
    <w:rsid w:val="004D75E0"/>
    <w:rsid w:val="004D786E"/>
    <w:rsid w:val="004D7E4B"/>
    <w:rsid w:val="004E05A4"/>
    <w:rsid w:val="004E0AD6"/>
    <w:rsid w:val="004E12AA"/>
    <w:rsid w:val="004E12B1"/>
    <w:rsid w:val="004E19D0"/>
    <w:rsid w:val="004E1FCE"/>
    <w:rsid w:val="004E1FEB"/>
    <w:rsid w:val="004E257D"/>
    <w:rsid w:val="004E27A3"/>
    <w:rsid w:val="004E2D5C"/>
    <w:rsid w:val="004E3AAC"/>
    <w:rsid w:val="004E3BDB"/>
    <w:rsid w:val="004E3CA6"/>
    <w:rsid w:val="004E3FC7"/>
    <w:rsid w:val="004E43FC"/>
    <w:rsid w:val="004E4C26"/>
    <w:rsid w:val="004E4D3A"/>
    <w:rsid w:val="004E4E7D"/>
    <w:rsid w:val="004E4FB6"/>
    <w:rsid w:val="004E509F"/>
    <w:rsid w:val="004E52DB"/>
    <w:rsid w:val="004E58B1"/>
    <w:rsid w:val="004E59D5"/>
    <w:rsid w:val="004E59D7"/>
    <w:rsid w:val="004E5B1F"/>
    <w:rsid w:val="004E64F1"/>
    <w:rsid w:val="004E6825"/>
    <w:rsid w:val="004E6986"/>
    <w:rsid w:val="004E69CE"/>
    <w:rsid w:val="004E69E6"/>
    <w:rsid w:val="004E6B03"/>
    <w:rsid w:val="004E6B19"/>
    <w:rsid w:val="004E6C87"/>
    <w:rsid w:val="004E6CDD"/>
    <w:rsid w:val="004E6DC1"/>
    <w:rsid w:val="004E78C0"/>
    <w:rsid w:val="004E7DBA"/>
    <w:rsid w:val="004E7F74"/>
    <w:rsid w:val="004EB471"/>
    <w:rsid w:val="004F003A"/>
    <w:rsid w:val="004F1356"/>
    <w:rsid w:val="004F1B7A"/>
    <w:rsid w:val="004F1D8A"/>
    <w:rsid w:val="004F23B6"/>
    <w:rsid w:val="004F2538"/>
    <w:rsid w:val="004F255E"/>
    <w:rsid w:val="004F2F4C"/>
    <w:rsid w:val="004F2FF2"/>
    <w:rsid w:val="004F33BF"/>
    <w:rsid w:val="004F3F18"/>
    <w:rsid w:val="004F3FFF"/>
    <w:rsid w:val="004F41A2"/>
    <w:rsid w:val="004F44B1"/>
    <w:rsid w:val="004F459B"/>
    <w:rsid w:val="004F475A"/>
    <w:rsid w:val="004F487B"/>
    <w:rsid w:val="004F4DC1"/>
    <w:rsid w:val="004F4DE6"/>
    <w:rsid w:val="004F555C"/>
    <w:rsid w:val="004F55C0"/>
    <w:rsid w:val="004F5AC0"/>
    <w:rsid w:val="004F5C92"/>
    <w:rsid w:val="004F624B"/>
    <w:rsid w:val="004F6AE3"/>
    <w:rsid w:val="004F6C7A"/>
    <w:rsid w:val="004F7187"/>
    <w:rsid w:val="004F73A2"/>
    <w:rsid w:val="004F752A"/>
    <w:rsid w:val="004F76C0"/>
    <w:rsid w:val="004F7A21"/>
    <w:rsid w:val="004F7FF5"/>
    <w:rsid w:val="00500035"/>
    <w:rsid w:val="0050015B"/>
    <w:rsid w:val="00500F3F"/>
    <w:rsid w:val="00501134"/>
    <w:rsid w:val="005011B2"/>
    <w:rsid w:val="005014D3"/>
    <w:rsid w:val="00501A67"/>
    <w:rsid w:val="00501A94"/>
    <w:rsid w:val="00501F05"/>
    <w:rsid w:val="00502302"/>
    <w:rsid w:val="0050287F"/>
    <w:rsid w:val="00502AF6"/>
    <w:rsid w:val="00502FAA"/>
    <w:rsid w:val="005035CE"/>
    <w:rsid w:val="00503770"/>
    <w:rsid w:val="00503B9A"/>
    <w:rsid w:val="00503D94"/>
    <w:rsid w:val="00504BF0"/>
    <w:rsid w:val="00504FE0"/>
    <w:rsid w:val="00505819"/>
    <w:rsid w:val="005058F3"/>
    <w:rsid w:val="00505BBF"/>
    <w:rsid w:val="00505EB6"/>
    <w:rsid w:val="0050612A"/>
    <w:rsid w:val="005064EC"/>
    <w:rsid w:val="00506762"/>
    <w:rsid w:val="00506BA8"/>
    <w:rsid w:val="00506EB2"/>
    <w:rsid w:val="00507249"/>
    <w:rsid w:val="00507326"/>
    <w:rsid w:val="00507410"/>
    <w:rsid w:val="005074BE"/>
    <w:rsid w:val="005075E7"/>
    <w:rsid w:val="00507B3E"/>
    <w:rsid w:val="00507DBC"/>
    <w:rsid w:val="005102F4"/>
    <w:rsid w:val="005106E2"/>
    <w:rsid w:val="0051192C"/>
    <w:rsid w:val="00512896"/>
    <w:rsid w:val="00512A30"/>
    <w:rsid w:val="005131F9"/>
    <w:rsid w:val="005138AF"/>
    <w:rsid w:val="005138F9"/>
    <w:rsid w:val="00513D3C"/>
    <w:rsid w:val="00513FD3"/>
    <w:rsid w:val="0051428B"/>
    <w:rsid w:val="00514C9C"/>
    <w:rsid w:val="00515009"/>
    <w:rsid w:val="0051535A"/>
    <w:rsid w:val="00515610"/>
    <w:rsid w:val="00515855"/>
    <w:rsid w:val="00516384"/>
    <w:rsid w:val="0051653F"/>
    <w:rsid w:val="00516A0C"/>
    <w:rsid w:val="00516F39"/>
    <w:rsid w:val="00517697"/>
    <w:rsid w:val="00517CE4"/>
    <w:rsid w:val="00520361"/>
    <w:rsid w:val="0052053D"/>
    <w:rsid w:val="005205A3"/>
    <w:rsid w:val="00520B21"/>
    <w:rsid w:val="00520C12"/>
    <w:rsid w:val="00520C56"/>
    <w:rsid w:val="00521025"/>
    <w:rsid w:val="00521BAA"/>
    <w:rsid w:val="00521F17"/>
    <w:rsid w:val="00522037"/>
    <w:rsid w:val="0052246B"/>
    <w:rsid w:val="00522968"/>
    <w:rsid w:val="0052298C"/>
    <w:rsid w:val="00522B05"/>
    <w:rsid w:val="00522D74"/>
    <w:rsid w:val="00522D95"/>
    <w:rsid w:val="005230B4"/>
    <w:rsid w:val="00523A08"/>
    <w:rsid w:val="00523AE7"/>
    <w:rsid w:val="00524155"/>
    <w:rsid w:val="005242DE"/>
    <w:rsid w:val="00524453"/>
    <w:rsid w:val="00524A1A"/>
    <w:rsid w:val="00524AA7"/>
    <w:rsid w:val="00524DC9"/>
    <w:rsid w:val="00525779"/>
    <w:rsid w:val="005257B4"/>
    <w:rsid w:val="00525809"/>
    <w:rsid w:val="00525B74"/>
    <w:rsid w:val="0052636E"/>
    <w:rsid w:val="00526666"/>
    <w:rsid w:val="00526CE2"/>
    <w:rsid w:val="00526F9C"/>
    <w:rsid w:val="00527121"/>
    <w:rsid w:val="00527334"/>
    <w:rsid w:val="005274B4"/>
    <w:rsid w:val="00527702"/>
    <w:rsid w:val="00527E7B"/>
    <w:rsid w:val="00530922"/>
    <w:rsid w:val="00530F63"/>
    <w:rsid w:val="00531111"/>
    <w:rsid w:val="005315A8"/>
    <w:rsid w:val="00531B4B"/>
    <w:rsid w:val="005322A8"/>
    <w:rsid w:val="00532B1A"/>
    <w:rsid w:val="00532B4D"/>
    <w:rsid w:val="00532BAE"/>
    <w:rsid w:val="00532CAD"/>
    <w:rsid w:val="005330F4"/>
    <w:rsid w:val="00533B89"/>
    <w:rsid w:val="00533CF2"/>
    <w:rsid w:val="00534009"/>
    <w:rsid w:val="00534499"/>
    <w:rsid w:val="00534889"/>
    <w:rsid w:val="00535127"/>
    <w:rsid w:val="0053523E"/>
    <w:rsid w:val="00535272"/>
    <w:rsid w:val="00535593"/>
    <w:rsid w:val="0053564E"/>
    <w:rsid w:val="00536763"/>
    <w:rsid w:val="00536DBE"/>
    <w:rsid w:val="00536E83"/>
    <w:rsid w:val="00536FD0"/>
    <w:rsid w:val="0053732B"/>
    <w:rsid w:val="005373CB"/>
    <w:rsid w:val="00537562"/>
    <w:rsid w:val="00537634"/>
    <w:rsid w:val="005376B8"/>
    <w:rsid w:val="00537B1F"/>
    <w:rsid w:val="00537CC5"/>
    <w:rsid w:val="00537E72"/>
    <w:rsid w:val="00540076"/>
    <w:rsid w:val="00540290"/>
    <w:rsid w:val="005402B0"/>
    <w:rsid w:val="00540A1A"/>
    <w:rsid w:val="005411EF"/>
    <w:rsid w:val="005415C9"/>
    <w:rsid w:val="005416D4"/>
    <w:rsid w:val="00541718"/>
    <w:rsid w:val="005417DF"/>
    <w:rsid w:val="0054185A"/>
    <w:rsid w:val="0054241B"/>
    <w:rsid w:val="0054280E"/>
    <w:rsid w:val="005437F0"/>
    <w:rsid w:val="005440C4"/>
    <w:rsid w:val="0054410B"/>
    <w:rsid w:val="00544251"/>
    <w:rsid w:val="00544423"/>
    <w:rsid w:val="005448A5"/>
    <w:rsid w:val="005453B8"/>
    <w:rsid w:val="00545EDE"/>
    <w:rsid w:val="0054673F"/>
    <w:rsid w:val="00547265"/>
    <w:rsid w:val="00547674"/>
    <w:rsid w:val="005476F6"/>
    <w:rsid w:val="00547F8F"/>
    <w:rsid w:val="005504E3"/>
    <w:rsid w:val="005506C1"/>
    <w:rsid w:val="00550801"/>
    <w:rsid w:val="005510AD"/>
    <w:rsid w:val="00551571"/>
    <w:rsid w:val="00551C14"/>
    <w:rsid w:val="00551CAA"/>
    <w:rsid w:val="00551F32"/>
    <w:rsid w:val="005520C1"/>
    <w:rsid w:val="005521B5"/>
    <w:rsid w:val="0055260B"/>
    <w:rsid w:val="00552A8B"/>
    <w:rsid w:val="00552C5B"/>
    <w:rsid w:val="00552E0E"/>
    <w:rsid w:val="00553273"/>
    <w:rsid w:val="00553716"/>
    <w:rsid w:val="00553BC8"/>
    <w:rsid w:val="00554291"/>
    <w:rsid w:val="005543E6"/>
    <w:rsid w:val="0055444D"/>
    <w:rsid w:val="00554AE4"/>
    <w:rsid w:val="00554DB1"/>
    <w:rsid w:val="00554E6B"/>
    <w:rsid w:val="0055520A"/>
    <w:rsid w:val="0055522A"/>
    <w:rsid w:val="00555B23"/>
    <w:rsid w:val="00555B45"/>
    <w:rsid w:val="005562FA"/>
    <w:rsid w:val="00556BB7"/>
    <w:rsid w:val="005572E5"/>
    <w:rsid w:val="00557589"/>
    <w:rsid w:val="0055793C"/>
    <w:rsid w:val="00557F22"/>
    <w:rsid w:val="0056018A"/>
    <w:rsid w:val="005601F0"/>
    <w:rsid w:val="00560353"/>
    <w:rsid w:val="005604B5"/>
    <w:rsid w:val="0056094D"/>
    <w:rsid w:val="005609FE"/>
    <w:rsid w:val="00560A27"/>
    <w:rsid w:val="00560BCA"/>
    <w:rsid w:val="00560EA5"/>
    <w:rsid w:val="00560FE4"/>
    <w:rsid w:val="00561596"/>
    <w:rsid w:val="0056172A"/>
    <w:rsid w:val="00561798"/>
    <w:rsid w:val="00562188"/>
    <w:rsid w:val="0056237D"/>
    <w:rsid w:val="005623BE"/>
    <w:rsid w:val="00562AC6"/>
    <w:rsid w:val="00562B70"/>
    <w:rsid w:val="0056343C"/>
    <w:rsid w:val="005635F2"/>
    <w:rsid w:val="00563A60"/>
    <w:rsid w:val="00563BF1"/>
    <w:rsid w:val="00564277"/>
    <w:rsid w:val="005649C4"/>
    <w:rsid w:val="00564B76"/>
    <w:rsid w:val="00565272"/>
    <w:rsid w:val="00565DFE"/>
    <w:rsid w:val="00565F5A"/>
    <w:rsid w:val="00566748"/>
    <w:rsid w:val="005667AD"/>
    <w:rsid w:val="00566B18"/>
    <w:rsid w:val="00567579"/>
    <w:rsid w:val="005678EB"/>
    <w:rsid w:val="00567EAB"/>
    <w:rsid w:val="00570136"/>
    <w:rsid w:val="005705BB"/>
    <w:rsid w:val="00570FDE"/>
    <w:rsid w:val="00571230"/>
    <w:rsid w:val="00571BEF"/>
    <w:rsid w:val="00571DE1"/>
    <w:rsid w:val="00572642"/>
    <w:rsid w:val="00572840"/>
    <w:rsid w:val="00572D94"/>
    <w:rsid w:val="005737B0"/>
    <w:rsid w:val="00574084"/>
    <w:rsid w:val="005740BA"/>
    <w:rsid w:val="0057421D"/>
    <w:rsid w:val="00574A53"/>
    <w:rsid w:val="00575648"/>
    <w:rsid w:val="0057572F"/>
    <w:rsid w:val="00575810"/>
    <w:rsid w:val="005758B3"/>
    <w:rsid w:val="005759E9"/>
    <w:rsid w:val="00575B2B"/>
    <w:rsid w:val="00575B6B"/>
    <w:rsid w:val="00575F82"/>
    <w:rsid w:val="00576073"/>
    <w:rsid w:val="00576957"/>
    <w:rsid w:val="00576B7B"/>
    <w:rsid w:val="00576F2E"/>
    <w:rsid w:val="005774FC"/>
    <w:rsid w:val="005775CA"/>
    <w:rsid w:val="0057769F"/>
    <w:rsid w:val="0057775F"/>
    <w:rsid w:val="00577899"/>
    <w:rsid w:val="00577B6E"/>
    <w:rsid w:val="00577DAD"/>
    <w:rsid w:val="00577FC3"/>
    <w:rsid w:val="00580A71"/>
    <w:rsid w:val="00581741"/>
    <w:rsid w:val="00581927"/>
    <w:rsid w:val="005820F7"/>
    <w:rsid w:val="00582100"/>
    <w:rsid w:val="00582315"/>
    <w:rsid w:val="0058248A"/>
    <w:rsid w:val="005826DC"/>
    <w:rsid w:val="00582B0B"/>
    <w:rsid w:val="00582B27"/>
    <w:rsid w:val="00582E2E"/>
    <w:rsid w:val="005831A6"/>
    <w:rsid w:val="005833AB"/>
    <w:rsid w:val="005836E7"/>
    <w:rsid w:val="00583EE6"/>
    <w:rsid w:val="00584013"/>
    <w:rsid w:val="00584319"/>
    <w:rsid w:val="005845EC"/>
    <w:rsid w:val="00584768"/>
    <w:rsid w:val="00585109"/>
    <w:rsid w:val="00585270"/>
    <w:rsid w:val="005856BD"/>
    <w:rsid w:val="00585F11"/>
    <w:rsid w:val="00585FE8"/>
    <w:rsid w:val="005864AD"/>
    <w:rsid w:val="0058650A"/>
    <w:rsid w:val="00586A40"/>
    <w:rsid w:val="0058714B"/>
    <w:rsid w:val="005907DB"/>
    <w:rsid w:val="00590958"/>
    <w:rsid w:val="00590967"/>
    <w:rsid w:val="0059142C"/>
    <w:rsid w:val="005914F3"/>
    <w:rsid w:val="00591897"/>
    <w:rsid w:val="0059198F"/>
    <w:rsid w:val="00591F91"/>
    <w:rsid w:val="0059225B"/>
    <w:rsid w:val="005927F8"/>
    <w:rsid w:val="00592E82"/>
    <w:rsid w:val="005933CA"/>
    <w:rsid w:val="00593495"/>
    <w:rsid w:val="005936A2"/>
    <w:rsid w:val="005936C5"/>
    <w:rsid w:val="005938C0"/>
    <w:rsid w:val="00593D35"/>
    <w:rsid w:val="00593E04"/>
    <w:rsid w:val="00593F0D"/>
    <w:rsid w:val="005943B3"/>
    <w:rsid w:val="0059467C"/>
    <w:rsid w:val="00594E4F"/>
    <w:rsid w:val="0059505E"/>
    <w:rsid w:val="005953F0"/>
    <w:rsid w:val="0059541A"/>
    <w:rsid w:val="005957F3"/>
    <w:rsid w:val="00595AB3"/>
    <w:rsid w:val="005960BF"/>
    <w:rsid w:val="00596A1F"/>
    <w:rsid w:val="00597054"/>
    <w:rsid w:val="00597513"/>
    <w:rsid w:val="005975A8"/>
    <w:rsid w:val="00597A61"/>
    <w:rsid w:val="00597DE0"/>
    <w:rsid w:val="005A0B34"/>
    <w:rsid w:val="005A0B62"/>
    <w:rsid w:val="005A0DC7"/>
    <w:rsid w:val="005A11C2"/>
    <w:rsid w:val="005A14E0"/>
    <w:rsid w:val="005A155B"/>
    <w:rsid w:val="005A1894"/>
    <w:rsid w:val="005A1911"/>
    <w:rsid w:val="005A1E37"/>
    <w:rsid w:val="005A21C6"/>
    <w:rsid w:val="005A26D0"/>
    <w:rsid w:val="005A26F7"/>
    <w:rsid w:val="005A29F6"/>
    <w:rsid w:val="005A2D6C"/>
    <w:rsid w:val="005A2EA9"/>
    <w:rsid w:val="005A347A"/>
    <w:rsid w:val="005A3611"/>
    <w:rsid w:val="005A3FE9"/>
    <w:rsid w:val="005A406C"/>
    <w:rsid w:val="005A447A"/>
    <w:rsid w:val="005A4C69"/>
    <w:rsid w:val="005A5151"/>
    <w:rsid w:val="005A5375"/>
    <w:rsid w:val="005A53BE"/>
    <w:rsid w:val="005A5525"/>
    <w:rsid w:val="005A5B49"/>
    <w:rsid w:val="005A6032"/>
    <w:rsid w:val="005A6143"/>
    <w:rsid w:val="005A635A"/>
    <w:rsid w:val="005A640A"/>
    <w:rsid w:val="005A6C2C"/>
    <w:rsid w:val="005A72AB"/>
    <w:rsid w:val="005A7359"/>
    <w:rsid w:val="005A73AA"/>
    <w:rsid w:val="005A7522"/>
    <w:rsid w:val="005A7567"/>
    <w:rsid w:val="005A76DF"/>
    <w:rsid w:val="005A7837"/>
    <w:rsid w:val="005A7CF7"/>
    <w:rsid w:val="005B00D7"/>
    <w:rsid w:val="005B05DD"/>
    <w:rsid w:val="005B0F32"/>
    <w:rsid w:val="005B0F3D"/>
    <w:rsid w:val="005B14EA"/>
    <w:rsid w:val="005B1503"/>
    <w:rsid w:val="005B1AC4"/>
    <w:rsid w:val="005B2D17"/>
    <w:rsid w:val="005B2D67"/>
    <w:rsid w:val="005B2FD1"/>
    <w:rsid w:val="005B3F90"/>
    <w:rsid w:val="005B42DA"/>
    <w:rsid w:val="005B47F3"/>
    <w:rsid w:val="005B4915"/>
    <w:rsid w:val="005B49AC"/>
    <w:rsid w:val="005B5BFB"/>
    <w:rsid w:val="005B5D2F"/>
    <w:rsid w:val="005B63D1"/>
    <w:rsid w:val="005B64EA"/>
    <w:rsid w:val="005B723D"/>
    <w:rsid w:val="005B74B8"/>
    <w:rsid w:val="005B7600"/>
    <w:rsid w:val="005B7FF8"/>
    <w:rsid w:val="005C02D5"/>
    <w:rsid w:val="005C054D"/>
    <w:rsid w:val="005C0C9A"/>
    <w:rsid w:val="005C0E45"/>
    <w:rsid w:val="005C1522"/>
    <w:rsid w:val="005C1686"/>
    <w:rsid w:val="005C1A60"/>
    <w:rsid w:val="005C1B08"/>
    <w:rsid w:val="005C1CFA"/>
    <w:rsid w:val="005C1E92"/>
    <w:rsid w:val="005C2523"/>
    <w:rsid w:val="005C270E"/>
    <w:rsid w:val="005C279A"/>
    <w:rsid w:val="005C2B64"/>
    <w:rsid w:val="005C3007"/>
    <w:rsid w:val="005C31F9"/>
    <w:rsid w:val="005C32A6"/>
    <w:rsid w:val="005C37B6"/>
    <w:rsid w:val="005C3AFC"/>
    <w:rsid w:val="005C3CAB"/>
    <w:rsid w:val="005C405B"/>
    <w:rsid w:val="005C4877"/>
    <w:rsid w:val="005C48A9"/>
    <w:rsid w:val="005C4A68"/>
    <w:rsid w:val="005C4BB1"/>
    <w:rsid w:val="005C4BC8"/>
    <w:rsid w:val="005C5A63"/>
    <w:rsid w:val="005C5F8C"/>
    <w:rsid w:val="005C5FC1"/>
    <w:rsid w:val="005C5FC7"/>
    <w:rsid w:val="005C5FEF"/>
    <w:rsid w:val="005C671C"/>
    <w:rsid w:val="005C6B72"/>
    <w:rsid w:val="005C6EEF"/>
    <w:rsid w:val="005C730B"/>
    <w:rsid w:val="005C74CC"/>
    <w:rsid w:val="005C7563"/>
    <w:rsid w:val="005C7899"/>
    <w:rsid w:val="005D0565"/>
    <w:rsid w:val="005D07A6"/>
    <w:rsid w:val="005D0E40"/>
    <w:rsid w:val="005D1484"/>
    <w:rsid w:val="005D2115"/>
    <w:rsid w:val="005D22DE"/>
    <w:rsid w:val="005D2815"/>
    <w:rsid w:val="005D2950"/>
    <w:rsid w:val="005D2B04"/>
    <w:rsid w:val="005D2E62"/>
    <w:rsid w:val="005D3A1A"/>
    <w:rsid w:val="005D3E24"/>
    <w:rsid w:val="005D408C"/>
    <w:rsid w:val="005D42EC"/>
    <w:rsid w:val="005D43AD"/>
    <w:rsid w:val="005D44CC"/>
    <w:rsid w:val="005D47B1"/>
    <w:rsid w:val="005D488E"/>
    <w:rsid w:val="005D4F9F"/>
    <w:rsid w:val="005D5437"/>
    <w:rsid w:val="005D5459"/>
    <w:rsid w:val="005D56E6"/>
    <w:rsid w:val="005D5A9B"/>
    <w:rsid w:val="005D5BF1"/>
    <w:rsid w:val="005D6314"/>
    <w:rsid w:val="005D6407"/>
    <w:rsid w:val="005D65DC"/>
    <w:rsid w:val="005D665F"/>
    <w:rsid w:val="005D671A"/>
    <w:rsid w:val="005D6B4B"/>
    <w:rsid w:val="005D70A2"/>
    <w:rsid w:val="005D7453"/>
    <w:rsid w:val="005D74DF"/>
    <w:rsid w:val="005D75A9"/>
    <w:rsid w:val="005D771B"/>
    <w:rsid w:val="005D7BD2"/>
    <w:rsid w:val="005D7F7C"/>
    <w:rsid w:val="005E022D"/>
    <w:rsid w:val="005E02D6"/>
    <w:rsid w:val="005E05CA"/>
    <w:rsid w:val="005E0776"/>
    <w:rsid w:val="005E0AF9"/>
    <w:rsid w:val="005E0D20"/>
    <w:rsid w:val="005E1546"/>
    <w:rsid w:val="005E15BB"/>
    <w:rsid w:val="005E17F6"/>
    <w:rsid w:val="005E1EA3"/>
    <w:rsid w:val="005E2184"/>
    <w:rsid w:val="005E28E6"/>
    <w:rsid w:val="005E3523"/>
    <w:rsid w:val="005E3D3D"/>
    <w:rsid w:val="005E465E"/>
    <w:rsid w:val="005E4C99"/>
    <w:rsid w:val="005E4FD7"/>
    <w:rsid w:val="005E50C1"/>
    <w:rsid w:val="005E512D"/>
    <w:rsid w:val="005E5998"/>
    <w:rsid w:val="005E5B69"/>
    <w:rsid w:val="005E6683"/>
    <w:rsid w:val="005E6CDC"/>
    <w:rsid w:val="005E72A9"/>
    <w:rsid w:val="005E7954"/>
    <w:rsid w:val="005E79B0"/>
    <w:rsid w:val="005E7CB8"/>
    <w:rsid w:val="005E7EB5"/>
    <w:rsid w:val="005F129D"/>
    <w:rsid w:val="005F1330"/>
    <w:rsid w:val="005F137E"/>
    <w:rsid w:val="005F148E"/>
    <w:rsid w:val="005F1567"/>
    <w:rsid w:val="005F1992"/>
    <w:rsid w:val="005F1E6D"/>
    <w:rsid w:val="005F1EC3"/>
    <w:rsid w:val="005F24CF"/>
    <w:rsid w:val="005F2895"/>
    <w:rsid w:val="005F29FE"/>
    <w:rsid w:val="005F321E"/>
    <w:rsid w:val="005F333F"/>
    <w:rsid w:val="005F3628"/>
    <w:rsid w:val="005F3A09"/>
    <w:rsid w:val="005F3ED6"/>
    <w:rsid w:val="005F420C"/>
    <w:rsid w:val="005F57CC"/>
    <w:rsid w:val="005F5E46"/>
    <w:rsid w:val="005F5EB2"/>
    <w:rsid w:val="005F611E"/>
    <w:rsid w:val="005F624B"/>
    <w:rsid w:val="005F6766"/>
    <w:rsid w:val="005F6EAA"/>
    <w:rsid w:val="005F7217"/>
    <w:rsid w:val="005F732D"/>
    <w:rsid w:val="005F76AD"/>
    <w:rsid w:val="005F7B88"/>
    <w:rsid w:val="005F7EAD"/>
    <w:rsid w:val="005F7FC5"/>
    <w:rsid w:val="00600052"/>
    <w:rsid w:val="00600E55"/>
    <w:rsid w:val="0060174C"/>
    <w:rsid w:val="00601B51"/>
    <w:rsid w:val="00601BED"/>
    <w:rsid w:val="00601C88"/>
    <w:rsid w:val="00601F3D"/>
    <w:rsid w:val="00601F8E"/>
    <w:rsid w:val="00601FCE"/>
    <w:rsid w:val="00602494"/>
    <w:rsid w:val="006028F2"/>
    <w:rsid w:val="00602C0C"/>
    <w:rsid w:val="00602CC4"/>
    <w:rsid w:val="00603286"/>
    <w:rsid w:val="006038A7"/>
    <w:rsid w:val="00603902"/>
    <w:rsid w:val="00603A43"/>
    <w:rsid w:val="00603B88"/>
    <w:rsid w:val="006046E6"/>
    <w:rsid w:val="00604B8D"/>
    <w:rsid w:val="00604E64"/>
    <w:rsid w:val="00604FB4"/>
    <w:rsid w:val="0060531B"/>
    <w:rsid w:val="00605A13"/>
    <w:rsid w:val="00605DDD"/>
    <w:rsid w:val="00605E6F"/>
    <w:rsid w:val="00606C44"/>
    <w:rsid w:val="00606DA7"/>
    <w:rsid w:val="006070A2"/>
    <w:rsid w:val="0060744D"/>
    <w:rsid w:val="00607765"/>
    <w:rsid w:val="00607DDF"/>
    <w:rsid w:val="006102A4"/>
    <w:rsid w:val="0061072C"/>
    <w:rsid w:val="00610B29"/>
    <w:rsid w:val="00611574"/>
    <w:rsid w:val="006118E9"/>
    <w:rsid w:val="00612615"/>
    <w:rsid w:val="0061272E"/>
    <w:rsid w:val="00613172"/>
    <w:rsid w:val="0061324A"/>
    <w:rsid w:val="00613554"/>
    <w:rsid w:val="006144CE"/>
    <w:rsid w:val="00614913"/>
    <w:rsid w:val="00614A77"/>
    <w:rsid w:val="0061508C"/>
    <w:rsid w:val="0061518B"/>
    <w:rsid w:val="00615534"/>
    <w:rsid w:val="00616346"/>
    <w:rsid w:val="00616872"/>
    <w:rsid w:val="0061695F"/>
    <w:rsid w:val="00616FA5"/>
    <w:rsid w:val="006172C7"/>
    <w:rsid w:val="00617F69"/>
    <w:rsid w:val="00620178"/>
    <w:rsid w:val="006203CD"/>
    <w:rsid w:val="00620656"/>
    <w:rsid w:val="0062102B"/>
    <w:rsid w:val="00621079"/>
    <w:rsid w:val="006216B1"/>
    <w:rsid w:val="00622252"/>
    <w:rsid w:val="006223A5"/>
    <w:rsid w:val="00622A39"/>
    <w:rsid w:val="00622AA5"/>
    <w:rsid w:val="00623414"/>
    <w:rsid w:val="006235A4"/>
    <w:rsid w:val="0062373B"/>
    <w:rsid w:val="00623B83"/>
    <w:rsid w:val="00623C38"/>
    <w:rsid w:val="00623FE0"/>
    <w:rsid w:val="006240AE"/>
    <w:rsid w:val="006252AB"/>
    <w:rsid w:val="006254B6"/>
    <w:rsid w:val="006255C4"/>
    <w:rsid w:val="006257AF"/>
    <w:rsid w:val="00625AE5"/>
    <w:rsid w:val="00625C72"/>
    <w:rsid w:val="0062623E"/>
    <w:rsid w:val="006263DA"/>
    <w:rsid w:val="00626BD5"/>
    <w:rsid w:val="00627060"/>
    <w:rsid w:val="00627129"/>
    <w:rsid w:val="00627479"/>
    <w:rsid w:val="006274A6"/>
    <w:rsid w:val="006274F9"/>
    <w:rsid w:val="0063112B"/>
    <w:rsid w:val="0063142D"/>
    <w:rsid w:val="0063154A"/>
    <w:rsid w:val="0063182A"/>
    <w:rsid w:val="00631879"/>
    <w:rsid w:val="00632036"/>
    <w:rsid w:val="006322C9"/>
    <w:rsid w:val="0063237B"/>
    <w:rsid w:val="00632566"/>
    <w:rsid w:val="00632861"/>
    <w:rsid w:val="00632C25"/>
    <w:rsid w:val="00632E52"/>
    <w:rsid w:val="00633128"/>
    <w:rsid w:val="00633196"/>
    <w:rsid w:val="006333AA"/>
    <w:rsid w:val="00633C66"/>
    <w:rsid w:val="00633FCA"/>
    <w:rsid w:val="00634210"/>
    <w:rsid w:val="00634792"/>
    <w:rsid w:val="00634D7A"/>
    <w:rsid w:val="00634EF1"/>
    <w:rsid w:val="006352D6"/>
    <w:rsid w:val="0063562D"/>
    <w:rsid w:val="006358EF"/>
    <w:rsid w:val="0063595F"/>
    <w:rsid w:val="0063599A"/>
    <w:rsid w:val="00636384"/>
    <w:rsid w:val="00636BA2"/>
    <w:rsid w:val="00636DA1"/>
    <w:rsid w:val="00637A96"/>
    <w:rsid w:val="0063B7F9"/>
    <w:rsid w:val="006401DF"/>
    <w:rsid w:val="006401F3"/>
    <w:rsid w:val="00640399"/>
    <w:rsid w:val="006405CD"/>
    <w:rsid w:val="00640836"/>
    <w:rsid w:val="00640B10"/>
    <w:rsid w:val="00640DB3"/>
    <w:rsid w:val="00641134"/>
    <w:rsid w:val="00641370"/>
    <w:rsid w:val="006425EC"/>
    <w:rsid w:val="00642980"/>
    <w:rsid w:val="00642C19"/>
    <w:rsid w:val="006437D7"/>
    <w:rsid w:val="00643BCA"/>
    <w:rsid w:val="00643BF5"/>
    <w:rsid w:val="00643C65"/>
    <w:rsid w:val="00643D65"/>
    <w:rsid w:val="00644A13"/>
    <w:rsid w:val="00644C3D"/>
    <w:rsid w:val="0064521F"/>
    <w:rsid w:val="00645BCC"/>
    <w:rsid w:val="00646080"/>
    <w:rsid w:val="00646782"/>
    <w:rsid w:val="00646994"/>
    <w:rsid w:val="00647025"/>
    <w:rsid w:val="0064775E"/>
    <w:rsid w:val="00647AF8"/>
    <w:rsid w:val="00647D06"/>
    <w:rsid w:val="00650324"/>
    <w:rsid w:val="00650777"/>
    <w:rsid w:val="00650AE0"/>
    <w:rsid w:val="00651001"/>
    <w:rsid w:val="006510D9"/>
    <w:rsid w:val="00651235"/>
    <w:rsid w:val="00651785"/>
    <w:rsid w:val="00651BEE"/>
    <w:rsid w:val="006523A0"/>
    <w:rsid w:val="006526B1"/>
    <w:rsid w:val="00652708"/>
    <w:rsid w:val="00652C24"/>
    <w:rsid w:val="0065336B"/>
    <w:rsid w:val="0065367B"/>
    <w:rsid w:val="00653686"/>
    <w:rsid w:val="00653D6B"/>
    <w:rsid w:val="00654357"/>
    <w:rsid w:val="00654501"/>
    <w:rsid w:val="00654705"/>
    <w:rsid w:val="006547E5"/>
    <w:rsid w:val="006547FB"/>
    <w:rsid w:val="006548AB"/>
    <w:rsid w:val="006551AC"/>
    <w:rsid w:val="006556B3"/>
    <w:rsid w:val="006557D2"/>
    <w:rsid w:val="00655B5E"/>
    <w:rsid w:val="00655E36"/>
    <w:rsid w:val="00656263"/>
    <w:rsid w:val="00656657"/>
    <w:rsid w:val="0065717C"/>
    <w:rsid w:val="00657DAC"/>
    <w:rsid w:val="00660FFA"/>
    <w:rsid w:val="006610E8"/>
    <w:rsid w:val="0066128D"/>
    <w:rsid w:val="00661984"/>
    <w:rsid w:val="00661C37"/>
    <w:rsid w:val="00661EB6"/>
    <w:rsid w:val="00662158"/>
    <w:rsid w:val="006627FE"/>
    <w:rsid w:val="00662802"/>
    <w:rsid w:val="006630D9"/>
    <w:rsid w:val="0066324C"/>
    <w:rsid w:val="00663993"/>
    <w:rsid w:val="00663E31"/>
    <w:rsid w:val="006641DC"/>
    <w:rsid w:val="00664400"/>
    <w:rsid w:val="006644E0"/>
    <w:rsid w:val="00664632"/>
    <w:rsid w:val="006649EB"/>
    <w:rsid w:val="00664BD2"/>
    <w:rsid w:val="00664C5D"/>
    <w:rsid w:val="00664F98"/>
    <w:rsid w:val="00664FFD"/>
    <w:rsid w:val="0066527C"/>
    <w:rsid w:val="0066530D"/>
    <w:rsid w:val="006653EC"/>
    <w:rsid w:val="006659A5"/>
    <w:rsid w:val="00665B87"/>
    <w:rsid w:val="00665F95"/>
    <w:rsid w:val="0066609D"/>
    <w:rsid w:val="0066614F"/>
    <w:rsid w:val="006664A9"/>
    <w:rsid w:val="00666AC7"/>
    <w:rsid w:val="006678EE"/>
    <w:rsid w:val="00667CFF"/>
    <w:rsid w:val="00667F41"/>
    <w:rsid w:val="00670030"/>
    <w:rsid w:val="00670297"/>
    <w:rsid w:val="006703A8"/>
    <w:rsid w:val="00670582"/>
    <w:rsid w:val="00670BF2"/>
    <w:rsid w:val="006715C0"/>
    <w:rsid w:val="00671AF3"/>
    <w:rsid w:val="0067235D"/>
    <w:rsid w:val="006727D7"/>
    <w:rsid w:val="00672ABE"/>
    <w:rsid w:val="00672D20"/>
    <w:rsid w:val="00673147"/>
    <w:rsid w:val="006731AB"/>
    <w:rsid w:val="006734B3"/>
    <w:rsid w:val="00673519"/>
    <w:rsid w:val="006736E3"/>
    <w:rsid w:val="00673A4D"/>
    <w:rsid w:val="00673D96"/>
    <w:rsid w:val="00673EBD"/>
    <w:rsid w:val="006742F9"/>
    <w:rsid w:val="0067451D"/>
    <w:rsid w:val="00674720"/>
    <w:rsid w:val="006747A7"/>
    <w:rsid w:val="00674B05"/>
    <w:rsid w:val="00674B43"/>
    <w:rsid w:val="00674DCB"/>
    <w:rsid w:val="00674E33"/>
    <w:rsid w:val="00674FEA"/>
    <w:rsid w:val="006754CE"/>
    <w:rsid w:val="006754D3"/>
    <w:rsid w:val="00676445"/>
    <w:rsid w:val="00676564"/>
    <w:rsid w:val="006765E0"/>
    <w:rsid w:val="00676CD9"/>
    <w:rsid w:val="006770C3"/>
    <w:rsid w:val="00677193"/>
    <w:rsid w:val="006771D7"/>
    <w:rsid w:val="006772E7"/>
    <w:rsid w:val="006773BC"/>
    <w:rsid w:val="006775BA"/>
    <w:rsid w:val="006777EB"/>
    <w:rsid w:val="00680171"/>
    <w:rsid w:val="00680A3A"/>
    <w:rsid w:val="00681258"/>
    <w:rsid w:val="0068126B"/>
    <w:rsid w:val="00681698"/>
    <w:rsid w:val="00682002"/>
    <w:rsid w:val="006823A1"/>
    <w:rsid w:val="006826E7"/>
    <w:rsid w:val="00682E2D"/>
    <w:rsid w:val="006833F8"/>
    <w:rsid w:val="0068353C"/>
    <w:rsid w:val="00683581"/>
    <w:rsid w:val="00683A14"/>
    <w:rsid w:val="00684477"/>
    <w:rsid w:val="00684636"/>
    <w:rsid w:val="006846D3"/>
    <w:rsid w:val="0068474F"/>
    <w:rsid w:val="00684891"/>
    <w:rsid w:val="006848D1"/>
    <w:rsid w:val="006849DD"/>
    <w:rsid w:val="00684BE2"/>
    <w:rsid w:val="00685209"/>
    <w:rsid w:val="00685287"/>
    <w:rsid w:val="006854C4"/>
    <w:rsid w:val="00685BD1"/>
    <w:rsid w:val="00685D7A"/>
    <w:rsid w:val="00686387"/>
    <w:rsid w:val="00686777"/>
    <w:rsid w:val="006871EB"/>
    <w:rsid w:val="0068759F"/>
    <w:rsid w:val="0068797E"/>
    <w:rsid w:val="00687FC4"/>
    <w:rsid w:val="00690084"/>
    <w:rsid w:val="00690227"/>
    <w:rsid w:val="006903F0"/>
    <w:rsid w:val="006904C4"/>
    <w:rsid w:val="0069054C"/>
    <w:rsid w:val="0069092D"/>
    <w:rsid w:val="00690AEB"/>
    <w:rsid w:val="00690DC8"/>
    <w:rsid w:val="00690ECB"/>
    <w:rsid w:val="006912D2"/>
    <w:rsid w:val="0069153B"/>
    <w:rsid w:val="0069195D"/>
    <w:rsid w:val="00691F9D"/>
    <w:rsid w:val="006921AF"/>
    <w:rsid w:val="00692673"/>
    <w:rsid w:val="00692822"/>
    <w:rsid w:val="00692C75"/>
    <w:rsid w:val="006937E0"/>
    <w:rsid w:val="006937E2"/>
    <w:rsid w:val="00693987"/>
    <w:rsid w:val="00693A3B"/>
    <w:rsid w:val="00693B6B"/>
    <w:rsid w:val="006942B2"/>
    <w:rsid w:val="00694D63"/>
    <w:rsid w:val="006954D8"/>
    <w:rsid w:val="006955F7"/>
    <w:rsid w:val="0069590D"/>
    <w:rsid w:val="00695B97"/>
    <w:rsid w:val="00695E47"/>
    <w:rsid w:val="00696CB6"/>
    <w:rsid w:val="00696F00"/>
    <w:rsid w:val="00697054"/>
    <w:rsid w:val="0069743A"/>
    <w:rsid w:val="00697657"/>
    <w:rsid w:val="006A006B"/>
    <w:rsid w:val="006A01FF"/>
    <w:rsid w:val="006A039B"/>
    <w:rsid w:val="006A0A30"/>
    <w:rsid w:val="006A0D69"/>
    <w:rsid w:val="006A1009"/>
    <w:rsid w:val="006A10B6"/>
    <w:rsid w:val="006A1513"/>
    <w:rsid w:val="006A1949"/>
    <w:rsid w:val="006A2320"/>
    <w:rsid w:val="006A2C8D"/>
    <w:rsid w:val="006A2EB7"/>
    <w:rsid w:val="006A2EF8"/>
    <w:rsid w:val="006A2F21"/>
    <w:rsid w:val="006A2FEB"/>
    <w:rsid w:val="006A33C9"/>
    <w:rsid w:val="006A3AFF"/>
    <w:rsid w:val="006A3D23"/>
    <w:rsid w:val="006A42C2"/>
    <w:rsid w:val="006A4760"/>
    <w:rsid w:val="006A4DDA"/>
    <w:rsid w:val="006A5FA7"/>
    <w:rsid w:val="006A63FA"/>
    <w:rsid w:val="006A7139"/>
    <w:rsid w:val="006A76A6"/>
    <w:rsid w:val="006A78AB"/>
    <w:rsid w:val="006A7946"/>
    <w:rsid w:val="006A79CE"/>
    <w:rsid w:val="006A7F76"/>
    <w:rsid w:val="006B014D"/>
    <w:rsid w:val="006B0153"/>
    <w:rsid w:val="006B05C2"/>
    <w:rsid w:val="006B0FBA"/>
    <w:rsid w:val="006B1334"/>
    <w:rsid w:val="006B15E4"/>
    <w:rsid w:val="006B1A30"/>
    <w:rsid w:val="006B1DEE"/>
    <w:rsid w:val="006B1DF6"/>
    <w:rsid w:val="006B20CD"/>
    <w:rsid w:val="006B21CA"/>
    <w:rsid w:val="006B293E"/>
    <w:rsid w:val="006B30A1"/>
    <w:rsid w:val="006B3B90"/>
    <w:rsid w:val="006B3DBB"/>
    <w:rsid w:val="006B3DE8"/>
    <w:rsid w:val="006B4A3B"/>
    <w:rsid w:val="006B4B17"/>
    <w:rsid w:val="006B4B79"/>
    <w:rsid w:val="006B4D3E"/>
    <w:rsid w:val="006B51E9"/>
    <w:rsid w:val="006B5403"/>
    <w:rsid w:val="006B5DD8"/>
    <w:rsid w:val="006B6D7B"/>
    <w:rsid w:val="006B6E48"/>
    <w:rsid w:val="006B72AC"/>
    <w:rsid w:val="006B7873"/>
    <w:rsid w:val="006B7948"/>
    <w:rsid w:val="006B7AD1"/>
    <w:rsid w:val="006B7AFE"/>
    <w:rsid w:val="006B7C2D"/>
    <w:rsid w:val="006B7F16"/>
    <w:rsid w:val="006BB662"/>
    <w:rsid w:val="006C0DF7"/>
    <w:rsid w:val="006C0F80"/>
    <w:rsid w:val="006C1025"/>
    <w:rsid w:val="006C11BF"/>
    <w:rsid w:val="006C1285"/>
    <w:rsid w:val="006C12F2"/>
    <w:rsid w:val="006C1349"/>
    <w:rsid w:val="006C14BA"/>
    <w:rsid w:val="006C1556"/>
    <w:rsid w:val="006C1819"/>
    <w:rsid w:val="006C18AF"/>
    <w:rsid w:val="006C18C7"/>
    <w:rsid w:val="006C1C79"/>
    <w:rsid w:val="006C1E1B"/>
    <w:rsid w:val="006C22AD"/>
    <w:rsid w:val="006C246B"/>
    <w:rsid w:val="006C27C2"/>
    <w:rsid w:val="006C3389"/>
    <w:rsid w:val="006C3EC8"/>
    <w:rsid w:val="006C412F"/>
    <w:rsid w:val="006C41EE"/>
    <w:rsid w:val="006C4664"/>
    <w:rsid w:val="006C4CB6"/>
    <w:rsid w:val="006C500F"/>
    <w:rsid w:val="006C520A"/>
    <w:rsid w:val="006C52C2"/>
    <w:rsid w:val="006C540A"/>
    <w:rsid w:val="006C5727"/>
    <w:rsid w:val="006C57DE"/>
    <w:rsid w:val="006C57F4"/>
    <w:rsid w:val="006C5E9D"/>
    <w:rsid w:val="006C67DD"/>
    <w:rsid w:val="006C6E56"/>
    <w:rsid w:val="006C6EB9"/>
    <w:rsid w:val="006C75AB"/>
    <w:rsid w:val="006C78BF"/>
    <w:rsid w:val="006C7A8F"/>
    <w:rsid w:val="006C7C8A"/>
    <w:rsid w:val="006D03AD"/>
    <w:rsid w:val="006D08DE"/>
    <w:rsid w:val="006D0DC6"/>
    <w:rsid w:val="006D0F4D"/>
    <w:rsid w:val="006D1ACF"/>
    <w:rsid w:val="006D1FCD"/>
    <w:rsid w:val="006D20A8"/>
    <w:rsid w:val="006D21A4"/>
    <w:rsid w:val="006D2252"/>
    <w:rsid w:val="006D23D0"/>
    <w:rsid w:val="006D26D3"/>
    <w:rsid w:val="006D276D"/>
    <w:rsid w:val="006D2BF4"/>
    <w:rsid w:val="006D2D0B"/>
    <w:rsid w:val="006D32FF"/>
    <w:rsid w:val="006D3DE7"/>
    <w:rsid w:val="006D44D7"/>
    <w:rsid w:val="006D4A72"/>
    <w:rsid w:val="006D517E"/>
    <w:rsid w:val="006D51E7"/>
    <w:rsid w:val="006D54BE"/>
    <w:rsid w:val="006D56F5"/>
    <w:rsid w:val="006D5A96"/>
    <w:rsid w:val="006D5BE3"/>
    <w:rsid w:val="006D5E5A"/>
    <w:rsid w:val="006D65AB"/>
    <w:rsid w:val="006D6760"/>
    <w:rsid w:val="006D742E"/>
    <w:rsid w:val="006D76B1"/>
    <w:rsid w:val="006D773D"/>
    <w:rsid w:val="006E039A"/>
    <w:rsid w:val="006E0908"/>
    <w:rsid w:val="006E09E2"/>
    <w:rsid w:val="006E0A11"/>
    <w:rsid w:val="006E1459"/>
    <w:rsid w:val="006E154A"/>
    <w:rsid w:val="006E1843"/>
    <w:rsid w:val="006E1B20"/>
    <w:rsid w:val="006E1C29"/>
    <w:rsid w:val="006E1D42"/>
    <w:rsid w:val="006E1FD0"/>
    <w:rsid w:val="006E20C6"/>
    <w:rsid w:val="006E246A"/>
    <w:rsid w:val="006E252D"/>
    <w:rsid w:val="006E2733"/>
    <w:rsid w:val="006E29CE"/>
    <w:rsid w:val="006E2A8D"/>
    <w:rsid w:val="006E327A"/>
    <w:rsid w:val="006E3394"/>
    <w:rsid w:val="006E3945"/>
    <w:rsid w:val="006E3999"/>
    <w:rsid w:val="006E39F0"/>
    <w:rsid w:val="006E3A3D"/>
    <w:rsid w:val="006E3DC7"/>
    <w:rsid w:val="006E41D0"/>
    <w:rsid w:val="006E4378"/>
    <w:rsid w:val="006E4704"/>
    <w:rsid w:val="006E4EE4"/>
    <w:rsid w:val="006E5ACC"/>
    <w:rsid w:val="006E62F8"/>
    <w:rsid w:val="006E6CC8"/>
    <w:rsid w:val="006E6EE7"/>
    <w:rsid w:val="006E7159"/>
    <w:rsid w:val="006E71A2"/>
    <w:rsid w:val="006E71FE"/>
    <w:rsid w:val="006E73C1"/>
    <w:rsid w:val="006E75F1"/>
    <w:rsid w:val="006F0171"/>
    <w:rsid w:val="006F08F3"/>
    <w:rsid w:val="006F0A9B"/>
    <w:rsid w:val="006F1298"/>
    <w:rsid w:val="006F169B"/>
    <w:rsid w:val="006F19B7"/>
    <w:rsid w:val="006F1F6B"/>
    <w:rsid w:val="006F1FA0"/>
    <w:rsid w:val="006F231B"/>
    <w:rsid w:val="006F29F1"/>
    <w:rsid w:val="006F2A4F"/>
    <w:rsid w:val="006F3215"/>
    <w:rsid w:val="006F3B41"/>
    <w:rsid w:val="006F3B48"/>
    <w:rsid w:val="006F417D"/>
    <w:rsid w:val="006F4204"/>
    <w:rsid w:val="006F4442"/>
    <w:rsid w:val="006F44A7"/>
    <w:rsid w:val="006F45DE"/>
    <w:rsid w:val="006F4C32"/>
    <w:rsid w:val="006F5182"/>
    <w:rsid w:val="006F5A89"/>
    <w:rsid w:val="006F5D9E"/>
    <w:rsid w:val="006F6F0E"/>
    <w:rsid w:val="006F730D"/>
    <w:rsid w:val="006F788C"/>
    <w:rsid w:val="006F7A8C"/>
    <w:rsid w:val="006F7C82"/>
    <w:rsid w:val="007004F7"/>
    <w:rsid w:val="00700C14"/>
    <w:rsid w:val="007016EB"/>
    <w:rsid w:val="00701886"/>
    <w:rsid w:val="00701A5D"/>
    <w:rsid w:val="007024BE"/>
    <w:rsid w:val="007024D0"/>
    <w:rsid w:val="00702ADE"/>
    <w:rsid w:val="00702B83"/>
    <w:rsid w:val="00703C9F"/>
    <w:rsid w:val="00704812"/>
    <w:rsid w:val="00704BCA"/>
    <w:rsid w:val="00705208"/>
    <w:rsid w:val="00705870"/>
    <w:rsid w:val="007058B2"/>
    <w:rsid w:val="00705B96"/>
    <w:rsid w:val="00705CBB"/>
    <w:rsid w:val="00705D80"/>
    <w:rsid w:val="007060FF"/>
    <w:rsid w:val="00706144"/>
    <w:rsid w:val="007066C6"/>
    <w:rsid w:val="00706D38"/>
    <w:rsid w:val="0070714F"/>
    <w:rsid w:val="00707177"/>
    <w:rsid w:val="0070725C"/>
    <w:rsid w:val="007074B5"/>
    <w:rsid w:val="007077F1"/>
    <w:rsid w:val="007078D6"/>
    <w:rsid w:val="007105C8"/>
    <w:rsid w:val="00710FF3"/>
    <w:rsid w:val="0071126E"/>
    <w:rsid w:val="0071145C"/>
    <w:rsid w:val="00711811"/>
    <w:rsid w:val="0071182E"/>
    <w:rsid w:val="007118C4"/>
    <w:rsid w:val="00711AD2"/>
    <w:rsid w:val="00711C8C"/>
    <w:rsid w:val="00711E40"/>
    <w:rsid w:val="007126C7"/>
    <w:rsid w:val="00712EB9"/>
    <w:rsid w:val="0071333A"/>
    <w:rsid w:val="007136F0"/>
    <w:rsid w:val="00713964"/>
    <w:rsid w:val="00713DA0"/>
    <w:rsid w:val="00713FF5"/>
    <w:rsid w:val="00714185"/>
    <w:rsid w:val="0071426C"/>
    <w:rsid w:val="0071498A"/>
    <w:rsid w:val="00715122"/>
    <w:rsid w:val="007154C4"/>
    <w:rsid w:val="00715A3E"/>
    <w:rsid w:val="00715ED8"/>
    <w:rsid w:val="0071609F"/>
    <w:rsid w:val="0071616A"/>
    <w:rsid w:val="00716287"/>
    <w:rsid w:val="0071668A"/>
    <w:rsid w:val="00716B8E"/>
    <w:rsid w:val="00716F69"/>
    <w:rsid w:val="00716FF4"/>
    <w:rsid w:val="0071702B"/>
    <w:rsid w:val="00717438"/>
    <w:rsid w:val="0071778C"/>
    <w:rsid w:val="00717992"/>
    <w:rsid w:val="0072031D"/>
    <w:rsid w:val="00720467"/>
    <w:rsid w:val="007205F4"/>
    <w:rsid w:val="00720AB1"/>
    <w:rsid w:val="00720B29"/>
    <w:rsid w:val="00720FF8"/>
    <w:rsid w:val="0072102F"/>
    <w:rsid w:val="00721377"/>
    <w:rsid w:val="00721BBD"/>
    <w:rsid w:val="00721C11"/>
    <w:rsid w:val="00721EEB"/>
    <w:rsid w:val="00721FA3"/>
    <w:rsid w:val="007227EC"/>
    <w:rsid w:val="00722C5C"/>
    <w:rsid w:val="0072392F"/>
    <w:rsid w:val="00723D3A"/>
    <w:rsid w:val="00723E68"/>
    <w:rsid w:val="00724174"/>
    <w:rsid w:val="00724532"/>
    <w:rsid w:val="00724D05"/>
    <w:rsid w:val="00724D7A"/>
    <w:rsid w:val="00724FCD"/>
    <w:rsid w:val="00725516"/>
    <w:rsid w:val="007256CF"/>
    <w:rsid w:val="00725726"/>
    <w:rsid w:val="007258E1"/>
    <w:rsid w:val="00725F63"/>
    <w:rsid w:val="00726231"/>
    <w:rsid w:val="00727121"/>
    <w:rsid w:val="00727446"/>
    <w:rsid w:val="00727546"/>
    <w:rsid w:val="00727861"/>
    <w:rsid w:val="00727AF9"/>
    <w:rsid w:val="00727CE8"/>
    <w:rsid w:val="00727E9C"/>
    <w:rsid w:val="00730069"/>
    <w:rsid w:val="00730379"/>
    <w:rsid w:val="00730481"/>
    <w:rsid w:val="007307BA"/>
    <w:rsid w:val="0073080C"/>
    <w:rsid w:val="00730896"/>
    <w:rsid w:val="0073097A"/>
    <w:rsid w:val="007309F1"/>
    <w:rsid w:val="007311B1"/>
    <w:rsid w:val="00731C6D"/>
    <w:rsid w:val="00732F35"/>
    <w:rsid w:val="007335D9"/>
    <w:rsid w:val="007336A6"/>
    <w:rsid w:val="00733F2E"/>
    <w:rsid w:val="00734AD5"/>
    <w:rsid w:val="00734BEB"/>
    <w:rsid w:val="00735783"/>
    <w:rsid w:val="00735874"/>
    <w:rsid w:val="00735B05"/>
    <w:rsid w:val="00735B42"/>
    <w:rsid w:val="00735BE1"/>
    <w:rsid w:val="00735F97"/>
    <w:rsid w:val="007366B3"/>
    <w:rsid w:val="00736716"/>
    <w:rsid w:val="00736BEE"/>
    <w:rsid w:val="00736D08"/>
    <w:rsid w:val="00737A15"/>
    <w:rsid w:val="00737A94"/>
    <w:rsid w:val="007402AC"/>
    <w:rsid w:val="007404C1"/>
    <w:rsid w:val="007404D4"/>
    <w:rsid w:val="00740961"/>
    <w:rsid w:val="00740A09"/>
    <w:rsid w:val="00740D2A"/>
    <w:rsid w:val="00741226"/>
    <w:rsid w:val="007419A1"/>
    <w:rsid w:val="00741AA2"/>
    <w:rsid w:val="00741AB0"/>
    <w:rsid w:val="00742407"/>
    <w:rsid w:val="0074243A"/>
    <w:rsid w:val="00742445"/>
    <w:rsid w:val="0074279C"/>
    <w:rsid w:val="0074281A"/>
    <w:rsid w:val="007428F0"/>
    <w:rsid w:val="007429BB"/>
    <w:rsid w:val="00743338"/>
    <w:rsid w:val="00743519"/>
    <w:rsid w:val="00743F14"/>
    <w:rsid w:val="00743F7C"/>
    <w:rsid w:val="00744316"/>
    <w:rsid w:val="007448FF"/>
    <w:rsid w:val="0074492F"/>
    <w:rsid w:val="00744B12"/>
    <w:rsid w:val="00744CC3"/>
    <w:rsid w:val="0074534D"/>
    <w:rsid w:val="0074535D"/>
    <w:rsid w:val="00746652"/>
    <w:rsid w:val="007472B2"/>
    <w:rsid w:val="00747411"/>
    <w:rsid w:val="00747FBD"/>
    <w:rsid w:val="00750849"/>
    <w:rsid w:val="00750950"/>
    <w:rsid w:val="00750B73"/>
    <w:rsid w:val="007513D5"/>
    <w:rsid w:val="00752C4C"/>
    <w:rsid w:val="00753225"/>
    <w:rsid w:val="007535DD"/>
    <w:rsid w:val="007539F8"/>
    <w:rsid w:val="00753B69"/>
    <w:rsid w:val="00753DE6"/>
    <w:rsid w:val="00753ECB"/>
    <w:rsid w:val="00754571"/>
    <w:rsid w:val="007546AF"/>
    <w:rsid w:val="00754710"/>
    <w:rsid w:val="007555EE"/>
    <w:rsid w:val="007556C4"/>
    <w:rsid w:val="00755D6C"/>
    <w:rsid w:val="00756188"/>
    <w:rsid w:val="007561A3"/>
    <w:rsid w:val="007567A9"/>
    <w:rsid w:val="007571B9"/>
    <w:rsid w:val="00757206"/>
    <w:rsid w:val="0075732F"/>
    <w:rsid w:val="00757680"/>
    <w:rsid w:val="0075785F"/>
    <w:rsid w:val="007579BC"/>
    <w:rsid w:val="00760302"/>
    <w:rsid w:val="00760C04"/>
    <w:rsid w:val="007615AC"/>
    <w:rsid w:val="00761606"/>
    <w:rsid w:val="00761BDF"/>
    <w:rsid w:val="007621BA"/>
    <w:rsid w:val="00762FCD"/>
    <w:rsid w:val="00763170"/>
    <w:rsid w:val="00763397"/>
    <w:rsid w:val="0076367C"/>
    <w:rsid w:val="00763976"/>
    <w:rsid w:val="00763AF5"/>
    <w:rsid w:val="00764655"/>
    <w:rsid w:val="007646A2"/>
    <w:rsid w:val="007652CB"/>
    <w:rsid w:val="007652D7"/>
    <w:rsid w:val="00765A8B"/>
    <w:rsid w:val="0076610E"/>
    <w:rsid w:val="00766807"/>
    <w:rsid w:val="00766B69"/>
    <w:rsid w:val="00767109"/>
    <w:rsid w:val="007672D9"/>
    <w:rsid w:val="00767355"/>
    <w:rsid w:val="007675EE"/>
    <w:rsid w:val="007676D8"/>
    <w:rsid w:val="00767826"/>
    <w:rsid w:val="00770205"/>
    <w:rsid w:val="00770ADF"/>
    <w:rsid w:val="00770BBC"/>
    <w:rsid w:val="00770F35"/>
    <w:rsid w:val="007715BC"/>
    <w:rsid w:val="0077162C"/>
    <w:rsid w:val="00771A72"/>
    <w:rsid w:val="00771DA9"/>
    <w:rsid w:val="00771E74"/>
    <w:rsid w:val="00771E78"/>
    <w:rsid w:val="00773502"/>
    <w:rsid w:val="00773592"/>
    <w:rsid w:val="007738D0"/>
    <w:rsid w:val="007739FA"/>
    <w:rsid w:val="00774319"/>
    <w:rsid w:val="00774569"/>
    <w:rsid w:val="00774919"/>
    <w:rsid w:val="00774C04"/>
    <w:rsid w:val="00775086"/>
    <w:rsid w:val="00775570"/>
    <w:rsid w:val="00775643"/>
    <w:rsid w:val="00776327"/>
    <w:rsid w:val="0077642A"/>
    <w:rsid w:val="00776B5B"/>
    <w:rsid w:val="00776DBA"/>
    <w:rsid w:val="007777D1"/>
    <w:rsid w:val="00777979"/>
    <w:rsid w:val="0078045E"/>
    <w:rsid w:val="00780485"/>
    <w:rsid w:val="00780550"/>
    <w:rsid w:val="0078083B"/>
    <w:rsid w:val="007809F6"/>
    <w:rsid w:val="00780AA9"/>
    <w:rsid w:val="00780D12"/>
    <w:rsid w:val="007814D2"/>
    <w:rsid w:val="00781A76"/>
    <w:rsid w:val="00781B6A"/>
    <w:rsid w:val="00781C71"/>
    <w:rsid w:val="00781D28"/>
    <w:rsid w:val="0078209F"/>
    <w:rsid w:val="00782CC6"/>
    <w:rsid w:val="00782FC2"/>
    <w:rsid w:val="007831C5"/>
    <w:rsid w:val="007838F1"/>
    <w:rsid w:val="00783D43"/>
    <w:rsid w:val="00784107"/>
    <w:rsid w:val="0078456A"/>
    <w:rsid w:val="007847B6"/>
    <w:rsid w:val="00784B9B"/>
    <w:rsid w:val="00784C17"/>
    <w:rsid w:val="00784E17"/>
    <w:rsid w:val="00785F48"/>
    <w:rsid w:val="0078617C"/>
    <w:rsid w:val="007861F7"/>
    <w:rsid w:val="00786467"/>
    <w:rsid w:val="00786892"/>
    <w:rsid w:val="00786EBA"/>
    <w:rsid w:val="00787226"/>
    <w:rsid w:val="0078751E"/>
    <w:rsid w:val="00787D2E"/>
    <w:rsid w:val="007909F4"/>
    <w:rsid w:val="00790A5A"/>
    <w:rsid w:val="00790BC7"/>
    <w:rsid w:val="00790CC8"/>
    <w:rsid w:val="0079176C"/>
    <w:rsid w:val="00791F3D"/>
    <w:rsid w:val="00792398"/>
    <w:rsid w:val="00792485"/>
    <w:rsid w:val="00792794"/>
    <w:rsid w:val="00792A91"/>
    <w:rsid w:val="00792FF1"/>
    <w:rsid w:val="0079595F"/>
    <w:rsid w:val="00795BC9"/>
    <w:rsid w:val="00795F41"/>
    <w:rsid w:val="0079649B"/>
    <w:rsid w:val="007964F8"/>
    <w:rsid w:val="007966E4"/>
    <w:rsid w:val="00796E31"/>
    <w:rsid w:val="00796F95"/>
    <w:rsid w:val="00797386"/>
    <w:rsid w:val="00797532"/>
    <w:rsid w:val="007976AC"/>
    <w:rsid w:val="007A00C2"/>
    <w:rsid w:val="007A00D4"/>
    <w:rsid w:val="007A0262"/>
    <w:rsid w:val="007A055C"/>
    <w:rsid w:val="007A2376"/>
    <w:rsid w:val="007A2B71"/>
    <w:rsid w:val="007A300D"/>
    <w:rsid w:val="007A34E4"/>
    <w:rsid w:val="007A3941"/>
    <w:rsid w:val="007A4894"/>
    <w:rsid w:val="007A4974"/>
    <w:rsid w:val="007A5074"/>
    <w:rsid w:val="007A5654"/>
    <w:rsid w:val="007A5914"/>
    <w:rsid w:val="007A653C"/>
    <w:rsid w:val="007A66CC"/>
    <w:rsid w:val="007A7099"/>
    <w:rsid w:val="007A7658"/>
    <w:rsid w:val="007A7A9F"/>
    <w:rsid w:val="007A7F1C"/>
    <w:rsid w:val="007A7FE3"/>
    <w:rsid w:val="007B02C4"/>
    <w:rsid w:val="007B0484"/>
    <w:rsid w:val="007B04DF"/>
    <w:rsid w:val="007B0695"/>
    <w:rsid w:val="007B0834"/>
    <w:rsid w:val="007B15CB"/>
    <w:rsid w:val="007B1866"/>
    <w:rsid w:val="007B1EB7"/>
    <w:rsid w:val="007B2370"/>
    <w:rsid w:val="007B2766"/>
    <w:rsid w:val="007B290B"/>
    <w:rsid w:val="007B2AC1"/>
    <w:rsid w:val="007B2E26"/>
    <w:rsid w:val="007B3292"/>
    <w:rsid w:val="007B3777"/>
    <w:rsid w:val="007B3806"/>
    <w:rsid w:val="007B3F97"/>
    <w:rsid w:val="007B3FA8"/>
    <w:rsid w:val="007B4526"/>
    <w:rsid w:val="007B4BBC"/>
    <w:rsid w:val="007B4EF9"/>
    <w:rsid w:val="007B5429"/>
    <w:rsid w:val="007B56C9"/>
    <w:rsid w:val="007B5EEA"/>
    <w:rsid w:val="007B6203"/>
    <w:rsid w:val="007B63C4"/>
    <w:rsid w:val="007B64D1"/>
    <w:rsid w:val="007B6947"/>
    <w:rsid w:val="007B71AF"/>
    <w:rsid w:val="007B73BF"/>
    <w:rsid w:val="007B7923"/>
    <w:rsid w:val="007B79C1"/>
    <w:rsid w:val="007B7C03"/>
    <w:rsid w:val="007C02C4"/>
    <w:rsid w:val="007C054A"/>
    <w:rsid w:val="007C0614"/>
    <w:rsid w:val="007C0963"/>
    <w:rsid w:val="007C10BE"/>
    <w:rsid w:val="007C1393"/>
    <w:rsid w:val="007C193B"/>
    <w:rsid w:val="007C1EC9"/>
    <w:rsid w:val="007C2631"/>
    <w:rsid w:val="007C2786"/>
    <w:rsid w:val="007C2D78"/>
    <w:rsid w:val="007C2F6E"/>
    <w:rsid w:val="007C3097"/>
    <w:rsid w:val="007C35E3"/>
    <w:rsid w:val="007C3824"/>
    <w:rsid w:val="007C3A0D"/>
    <w:rsid w:val="007C4622"/>
    <w:rsid w:val="007C4650"/>
    <w:rsid w:val="007C48C9"/>
    <w:rsid w:val="007C4FE2"/>
    <w:rsid w:val="007C5361"/>
    <w:rsid w:val="007C55C9"/>
    <w:rsid w:val="007C5624"/>
    <w:rsid w:val="007C564D"/>
    <w:rsid w:val="007C5B60"/>
    <w:rsid w:val="007C6199"/>
    <w:rsid w:val="007C61FC"/>
    <w:rsid w:val="007C6546"/>
    <w:rsid w:val="007C688A"/>
    <w:rsid w:val="007C6D2B"/>
    <w:rsid w:val="007C7166"/>
    <w:rsid w:val="007C767D"/>
    <w:rsid w:val="007C76FA"/>
    <w:rsid w:val="007C7D88"/>
    <w:rsid w:val="007D005D"/>
    <w:rsid w:val="007D015E"/>
    <w:rsid w:val="007D05CC"/>
    <w:rsid w:val="007D1088"/>
    <w:rsid w:val="007D16EC"/>
    <w:rsid w:val="007D1C5A"/>
    <w:rsid w:val="007D24E4"/>
    <w:rsid w:val="007D259F"/>
    <w:rsid w:val="007D25A1"/>
    <w:rsid w:val="007D263C"/>
    <w:rsid w:val="007D2C05"/>
    <w:rsid w:val="007D2C7B"/>
    <w:rsid w:val="007D305B"/>
    <w:rsid w:val="007D31B1"/>
    <w:rsid w:val="007D368A"/>
    <w:rsid w:val="007D3A9D"/>
    <w:rsid w:val="007D3B42"/>
    <w:rsid w:val="007D3C0F"/>
    <w:rsid w:val="007D42D3"/>
    <w:rsid w:val="007D4339"/>
    <w:rsid w:val="007D45CC"/>
    <w:rsid w:val="007D4640"/>
    <w:rsid w:val="007D4E7D"/>
    <w:rsid w:val="007D4EC5"/>
    <w:rsid w:val="007D536E"/>
    <w:rsid w:val="007D5DB5"/>
    <w:rsid w:val="007D5DEE"/>
    <w:rsid w:val="007D5E62"/>
    <w:rsid w:val="007D5FDF"/>
    <w:rsid w:val="007D6032"/>
    <w:rsid w:val="007D60B9"/>
    <w:rsid w:val="007D6209"/>
    <w:rsid w:val="007D6417"/>
    <w:rsid w:val="007D660C"/>
    <w:rsid w:val="007D6796"/>
    <w:rsid w:val="007D67F3"/>
    <w:rsid w:val="007D67FD"/>
    <w:rsid w:val="007D6ACA"/>
    <w:rsid w:val="007D7742"/>
    <w:rsid w:val="007D7902"/>
    <w:rsid w:val="007D7EE4"/>
    <w:rsid w:val="007E005F"/>
    <w:rsid w:val="007E07E2"/>
    <w:rsid w:val="007E0994"/>
    <w:rsid w:val="007E0B2D"/>
    <w:rsid w:val="007E0CED"/>
    <w:rsid w:val="007E1153"/>
    <w:rsid w:val="007E1344"/>
    <w:rsid w:val="007E2B2D"/>
    <w:rsid w:val="007E2B51"/>
    <w:rsid w:val="007E2DE3"/>
    <w:rsid w:val="007E2FCD"/>
    <w:rsid w:val="007E313E"/>
    <w:rsid w:val="007E33D0"/>
    <w:rsid w:val="007E40D1"/>
    <w:rsid w:val="007E42C6"/>
    <w:rsid w:val="007E4687"/>
    <w:rsid w:val="007E4848"/>
    <w:rsid w:val="007E48A0"/>
    <w:rsid w:val="007E4B31"/>
    <w:rsid w:val="007E500F"/>
    <w:rsid w:val="007E5225"/>
    <w:rsid w:val="007E55B5"/>
    <w:rsid w:val="007E57E1"/>
    <w:rsid w:val="007E57EC"/>
    <w:rsid w:val="007E5A8C"/>
    <w:rsid w:val="007E5BC8"/>
    <w:rsid w:val="007E5C34"/>
    <w:rsid w:val="007E5F2C"/>
    <w:rsid w:val="007E6314"/>
    <w:rsid w:val="007E636D"/>
    <w:rsid w:val="007E63FA"/>
    <w:rsid w:val="007E71CE"/>
    <w:rsid w:val="007E774F"/>
    <w:rsid w:val="007E775A"/>
    <w:rsid w:val="007E7B3D"/>
    <w:rsid w:val="007E7B91"/>
    <w:rsid w:val="007F078D"/>
    <w:rsid w:val="007F08E3"/>
    <w:rsid w:val="007F0A51"/>
    <w:rsid w:val="007F0AEC"/>
    <w:rsid w:val="007F0D59"/>
    <w:rsid w:val="007F0F37"/>
    <w:rsid w:val="007F1557"/>
    <w:rsid w:val="007F18C6"/>
    <w:rsid w:val="007F1B35"/>
    <w:rsid w:val="007F1D97"/>
    <w:rsid w:val="007F31DC"/>
    <w:rsid w:val="007F32C3"/>
    <w:rsid w:val="007F3BF4"/>
    <w:rsid w:val="007F3CDF"/>
    <w:rsid w:val="007F400D"/>
    <w:rsid w:val="007F4234"/>
    <w:rsid w:val="007F42CA"/>
    <w:rsid w:val="007F4813"/>
    <w:rsid w:val="007F485E"/>
    <w:rsid w:val="007F4F11"/>
    <w:rsid w:val="007F4F3A"/>
    <w:rsid w:val="007F5328"/>
    <w:rsid w:val="007F556F"/>
    <w:rsid w:val="007F55DE"/>
    <w:rsid w:val="007F6112"/>
    <w:rsid w:val="007F636F"/>
    <w:rsid w:val="007F7225"/>
    <w:rsid w:val="007F7397"/>
    <w:rsid w:val="007F7564"/>
    <w:rsid w:val="007F79C2"/>
    <w:rsid w:val="007F7A68"/>
    <w:rsid w:val="007F7BA3"/>
    <w:rsid w:val="007F7DA6"/>
    <w:rsid w:val="007F8E32"/>
    <w:rsid w:val="0080063A"/>
    <w:rsid w:val="00800BB4"/>
    <w:rsid w:val="0080122C"/>
    <w:rsid w:val="008013E2"/>
    <w:rsid w:val="008017DA"/>
    <w:rsid w:val="0080188D"/>
    <w:rsid w:val="00801DB7"/>
    <w:rsid w:val="00801E13"/>
    <w:rsid w:val="00801F81"/>
    <w:rsid w:val="00802488"/>
    <w:rsid w:val="00802A5E"/>
    <w:rsid w:val="00802C5C"/>
    <w:rsid w:val="0080412B"/>
    <w:rsid w:val="0080426E"/>
    <w:rsid w:val="0080499E"/>
    <w:rsid w:val="008049A1"/>
    <w:rsid w:val="00804DF7"/>
    <w:rsid w:val="00804FD3"/>
    <w:rsid w:val="00805222"/>
    <w:rsid w:val="008052E7"/>
    <w:rsid w:val="00805660"/>
    <w:rsid w:val="00805B7E"/>
    <w:rsid w:val="00805E76"/>
    <w:rsid w:val="0080644E"/>
    <w:rsid w:val="008065CD"/>
    <w:rsid w:val="008076B3"/>
    <w:rsid w:val="00807C72"/>
    <w:rsid w:val="00807CFE"/>
    <w:rsid w:val="00807F64"/>
    <w:rsid w:val="00810713"/>
    <w:rsid w:val="00810833"/>
    <w:rsid w:val="00810F27"/>
    <w:rsid w:val="00811022"/>
    <w:rsid w:val="00811703"/>
    <w:rsid w:val="0081173A"/>
    <w:rsid w:val="008125EB"/>
    <w:rsid w:val="00812B71"/>
    <w:rsid w:val="008132D1"/>
    <w:rsid w:val="00813378"/>
    <w:rsid w:val="008136EF"/>
    <w:rsid w:val="00814383"/>
    <w:rsid w:val="008144E9"/>
    <w:rsid w:val="008150C4"/>
    <w:rsid w:val="00815268"/>
    <w:rsid w:val="008153DC"/>
    <w:rsid w:val="00815D0A"/>
    <w:rsid w:val="008166E2"/>
    <w:rsid w:val="00817276"/>
    <w:rsid w:val="00817735"/>
    <w:rsid w:val="008203BC"/>
    <w:rsid w:val="00820BDF"/>
    <w:rsid w:val="008221A2"/>
    <w:rsid w:val="00822362"/>
    <w:rsid w:val="0082240C"/>
    <w:rsid w:val="0082245C"/>
    <w:rsid w:val="008225D4"/>
    <w:rsid w:val="00822ACB"/>
    <w:rsid w:val="00822B59"/>
    <w:rsid w:val="00822FEB"/>
    <w:rsid w:val="00823097"/>
    <w:rsid w:val="00823194"/>
    <w:rsid w:val="00823A76"/>
    <w:rsid w:val="00823C2B"/>
    <w:rsid w:val="00823F19"/>
    <w:rsid w:val="00823F68"/>
    <w:rsid w:val="008240FE"/>
    <w:rsid w:val="008241F9"/>
    <w:rsid w:val="00824CF8"/>
    <w:rsid w:val="00824D98"/>
    <w:rsid w:val="00825394"/>
    <w:rsid w:val="00825EFC"/>
    <w:rsid w:val="00826440"/>
    <w:rsid w:val="0082658F"/>
    <w:rsid w:val="00826819"/>
    <w:rsid w:val="0082681E"/>
    <w:rsid w:val="00826947"/>
    <w:rsid w:val="0082758D"/>
    <w:rsid w:val="008276DC"/>
    <w:rsid w:val="00827B85"/>
    <w:rsid w:val="00827BF8"/>
    <w:rsid w:val="00827E29"/>
    <w:rsid w:val="00827FFE"/>
    <w:rsid w:val="0083093C"/>
    <w:rsid w:val="00830A96"/>
    <w:rsid w:val="00830D81"/>
    <w:rsid w:val="00830DCE"/>
    <w:rsid w:val="008310F5"/>
    <w:rsid w:val="00831276"/>
    <w:rsid w:val="0083142E"/>
    <w:rsid w:val="0083177E"/>
    <w:rsid w:val="0083197C"/>
    <w:rsid w:val="00831F72"/>
    <w:rsid w:val="00832027"/>
    <w:rsid w:val="0083212F"/>
    <w:rsid w:val="00832360"/>
    <w:rsid w:val="00832396"/>
    <w:rsid w:val="008323D4"/>
    <w:rsid w:val="00832B70"/>
    <w:rsid w:val="0083308A"/>
    <w:rsid w:val="00833840"/>
    <w:rsid w:val="00833944"/>
    <w:rsid w:val="008339CA"/>
    <w:rsid w:val="00833A3C"/>
    <w:rsid w:val="00833C38"/>
    <w:rsid w:val="008344C1"/>
    <w:rsid w:val="0083455E"/>
    <w:rsid w:val="0083462D"/>
    <w:rsid w:val="00834830"/>
    <w:rsid w:val="00834841"/>
    <w:rsid w:val="00834FE0"/>
    <w:rsid w:val="00835134"/>
    <w:rsid w:val="0083522B"/>
    <w:rsid w:val="00835806"/>
    <w:rsid w:val="00835C06"/>
    <w:rsid w:val="00835F79"/>
    <w:rsid w:val="0083655F"/>
    <w:rsid w:val="00836597"/>
    <w:rsid w:val="008374A8"/>
    <w:rsid w:val="00837531"/>
    <w:rsid w:val="008379C9"/>
    <w:rsid w:val="00837BBA"/>
    <w:rsid w:val="0084015F"/>
    <w:rsid w:val="00840528"/>
    <w:rsid w:val="00840C92"/>
    <w:rsid w:val="0084139D"/>
    <w:rsid w:val="00841956"/>
    <w:rsid w:val="00841B37"/>
    <w:rsid w:val="00841C43"/>
    <w:rsid w:val="00841D62"/>
    <w:rsid w:val="00842166"/>
    <w:rsid w:val="00842720"/>
    <w:rsid w:val="008429E1"/>
    <w:rsid w:val="00842D59"/>
    <w:rsid w:val="00842F7C"/>
    <w:rsid w:val="00843253"/>
    <w:rsid w:val="0084387B"/>
    <w:rsid w:val="00843BA9"/>
    <w:rsid w:val="00843D9F"/>
    <w:rsid w:val="00844613"/>
    <w:rsid w:val="008446AB"/>
    <w:rsid w:val="00844BAE"/>
    <w:rsid w:val="0084519E"/>
    <w:rsid w:val="00845CBB"/>
    <w:rsid w:val="0084649B"/>
    <w:rsid w:val="0084650B"/>
    <w:rsid w:val="008467BC"/>
    <w:rsid w:val="00846B0F"/>
    <w:rsid w:val="00847066"/>
    <w:rsid w:val="00847A33"/>
    <w:rsid w:val="008501F7"/>
    <w:rsid w:val="00850388"/>
    <w:rsid w:val="008503CD"/>
    <w:rsid w:val="008509E4"/>
    <w:rsid w:val="0085114E"/>
    <w:rsid w:val="008518B4"/>
    <w:rsid w:val="00851A42"/>
    <w:rsid w:val="008521B1"/>
    <w:rsid w:val="008523A5"/>
    <w:rsid w:val="008525EC"/>
    <w:rsid w:val="00852631"/>
    <w:rsid w:val="00852D57"/>
    <w:rsid w:val="00852FCD"/>
    <w:rsid w:val="00853262"/>
    <w:rsid w:val="0085369A"/>
    <w:rsid w:val="008539C0"/>
    <w:rsid w:val="00853B95"/>
    <w:rsid w:val="00853EDF"/>
    <w:rsid w:val="00853F77"/>
    <w:rsid w:val="008542C4"/>
    <w:rsid w:val="008544E7"/>
    <w:rsid w:val="00854C14"/>
    <w:rsid w:val="00855523"/>
    <w:rsid w:val="00855742"/>
    <w:rsid w:val="0085610B"/>
    <w:rsid w:val="008567D5"/>
    <w:rsid w:val="0085748E"/>
    <w:rsid w:val="00857D87"/>
    <w:rsid w:val="00860AED"/>
    <w:rsid w:val="00860E6E"/>
    <w:rsid w:val="00860EE3"/>
    <w:rsid w:val="00860F08"/>
    <w:rsid w:val="00860FE6"/>
    <w:rsid w:val="008616C6"/>
    <w:rsid w:val="00861809"/>
    <w:rsid w:val="00861863"/>
    <w:rsid w:val="00861D23"/>
    <w:rsid w:val="008624E6"/>
    <w:rsid w:val="0086252F"/>
    <w:rsid w:val="008630C5"/>
    <w:rsid w:val="0086312A"/>
    <w:rsid w:val="00863866"/>
    <w:rsid w:val="008643F9"/>
    <w:rsid w:val="00864602"/>
    <w:rsid w:val="0086474A"/>
    <w:rsid w:val="00864AE8"/>
    <w:rsid w:val="00864BB5"/>
    <w:rsid w:val="00864E38"/>
    <w:rsid w:val="0086523E"/>
    <w:rsid w:val="008652DE"/>
    <w:rsid w:val="00865428"/>
    <w:rsid w:val="00865740"/>
    <w:rsid w:val="008658F7"/>
    <w:rsid w:val="00865BEC"/>
    <w:rsid w:val="00865E98"/>
    <w:rsid w:val="0086668D"/>
    <w:rsid w:val="0086681B"/>
    <w:rsid w:val="00866CA2"/>
    <w:rsid w:val="00866EDE"/>
    <w:rsid w:val="00867289"/>
    <w:rsid w:val="0087016E"/>
    <w:rsid w:val="008702AC"/>
    <w:rsid w:val="008705CB"/>
    <w:rsid w:val="00870BB7"/>
    <w:rsid w:val="0087119E"/>
    <w:rsid w:val="00871691"/>
    <w:rsid w:val="008717BE"/>
    <w:rsid w:val="008719D4"/>
    <w:rsid w:val="0087255D"/>
    <w:rsid w:val="008727FC"/>
    <w:rsid w:val="00872A5B"/>
    <w:rsid w:val="00872E8F"/>
    <w:rsid w:val="00872EC6"/>
    <w:rsid w:val="00873046"/>
    <w:rsid w:val="00873523"/>
    <w:rsid w:val="008737AA"/>
    <w:rsid w:val="0087388F"/>
    <w:rsid w:val="008739FE"/>
    <w:rsid w:val="00873F7C"/>
    <w:rsid w:val="00874044"/>
    <w:rsid w:val="0087443A"/>
    <w:rsid w:val="00874A66"/>
    <w:rsid w:val="00874C17"/>
    <w:rsid w:val="00874DD4"/>
    <w:rsid w:val="00874EB1"/>
    <w:rsid w:val="00875A08"/>
    <w:rsid w:val="008764D5"/>
    <w:rsid w:val="008765EF"/>
    <w:rsid w:val="00876EBE"/>
    <w:rsid w:val="0087724E"/>
    <w:rsid w:val="008772F5"/>
    <w:rsid w:val="00877A98"/>
    <w:rsid w:val="00877DEA"/>
    <w:rsid w:val="00880294"/>
    <w:rsid w:val="00880295"/>
    <w:rsid w:val="00880A2A"/>
    <w:rsid w:val="00880EE9"/>
    <w:rsid w:val="00880F56"/>
    <w:rsid w:val="00881457"/>
    <w:rsid w:val="0088163A"/>
    <w:rsid w:val="0088164F"/>
    <w:rsid w:val="00881686"/>
    <w:rsid w:val="008819E7"/>
    <w:rsid w:val="00881B1A"/>
    <w:rsid w:val="008826E6"/>
    <w:rsid w:val="00882F21"/>
    <w:rsid w:val="008830D5"/>
    <w:rsid w:val="008832A1"/>
    <w:rsid w:val="00883B16"/>
    <w:rsid w:val="00883E95"/>
    <w:rsid w:val="0088421A"/>
    <w:rsid w:val="0088428B"/>
    <w:rsid w:val="008847B4"/>
    <w:rsid w:val="00884921"/>
    <w:rsid w:val="00884C39"/>
    <w:rsid w:val="00884C75"/>
    <w:rsid w:val="00884D48"/>
    <w:rsid w:val="00884FD2"/>
    <w:rsid w:val="00885247"/>
    <w:rsid w:val="00885396"/>
    <w:rsid w:val="008856F8"/>
    <w:rsid w:val="008859F7"/>
    <w:rsid w:val="0088602B"/>
    <w:rsid w:val="00886198"/>
    <w:rsid w:val="008861AA"/>
    <w:rsid w:val="00886378"/>
    <w:rsid w:val="00886C2D"/>
    <w:rsid w:val="00887144"/>
    <w:rsid w:val="0088764C"/>
    <w:rsid w:val="00887C3F"/>
    <w:rsid w:val="00890087"/>
    <w:rsid w:val="008902A5"/>
    <w:rsid w:val="008906B8"/>
    <w:rsid w:val="00890992"/>
    <w:rsid w:val="008909BB"/>
    <w:rsid w:val="008909C6"/>
    <w:rsid w:val="00890C8E"/>
    <w:rsid w:val="00891114"/>
    <w:rsid w:val="00891234"/>
    <w:rsid w:val="0089156B"/>
    <w:rsid w:val="0089162D"/>
    <w:rsid w:val="00891778"/>
    <w:rsid w:val="0089177E"/>
    <w:rsid w:val="00891EDC"/>
    <w:rsid w:val="008933B5"/>
    <w:rsid w:val="00893461"/>
    <w:rsid w:val="008936A7"/>
    <w:rsid w:val="00893ABF"/>
    <w:rsid w:val="0089457A"/>
    <w:rsid w:val="00894C90"/>
    <w:rsid w:val="0089521C"/>
    <w:rsid w:val="00895901"/>
    <w:rsid w:val="00895B0C"/>
    <w:rsid w:val="00895B27"/>
    <w:rsid w:val="00895E5E"/>
    <w:rsid w:val="0089620C"/>
    <w:rsid w:val="008966A1"/>
    <w:rsid w:val="00896771"/>
    <w:rsid w:val="00896E61"/>
    <w:rsid w:val="008A0696"/>
    <w:rsid w:val="008A0BCB"/>
    <w:rsid w:val="008A0C00"/>
    <w:rsid w:val="008A0DBE"/>
    <w:rsid w:val="008A1248"/>
    <w:rsid w:val="008A129E"/>
    <w:rsid w:val="008A132D"/>
    <w:rsid w:val="008A1686"/>
    <w:rsid w:val="008A17CF"/>
    <w:rsid w:val="008A1D9D"/>
    <w:rsid w:val="008A1E97"/>
    <w:rsid w:val="008A260F"/>
    <w:rsid w:val="008A2640"/>
    <w:rsid w:val="008A2E67"/>
    <w:rsid w:val="008A3470"/>
    <w:rsid w:val="008A4099"/>
    <w:rsid w:val="008A4546"/>
    <w:rsid w:val="008A49E9"/>
    <w:rsid w:val="008A4ABD"/>
    <w:rsid w:val="008A4B21"/>
    <w:rsid w:val="008A4BE3"/>
    <w:rsid w:val="008A5C4E"/>
    <w:rsid w:val="008A5E15"/>
    <w:rsid w:val="008A60B9"/>
    <w:rsid w:val="008A64DC"/>
    <w:rsid w:val="008A67AB"/>
    <w:rsid w:val="008A6987"/>
    <w:rsid w:val="008A6DDA"/>
    <w:rsid w:val="008A6E0C"/>
    <w:rsid w:val="008A745F"/>
    <w:rsid w:val="008A76B3"/>
    <w:rsid w:val="008B0293"/>
    <w:rsid w:val="008B0352"/>
    <w:rsid w:val="008B0977"/>
    <w:rsid w:val="008B10B3"/>
    <w:rsid w:val="008B10DC"/>
    <w:rsid w:val="008B13CB"/>
    <w:rsid w:val="008B157E"/>
    <w:rsid w:val="008B180E"/>
    <w:rsid w:val="008B1FDE"/>
    <w:rsid w:val="008B21E7"/>
    <w:rsid w:val="008B25B7"/>
    <w:rsid w:val="008B4B24"/>
    <w:rsid w:val="008B4C09"/>
    <w:rsid w:val="008B4C3B"/>
    <w:rsid w:val="008B4C44"/>
    <w:rsid w:val="008B514D"/>
    <w:rsid w:val="008B5842"/>
    <w:rsid w:val="008B5A40"/>
    <w:rsid w:val="008B6021"/>
    <w:rsid w:val="008B68FE"/>
    <w:rsid w:val="008B6FDC"/>
    <w:rsid w:val="008B770C"/>
    <w:rsid w:val="008B77A3"/>
    <w:rsid w:val="008B7842"/>
    <w:rsid w:val="008B7CB9"/>
    <w:rsid w:val="008C00D9"/>
    <w:rsid w:val="008C0787"/>
    <w:rsid w:val="008C0902"/>
    <w:rsid w:val="008C10F6"/>
    <w:rsid w:val="008C1242"/>
    <w:rsid w:val="008C139F"/>
    <w:rsid w:val="008C16CD"/>
    <w:rsid w:val="008C175D"/>
    <w:rsid w:val="008C17BB"/>
    <w:rsid w:val="008C18E0"/>
    <w:rsid w:val="008C1A04"/>
    <w:rsid w:val="008C225D"/>
    <w:rsid w:val="008C2322"/>
    <w:rsid w:val="008C2851"/>
    <w:rsid w:val="008C2CA3"/>
    <w:rsid w:val="008C2E29"/>
    <w:rsid w:val="008C36AA"/>
    <w:rsid w:val="008C3700"/>
    <w:rsid w:val="008C382F"/>
    <w:rsid w:val="008C38E0"/>
    <w:rsid w:val="008C393F"/>
    <w:rsid w:val="008C3B43"/>
    <w:rsid w:val="008C3E26"/>
    <w:rsid w:val="008C41C4"/>
    <w:rsid w:val="008C4340"/>
    <w:rsid w:val="008C45F8"/>
    <w:rsid w:val="008C51E2"/>
    <w:rsid w:val="008C52BB"/>
    <w:rsid w:val="008C55F4"/>
    <w:rsid w:val="008C5EEC"/>
    <w:rsid w:val="008C61C9"/>
    <w:rsid w:val="008C6458"/>
    <w:rsid w:val="008C732F"/>
    <w:rsid w:val="008C7B76"/>
    <w:rsid w:val="008C7C78"/>
    <w:rsid w:val="008D0289"/>
    <w:rsid w:val="008D05A3"/>
    <w:rsid w:val="008D0A72"/>
    <w:rsid w:val="008D1B4F"/>
    <w:rsid w:val="008D28C2"/>
    <w:rsid w:val="008D2C20"/>
    <w:rsid w:val="008D3421"/>
    <w:rsid w:val="008D34BE"/>
    <w:rsid w:val="008D3806"/>
    <w:rsid w:val="008D3EE4"/>
    <w:rsid w:val="008D3F4E"/>
    <w:rsid w:val="008D4215"/>
    <w:rsid w:val="008D4367"/>
    <w:rsid w:val="008D4725"/>
    <w:rsid w:val="008D48CF"/>
    <w:rsid w:val="008D4F14"/>
    <w:rsid w:val="008D4F36"/>
    <w:rsid w:val="008D570C"/>
    <w:rsid w:val="008D5889"/>
    <w:rsid w:val="008D5B00"/>
    <w:rsid w:val="008D5D8A"/>
    <w:rsid w:val="008D5EFD"/>
    <w:rsid w:val="008D63D5"/>
    <w:rsid w:val="008D652D"/>
    <w:rsid w:val="008D6C65"/>
    <w:rsid w:val="008D7618"/>
    <w:rsid w:val="008D7748"/>
    <w:rsid w:val="008D7968"/>
    <w:rsid w:val="008D79A4"/>
    <w:rsid w:val="008D7A1F"/>
    <w:rsid w:val="008D7A72"/>
    <w:rsid w:val="008D7B69"/>
    <w:rsid w:val="008E03FF"/>
    <w:rsid w:val="008E10A8"/>
    <w:rsid w:val="008E1798"/>
    <w:rsid w:val="008E1C09"/>
    <w:rsid w:val="008E1D4E"/>
    <w:rsid w:val="008E20F4"/>
    <w:rsid w:val="008E2410"/>
    <w:rsid w:val="008E2BF6"/>
    <w:rsid w:val="008E2DC2"/>
    <w:rsid w:val="008E2F39"/>
    <w:rsid w:val="008E2F7D"/>
    <w:rsid w:val="008E332D"/>
    <w:rsid w:val="008E3528"/>
    <w:rsid w:val="008E3C6C"/>
    <w:rsid w:val="008E440C"/>
    <w:rsid w:val="008E47A2"/>
    <w:rsid w:val="008E489A"/>
    <w:rsid w:val="008E4EAF"/>
    <w:rsid w:val="008E59DD"/>
    <w:rsid w:val="008E5B4F"/>
    <w:rsid w:val="008E6140"/>
    <w:rsid w:val="008E6710"/>
    <w:rsid w:val="008E6874"/>
    <w:rsid w:val="008E72EB"/>
    <w:rsid w:val="008E7395"/>
    <w:rsid w:val="008E75DB"/>
    <w:rsid w:val="008E79E4"/>
    <w:rsid w:val="008F0229"/>
    <w:rsid w:val="008F02BE"/>
    <w:rsid w:val="008F090B"/>
    <w:rsid w:val="008F0DCB"/>
    <w:rsid w:val="008F0F14"/>
    <w:rsid w:val="008F1656"/>
    <w:rsid w:val="008F1D9D"/>
    <w:rsid w:val="008F1FEC"/>
    <w:rsid w:val="008F20E0"/>
    <w:rsid w:val="008F20EA"/>
    <w:rsid w:val="008F2335"/>
    <w:rsid w:val="008F275D"/>
    <w:rsid w:val="008F2E8D"/>
    <w:rsid w:val="008F2FE5"/>
    <w:rsid w:val="008F32BB"/>
    <w:rsid w:val="008F353D"/>
    <w:rsid w:val="008F3901"/>
    <w:rsid w:val="008F3B20"/>
    <w:rsid w:val="008F4330"/>
    <w:rsid w:val="008F49A1"/>
    <w:rsid w:val="008F4A82"/>
    <w:rsid w:val="008F4DB8"/>
    <w:rsid w:val="008F581F"/>
    <w:rsid w:val="008F5973"/>
    <w:rsid w:val="008F6739"/>
    <w:rsid w:val="008F6831"/>
    <w:rsid w:val="008F6B05"/>
    <w:rsid w:val="008F6C99"/>
    <w:rsid w:val="008F71A0"/>
    <w:rsid w:val="008F71F0"/>
    <w:rsid w:val="008F724B"/>
    <w:rsid w:val="008F7326"/>
    <w:rsid w:val="008F7C5A"/>
    <w:rsid w:val="008F7F05"/>
    <w:rsid w:val="008F7F77"/>
    <w:rsid w:val="0090009B"/>
    <w:rsid w:val="009002CD"/>
    <w:rsid w:val="00900545"/>
    <w:rsid w:val="00900A08"/>
    <w:rsid w:val="00900CC8"/>
    <w:rsid w:val="0090113C"/>
    <w:rsid w:val="00901264"/>
    <w:rsid w:val="0090156E"/>
    <w:rsid w:val="00901E01"/>
    <w:rsid w:val="009023F5"/>
    <w:rsid w:val="009027AD"/>
    <w:rsid w:val="009028A9"/>
    <w:rsid w:val="00902975"/>
    <w:rsid w:val="009029C2"/>
    <w:rsid w:val="00902A82"/>
    <w:rsid w:val="00902B41"/>
    <w:rsid w:val="00902B47"/>
    <w:rsid w:val="00903C9A"/>
    <w:rsid w:val="00903E9D"/>
    <w:rsid w:val="0090402A"/>
    <w:rsid w:val="00904159"/>
    <w:rsid w:val="00904448"/>
    <w:rsid w:val="00904674"/>
    <w:rsid w:val="009046CD"/>
    <w:rsid w:val="00904AB1"/>
    <w:rsid w:val="00904CA6"/>
    <w:rsid w:val="00904E83"/>
    <w:rsid w:val="009051C7"/>
    <w:rsid w:val="00905311"/>
    <w:rsid w:val="00905400"/>
    <w:rsid w:val="009055EE"/>
    <w:rsid w:val="009057DF"/>
    <w:rsid w:val="00905B3E"/>
    <w:rsid w:val="00905DC4"/>
    <w:rsid w:val="009060CC"/>
    <w:rsid w:val="0090624C"/>
    <w:rsid w:val="00906BC6"/>
    <w:rsid w:val="00906E88"/>
    <w:rsid w:val="00907383"/>
    <w:rsid w:val="009075B7"/>
    <w:rsid w:val="00907DAA"/>
    <w:rsid w:val="00910144"/>
    <w:rsid w:val="00910937"/>
    <w:rsid w:val="00910B54"/>
    <w:rsid w:val="00910EA3"/>
    <w:rsid w:val="00910FA4"/>
    <w:rsid w:val="009111A8"/>
    <w:rsid w:val="0091221B"/>
    <w:rsid w:val="009127D1"/>
    <w:rsid w:val="00912860"/>
    <w:rsid w:val="009128C2"/>
    <w:rsid w:val="00912923"/>
    <w:rsid w:val="00912C26"/>
    <w:rsid w:val="00912F98"/>
    <w:rsid w:val="00913160"/>
    <w:rsid w:val="0091332E"/>
    <w:rsid w:val="009136C4"/>
    <w:rsid w:val="00913840"/>
    <w:rsid w:val="00913E05"/>
    <w:rsid w:val="0091462A"/>
    <w:rsid w:val="00914888"/>
    <w:rsid w:val="00914924"/>
    <w:rsid w:val="00914E1C"/>
    <w:rsid w:val="009150E0"/>
    <w:rsid w:val="0091562A"/>
    <w:rsid w:val="00916448"/>
    <w:rsid w:val="00916FA8"/>
    <w:rsid w:val="009176AA"/>
    <w:rsid w:val="00917761"/>
    <w:rsid w:val="00917B7A"/>
    <w:rsid w:val="00917D39"/>
    <w:rsid w:val="00917D90"/>
    <w:rsid w:val="00920233"/>
    <w:rsid w:val="0092029D"/>
    <w:rsid w:val="00920707"/>
    <w:rsid w:val="009212EE"/>
    <w:rsid w:val="009214E3"/>
    <w:rsid w:val="009219CC"/>
    <w:rsid w:val="0092210C"/>
    <w:rsid w:val="009222CE"/>
    <w:rsid w:val="009223A4"/>
    <w:rsid w:val="00922764"/>
    <w:rsid w:val="0092297E"/>
    <w:rsid w:val="00922ACD"/>
    <w:rsid w:val="00922B04"/>
    <w:rsid w:val="009230FD"/>
    <w:rsid w:val="00923929"/>
    <w:rsid w:val="00923AC5"/>
    <w:rsid w:val="00923ADC"/>
    <w:rsid w:val="00923DCE"/>
    <w:rsid w:val="00923F8F"/>
    <w:rsid w:val="00923FA3"/>
    <w:rsid w:val="00924371"/>
    <w:rsid w:val="00924CC0"/>
    <w:rsid w:val="00924DA2"/>
    <w:rsid w:val="0092515F"/>
    <w:rsid w:val="0092516B"/>
    <w:rsid w:val="00925647"/>
    <w:rsid w:val="009259A3"/>
    <w:rsid w:val="00925AA7"/>
    <w:rsid w:val="00925D6C"/>
    <w:rsid w:val="00925EEA"/>
    <w:rsid w:val="009260AE"/>
    <w:rsid w:val="00926938"/>
    <w:rsid w:val="00927839"/>
    <w:rsid w:val="00927BC4"/>
    <w:rsid w:val="00927EC9"/>
    <w:rsid w:val="009304B9"/>
    <w:rsid w:val="009305C2"/>
    <w:rsid w:val="009313C7"/>
    <w:rsid w:val="00931487"/>
    <w:rsid w:val="00932305"/>
    <w:rsid w:val="00932327"/>
    <w:rsid w:val="00932A4F"/>
    <w:rsid w:val="00933792"/>
    <w:rsid w:val="00933B57"/>
    <w:rsid w:val="00934035"/>
    <w:rsid w:val="00934058"/>
    <w:rsid w:val="009343F8"/>
    <w:rsid w:val="009348A4"/>
    <w:rsid w:val="00934A45"/>
    <w:rsid w:val="00934AC8"/>
    <w:rsid w:val="009350AB"/>
    <w:rsid w:val="00935256"/>
    <w:rsid w:val="00935501"/>
    <w:rsid w:val="00935803"/>
    <w:rsid w:val="0093630B"/>
    <w:rsid w:val="0093669E"/>
    <w:rsid w:val="00936DD6"/>
    <w:rsid w:val="00936F56"/>
    <w:rsid w:val="0093701A"/>
    <w:rsid w:val="009373B1"/>
    <w:rsid w:val="0093743A"/>
    <w:rsid w:val="00937578"/>
    <w:rsid w:val="009376CB"/>
    <w:rsid w:val="00937C63"/>
    <w:rsid w:val="00937E5A"/>
    <w:rsid w:val="0094062F"/>
    <w:rsid w:val="00942067"/>
    <w:rsid w:val="00942282"/>
    <w:rsid w:val="00942421"/>
    <w:rsid w:val="009424B4"/>
    <w:rsid w:val="009424E6"/>
    <w:rsid w:val="009427D5"/>
    <w:rsid w:val="00942A3E"/>
    <w:rsid w:val="00942A9C"/>
    <w:rsid w:val="00942C12"/>
    <w:rsid w:val="009432FF"/>
    <w:rsid w:val="0094377C"/>
    <w:rsid w:val="009444A0"/>
    <w:rsid w:val="0094474D"/>
    <w:rsid w:val="00944A12"/>
    <w:rsid w:val="00944CB8"/>
    <w:rsid w:val="0094530F"/>
    <w:rsid w:val="009459A9"/>
    <w:rsid w:val="00945E72"/>
    <w:rsid w:val="00945E83"/>
    <w:rsid w:val="009462B6"/>
    <w:rsid w:val="00946D64"/>
    <w:rsid w:val="0094702D"/>
    <w:rsid w:val="00947285"/>
    <w:rsid w:val="0094766C"/>
    <w:rsid w:val="00947EC8"/>
    <w:rsid w:val="009503B4"/>
    <w:rsid w:val="00950538"/>
    <w:rsid w:val="009508AF"/>
    <w:rsid w:val="00950A3D"/>
    <w:rsid w:val="00951416"/>
    <w:rsid w:val="00951E59"/>
    <w:rsid w:val="00951ED7"/>
    <w:rsid w:val="009525F0"/>
    <w:rsid w:val="009525F2"/>
    <w:rsid w:val="00953002"/>
    <w:rsid w:val="00953049"/>
    <w:rsid w:val="0095313A"/>
    <w:rsid w:val="009541C7"/>
    <w:rsid w:val="009543ED"/>
    <w:rsid w:val="009546D9"/>
    <w:rsid w:val="00954ADF"/>
    <w:rsid w:val="00954C3B"/>
    <w:rsid w:val="00954D13"/>
    <w:rsid w:val="00955018"/>
    <w:rsid w:val="00955341"/>
    <w:rsid w:val="00955749"/>
    <w:rsid w:val="00955F44"/>
    <w:rsid w:val="00955FC7"/>
    <w:rsid w:val="0095616A"/>
    <w:rsid w:val="00956427"/>
    <w:rsid w:val="0095679E"/>
    <w:rsid w:val="00956B05"/>
    <w:rsid w:val="00956C89"/>
    <w:rsid w:val="00956DBC"/>
    <w:rsid w:val="009575E4"/>
    <w:rsid w:val="00957D01"/>
    <w:rsid w:val="00957ECA"/>
    <w:rsid w:val="00957F06"/>
    <w:rsid w:val="0096006F"/>
    <w:rsid w:val="00960D7A"/>
    <w:rsid w:val="00961042"/>
    <w:rsid w:val="0096109B"/>
    <w:rsid w:val="0096127B"/>
    <w:rsid w:val="009613D5"/>
    <w:rsid w:val="00962415"/>
    <w:rsid w:val="00962E80"/>
    <w:rsid w:val="00962F2B"/>
    <w:rsid w:val="00963222"/>
    <w:rsid w:val="00963596"/>
    <w:rsid w:val="0096393B"/>
    <w:rsid w:val="00963F1C"/>
    <w:rsid w:val="00964295"/>
    <w:rsid w:val="00964BD2"/>
    <w:rsid w:val="00964C44"/>
    <w:rsid w:val="0096500A"/>
    <w:rsid w:val="00965690"/>
    <w:rsid w:val="009662BE"/>
    <w:rsid w:val="0096691F"/>
    <w:rsid w:val="00966D67"/>
    <w:rsid w:val="00966DDE"/>
    <w:rsid w:val="00967010"/>
    <w:rsid w:val="00967670"/>
    <w:rsid w:val="00967906"/>
    <w:rsid w:val="00967AA2"/>
    <w:rsid w:val="009705CE"/>
    <w:rsid w:val="009705CF"/>
    <w:rsid w:val="00970DEA"/>
    <w:rsid w:val="009718B0"/>
    <w:rsid w:val="00971D27"/>
    <w:rsid w:val="009721E7"/>
    <w:rsid w:val="00972486"/>
    <w:rsid w:val="009727C5"/>
    <w:rsid w:val="009731D2"/>
    <w:rsid w:val="009732B6"/>
    <w:rsid w:val="00973442"/>
    <w:rsid w:val="0097352E"/>
    <w:rsid w:val="00973EDE"/>
    <w:rsid w:val="0097412E"/>
    <w:rsid w:val="00974912"/>
    <w:rsid w:val="00974A89"/>
    <w:rsid w:val="00974CC5"/>
    <w:rsid w:val="00974FEA"/>
    <w:rsid w:val="00975004"/>
    <w:rsid w:val="00975160"/>
    <w:rsid w:val="00975EFF"/>
    <w:rsid w:val="0097612F"/>
    <w:rsid w:val="00976588"/>
    <w:rsid w:val="009767DE"/>
    <w:rsid w:val="00977552"/>
    <w:rsid w:val="00977602"/>
    <w:rsid w:val="00977C85"/>
    <w:rsid w:val="009802E4"/>
    <w:rsid w:val="0098061C"/>
    <w:rsid w:val="00980832"/>
    <w:rsid w:val="00980AC9"/>
    <w:rsid w:val="00980C87"/>
    <w:rsid w:val="00981047"/>
    <w:rsid w:val="00981180"/>
    <w:rsid w:val="009811CE"/>
    <w:rsid w:val="0098136D"/>
    <w:rsid w:val="009817D7"/>
    <w:rsid w:val="009817E9"/>
    <w:rsid w:val="00981908"/>
    <w:rsid w:val="00981943"/>
    <w:rsid w:val="00981FF9"/>
    <w:rsid w:val="00982026"/>
    <w:rsid w:val="0098213D"/>
    <w:rsid w:val="00982527"/>
    <w:rsid w:val="00983250"/>
    <w:rsid w:val="00983662"/>
    <w:rsid w:val="00983913"/>
    <w:rsid w:val="00983AD1"/>
    <w:rsid w:val="0098486A"/>
    <w:rsid w:val="009852F0"/>
    <w:rsid w:val="009856DB"/>
    <w:rsid w:val="00985899"/>
    <w:rsid w:val="0098643E"/>
    <w:rsid w:val="00987055"/>
    <w:rsid w:val="00987141"/>
    <w:rsid w:val="009874B6"/>
    <w:rsid w:val="009874FC"/>
    <w:rsid w:val="00987563"/>
    <w:rsid w:val="00987A3D"/>
    <w:rsid w:val="009901EC"/>
    <w:rsid w:val="0099027F"/>
    <w:rsid w:val="00990873"/>
    <w:rsid w:val="0099151E"/>
    <w:rsid w:val="00991546"/>
    <w:rsid w:val="009919F0"/>
    <w:rsid w:val="00991BAE"/>
    <w:rsid w:val="00992496"/>
    <w:rsid w:val="009925A3"/>
    <w:rsid w:val="00992B88"/>
    <w:rsid w:val="00992F7E"/>
    <w:rsid w:val="00992F85"/>
    <w:rsid w:val="009932F8"/>
    <w:rsid w:val="00993AA4"/>
    <w:rsid w:val="0099401A"/>
    <w:rsid w:val="00994069"/>
    <w:rsid w:val="009942F4"/>
    <w:rsid w:val="00994816"/>
    <w:rsid w:val="00994976"/>
    <w:rsid w:val="009951BB"/>
    <w:rsid w:val="00995383"/>
    <w:rsid w:val="00995789"/>
    <w:rsid w:val="00996254"/>
    <w:rsid w:val="009964CE"/>
    <w:rsid w:val="00996752"/>
    <w:rsid w:val="00996BDA"/>
    <w:rsid w:val="00996BE7"/>
    <w:rsid w:val="00996BF9"/>
    <w:rsid w:val="00996E21"/>
    <w:rsid w:val="00996FCC"/>
    <w:rsid w:val="00997235"/>
    <w:rsid w:val="0099732D"/>
    <w:rsid w:val="00997474"/>
    <w:rsid w:val="00997513"/>
    <w:rsid w:val="009975FB"/>
    <w:rsid w:val="00997ADC"/>
    <w:rsid w:val="00997B7D"/>
    <w:rsid w:val="00997D12"/>
    <w:rsid w:val="00997F16"/>
    <w:rsid w:val="009A08A3"/>
    <w:rsid w:val="009A0AF6"/>
    <w:rsid w:val="009A0B8C"/>
    <w:rsid w:val="009A12CD"/>
    <w:rsid w:val="009A2083"/>
    <w:rsid w:val="009A25AF"/>
    <w:rsid w:val="009A26E6"/>
    <w:rsid w:val="009A2A16"/>
    <w:rsid w:val="009A2ACD"/>
    <w:rsid w:val="009A2CE1"/>
    <w:rsid w:val="009A3037"/>
    <w:rsid w:val="009A3156"/>
    <w:rsid w:val="009A31C2"/>
    <w:rsid w:val="009A3E0E"/>
    <w:rsid w:val="009A3F08"/>
    <w:rsid w:val="009A41DA"/>
    <w:rsid w:val="009A5174"/>
    <w:rsid w:val="009A51C4"/>
    <w:rsid w:val="009A562B"/>
    <w:rsid w:val="009A595E"/>
    <w:rsid w:val="009A64F4"/>
    <w:rsid w:val="009A668E"/>
    <w:rsid w:val="009A6F46"/>
    <w:rsid w:val="009A754E"/>
    <w:rsid w:val="009A7E67"/>
    <w:rsid w:val="009A7EAC"/>
    <w:rsid w:val="009B0222"/>
    <w:rsid w:val="009B0A13"/>
    <w:rsid w:val="009B0A4A"/>
    <w:rsid w:val="009B1020"/>
    <w:rsid w:val="009B13C9"/>
    <w:rsid w:val="009B2053"/>
    <w:rsid w:val="009B2151"/>
    <w:rsid w:val="009B25B7"/>
    <w:rsid w:val="009B2734"/>
    <w:rsid w:val="009B2894"/>
    <w:rsid w:val="009B2934"/>
    <w:rsid w:val="009B2BE6"/>
    <w:rsid w:val="009B2C9A"/>
    <w:rsid w:val="009B2ED9"/>
    <w:rsid w:val="009B2EF0"/>
    <w:rsid w:val="009B2F69"/>
    <w:rsid w:val="009B2FEC"/>
    <w:rsid w:val="009B345A"/>
    <w:rsid w:val="009B34A6"/>
    <w:rsid w:val="009B3554"/>
    <w:rsid w:val="009B3ECE"/>
    <w:rsid w:val="009B46F7"/>
    <w:rsid w:val="009B4996"/>
    <w:rsid w:val="009B500B"/>
    <w:rsid w:val="009B5516"/>
    <w:rsid w:val="009B5B47"/>
    <w:rsid w:val="009B6B4C"/>
    <w:rsid w:val="009B6C95"/>
    <w:rsid w:val="009B6ECA"/>
    <w:rsid w:val="009B70A4"/>
    <w:rsid w:val="009B727A"/>
    <w:rsid w:val="009B775C"/>
    <w:rsid w:val="009C078F"/>
    <w:rsid w:val="009C1B15"/>
    <w:rsid w:val="009C1CC9"/>
    <w:rsid w:val="009C1F8F"/>
    <w:rsid w:val="009C2222"/>
    <w:rsid w:val="009C286B"/>
    <w:rsid w:val="009C28B2"/>
    <w:rsid w:val="009C2937"/>
    <w:rsid w:val="009C29E6"/>
    <w:rsid w:val="009C2D44"/>
    <w:rsid w:val="009C2F73"/>
    <w:rsid w:val="009C3AA3"/>
    <w:rsid w:val="009C3EAE"/>
    <w:rsid w:val="009C476B"/>
    <w:rsid w:val="009C493C"/>
    <w:rsid w:val="009C4AD2"/>
    <w:rsid w:val="009C4EB6"/>
    <w:rsid w:val="009C4ECF"/>
    <w:rsid w:val="009C52DE"/>
    <w:rsid w:val="009C5D4A"/>
    <w:rsid w:val="009C619A"/>
    <w:rsid w:val="009C63CA"/>
    <w:rsid w:val="009C6758"/>
    <w:rsid w:val="009C6D47"/>
    <w:rsid w:val="009C7847"/>
    <w:rsid w:val="009C7DE4"/>
    <w:rsid w:val="009D012C"/>
    <w:rsid w:val="009D023B"/>
    <w:rsid w:val="009D033C"/>
    <w:rsid w:val="009D05E7"/>
    <w:rsid w:val="009D0A70"/>
    <w:rsid w:val="009D0CE7"/>
    <w:rsid w:val="009D0D3F"/>
    <w:rsid w:val="009D1113"/>
    <w:rsid w:val="009D13D0"/>
    <w:rsid w:val="009D195A"/>
    <w:rsid w:val="009D22E1"/>
    <w:rsid w:val="009D22FB"/>
    <w:rsid w:val="009D24B1"/>
    <w:rsid w:val="009D295E"/>
    <w:rsid w:val="009D2E05"/>
    <w:rsid w:val="009D3066"/>
    <w:rsid w:val="009D310F"/>
    <w:rsid w:val="009D316D"/>
    <w:rsid w:val="009D33E8"/>
    <w:rsid w:val="009D3552"/>
    <w:rsid w:val="009D3C90"/>
    <w:rsid w:val="009D3ECA"/>
    <w:rsid w:val="009D422D"/>
    <w:rsid w:val="009D42DE"/>
    <w:rsid w:val="009D4661"/>
    <w:rsid w:val="009D4A72"/>
    <w:rsid w:val="009D4F79"/>
    <w:rsid w:val="009D52BF"/>
    <w:rsid w:val="009D5465"/>
    <w:rsid w:val="009D594D"/>
    <w:rsid w:val="009D5EDF"/>
    <w:rsid w:val="009D5FB7"/>
    <w:rsid w:val="009D6100"/>
    <w:rsid w:val="009D6E1A"/>
    <w:rsid w:val="009D6F4E"/>
    <w:rsid w:val="009D7923"/>
    <w:rsid w:val="009D7DFB"/>
    <w:rsid w:val="009E0264"/>
    <w:rsid w:val="009E0523"/>
    <w:rsid w:val="009E089F"/>
    <w:rsid w:val="009E0EE8"/>
    <w:rsid w:val="009E144B"/>
    <w:rsid w:val="009E1E4D"/>
    <w:rsid w:val="009E2E8E"/>
    <w:rsid w:val="009E33E4"/>
    <w:rsid w:val="009E37F3"/>
    <w:rsid w:val="009E380B"/>
    <w:rsid w:val="009E465A"/>
    <w:rsid w:val="009E4734"/>
    <w:rsid w:val="009E4F2F"/>
    <w:rsid w:val="009E5B0D"/>
    <w:rsid w:val="009E5BAF"/>
    <w:rsid w:val="009E619C"/>
    <w:rsid w:val="009E658A"/>
    <w:rsid w:val="009E6814"/>
    <w:rsid w:val="009E6EA8"/>
    <w:rsid w:val="009E734D"/>
    <w:rsid w:val="009F0140"/>
    <w:rsid w:val="009F0294"/>
    <w:rsid w:val="009F06CE"/>
    <w:rsid w:val="009F07DA"/>
    <w:rsid w:val="009F08F1"/>
    <w:rsid w:val="009F0BAE"/>
    <w:rsid w:val="009F140A"/>
    <w:rsid w:val="009F1E14"/>
    <w:rsid w:val="009F22DE"/>
    <w:rsid w:val="009F2521"/>
    <w:rsid w:val="009F262D"/>
    <w:rsid w:val="009F2812"/>
    <w:rsid w:val="009F3266"/>
    <w:rsid w:val="009F38C4"/>
    <w:rsid w:val="009F3E8B"/>
    <w:rsid w:val="009F402B"/>
    <w:rsid w:val="009F423F"/>
    <w:rsid w:val="009F46E7"/>
    <w:rsid w:val="009F489D"/>
    <w:rsid w:val="009F49BB"/>
    <w:rsid w:val="009F4A1C"/>
    <w:rsid w:val="009F4C13"/>
    <w:rsid w:val="009F4C3F"/>
    <w:rsid w:val="009F547C"/>
    <w:rsid w:val="009F54A6"/>
    <w:rsid w:val="009F56CE"/>
    <w:rsid w:val="009F58CE"/>
    <w:rsid w:val="009F7414"/>
    <w:rsid w:val="009F786E"/>
    <w:rsid w:val="009F7FFC"/>
    <w:rsid w:val="00A00523"/>
    <w:rsid w:val="00A007EF"/>
    <w:rsid w:val="00A0080D"/>
    <w:rsid w:val="00A008D1"/>
    <w:rsid w:val="00A00C84"/>
    <w:rsid w:val="00A00EF3"/>
    <w:rsid w:val="00A00F8D"/>
    <w:rsid w:val="00A010F5"/>
    <w:rsid w:val="00A0120A"/>
    <w:rsid w:val="00A01CD3"/>
    <w:rsid w:val="00A02698"/>
    <w:rsid w:val="00A029DE"/>
    <w:rsid w:val="00A02D82"/>
    <w:rsid w:val="00A02DBD"/>
    <w:rsid w:val="00A030E6"/>
    <w:rsid w:val="00A03189"/>
    <w:rsid w:val="00A03440"/>
    <w:rsid w:val="00A0431B"/>
    <w:rsid w:val="00A04A2C"/>
    <w:rsid w:val="00A04DA9"/>
    <w:rsid w:val="00A0507E"/>
    <w:rsid w:val="00A055C3"/>
    <w:rsid w:val="00A0561D"/>
    <w:rsid w:val="00A05809"/>
    <w:rsid w:val="00A058F5"/>
    <w:rsid w:val="00A06554"/>
    <w:rsid w:val="00A06706"/>
    <w:rsid w:val="00A06AB3"/>
    <w:rsid w:val="00A06C21"/>
    <w:rsid w:val="00A06E85"/>
    <w:rsid w:val="00A0739C"/>
    <w:rsid w:val="00A073B6"/>
    <w:rsid w:val="00A07418"/>
    <w:rsid w:val="00A1074D"/>
    <w:rsid w:val="00A10F47"/>
    <w:rsid w:val="00A11BC2"/>
    <w:rsid w:val="00A11D1D"/>
    <w:rsid w:val="00A11DFF"/>
    <w:rsid w:val="00A11E95"/>
    <w:rsid w:val="00A11F76"/>
    <w:rsid w:val="00A12289"/>
    <w:rsid w:val="00A1236B"/>
    <w:rsid w:val="00A12381"/>
    <w:rsid w:val="00A12395"/>
    <w:rsid w:val="00A12571"/>
    <w:rsid w:val="00A131A5"/>
    <w:rsid w:val="00A13533"/>
    <w:rsid w:val="00A1366F"/>
    <w:rsid w:val="00A13721"/>
    <w:rsid w:val="00A137E5"/>
    <w:rsid w:val="00A13993"/>
    <w:rsid w:val="00A14653"/>
    <w:rsid w:val="00A14AF3"/>
    <w:rsid w:val="00A14C71"/>
    <w:rsid w:val="00A15126"/>
    <w:rsid w:val="00A151D2"/>
    <w:rsid w:val="00A155D5"/>
    <w:rsid w:val="00A158D8"/>
    <w:rsid w:val="00A15A84"/>
    <w:rsid w:val="00A15D37"/>
    <w:rsid w:val="00A15D55"/>
    <w:rsid w:val="00A166AC"/>
    <w:rsid w:val="00A1674C"/>
    <w:rsid w:val="00A16B59"/>
    <w:rsid w:val="00A1723B"/>
    <w:rsid w:val="00A1773A"/>
    <w:rsid w:val="00A17865"/>
    <w:rsid w:val="00A17A7B"/>
    <w:rsid w:val="00A204C6"/>
    <w:rsid w:val="00A209CB"/>
    <w:rsid w:val="00A21308"/>
    <w:rsid w:val="00A2136A"/>
    <w:rsid w:val="00A21AE3"/>
    <w:rsid w:val="00A21B7B"/>
    <w:rsid w:val="00A21EBD"/>
    <w:rsid w:val="00A22193"/>
    <w:rsid w:val="00A2272E"/>
    <w:rsid w:val="00A22C5E"/>
    <w:rsid w:val="00A22CA6"/>
    <w:rsid w:val="00A22F22"/>
    <w:rsid w:val="00A23113"/>
    <w:rsid w:val="00A23187"/>
    <w:rsid w:val="00A23726"/>
    <w:rsid w:val="00A23937"/>
    <w:rsid w:val="00A23B7E"/>
    <w:rsid w:val="00A23BD9"/>
    <w:rsid w:val="00A24265"/>
    <w:rsid w:val="00A242B7"/>
    <w:rsid w:val="00A2433E"/>
    <w:rsid w:val="00A244DB"/>
    <w:rsid w:val="00A24532"/>
    <w:rsid w:val="00A247E6"/>
    <w:rsid w:val="00A24990"/>
    <w:rsid w:val="00A24A04"/>
    <w:rsid w:val="00A24A4E"/>
    <w:rsid w:val="00A25627"/>
    <w:rsid w:val="00A2590A"/>
    <w:rsid w:val="00A25A3F"/>
    <w:rsid w:val="00A25DCF"/>
    <w:rsid w:val="00A25EAF"/>
    <w:rsid w:val="00A25EC9"/>
    <w:rsid w:val="00A264D4"/>
    <w:rsid w:val="00A265B2"/>
    <w:rsid w:val="00A26A48"/>
    <w:rsid w:val="00A26E1B"/>
    <w:rsid w:val="00A27137"/>
    <w:rsid w:val="00A27518"/>
    <w:rsid w:val="00A276B4"/>
    <w:rsid w:val="00A27C1C"/>
    <w:rsid w:val="00A27FE7"/>
    <w:rsid w:val="00A3048B"/>
    <w:rsid w:val="00A30616"/>
    <w:rsid w:val="00A30D40"/>
    <w:rsid w:val="00A30F50"/>
    <w:rsid w:val="00A313C0"/>
    <w:rsid w:val="00A314A3"/>
    <w:rsid w:val="00A318D6"/>
    <w:rsid w:val="00A31D45"/>
    <w:rsid w:val="00A32462"/>
    <w:rsid w:val="00A32876"/>
    <w:rsid w:val="00A328DB"/>
    <w:rsid w:val="00A33317"/>
    <w:rsid w:val="00A337D6"/>
    <w:rsid w:val="00A342C0"/>
    <w:rsid w:val="00A34828"/>
    <w:rsid w:val="00A34D9A"/>
    <w:rsid w:val="00A34F27"/>
    <w:rsid w:val="00A35CE5"/>
    <w:rsid w:val="00A35E76"/>
    <w:rsid w:val="00A362AD"/>
    <w:rsid w:val="00A366D1"/>
    <w:rsid w:val="00A36798"/>
    <w:rsid w:val="00A378ED"/>
    <w:rsid w:val="00A403D3"/>
    <w:rsid w:val="00A403FC"/>
    <w:rsid w:val="00A407EF"/>
    <w:rsid w:val="00A408DE"/>
    <w:rsid w:val="00A4098E"/>
    <w:rsid w:val="00A40CA6"/>
    <w:rsid w:val="00A40DBB"/>
    <w:rsid w:val="00A40FF3"/>
    <w:rsid w:val="00A41363"/>
    <w:rsid w:val="00A4194F"/>
    <w:rsid w:val="00A41DF8"/>
    <w:rsid w:val="00A41FCD"/>
    <w:rsid w:val="00A4288D"/>
    <w:rsid w:val="00A429E9"/>
    <w:rsid w:val="00A42A87"/>
    <w:rsid w:val="00A42ACF"/>
    <w:rsid w:val="00A42ED6"/>
    <w:rsid w:val="00A437F2"/>
    <w:rsid w:val="00A43C0F"/>
    <w:rsid w:val="00A43C8F"/>
    <w:rsid w:val="00A43CC1"/>
    <w:rsid w:val="00A43E82"/>
    <w:rsid w:val="00A4445C"/>
    <w:rsid w:val="00A4483C"/>
    <w:rsid w:val="00A44887"/>
    <w:rsid w:val="00A44C62"/>
    <w:rsid w:val="00A44CDB"/>
    <w:rsid w:val="00A44F13"/>
    <w:rsid w:val="00A45157"/>
    <w:rsid w:val="00A45519"/>
    <w:rsid w:val="00A457B8"/>
    <w:rsid w:val="00A45E6F"/>
    <w:rsid w:val="00A46707"/>
    <w:rsid w:val="00A469EE"/>
    <w:rsid w:val="00A469F9"/>
    <w:rsid w:val="00A46D0D"/>
    <w:rsid w:val="00A4720B"/>
    <w:rsid w:val="00A473CA"/>
    <w:rsid w:val="00A4787D"/>
    <w:rsid w:val="00A478A8"/>
    <w:rsid w:val="00A479A2"/>
    <w:rsid w:val="00A47B2B"/>
    <w:rsid w:val="00A47E99"/>
    <w:rsid w:val="00A50020"/>
    <w:rsid w:val="00A5019B"/>
    <w:rsid w:val="00A50D2B"/>
    <w:rsid w:val="00A50E55"/>
    <w:rsid w:val="00A50F90"/>
    <w:rsid w:val="00A51346"/>
    <w:rsid w:val="00A5184A"/>
    <w:rsid w:val="00A51CC9"/>
    <w:rsid w:val="00A51F61"/>
    <w:rsid w:val="00A521A9"/>
    <w:rsid w:val="00A5272D"/>
    <w:rsid w:val="00A5297E"/>
    <w:rsid w:val="00A52F7F"/>
    <w:rsid w:val="00A531BE"/>
    <w:rsid w:val="00A5324F"/>
    <w:rsid w:val="00A53263"/>
    <w:rsid w:val="00A532AE"/>
    <w:rsid w:val="00A53803"/>
    <w:rsid w:val="00A53900"/>
    <w:rsid w:val="00A539D5"/>
    <w:rsid w:val="00A53E23"/>
    <w:rsid w:val="00A54440"/>
    <w:rsid w:val="00A5498D"/>
    <w:rsid w:val="00A551FD"/>
    <w:rsid w:val="00A553DD"/>
    <w:rsid w:val="00A556FC"/>
    <w:rsid w:val="00A5570C"/>
    <w:rsid w:val="00A55727"/>
    <w:rsid w:val="00A55B71"/>
    <w:rsid w:val="00A55DDA"/>
    <w:rsid w:val="00A55E5C"/>
    <w:rsid w:val="00A5634C"/>
    <w:rsid w:val="00A56599"/>
    <w:rsid w:val="00A56F41"/>
    <w:rsid w:val="00A56FD5"/>
    <w:rsid w:val="00A57342"/>
    <w:rsid w:val="00A57635"/>
    <w:rsid w:val="00A5771F"/>
    <w:rsid w:val="00A60242"/>
    <w:rsid w:val="00A6048D"/>
    <w:rsid w:val="00A60515"/>
    <w:rsid w:val="00A60D2B"/>
    <w:rsid w:val="00A60D36"/>
    <w:rsid w:val="00A614FB"/>
    <w:rsid w:val="00A618B8"/>
    <w:rsid w:val="00A6196B"/>
    <w:rsid w:val="00A626AA"/>
    <w:rsid w:val="00A62863"/>
    <w:rsid w:val="00A628A0"/>
    <w:rsid w:val="00A62B3A"/>
    <w:rsid w:val="00A62F53"/>
    <w:rsid w:val="00A635C7"/>
    <w:rsid w:val="00A63661"/>
    <w:rsid w:val="00A63B50"/>
    <w:rsid w:val="00A640EC"/>
    <w:rsid w:val="00A646D3"/>
    <w:rsid w:val="00A6477B"/>
    <w:rsid w:val="00A64E32"/>
    <w:rsid w:val="00A64F69"/>
    <w:rsid w:val="00A65246"/>
    <w:rsid w:val="00A65545"/>
    <w:rsid w:val="00A658F5"/>
    <w:rsid w:val="00A66B35"/>
    <w:rsid w:val="00A66B6E"/>
    <w:rsid w:val="00A67C4D"/>
    <w:rsid w:val="00A67E8C"/>
    <w:rsid w:val="00A702B1"/>
    <w:rsid w:val="00A70354"/>
    <w:rsid w:val="00A704EA"/>
    <w:rsid w:val="00A71093"/>
    <w:rsid w:val="00A710A6"/>
    <w:rsid w:val="00A7182D"/>
    <w:rsid w:val="00A718D0"/>
    <w:rsid w:val="00A71BC2"/>
    <w:rsid w:val="00A71C84"/>
    <w:rsid w:val="00A71F68"/>
    <w:rsid w:val="00A724DE"/>
    <w:rsid w:val="00A731F9"/>
    <w:rsid w:val="00A733A5"/>
    <w:rsid w:val="00A73F20"/>
    <w:rsid w:val="00A7433E"/>
    <w:rsid w:val="00A74787"/>
    <w:rsid w:val="00A74FC1"/>
    <w:rsid w:val="00A750BD"/>
    <w:rsid w:val="00A75187"/>
    <w:rsid w:val="00A75478"/>
    <w:rsid w:val="00A75624"/>
    <w:rsid w:val="00A75E2F"/>
    <w:rsid w:val="00A75ED1"/>
    <w:rsid w:val="00A7607A"/>
    <w:rsid w:val="00A7650D"/>
    <w:rsid w:val="00A76846"/>
    <w:rsid w:val="00A773F5"/>
    <w:rsid w:val="00A77802"/>
    <w:rsid w:val="00A77A56"/>
    <w:rsid w:val="00A77B35"/>
    <w:rsid w:val="00A77C92"/>
    <w:rsid w:val="00A77D33"/>
    <w:rsid w:val="00A77F16"/>
    <w:rsid w:val="00A8054C"/>
    <w:rsid w:val="00A80645"/>
    <w:rsid w:val="00A80F67"/>
    <w:rsid w:val="00A8134F"/>
    <w:rsid w:val="00A8143C"/>
    <w:rsid w:val="00A81740"/>
    <w:rsid w:val="00A81AA2"/>
    <w:rsid w:val="00A81EE6"/>
    <w:rsid w:val="00A822FF"/>
    <w:rsid w:val="00A827C1"/>
    <w:rsid w:val="00A83094"/>
    <w:rsid w:val="00A83235"/>
    <w:rsid w:val="00A8333D"/>
    <w:rsid w:val="00A838E0"/>
    <w:rsid w:val="00A83D53"/>
    <w:rsid w:val="00A83E3E"/>
    <w:rsid w:val="00A83E7C"/>
    <w:rsid w:val="00A83ED7"/>
    <w:rsid w:val="00A83FD0"/>
    <w:rsid w:val="00A84028"/>
    <w:rsid w:val="00A8497E"/>
    <w:rsid w:val="00A84AF6"/>
    <w:rsid w:val="00A8506B"/>
    <w:rsid w:val="00A851A2"/>
    <w:rsid w:val="00A85422"/>
    <w:rsid w:val="00A85A63"/>
    <w:rsid w:val="00A85D2B"/>
    <w:rsid w:val="00A86595"/>
    <w:rsid w:val="00A86B00"/>
    <w:rsid w:val="00A86B87"/>
    <w:rsid w:val="00A8700B"/>
    <w:rsid w:val="00A8716F"/>
    <w:rsid w:val="00A872D3"/>
    <w:rsid w:val="00A87A0C"/>
    <w:rsid w:val="00A87C17"/>
    <w:rsid w:val="00A87DC6"/>
    <w:rsid w:val="00A90002"/>
    <w:rsid w:val="00A90119"/>
    <w:rsid w:val="00A905E1"/>
    <w:rsid w:val="00A905FA"/>
    <w:rsid w:val="00A9115F"/>
    <w:rsid w:val="00A91628"/>
    <w:rsid w:val="00A91E02"/>
    <w:rsid w:val="00A92402"/>
    <w:rsid w:val="00A9240E"/>
    <w:rsid w:val="00A92AC8"/>
    <w:rsid w:val="00A9310F"/>
    <w:rsid w:val="00A93175"/>
    <w:rsid w:val="00A93626"/>
    <w:rsid w:val="00A9393A"/>
    <w:rsid w:val="00A939FB"/>
    <w:rsid w:val="00A941BD"/>
    <w:rsid w:val="00A9445B"/>
    <w:rsid w:val="00A944A7"/>
    <w:rsid w:val="00A945FA"/>
    <w:rsid w:val="00A951EE"/>
    <w:rsid w:val="00A95B84"/>
    <w:rsid w:val="00A95C7C"/>
    <w:rsid w:val="00A95D92"/>
    <w:rsid w:val="00A95F7D"/>
    <w:rsid w:val="00A96121"/>
    <w:rsid w:val="00A9646C"/>
    <w:rsid w:val="00A9714C"/>
    <w:rsid w:val="00A976D9"/>
    <w:rsid w:val="00A97C2B"/>
    <w:rsid w:val="00A97FDA"/>
    <w:rsid w:val="00AA026B"/>
    <w:rsid w:val="00AA02E5"/>
    <w:rsid w:val="00AA06E7"/>
    <w:rsid w:val="00AA0C3E"/>
    <w:rsid w:val="00AA0D2B"/>
    <w:rsid w:val="00AA0F09"/>
    <w:rsid w:val="00AA11E3"/>
    <w:rsid w:val="00AA1390"/>
    <w:rsid w:val="00AA198E"/>
    <w:rsid w:val="00AA1B15"/>
    <w:rsid w:val="00AA1E0C"/>
    <w:rsid w:val="00AA1EFD"/>
    <w:rsid w:val="00AA2010"/>
    <w:rsid w:val="00AA23FB"/>
    <w:rsid w:val="00AA2698"/>
    <w:rsid w:val="00AA28AF"/>
    <w:rsid w:val="00AA2907"/>
    <w:rsid w:val="00AA310D"/>
    <w:rsid w:val="00AA36FF"/>
    <w:rsid w:val="00AA41E1"/>
    <w:rsid w:val="00AA4229"/>
    <w:rsid w:val="00AA43CB"/>
    <w:rsid w:val="00AA455B"/>
    <w:rsid w:val="00AA4BBB"/>
    <w:rsid w:val="00AA4D94"/>
    <w:rsid w:val="00AA4F9E"/>
    <w:rsid w:val="00AA5DA2"/>
    <w:rsid w:val="00AA5F9C"/>
    <w:rsid w:val="00AA60C2"/>
    <w:rsid w:val="00AA60CB"/>
    <w:rsid w:val="00AA65DF"/>
    <w:rsid w:val="00AA67CB"/>
    <w:rsid w:val="00AA6D11"/>
    <w:rsid w:val="00AA6D4C"/>
    <w:rsid w:val="00AA7143"/>
    <w:rsid w:val="00AA7537"/>
    <w:rsid w:val="00AA75FF"/>
    <w:rsid w:val="00AA77FB"/>
    <w:rsid w:val="00AA788C"/>
    <w:rsid w:val="00AA7D1B"/>
    <w:rsid w:val="00AB03A5"/>
    <w:rsid w:val="00AB07E8"/>
    <w:rsid w:val="00AB12E5"/>
    <w:rsid w:val="00AB12EA"/>
    <w:rsid w:val="00AB200D"/>
    <w:rsid w:val="00AB2554"/>
    <w:rsid w:val="00AB2765"/>
    <w:rsid w:val="00AB2ED6"/>
    <w:rsid w:val="00AB30A3"/>
    <w:rsid w:val="00AB3538"/>
    <w:rsid w:val="00AB3D44"/>
    <w:rsid w:val="00AB3DBE"/>
    <w:rsid w:val="00AB48A0"/>
    <w:rsid w:val="00AB48CF"/>
    <w:rsid w:val="00AB4BFE"/>
    <w:rsid w:val="00AB5274"/>
    <w:rsid w:val="00AB593B"/>
    <w:rsid w:val="00AB5DF7"/>
    <w:rsid w:val="00AB6110"/>
    <w:rsid w:val="00AB6250"/>
    <w:rsid w:val="00AB64E8"/>
    <w:rsid w:val="00AB6596"/>
    <w:rsid w:val="00AB699C"/>
    <w:rsid w:val="00AB71A0"/>
    <w:rsid w:val="00AB7C97"/>
    <w:rsid w:val="00AC00FB"/>
    <w:rsid w:val="00AC021C"/>
    <w:rsid w:val="00AC05D1"/>
    <w:rsid w:val="00AC064F"/>
    <w:rsid w:val="00AC09E4"/>
    <w:rsid w:val="00AC0C3D"/>
    <w:rsid w:val="00AC1591"/>
    <w:rsid w:val="00AC17F4"/>
    <w:rsid w:val="00AC1C57"/>
    <w:rsid w:val="00AC2D6D"/>
    <w:rsid w:val="00AC2DCD"/>
    <w:rsid w:val="00AC320D"/>
    <w:rsid w:val="00AC37BF"/>
    <w:rsid w:val="00AC3AD4"/>
    <w:rsid w:val="00AC3B0C"/>
    <w:rsid w:val="00AC3BF9"/>
    <w:rsid w:val="00AC4365"/>
    <w:rsid w:val="00AC4A72"/>
    <w:rsid w:val="00AC4E65"/>
    <w:rsid w:val="00AC54AD"/>
    <w:rsid w:val="00AC56E7"/>
    <w:rsid w:val="00AC56F0"/>
    <w:rsid w:val="00AC57B1"/>
    <w:rsid w:val="00AC59AE"/>
    <w:rsid w:val="00AC5D2E"/>
    <w:rsid w:val="00AC5EC1"/>
    <w:rsid w:val="00AC7258"/>
    <w:rsid w:val="00AC730B"/>
    <w:rsid w:val="00AC730E"/>
    <w:rsid w:val="00AC7879"/>
    <w:rsid w:val="00AC78B2"/>
    <w:rsid w:val="00AC7D5B"/>
    <w:rsid w:val="00AC7F6C"/>
    <w:rsid w:val="00AD01B3"/>
    <w:rsid w:val="00AD0982"/>
    <w:rsid w:val="00AD09EF"/>
    <w:rsid w:val="00AD0A91"/>
    <w:rsid w:val="00AD1084"/>
    <w:rsid w:val="00AD1255"/>
    <w:rsid w:val="00AD15DE"/>
    <w:rsid w:val="00AD1613"/>
    <w:rsid w:val="00AD21E2"/>
    <w:rsid w:val="00AD2F83"/>
    <w:rsid w:val="00AD33B1"/>
    <w:rsid w:val="00AD3896"/>
    <w:rsid w:val="00AD3C48"/>
    <w:rsid w:val="00AD4B4A"/>
    <w:rsid w:val="00AD51BF"/>
    <w:rsid w:val="00AD5CBB"/>
    <w:rsid w:val="00AD632F"/>
    <w:rsid w:val="00AD6DB9"/>
    <w:rsid w:val="00AD6FF4"/>
    <w:rsid w:val="00AD7118"/>
    <w:rsid w:val="00AD7398"/>
    <w:rsid w:val="00AD7E9F"/>
    <w:rsid w:val="00AE06C9"/>
    <w:rsid w:val="00AE0C53"/>
    <w:rsid w:val="00AE0E17"/>
    <w:rsid w:val="00AE0ED7"/>
    <w:rsid w:val="00AE0F3E"/>
    <w:rsid w:val="00AE0FBB"/>
    <w:rsid w:val="00AE11DF"/>
    <w:rsid w:val="00AE174B"/>
    <w:rsid w:val="00AE18C3"/>
    <w:rsid w:val="00AE1A6E"/>
    <w:rsid w:val="00AE28A1"/>
    <w:rsid w:val="00AE2AB3"/>
    <w:rsid w:val="00AE339F"/>
    <w:rsid w:val="00AE38A0"/>
    <w:rsid w:val="00AE4372"/>
    <w:rsid w:val="00AE456C"/>
    <w:rsid w:val="00AE461D"/>
    <w:rsid w:val="00AE4A1D"/>
    <w:rsid w:val="00AE508F"/>
    <w:rsid w:val="00AE53FC"/>
    <w:rsid w:val="00AE5709"/>
    <w:rsid w:val="00AE7C14"/>
    <w:rsid w:val="00AF07CE"/>
    <w:rsid w:val="00AF08F7"/>
    <w:rsid w:val="00AF0A59"/>
    <w:rsid w:val="00AF0AE0"/>
    <w:rsid w:val="00AF0C3A"/>
    <w:rsid w:val="00AF0C6D"/>
    <w:rsid w:val="00AF0CAA"/>
    <w:rsid w:val="00AF0F48"/>
    <w:rsid w:val="00AF17FD"/>
    <w:rsid w:val="00AF18A6"/>
    <w:rsid w:val="00AF1C42"/>
    <w:rsid w:val="00AF1D22"/>
    <w:rsid w:val="00AF1EB1"/>
    <w:rsid w:val="00AF2188"/>
    <w:rsid w:val="00AF2AA7"/>
    <w:rsid w:val="00AF2E3B"/>
    <w:rsid w:val="00AF2EA0"/>
    <w:rsid w:val="00AF33F9"/>
    <w:rsid w:val="00AF3991"/>
    <w:rsid w:val="00AF4AB4"/>
    <w:rsid w:val="00AF4E09"/>
    <w:rsid w:val="00AF4EC2"/>
    <w:rsid w:val="00AF595B"/>
    <w:rsid w:val="00AF5A5D"/>
    <w:rsid w:val="00AF5EA0"/>
    <w:rsid w:val="00AF5FEC"/>
    <w:rsid w:val="00AF60B5"/>
    <w:rsid w:val="00AF652F"/>
    <w:rsid w:val="00AF65E2"/>
    <w:rsid w:val="00AF682E"/>
    <w:rsid w:val="00AF68AC"/>
    <w:rsid w:val="00AF6B3F"/>
    <w:rsid w:val="00AF7F2C"/>
    <w:rsid w:val="00B0045F"/>
    <w:rsid w:val="00B00746"/>
    <w:rsid w:val="00B009C3"/>
    <w:rsid w:val="00B00B46"/>
    <w:rsid w:val="00B00DE2"/>
    <w:rsid w:val="00B00EE4"/>
    <w:rsid w:val="00B0180D"/>
    <w:rsid w:val="00B01E75"/>
    <w:rsid w:val="00B020D0"/>
    <w:rsid w:val="00B02775"/>
    <w:rsid w:val="00B0281D"/>
    <w:rsid w:val="00B02977"/>
    <w:rsid w:val="00B029FD"/>
    <w:rsid w:val="00B02EB3"/>
    <w:rsid w:val="00B036B1"/>
    <w:rsid w:val="00B03D88"/>
    <w:rsid w:val="00B04BAA"/>
    <w:rsid w:val="00B04D19"/>
    <w:rsid w:val="00B0502C"/>
    <w:rsid w:val="00B05057"/>
    <w:rsid w:val="00B050B8"/>
    <w:rsid w:val="00B05794"/>
    <w:rsid w:val="00B058F6"/>
    <w:rsid w:val="00B05A1A"/>
    <w:rsid w:val="00B06041"/>
    <w:rsid w:val="00B06459"/>
    <w:rsid w:val="00B068F7"/>
    <w:rsid w:val="00B06976"/>
    <w:rsid w:val="00B06B47"/>
    <w:rsid w:val="00B06E03"/>
    <w:rsid w:val="00B074C1"/>
    <w:rsid w:val="00B07DA8"/>
    <w:rsid w:val="00B07EEA"/>
    <w:rsid w:val="00B10451"/>
    <w:rsid w:val="00B10ABB"/>
    <w:rsid w:val="00B10B32"/>
    <w:rsid w:val="00B10E04"/>
    <w:rsid w:val="00B10EEB"/>
    <w:rsid w:val="00B11408"/>
    <w:rsid w:val="00B11453"/>
    <w:rsid w:val="00B118C8"/>
    <w:rsid w:val="00B11EFD"/>
    <w:rsid w:val="00B11FB3"/>
    <w:rsid w:val="00B123DD"/>
    <w:rsid w:val="00B12489"/>
    <w:rsid w:val="00B12616"/>
    <w:rsid w:val="00B12620"/>
    <w:rsid w:val="00B12742"/>
    <w:rsid w:val="00B12754"/>
    <w:rsid w:val="00B12925"/>
    <w:rsid w:val="00B12D3E"/>
    <w:rsid w:val="00B13109"/>
    <w:rsid w:val="00B13212"/>
    <w:rsid w:val="00B13339"/>
    <w:rsid w:val="00B133ED"/>
    <w:rsid w:val="00B13458"/>
    <w:rsid w:val="00B140FF"/>
    <w:rsid w:val="00B141F7"/>
    <w:rsid w:val="00B1428A"/>
    <w:rsid w:val="00B14320"/>
    <w:rsid w:val="00B14379"/>
    <w:rsid w:val="00B15444"/>
    <w:rsid w:val="00B15511"/>
    <w:rsid w:val="00B15664"/>
    <w:rsid w:val="00B158EE"/>
    <w:rsid w:val="00B15B2C"/>
    <w:rsid w:val="00B1683F"/>
    <w:rsid w:val="00B169A0"/>
    <w:rsid w:val="00B17A3A"/>
    <w:rsid w:val="00B17B4C"/>
    <w:rsid w:val="00B20020"/>
    <w:rsid w:val="00B205AC"/>
    <w:rsid w:val="00B2083C"/>
    <w:rsid w:val="00B21005"/>
    <w:rsid w:val="00B21231"/>
    <w:rsid w:val="00B21537"/>
    <w:rsid w:val="00B21996"/>
    <w:rsid w:val="00B21AA3"/>
    <w:rsid w:val="00B2230D"/>
    <w:rsid w:val="00B2292B"/>
    <w:rsid w:val="00B22B01"/>
    <w:rsid w:val="00B22E2F"/>
    <w:rsid w:val="00B2316D"/>
    <w:rsid w:val="00B23F76"/>
    <w:rsid w:val="00B24554"/>
    <w:rsid w:val="00B24EAF"/>
    <w:rsid w:val="00B25348"/>
    <w:rsid w:val="00B254DB"/>
    <w:rsid w:val="00B2582F"/>
    <w:rsid w:val="00B25A0C"/>
    <w:rsid w:val="00B25C77"/>
    <w:rsid w:val="00B25F19"/>
    <w:rsid w:val="00B25F2E"/>
    <w:rsid w:val="00B26268"/>
    <w:rsid w:val="00B263FF"/>
    <w:rsid w:val="00B2650F"/>
    <w:rsid w:val="00B26528"/>
    <w:rsid w:val="00B269F8"/>
    <w:rsid w:val="00B26C01"/>
    <w:rsid w:val="00B272DB"/>
    <w:rsid w:val="00B2791A"/>
    <w:rsid w:val="00B27BFA"/>
    <w:rsid w:val="00B27C00"/>
    <w:rsid w:val="00B27DBC"/>
    <w:rsid w:val="00B27E33"/>
    <w:rsid w:val="00B302C1"/>
    <w:rsid w:val="00B309A1"/>
    <w:rsid w:val="00B315B7"/>
    <w:rsid w:val="00B31B2D"/>
    <w:rsid w:val="00B31C7C"/>
    <w:rsid w:val="00B32758"/>
    <w:rsid w:val="00B327B2"/>
    <w:rsid w:val="00B329B3"/>
    <w:rsid w:val="00B32DE9"/>
    <w:rsid w:val="00B32E42"/>
    <w:rsid w:val="00B32E9E"/>
    <w:rsid w:val="00B338DA"/>
    <w:rsid w:val="00B33D21"/>
    <w:rsid w:val="00B33E1A"/>
    <w:rsid w:val="00B347FC"/>
    <w:rsid w:val="00B34846"/>
    <w:rsid w:val="00B349D4"/>
    <w:rsid w:val="00B34CE2"/>
    <w:rsid w:val="00B34D2B"/>
    <w:rsid w:val="00B35179"/>
    <w:rsid w:val="00B35538"/>
    <w:rsid w:val="00B356CE"/>
    <w:rsid w:val="00B3574F"/>
    <w:rsid w:val="00B35AAB"/>
    <w:rsid w:val="00B35C15"/>
    <w:rsid w:val="00B35E8C"/>
    <w:rsid w:val="00B361AC"/>
    <w:rsid w:val="00B36741"/>
    <w:rsid w:val="00B36BAC"/>
    <w:rsid w:val="00B370E5"/>
    <w:rsid w:val="00B3758D"/>
    <w:rsid w:val="00B37A15"/>
    <w:rsid w:val="00B37AFE"/>
    <w:rsid w:val="00B3E012"/>
    <w:rsid w:val="00B416F8"/>
    <w:rsid w:val="00B41CB8"/>
    <w:rsid w:val="00B4212C"/>
    <w:rsid w:val="00B43464"/>
    <w:rsid w:val="00B434F2"/>
    <w:rsid w:val="00B43889"/>
    <w:rsid w:val="00B439E1"/>
    <w:rsid w:val="00B43A19"/>
    <w:rsid w:val="00B43E10"/>
    <w:rsid w:val="00B43E32"/>
    <w:rsid w:val="00B43EDD"/>
    <w:rsid w:val="00B4408E"/>
    <w:rsid w:val="00B44365"/>
    <w:rsid w:val="00B445F3"/>
    <w:rsid w:val="00B4476F"/>
    <w:rsid w:val="00B44787"/>
    <w:rsid w:val="00B45408"/>
    <w:rsid w:val="00B45483"/>
    <w:rsid w:val="00B4555E"/>
    <w:rsid w:val="00B45BE9"/>
    <w:rsid w:val="00B45C86"/>
    <w:rsid w:val="00B45DD1"/>
    <w:rsid w:val="00B46934"/>
    <w:rsid w:val="00B469D6"/>
    <w:rsid w:val="00B4734A"/>
    <w:rsid w:val="00B474E3"/>
    <w:rsid w:val="00B478A1"/>
    <w:rsid w:val="00B47ED0"/>
    <w:rsid w:val="00B50119"/>
    <w:rsid w:val="00B506A1"/>
    <w:rsid w:val="00B507A6"/>
    <w:rsid w:val="00B50AD1"/>
    <w:rsid w:val="00B517E3"/>
    <w:rsid w:val="00B51819"/>
    <w:rsid w:val="00B51F50"/>
    <w:rsid w:val="00B52851"/>
    <w:rsid w:val="00B52A86"/>
    <w:rsid w:val="00B52C07"/>
    <w:rsid w:val="00B52CE8"/>
    <w:rsid w:val="00B52E81"/>
    <w:rsid w:val="00B530E4"/>
    <w:rsid w:val="00B531AE"/>
    <w:rsid w:val="00B532DD"/>
    <w:rsid w:val="00B53457"/>
    <w:rsid w:val="00B536FC"/>
    <w:rsid w:val="00B53C68"/>
    <w:rsid w:val="00B53CF8"/>
    <w:rsid w:val="00B53E79"/>
    <w:rsid w:val="00B5405B"/>
    <w:rsid w:val="00B540C4"/>
    <w:rsid w:val="00B54496"/>
    <w:rsid w:val="00B54ACC"/>
    <w:rsid w:val="00B55BD4"/>
    <w:rsid w:val="00B55D45"/>
    <w:rsid w:val="00B56406"/>
    <w:rsid w:val="00B5648C"/>
    <w:rsid w:val="00B565F2"/>
    <w:rsid w:val="00B56B72"/>
    <w:rsid w:val="00B56C7B"/>
    <w:rsid w:val="00B56CCA"/>
    <w:rsid w:val="00B5748B"/>
    <w:rsid w:val="00B57877"/>
    <w:rsid w:val="00B57BFD"/>
    <w:rsid w:val="00B60472"/>
    <w:rsid w:val="00B60D64"/>
    <w:rsid w:val="00B6111C"/>
    <w:rsid w:val="00B6142F"/>
    <w:rsid w:val="00B616B3"/>
    <w:rsid w:val="00B616D1"/>
    <w:rsid w:val="00B61B5E"/>
    <w:rsid w:val="00B6223C"/>
    <w:rsid w:val="00B622F1"/>
    <w:rsid w:val="00B626D3"/>
    <w:rsid w:val="00B62A0A"/>
    <w:rsid w:val="00B62A95"/>
    <w:rsid w:val="00B62C6F"/>
    <w:rsid w:val="00B62EA2"/>
    <w:rsid w:val="00B63333"/>
    <w:rsid w:val="00B63613"/>
    <w:rsid w:val="00B636F7"/>
    <w:rsid w:val="00B63B59"/>
    <w:rsid w:val="00B64924"/>
    <w:rsid w:val="00B654D4"/>
    <w:rsid w:val="00B6571C"/>
    <w:rsid w:val="00B65A66"/>
    <w:rsid w:val="00B662DB"/>
    <w:rsid w:val="00B66309"/>
    <w:rsid w:val="00B6669C"/>
    <w:rsid w:val="00B66A78"/>
    <w:rsid w:val="00B66B55"/>
    <w:rsid w:val="00B66CF8"/>
    <w:rsid w:val="00B66DEB"/>
    <w:rsid w:val="00B670D2"/>
    <w:rsid w:val="00B673BB"/>
    <w:rsid w:val="00B675D1"/>
    <w:rsid w:val="00B679AA"/>
    <w:rsid w:val="00B67ABA"/>
    <w:rsid w:val="00B706B7"/>
    <w:rsid w:val="00B70CFB"/>
    <w:rsid w:val="00B71258"/>
    <w:rsid w:val="00B71301"/>
    <w:rsid w:val="00B713CC"/>
    <w:rsid w:val="00B7161D"/>
    <w:rsid w:val="00B71AB7"/>
    <w:rsid w:val="00B71D7D"/>
    <w:rsid w:val="00B72149"/>
    <w:rsid w:val="00B72392"/>
    <w:rsid w:val="00B726A6"/>
    <w:rsid w:val="00B7276D"/>
    <w:rsid w:val="00B72F2B"/>
    <w:rsid w:val="00B73018"/>
    <w:rsid w:val="00B73243"/>
    <w:rsid w:val="00B732C8"/>
    <w:rsid w:val="00B73729"/>
    <w:rsid w:val="00B737C4"/>
    <w:rsid w:val="00B74074"/>
    <w:rsid w:val="00B749BF"/>
    <w:rsid w:val="00B74A67"/>
    <w:rsid w:val="00B74B6E"/>
    <w:rsid w:val="00B751EA"/>
    <w:rsid w:val="00B758C7"/>
    <w:rsid w:val="00B75B98"/>
    <w:rsid w:val="00B75DAA"/>
    <w:rsid w:val="00B76757"/>
    <w:rsid w:val="00B768DF"/>
    <w:rsid w:val="00B76934"/>
    <w:rsid w:val="00B76D46"/>
    <w:rsid w:val="00B770FA"/>
    <w:rsid w:val="00B77133"/>
    <w:rsid w:val="00B77D74"/>
    <w:rsid w:val="00B80C36"/>
    <w:rsid w:val="00B80DEB"/>
    <w:rsid w:val="00B81031"/>
    <w:rsid w:val="00B810E7"/>
    <w:rsid w:val="00B813B4"/>
    <w:rsid w:val="00B81D26"/>
    <w:rsid w:val="00B81D87"/>
    <w:rsid w:val="00B825D5"/>
    <w:rsid w:val="00B8280B"/>
    <w:rsid w:val="00B82916"/>
    <w:rsid w:val="00B82B89"/>
    <w:rsid w:val="00B82DCD"/>
    <w:rsid w:val="00B82E8C"/>
    <w:rsid w:val="00B82F94"/>
    <w:rsid w:val="00B83A27"/>
    <w:rsid w:val="00B83AEA"/>
    <w:rsid w:val="00B83CE3"/>
    <w:rsid w:val="00B83FE0"/>
    <w:rsid w:val="00B84179"/>
    <w:rsid w:val="00B846A7"/>
    <w:rsid w:val="00B846DB"/>
    <w:rsid w:val="00B8474C"/>
    <w:rsid w:val="00B84884"/>
    <w:rsid w:val="00B84AC4"/>
    <w:rsid w:val="00B84B0E"/>
    <w:rsid w:val="00B84DF2"/>
    <w:rsid w:val="00B84FC1"/>
    <w:rsid w:val="00B84FF7"/>
    <w:rsid w:val="00B85132"/>
    <w:rsid w:val="00B8513A"/>
    <w:rsid w:val="00B853BC"/>
    <w:rsid w:val="00B85BA5"/>
    <w:rsid w:val="00B86155"/>
    <w:rsid w:val="00B867E8"/>
    <w:rsid w:val="00B86907"/>
    <w:rsid w:val="00B86AEF"/>
    <w:rsid w:val="00B86B23"/>
    <w:rsid w:val="00B86E1D"/>
    <w:rsid w:val="00B870B4"/>
    <w:rsid w:val="00B872FE"/>
    <w:rsid w:val="00B878E8"/>
    <w:rsid w:val="00B87A12"/>
    <w:rsid w:val="00B87D92"/>
    <w:rsid w:val="00B87F49"/>
    <w:rsid w:val="00B87FE4"/>
    <w:rsid w:val="00B90107"/>
    <w:rsid w:val="00B9046A"/>
    <w:rsid w:val="00B906AF"/>
    <w:rsid w:val="00B90775"/>
    <w:rsid w:val="00B90B5E"/>
    <w:rsid w:val="00B90D36"/>
    <w:rsid w:val="00B90DA8"/>
    <w:rsid w:val="00B91119"/>
    <w:rsid w:val="00B917E5"/>
    <w:rsid w:val="00B91B71"/>
    <w:rsid w:val="00B91F08"/>
    <w:rsid w:val="00B927C8"/>
    <w:rsid w:val="00B92CE2"/>
    <w:rsid w:val="00B9304C"/>
    <w:rsid w:val="00B93232"/>
    <w:rsid w:val="00B936E7"/>
    <w:rsid w:val="00B93967"/>
    <w:rsid w:val="00B93A2A"/>
    <w:rsid w:val="00B93F35"/>
    <w:rsid w:val="00B9475A"/>
    <w:rsid w:val="00B94A9D"/>
    <w:rsid w:val="00B94B26"/>
    <w:rsid w:val="00B967C9"/>
    <w:rsid w:val="00B97095"/>
    <w:rsid w:val="00B972E4"/>
    <w:rsid w:val="00B9784D"/>
    <w:rsid w:val="00B9790B"/>
    <w:rsid w:val="00BA028E"/>
    <w:rsid w:val="00BA05AC"/>
    <w:rsid w:val="00BA0686"/>
    <w:rsid w:val="00BA0B2D"/>
    <w:rsid w:val="00BA0BE5"/>
    <w:rsid w:val="00BA0F7E"/>
    <w:rsid w:val="00BA170F"/>
    <w:rsid w:val="00BA182C"/>
    <w:rsid w:val="00BA1DF4"/>
    <w:rsid w:val="00BA1E55"/>
    <w:rsid w:val="00BA23E3"/>
    <w:rsid w:val="00BA24EE"/>
    <w:rsid w:val="00BA25DB"/>
    <w:rsid w:val="00BA279E"/>
    <w:rsid w:val="00BA2E36"/>
    <w:rsid w:val="00BA3029"/>
    <w:rsid w:val="00BA3BD7"/>
    <w:rsid w:val="00BA41A1"/>
    <w:rsid w:val="00BA4609"/>
    <w:rsid w:val="00BA48FB"/>
    <w:rsid w:val="00BA4C9F"/>
    <w:rsid w:val="00BA4E57"/>
    <w:rsid w:val="00BA50D4"/>
    <w:rsid w:val="00BA537C"/>
    <w:rsid w:val="00BA5427"/>
    <w:rsid w:val="00BA5748"/>
    <w:rsid w:val="00BA5793"/>
    <w:rsid w:val="00BA626A"/>
    <w:rsid w:val="00BA663C"/>
    <w:rsid w:val="00BA664A"/>
    <w:rsid w:val="00BA6991"/>
    <w:rsid w:val="00BA778C"/>
    <w:rsid w:val="00BA7831"/>
    <w:rsid w:val="00BA7F98"/>
    <w:rsid w:val="00BB0256"/>
    <w:rsid w:val="00BB03A7"/>
    <w:rsid w:val="00BB059B"/>
    <w:rsid w:val="00BB06EA"/>
    <w:rsid w:val="00BB078C"/>
    <w:rsid w:val="00BB0DEB"/>
    <w:rsid w:val="00BB0E7A"/>
    <w:rsid w:val="00BB157D"/>
    <w:rsid w:val="00BB1875"/>
    <w:rsid w:val="00BB1D2C"/>
    <w:rsid w:val="00BB1FC8"/>
    <w:rsid w:val="00BB2097"/>
    <w:rsid w:val="00BB2D22"/>
    <w:rsid w:val="00BB2F42"/>
    <w:rsid w:val="00BB351E"/>
    <w:rsid w:val="00BB3CF1"/>
    <w:rsid w:val="00BB3E8C"/>
    <w:rsid w:val="00BB3F1B"/>
    <w:rsid w:val="00BB4B61"/>
    <w:rsid w:val="00BB4D6D"/>
    <w:rsid w:val="00BB51A3"/>
    <w:rsid w:val="00BB617A"/>
    <w:rsid w:val="00BB6761"/>
    <w:rsid w:val="00BB6A5B"/>
    <w:rsid w:val="00BB6BC5"/>
    <w:rsid w:val="00BB6BE3"/>
    <w:rsid w:val="00BBA669"/>
    <w:rsid w:val="00BC03C4"/>
    <w:rsid w:val="00BC04C8"/>
    <w:rsid w:val="00BC10DE"/>
    <w:rsid w:val="00BC15B0"/>
    <w:rsid w:val="00BC1806"/>
    <w:rsid w:val="00BC199C"/>
    <w:rsid w:val="00BC1D6E"/>
    <w:rsid w:val="00BC1F32"/>
    <w:rsid w:val="00BC201A"/>
    <w:rsid w:val="00BC20BA"/>
    <w:rsid w:val="00BC267F"/>
    <w:rsid w:val="00BC327D"/>
    <w:rsid w:val="00BC38E7"/>
    <w:rsid w:val="00BC3C95"/>
    <w:rsid w:val="00BC3E9A"/>
    <w:rsid w:val="00BC4411"/>
    <w:rsid w:val="00BC456B"/>
    <w:rsid w:val="00BC4A0A"/>
    <w:rsid w:val="00BC4E96"/>
    <w:rsid w:val="00BC50B6"/>
    <w:rsid w:val="00BC5DDF"/>
    <w:rsid w:val="00BC62E2"/>
    <w:rsid w:val="00BC63F0"/>
    <w:rsid w:val="00BC6417"/>
    <w:rsid w:val="00BC6A62"/>
    <w:rsid w:val="00BC6B6E"/>
    <w:rsid w:val="00BC6D0B"/>
    <w:rsid w:val="00BC6D7C"/>
    <w:rsid w:val="00BC7289"/>
    <w:rsid w:val="00BC7C89"/>
    <w:rsid w:val="00BD03CA"/>
    <w:rsid w:val="00BD0606"/>
    <w:rsid w:val="00BD0F08"/>
    <w:rsid w:val="00BD1468"/>
    <w:rsid w:val="00BD1499"/>
    <w:rsid w:val="00BD1515"/>
    <w:rsid w:val="00BD153B"/>
    <w:rsid w:val="00BD1620"/>
    <w:rsid w:val="00BD1E6F"/>
    <w:rsid w:val="00BD1EBA"/>
    <w:rsid w:val="00BD20F7"/>
    <w:rsid w:val="00BD2446"/>
    <w:rsid w:val="00BD2AF6"/>
    <w:rsid w:val="00BD2C76"/>
    <w:rsid w:val="00BD2FD8"/>
    <w:rsid w:val="00BD3644"/>
    <w:rsid w:val="00BD3816"/>
    <w:rsid w:val="00BD3E5F"/>
    <w:rsid w:val="00BD4219"/>
    <w:rsid w:val="00BD4427"/>
    <w:rsid w:val="00BD471D"/>
    <w:rsid w:val="00BD47BC"/>
    <w:rsid w:val="00BD4BF0"/>
    <w:rsid w:val="00BD4CDE"/>
    <w:rsid w:val="00BD4D4C"/>
    <w:rsid w:val="00BD5978"/>
    <w:rsid w:val="00BD5A2D"/>
    <w:rsid w:val="00BD5A8D"/>
    <w:rsid w:val="00BD5A9F"/>
    <w:rsid w:val="00BD5F9E"/>
    <w:rsid w:val="00BD62E3"/>
    <w:rsid w:val="00BD63E3"/>
    <w:rsid w:val="00BD6870"/>
    <w:rsid w:val="00BD7134"/>
    <w:rsid w:val="00BD76AB"/>
    <w:rsid w:val="00BE059E"/>
    <w:rsid w:val="00BE0CFE"/>
    <w:rsid w:val="00BE1550"/>
    <w:rsid w:val="00BE178A"/>
    <w:rsid w:val="00BE24B5"/>
    <w:rsid w:val="00BE2667"/>
    <w:rsid w:val="00BE319C"/>
    <w:rsid w:val="00BE36AB"/>
    <w:rsid w:val="00BE3F71"/>
    <w:rsid w:val="00BE469C"/>
    <w:rsid w:val="00BE46F8"/>
    <w:rsid w:val="00BE4824"/>
    <w:rsid w:val="00BE491A"/>
    <w:rsid w:val="00BE51AE"/>
    <w:rsid w:val="00BE567F"/>
    <w:rsid w:val="00BE56BE"/>
    <w:rsid w:val="00BE62DC"/>
    <w:rsid w:val="00BE6BB7"/>
    <w:rsid w:val="00BE6CED"/>
    <w:rsid w:val="00BE70EA"/>
    <w:rsid w:val="00BE7386"/>
    <w:rsid w:val="00BE7426"/>
    <w:rsid w:val="00BE7574"/>
    <w:rsid w:val="00BE7770"/>
    <w:rsid w:val="00BE7959"/>
    <w:rsid w:val="00BF0048"/>
    <w:rsid w:val="00BF0085"/>
    <w:rsid w:val="00BF0278"/>
    <w:rsid w:val="00BF02C1"/>
    <w:rsid w:val="00BF0409"/>
    <w:rsid w:val="00BF0BD8"/>
    <w:rsid w:val="00BF0BFE"/>
    <w:rsid w:val="00BF0DC0"/>
    <w:rsid w:val="00BF0E80"/>
    <w:rsid w:val="00BF1085"/>
    <w:rsid w:val="00BF12F3"/>
    <w:rsid w:val="00BF1595"/>
    <w:rsid w:val="00BF1940"/>
    <w:rsid w:val="00BF196A"/>
    <w:rsid w:val="00BF1B5E"/>
    <w:rsid w:val="00BF264D"/>
    <w:rsid w:val="00BF27DB"/>
    <w:rsid w:val="00BF2B24"/>
    <w:rsid w:val="00BF2C89"/>
    <w:rsid w:val="00BF36DE"/>
    <w:rsid w:val="00BF39B1"/>
    <w:rsid w:val="00BF3C7C"/>
    <w:rsid w:val="00BF3CC2"/>
    <w:rsid w:val="00BF40DC"/>
    <w:rsid w:val="00BF4150"/>
    <w:rsid w:val="00BF519D"/>
    <w:rsid w:val="00BF558D"/>
    <w:rsid w:val="00BF55B3"/>
    <w:rsid w:val="00BF58FB"/>
    <w:rsid w:val="00BF5979"/>
    <w:rsid w:val="00BF598D"/>
    <w:rsid w:val="00BF5AB8"/>
    <w:rsid w:val="00BF5B60"/>
    <w:rsid w:val="00BF5CDC"/>
    <w:rsid w:val="00BF5CF7"/>
    <w:rsid w:val="00BF5F37"/>
    <w:rsid w:val="00BF61D3"/>
    <w:rsid w:val="00BF63C9"/>
    <w:rsid w:val="00BF67F7"/>
    <w:rsid w:val="00BF72A6"/>
    <w:rsid w:val="00BF7342"/>
    <w:rsid w:val="00BF7E86"/>
    <w:rsid w:val="00BF7F89"/>
    <w:rsid w:val="00C004DA"/>
    <w:rsid w:val="00C007C3"/>
    <w:rsid w:val="00C00C08"/>
    <w:rsid w:val="00C00C22"/>
    <w:rsid w:val="00C0130C"/>
    <w:rsid w:val="00C0181D"/>
    <w:rsid w:val="00C019F3"/>
    <w:rsid w:val="00C01B6B"/>
    <w:rsid w:val="00C01C98"/>
    <w:rsid w:val="00C01CBA"/>
    <w:rsid w:val="00C01EE9"/>
    <w:rsid w:val="00C0271C"/>
    <w:rsid w:val="00C02C8C"/>
    <w:rsid w:val="00C035AB"/>
    <w:rsid w:val="00C03C24"/>
    <w:rsid w:val="00C03CCF"/>
    <w:rsid w:val="00C03E90"/>
    <w:rsid w:val="00C04469"/>
    <w:rsid w:val="00C04617"/>
    <w:rsid w:val="00C04A3F"/>
    <w:rsid w:val="00C059EE"/>
    <w:rsid w:val="00C05DAA"/>
    <w:rsid w:val="00C061CF"/>
    <w:rsid w:val="00C063FF"/>
    <w:rsid w:val="00C068D9"/>
    <w:rsid w:val="00C06968"/>
    <w:rsid w:val="00C06EE5"/>
    <w:rsid w:val="00C07490"/>
    <w:rsid w:val="00C07DE4"/>
    <w:rsid w:val="00C10AF8"/>
    <w:rsid w:val="00C111B8"/>
    <w:rsid w:val="00C11246"/>
    <w:rsid w:val="00C1168E"/>
    <w:rsid w:val="00C11A37"/>
    <w:rsid w:val="00C12824"/>
    <w:rsid w:val="00C13A94"/>
    <w:rsid w:val="00C1468F"/>
    <w:rsid w:val="00C14A05"/>
    <w:rsid w:val="00C14E14"/>
    <w:rsid w:val="00C14F62"/>
    <w:rsid w:val="00C156FB"/>
    <w:rsid w:val="00C15A57"/>
    <w:rsid w:val="00C15AA8"/>
    <w:rsid w:val="00C16345"/>
    <w:rsid w:val="00C164EF"/>
    <w:rsid w:val="00C1690B"/>
    <w:rsid w:val="00C170D9"/>
    <w:rsid w:val="00C1710A"/>
    <w:rsid w:val="00C17153"/>
    <w:rsid w:val="00C1718F"/>
    <w:rsid w:val="00C172BD"/>
    <w:rsid w:val="00C1752D"/>
    <w:rsid w:val="00C175F2"/>
    <w:rsid w:val="00C2000E"/>
    <w:rsid w:val="00C2020A"/>
    <w:rsid w:val="00C20631"/>
    <w:rsid w:val="00C20E37"/>
    <w:rsid w:val="00C20E4E"/>
    <w:rsid w:val="00C21075"/>
    <w:rsid w:val="00C21393"/>
    <w:rsid w:val="00C216DE"/>
    <w:rsid w:val="00C21973"/>
    <w:rsid w:val="00C2206B"/>
    <w:rsid w:val="00C22344"/>
    <w:rsid w:val="00C2237A"/>
    <w:rsid w:val="00C2248C"/>
    <w:rsid w:val="00C2260F"/>
    <w:rsid w:val="00C23E29"/>
    <w:rsid w:val="00C23F43"/>
    <w:rsid w:val="00C24010"/>
    <w:rsid w:val="00C241CB"/>
    <w:rsid w:val="00C246BF"/>
    <w:rsid w:val="00C246C1"/>
    <w:rsid w:val="00C24C40"/>
    <w:rsid w:val="00C24F98"/>
    <w:rsid w:val="00C25988"/>
    <w:rsid w:val="00C25A63"/>
    <w:rsid w:val="00C25FE3"/>
    <w:rsid w:val="00C26D0C"/>
    <w:rsid w:val="00C2718C"/>
    <w:rsid w:val="00C27678"/>
    <w:rsid w:val="00C276B7"/>
    <w:rsid w:val="00C27D35"/>
    <w:rsid w:val="00C300C0"/>
    <w:rsid w:val="00C30249"/>
    <w:rsid w:val="00C303EF"/>
    <w:rsid w:val="00C306F9"/>
    <w:rsid w:val="00C30D6F"/>
    <w:rsid w:val="00C310E8"/>
    <w:rsid w:val="00C3110C"/>
    <w:rsid w:val="00C31369"/>
    <w:rsid w:val="00C31413"/>
    <w:rsid w:val="00C31889"/>
    <w:rsid w:val="00C31895"/>
    <w:rsid w:val="00C31DBF"/>
    <w:rsid w:val="00C31E6F"/>
    <w:rsid w:val="00C32064"/>
    <w:rsid w:val="00C321EE"/>
    <w:rsid w:val="00C323E0"/>
    <w:rsid w:val="00C3243F"/>
    <w:rsid w:val="00C3280E"/>
    <w:rsid w:val="00C32828"/>
    <w:rsid w:val="00C32877"/>
    <w:rsid w:val="00C329BF"/>
    <w:rsid w:val="00C33589"/>
    <w:rsid w:val="00C337FA"/>
    <w:rsid w:val="00C33AC1"/>
    <w:rsid w:val="00C3479F"/>
    <w:rsid w:val="00C34F70"/>
    <w:rsid w:val="00C34FB8"/>
    <w:rsid w:val="00C3505B"/>
    <w:rsid w:val="00C35216"/>
    <w:rsid w:val="00C35CE5"/>
    <w:rsid w:val="00C360B5"/>
    <w:rsid w:val="00C36100"/>
    <w:rsid w:val="00C36209"/>
    <w:rsid w:val="00C36FAE"/>
    <w:rsid w:val="00C37061"/>
    <w:rsid w:val="00C37199"/>
    <w:rsid w:val="00C37CFE"/>
    <w:rsid w:val="00C37D27"/>
    <w:rsid w:val="00C37D81"/>
    <w:rsid w:val="00C40085"/>
    <w:rsid w:val="00C402B7"/>
    <w:rsid w:val="00C40D31"/>
    <w:rsid w:val="00C412B1"/>
    <w:rsid w:val="00C413D1"/>
    <w:rsid w:val="00C41C96"/>
    <w:rsid w:val="00C41DCA"/>
    <w:rsid w:val="00C41FC1"/>
    <w:rsid w:val="00C420FA"/>
    <w:rsid w:val="00C4224E"/>
    <w:rsid w:val="00C42595"/>
    <w:rsid w:val="00C43139"/>
    <w:rsid w:val="00C44286"/>
    <w:rsid w:val="00C44A76"/>
    <w:rsid w:val="00C44C78"/>
    <w:rsid w:val="00C44DB2"/>
    <w:rsid w:val="00C45237"/>
    <w:rsid w:val="00C45636"/>
    <w:rsid w:val="00C45872"/>
    <w:rsid w:val="00C45A85"/>
    <w:rsid w:val="00C45FC1"/>
    <w:rsid w:val="00C462AF"/>
    <w:rsid w:val="00C466C8"/>
    <w:rsid w:val="00C468A5"/>
    <w:rsid w:val="00C46B9A"/>
    <w:rsid w:val="00C47003"/>
    <w:rsid w:val="00C470C7"/>
    <w:rsid w:val="00C479BB"/>
    <w:rsid w:val="00C47E3A"/>
    <w:rsid w:val="00C47FF1"/>
    <w:rsid w:val="00C50060"/>
    <w:rsid w:val="00C50069"/>
    <w:rsid w:val="00C500E8"/>
    <w:rsid w:val="00C50393"/>
    <w:rsid w:val="00C509B1"/>
    <w:rsid w:val="00C50D3A"/>
    <w:rsid w:val="00C50ED0"/>
    <w:rsid w:val="00C50FC3"/>
    <w:rsid w:val="00C512C1"/>
    <w:rsid w:val="00C521FA"/>
    <w:rsid w:val="00C5282A"/>
    <w:rsid w:val="00C52A8E"/>
    <w:rsid w:val="00C52FC4"/>
    <w:rsid w:val="00C530BC"/>
    <w:rsid w:val="00C53B01"/>
    <w:rsid w:val="00C53C0A"/>
    <w:rsid w:val="00C53F01"/>
    <w:rsid w:val="00C544C2"/>
    <w:rsid w:val="00C54508"/>
    <w:rsid w:val="00C54694"/>
    <w:rsid w:val="00C54AEB"/>
    <w:rsid w:val="00C54B2D"/>
    <w:rsid w:val="00C54CED"/>
    <w:rsid w:val="00C553DA"/>
    <w:rsid w:val="00C55802"/>
    <w:rsid w:val="00C558F3"/>
    <w:rsid w:val="00C55B2D"/>
    <w:rsid w:val="00C55B4F"/>
    <w:rsid w:val="00C55F6C"/>
    <w:rsid w:val="00C569B4"/>
    <w:rsid w:val="00C56C06"/>
    <w:rsid w:val="00C56D5D"/>
    <w:rsid w:val="00C56F5A"/>
    <w:rsid w:val="00C571D6"/>
    <w:rsid w:val="00C573B9"/>
    <w:rsid w:val="00C573F5"/>
    <w:rsid w:val="00C5753E"/>
    <w:rsid w:val="00C57C43"/>
    <w:rsid w:val="00C60023"/>
    <w:rsid w:val="00C6078B"/>
    <w:rsid w:val="00C60A23"/>
    <w:rsid w:val="00C60F8B"/>
    <w:rsid w:val="00C613BF"/>
    <w:rsid w:val="00C61556"/>
    <w:rsid w:val="00C61648"/>
    <w:rsid w:val="00C61AED"/>
    <w:rsid w:val="00C61DC1"/>
    <w:rsid w:val="00C620AC"/>
    <w:rsid w:val="00C6279C"/>
    <w:rsid w:val="00C62C6B"/>
    <w:rsid w:val="00C62EEF"/>
    <w:rsid w:val="00C63036"/>
    <w:rsid w:val="00C632E2"/>
    <w:rsid w:val="00C63350"/>
    <w:rsid w:val="00C63438"/>
    <w:rsid w:val="00C635B5"/>
    <w:rsid w:val="00C637A4"/>
    <w:rsid w:val="00C638B6"/>
    <w:rsid w:val="00C63CD8"/>
    <w:rsid w:val="00C64206"/>
    <w:rsid w:val="00C64624"/>
    <w:rsid w:val="00C646E3"/>
    <w:rsid w:val="00C64757"/>
    <w:rsid w:val="00C64A93"/>
    <w:rsid w:val="00C64DA0"/>
    <w:rsid w:val="00C65136"/>
    <w:rsid w:val="00C651DD"/>
    <w:rsid w:val="00C657E0"/>
    <w:rsid w:val="00C65BE6"/>
    <w:rsid w:val="00C66139"/>
    <w:rsid w:val="00C661A7"/>
    <w:rsid w:val="00C66721"/>
    <w:rsid w:val="00C66B75"/>
    <w:rsid w:val="00C66D0B"/>
    <w:rsid w:val="00C6761D"/>
    <w:rsid w:val="00C676CB"/>
    <w:rsid w:val="00C67B98"/>
    <w:rsid w:val="00C707A2"/>
    <w:rsid w:val="00C71334"/>
    <w:rsid w:val="00C726D6"/>
    <w:rsid w:val="00C73156"/>
    <w:rsid w:val="00C7418B"/>
    <w:rsid w:val="00C744F4"/>
    <w:rsid w:val="00C7468F"/>
    <w:rsid w:val="00C746B9"/>
    <w:rsid w:val="00C74C12"/>
    <w:rsid w:val="00C75050"/>
    <w:rsid w:val="00C751D8"/>
    <w:rsid w:val="00C75670"/>
    <w:rsid w:val="00C7598F"/>
    <w:rsid w:val="00C75C54"/>
    <w:rsid w:val="00C75F39"/>
    <w:rsid w:val="00C761CD"/>
    <w:rsid w:val="00C7686B"/>
    <w:rsid w:val="00C770A2"/>
    <w:rsid w:val="00C77DCF"/>
    <w:rsid w:val="00C7CD1E"/>
    <w:rsid w:val="00C80827"/>
    <w:rsid w:val="00C808D2"/>
    <w:rsid w:val="00C80E51"/>
    <w:rsid w:val="00C80E92"/>
    <w:rsid w:val="00C80FDC"/>
    <w:rsid w:val="00C81236"/>
    <w:rsid w:val="00C8151A"/>
    <w:rsid w:val="00C817E8"/>
    <w:rsid w:val="00C81965"/>
    <w:rsid w:val="00C81C2B"/>
    <w:rsid w:val="00C82087"/>
    <w:rsid w:val="00C820CF"/>
    <w:rsid w:val="00C82102"/>
    <w:rsid w:val="00C822C7"/>
    <w:rsid w:val="00C823DE"/>
    <w:rsid w:val="00C8295D"/>
    <w:rsid w:val="00C830A3"/>
    <w:rsid w:val="00C8314A"/>
    <w:rsid w:val="00C835AA"/>
    <w:rsid w:val="00C837C2"/>
    <w:rsid w:val="00C83867"/>
    <w:rsid w:val="00C83AF6"/>
    <w:rsid w:val="00C841F0"/>
    <w:rsid w:val="00C8458C"/>
    <w:rsid w:val="00C849A2"/>
    <w:rsid w:val="00C84E5E"/>
    <w:rsid w:val="00C85C8F"/>
    <w:rsid w:val="00C8618B"/>
    <w:rsid w:val="00C86276"/>
    <w:rsid w:val="00C8652D"/>
    <w:rsid w:val="00C869AF"/>
    <w:rsid w:val="00C86ADA"/>
    <w:rsid w:val="00C8703B"/>
    <w:rsid w:val="00C87476"/>
    <w:rsid w:val="00C903E0"/>
    <w:rsid w:val="00C904C8"/>
    <w:rsid w:val="00C90575"/>
    <w:rsid w:val="00C90D4E"/>
    <w:rsid w:val="00C9132F"/>
    <w:rsid w:val="00C916A0"/>
    <w:rsid w:val="00C918A3"/>
    <w:rsid w:val="00C91DD1"/>
    <w:rsid w:val="00C929D9"/>
    <w:rsid w:val="00C92A7D"/>
    <w:rsid w:val="00C92C94"/>
    <w:rsid w:val="00C93002"/>
    <w:rsid w:val="00C931AE"/>
    <w:rsid w:val="00C932B0"/>
    <w:rsid w:val="00C935A3"/>
    <w:rsid w:val="00C93AEA"/>
    <w:rsid w:val="00C94167"/>
    <w:rsid w:val="00C94254"/>
    <w:rsid w:val="00C942B2"/>
    <w:rsid w:val="00C94381"/>
    <w:rsid w:val="00C943E4"/>
    <w:rsid w:val="00C954A0"/>
    <w:rsid w:val="00C9590C"/>
    <w:rsid w:val="00C95974"/>
    <w:rsid w:val="00C95E27"/>
    <w:rsid w:val="00C95FC2"/>
    <w:rsid w:val="00C963F0"/>
    <w:rsid w:val="00C96554"/>
    <w:rsid w:val="00C96893"/>
    <w:rsid w:val="00C969B9"/>
    <w:rsid w:val="00C96D33"/>
    <w:rsid w:val="00C96E54"/>
    <w:rsid w:val="00C972E7"/>
    <w:rsid w:val="00C97470"/>
    <w:rsid w:val="00C97A30"/>
    <w:rsid w:val="00CA00D8"/>
    <w:rsid w:val="00CA01D4"/>
    <w:rsid w:val="00CA080F"/>
    <w:rsid w:val="00CA08BF"/>
    <w:rsid w:val="00CA08F0"/>
    <w:rsid w:val="00CA1230"/>
    <w:rsid w:val="00CA173E"/>
    <w:rsid w:val="00CA183A"/>
    <w:rsid w:val="00CA1936"/>
    <w:rsid w:val="00CA1A2D"/>
    <w:rsid w:val="00CA2409"/>
    <w:rsid w:val="00CA2596"/>
    <w:rsid w:val="00CA2996"/>
    <w:rsid w:val="00CA3B4E"/>
    <w:rsid w:val="00CA3C39"/>
    <w:rsid w:val="00CA3C5C"/>
    <w:rsid w:val="00CA3C64"/>
    <w:rsid w:val="00CA3D17"/>
    <w:rsid w:val="00CA3EA8"/>
    <w:rsid w:val="00CA3F39"/>
    <w:rsid w:val="00CA40DA"/>
    <w:rsid w:val="00CA4A9F"/>
    <w:rsid w:val="00CA4D6C"/>
    <w:rsid w:val="00CA5AB1"/>
    <w:rsid w:val="00CA5D24"/>
    <w:rsid w:val="00CA5D55"/>
    <w:rsid w:val="00CA5F0F"/>
    <w:rsid w:val="00CA5FE3"/>
    <w:rsid w:val="00CA626E"/>
    <w:rsid w:val="00CA6313"/>
    <w:rsid w:val="00CA63E9"/>
    <w:rsid w:val="00CA658A"/>
    <w:rsid w:val="00CA6722"/>
    <w:rsid w:val="00CA778C"/>
    <w:rsid w:val="00CA79A2"/>
    <w:rsid w:val="00CA7EE8"/>
    <w:rsid w:val="00CA7EF8"/>
    <w:rsid w:val="00CB0286"/>
    <w:rsid w:val="00CB05DF"/>
    <w:rsid w:val="00CB0789"/>
    <w:rsid w:val="00CB0806"/>
    <w:rsid w:val="00CB09CD"/>
    <w:rsid w:val="00CB0E22"/>
    <w:rsid w:val="00CB0F5B"/>
    <w:rsid w:val="00CB0FC8"/>
    <w:rsid w:val="00CB136E"/>
    <w:rsid w:val="00CB1421"/>
    <w:rsid w:val="00CB18A5"/>
    <w:rsid w:val="00CB1C50"/>
    <w:rsid w:val="00CB1F26"/>
    <w:rsid w:val="00CB2223"/>
    <w:rsid w:val="00CB26F8"/>
    <w:rsid w:val="00CB295B"/>
    <w:rsid w:val="00CB2A83"/>
    <w:rsid w:val="00CB37AE"/>
    <w:rsid w:val="00CB3824"/>
    <w:rsid w:val="00CB3BD1"/>
    <w:rsid w:val="00CB416F"/>
    <w:rsid w:val="00CB46B6"/>
    <w:rsid w:val="00CB4806"/>
    <w:rsid w:val="00CB567E"/>
    <w:rsid w:val="00CB5A41"/>
    <w:rsid w:val="00CB5ED0"/>
    <w:rsid w:val="00CB60A2"/>
    <w:rsid w:val="00CB6AE1"/>
    <w:rsid w:val="00CB6CDA"/>
    <w:rsid w:val="00CB6FC8"/>
    <w:rsid w:val="00CB7A56"/>
    <w:rsid w:val="00CB7B20"/>
    <w:rsid w:val="00CB7BD4"/>
    <w:rsid w:val="00CC0042"/>
    <w:rsid w:val="00CC02F4"/>
    <w:rsid w:val="00CC0BCB"/>
    <w:rsid w:val="00CC0DD0"/>
    <w:rsid w:val="00CC1067"/>
    <w:rsid w:val="00CC10A7"/>
    <w:rsid w:val="00CC1E68"/>
    <w:rsid w:val="00CC2079"/>
    <w:rsid w:val="00CC22F4"/>
    <w:rsid w:val="00CC2B84"/>
    <w:rsid w:val="00CC2E24"/>
    <w:rsid w:val="00CC3A0D"/>
    <w:rsid w:val="00CC3F9E"/>
    <w:rsid w:val="00CC40F2"/>
    <w:rsid w:val="00CC414D"/>
    <w:rsid w:val="00CC42D5"/>
    <w:rsid w:val="00CC451E"/>
    <w:rsid w:val="00CC47EC"/>
    <w:rsid w:val="00CC5009"/>
    <w:rsid w:val="00CC53FC"/>
    <w:rsid w:val="00CC5582"/>
    <w:rsid w:val="00CC55F7"/>
    <w:rsid w:val="00CC5933"/>
    <w:rsid w:val="00CC5986"/>
    <w:rsid w:val="00CC5FF8"/>
    <w:rsid w:val="00CC78B3"/>
    <w:rsid w:val="00CC7C52"/>
    <w:rsid w:val="00CC7F48"/>
    <w:rsid w:val="00CD0139"/>
    <w:rsid w:val="00CD0494"/>
    <w:rsid w:val="00CD0BE6"/>
    <w:rsid w:val="00CD0D61"/>
    <w:rsid w:val="00CD10F6"/>
    <w:rsid w:val="00CD1622"/>
    <w:rsid w:val="00CD1AFD"/>
    <w:rsid w:val="00CD22FE"/>
    <w:rsid w:val="00CD271F"/>
    <w:rsid w:val="00CD311C"/>
    <w:rsid w:val="00CD327E"/>
    <w:rsid w:val="00CD374E"/>
    <w:rsid w:val="00CD3824"/>
    <w:rsid w:val="00CD3B6E"/>
    <w:rsid w:val="00CD40B5"/>
    <w:rsid w:val="00CD4134"/>
    <w:rsid w:val="00CD4205"/>
    <w:rsid w:val="00CD42AE"/>
    <w:rsid w:val="00CD444B"/>
    <w:rsid w:val="00CD44CA"/>
    <w:rsid w:val="00CD4547"/>
    <w:rsid w:val="00CD45A6"/>
    <w:rsid w:val="00CD488E"/>
    <w:rsid w:val="00CD4995"/>
    <w:rsid w:val="00CD49D2"/>
    <w:rsid w:val="00CD5059"/>
    <w:rsid w:val="00CD5343"/>
    <w:rsid w:val="00CD5818"/>
    <w:rsid w:val="00CD5FEC"/>
    <w:rsid w:val="00CD6175"/>
    <w:rsid w:val="00CD71D5"/>
    <w:rsid w:val="00CD7963"/>
    <w:rsid w:val="00CD7B73"/>
    <w:rsid w:val="00CD7C3A"/>
    <w:rsid w:val="00CE00A2"/>
    <w:rsid w:val="00CE0244"/>
    <w:rsid w:val="00CE03E1"/>
    <w:rsid w:val="00CE04F5"/>
    <w:rsid w:val="00CE06C1"/>
    <w:rsid w:val="00CE08EC"/>
    <w:rsid w:val="00CE096E"/>
    <w:rsid w:val="00CE0A86"/>
    <w:rsid w:val="00CE0B95"/>
    <w:rsid w:val="00CE10BB"/>
    <w:rsid w:val="00CE1E82"/>
    <w:rsid w:val="00CE245B"/>
    <w:rsid w:val="00CE26CA"/>
    <w:rsid w:val="00CE2E52"/>
    <w:rsid w:val="00CE354E"/>
    <w:rsid w:val="00CE37E4"/>
    <w:rsid w:val="00CE38B3"/>
    <w:rsid w:val="00CE3B35"/>
    <w:rsid w:val="00CE40B2"/>
    <w:rsid w:val="00CE5525"/>
    <w:rsid w:val="00CE55EC"/>
    <w:rsid w:val="00CE570E"/>
    <w:rsid w:val="00CE606F"/>
    <w:rsid w:val="00CE6109"/>
    <w:rsid w:val="00CE67E6"/>
    <w:rsid w:val="00CE680B"/>
    <w:rsid w:val="00CE6C2C"/>
    <w:rsid w:val="00CE6EDE"/>
    <w:rsid w:val="00CE6F85"/>
    <w:rsid w:val="00CE754F"/>
    <w:rsid w:val="00CE761E"/>
    <w:rsid w:val="00CE76CE"/>
    <w:rsid w:val="00CE771C"/>
    <w:rsid w:val="00CE77D2"/>
    <w:rsid w:val="00CF0178"/>
    <w:rsid w:val="00CF04E5"/>
    <w:rsid w:val="00CF117C"/>
    <w:rsid w:val="00CF12AB"/>
    <w:rsid w:val="00CF1925"/>
    <w:rsid w:val="00CF1C1B"/>
    <w:rsid w:val="00CF1F07"/>
    <w:rsid w:val="00CF237F"/>
    <w:rsid w:val="00CF293D"/>
    <w:rsid w:val="00CF2C74"/>
    <w:rsid w:val="00CF2CE0"/>
    <w:rsid w:val="00CF2D29"/>
    <w:rsid w:val="00CF3183"/>
    <w:rsid w:val="00CF331A"/>
    <w:rsid w:val="00CF36B8"/>
    <w:rsid w:val="00CF3830"/>
    <w:rsid w:val="00CF49C4"/>
    <w:rsid w:val="00CF4A72"/>
    <w:rsid w:val="00CF4A98"/>
    <w:rsid w:val="00CF4B0F"/>
    <w:rsid w:val="00CF4D70"/>
    <w:rsid w:val="00CF4E07"/>
    <w:rsid w:val="00CF505B"/>
    <w:rsid w:val="00CF521A"/>
    <w:rsid w:val="00CF56E7"/>
    <w:rsid w:val="00CF5E44"/>
    <w:rsid w:val="00CF5E6C"/>
    <w:rsid w:val="00CF5F8E"/>
    <w:rsid w:val="00CF5FA7"/>
    <w:rsid w:val="00CF69FE"/>
    <w:rsid w:val="00CF6CD2"/>
    <w:rsid w:val="00CF733B"/>
    <w:rsid w:val="00CF735D"/>
    <w:rsid w:val="00CF7367"/>
    <w:rsid w:val="00CF7436"/>
    <w:rsid w:val="00CF769C"/>
    <w:rsid w:val="00CF7834"/>
    <w:rsid w:val="00CF79A2"/>
    <w:rsid w:val="00D00177"/>
    <w:rsid w:val="00D0076C"/>
    <w:rsid w:val="00D008B8"/>
    <w:rsid w:val="00D01137"/>
    <w:rsid w:val="00D0115E"/>
    <w:rsid w:val="00D01284"/>
    <w:rsid w:val="00D0135C"/>
    <w:rsid w:val="00D015B0"/>
    <w:rsid w:val="00D01D8A"/>
    <w:rsid w:val="00D01DE2"/>
    <w:rsid w:val="00D01F63"/>
    <w:rsid w:val="00D020D6"/>
    <w:rsid w:val="00D026AA"/>
    <w:rsid w:val="00D02E68"/>
    <w:rsid w:val="00D03386"/>
    <w:rsid w:val="00D034A4"/>
    <w:rsid w:val="00D0355D"/>
    <w:rsid w:val="00D03A31"/>
    <w:rsid w:val="00D04106"/>
    <w:rsid w:val="00D0425A"/>
    <w:rsid w:val="00D0430A"/>
    <w:rsid w:val="00D04447"/>
    <w:rsid w:val="00D0452D"/>
    <w:rsid w:val="00D04B15"/>
    <w:rsid w:val="00D04D78"/>
    <w:rsid w:val="00D05695"/>
    <w:rsid w:val="00D05B3D"/>
    <w:rsid w:val="00D05EB7"/>
    <w:rsid w:val="00D05F5E"/>
    <w:rsid w:val="00D05F68"/>
    <w:rsid w:val="00D06185"/>
    <w:rsid w:val="00D06449"/>
    <w:rsid w:val="00D06488"/>
    <w:rsid w:val="00D06843"/>
    <w:rsid w:val="00D0685B"/>
    <w:rsid w:val="00D0698B"/>
    <w:rsid w:val="00D06B9D"/>
    <w:rsid w:val="00D06FA8"/>
    <w:rsid w:val="00D070F8"/>
    <w:rsid w:val="00D0735E"/>
    <w:rsid w:val="00D07380"/>
    <w:rsid w:val="00D075A4"/>
    <w:rsid w:val="00D07B24"/>
    <w:rsid w:val="00D07B51"/>
    <w:rsid w:val="00D07C1B"/>
    <w:rsid w:val="00D07FF2"/>
    <w:rsid w:val="00D102FF"/>
    <w:rsid w:val="00D1069E"/>
    <w:rsid w:val="00D109A5"/>
    <w:rsid w:val="00D10C6D"/>
    <w:rsid w:val="00D10E7D"/>
    <w:rsid w:val="00D112FA"/>
    <w:rsid w:val="00D11392"/>
    <w:rsid w:val="00D11453"/>
    <w:rsid w:val="00D11662"/>
    <w:rsid w:val="00D1242C"/>
    <w:rsid w:val="00D13C05"/>
    <w:rsid w:val="00D13F00"/>
    <w:rsid w:val="00D13FF4"/>
    <w:rsid w:val="00D14469"/>
    <w:rsid w:val="00D1466E"/>
    <w:rsid w:val="00D14DA8"/>
    <w:rsid w:val="00D15416"/>
    <w:rsid w:val="00D157D2"/>
    <w:rsid w:val="00D15A58"/>
    <w:rsid w:val="00D15D55"/>
    <w:rsid w:val="00D16197"/>
    <w:rsid w:val="00D168C4"/>
    <w:rsid w:val="00D16DE0"/>
    <w:rsid w:val="00D1738E"/>
    <w:rsid w:val="00D17A7F"/>
    <w:rsid w:val="00D201F5"/>
    <w:rsid w:val="00D20211"/>
    <w:rsid w:val="00D2061C"/>
    <w:rsid w:val="00D207B6"/>
    <w:rsid w:val="00D20A77"/>
    <w:rsid w:val="00D212E1"/>
    <w:rsid w:val="00D21643"/>
    <w:rsid w:val="00D21655"/>
    <w:rsid w:val="00D2167A"/>
    <w:rsid w:val="00D2184C"/>
    <w:rsid w:val="00D21A4C"/>
    <w:rsid w:val="00D22326"/>
    <w:rsid w:val="00D22346"/>
    <w:rsid w:val="00D225E0"/>
    <w:rsid w:val="00D2264E"/>
    <w:rsid w:val="00D22782"/>
    <w:rsid w:val="00D2299B"/>
    <w:rsid w:val="00D22EDC"/>
    <w:rsid w:val="00D239C8"/>
    <w:rsid w:val="00D23FD9"/>
    <w:rsid w:val="00D244AA"/>
    <w:rsid w:val="00D2459E"/>
    <w:rsid w:val="00D24A72"/>
    <w:rsid w:val="00D25066"/>
    <w:rsid w:val="00D25082"/>
    <w:rsid w:val="00D2527D"/>
    <w:rsid w:val="00D252FD"/>
    <w:rsid w:val="00D25DC8"/>
    <w:rsid w:val="00D25DE3"/>
    <w:rsid w:val="00D25EBA"/>
    <w:rsid w:val="00D26110"/>
    <w:rsid w:val="00D26529"/>
    <w:rsid w:val="00D26991"/>
    <w:rsid w:val="00D26CBC"/>
    <w:rsid w:val="00D26F2A"/>
    <w:rsid w:val="00D27342"/>
    <w:rsid w:val="00D274FD"/>
    <w:rsid w:val="00D28E97"/>
    <w:rsid w:val="00D30D83"/>
    <w:rsid w:val="00D30EEC"/>
    <w:rsid w:val="00D313B1"/>
    <w:rsid w:val="00D314FC"/>
    <w:rsid w:val="00D3176A"/>
    <w:rsid w:val="00D318A3"/>
    <w:rsid w:val="00D318DB"/>
    <w:rsid w:val="00D31D28"/>
    <w:rsid w:val="00D31F1B"/>
    <w:rsid w:val="00D321E7"/>
    <w:rsid w:val="00D32384"/>
    <w:rsid w:val="00D324DC"/>
    <w:rsid w:val="00D32715"/>
    <w:rsid w:val="00D32960"/>
    <w:rsid w:val="00D3342E"/>
    <w:rsid w:val="00D3371A"/>
    <w:rsid w:val="00D33758"/>
    <w:rsid w:val="00D33BAB"/>
    <w:rsid w:val="00D33DC1"/>
    <w:rsid w:val="00D3420F"/>
    <w:rsid w:val="00D34638"/>
    <w:rsid w:val="00D34646"/>
    <w:rsid w:val="00D348ED"/>
    <w:rsid w:val="00D34CB8"/>
    <w:rsid w:val="00D35044"/>
    <w:rsid w:val="00D3548D"/>
    <w:rsid w:val="00D35501"/>
    <w:rsid w:val="00D35B57"/>
    <w:rsid w:val="00D35C5B"/>
    <w:rsid w:val="00D35D45"/>
    <w:rsid w:val="00D35E22"/>
    <w:rsid w:val="00D3603B"/>
    <w:rsid w:val="00D36169"/>
    <w:rsid w:val="00D36327"/>
    <w:rsid w:val="00D36420"/>
    <w:rsid w:val="00D36CE2"/>
    <w:rsid w:val="00D377B1"/>
    <w:rsid w:val="00D378EB"/>
    <w:rsid w:val="00D40033"/>
    <w:rsid w:val="00D400A5"/>
    <w:rsid w:val="00D40246"/>
    <w:rsid w:val="00D403C8"/>
    <w:rsid w:val="00D40D87"/>
    <w:rsid w:val="00D41147"/>
    <w:rsid w:val="00D4146E"/>
    <w:rsid w:val="00D41667"/>
    <w:rsid w:val="00D419EE"/>
    <w:rsid w:val="00D41B58"/>
    <w:rsid w:val="00D41CF2"/>
    <w:rsid w:val="00D41D49"/>
    <w:rsid w:val="00D42597"/>
    <w:rsid w:val="00D426A3"/>
    <w:rsid w:val="00D429B0"/>
    <w:rsid w:val="00D42D20"/>
    <w:rsid w:val="00D432F9"/>
    <w:rsid w:val="00D435C8"/>
    <w:rsid w:val="00D43FC2"/>
    <w:rsid w:val="00D440AC"/>
    <w:rsid w:val="00D441B0"/>
    <w:rsid w:val="00D442B5"/>
    <w:rsid w:val="00D44873"/>
    <w:rsid w:val="00D44981"/>
    <w:rsid w:val="00D44AED"/>
    <w:rsid w:val="00D44E70"/>
    <w:rsid w:val="00D4509E"/>
    <w:rsid w:val="00D452E9"/>
    <w:rsid w:val="00D453D2"/>
    <w:rsid w:val="00D45596"/>
    <w:rsid w:val="00D45845"/>
    <w:rsid w:val="00D459E3"/>
    <w:rsid w:val="00D45A59"/>
    <w:rsid w:val="00D45BCD"/>
    <w:rsid w:val="00D45E1A"/>
    <w:rsid w:val="00D460B1"/>
    <w:rsid w:val="00D4611D"/>
    <w:rsid w:val="00D464EC"/>
    <w:rsid w:val="00D46671"/>
    <w:rsid w:val="00D46AEE"/>
    <w:rsid w:val="00D46B8B"/>
    <w:rsid w:val="00D471A7"/>
    <w:rsid w:val="00D4727F"/>
    <w:rsid w:val="00D476FB"/>
    <w:rsid w:val="00D4776C"/>
    <w:rsid w:val="00D50220"/>
    <w:rsid w:val="00D50481"/>
    <w:rsid w:val="00D5083F"/>
    <w:rsid w:val="00D50BC6"/>
    <w:rsid w:val="00D50C1E"/>
    <w:rsid w:val="00D51445"/>
    <w:rsid w:val="00D51688"/>
    <w:rsid w:val="00D51788"/>
    <w:rsid w:val="00D518D9"/>
    <w:rsid w:val="00D519A3"/>
    <w:rsid w:val="00D51A24"/>
    <w:rsid w:val="00D51B19"/>
    <w:rsid w:val="00D520B8"/>
    <w:rsid w:val="00D5281E"/>
    <w:rsid w:val="00D52905"/>
    <w:rsid w:val="00D529BD"/>
    <w:rsid w:val="00D529FD"/>
    <w:rsid w:val="00D52BFB"/>
    <w:rsid w:val="00D52F4A"/>
    <w:rsid w:val="00D5310A"/>
    <w:rsid w:val="00D5328F"/>
    <w:rsid w:val="00D53803"/>
    <w:rsid w:val="00D53C78"/>
    <w:rsid w:val="00D5462E"/>
    <w:rsid w:val="00D54F55"/>
    <w:rsid w:val="00D54F8B"/>
    <w:rsid w:val="00D551B9"/>
    <w:rsid w:val="00D554B9"/>
    <w:rsid w:val="00D56039"/>
    <w:rsid w:val="00D56AE2"/>
    <w:rsid w:val="00D56B61"/>
    <w:rsid w:val="00D56C0E"/>
    <w:rsid w:val="00D56C3B"/>
    <w:rsid w:val="00D56D22"/>
    <w:rsid w:val="00D56EB9"/>
    <w:rsid w:val="00D56F4D"/>
    <w:rsid w:val="00D57169"/>
    <w:rsid w:val="00D5730E"/>
    <w:rsid w:val="00D57C4E"/>
    <w:rsid w:val="00D609CD"/>
    <w:rsid w:val="00D609F7"/>
    <w:rsid w:val="00D614B6"/>
    <w:rsid w:val="00D615D3"/>
    <w:rsid w:val="00D615FD"/>
    <w:rsid w:val="00D6195D"/>
    <w:rsid w:val="00D629A7"/>
    <w:rsid w:val="00D62B92"/>
    <w:rsid w:val="00D62C05"/>
    <w:rsid w:val="00D62C5D"/>
    <w:rsid w:val="00D632A0"/>
    <w:rsid w:val="00D63419"/>
    <w:rsid w:val="00D6394D"/>
    <w:rsid w:val="00D639E4"/>
    <w:rsid w:val="00D642F5"/>
    <w:rsid w:val="00D65052"/>
    <w:rsid w:val="00D65212"/>
    <w:rsid w:val="00D65286"/>
    <w:rsid w:val="00D65479"/>
    <w:rsid w:val="00D65518"/>
    <w:rsid w:val="00D65895"/>
    <w:rsid w:val="00D65CF6"/>
    <w:rsid w:val="00D65EBC"/>
    <w:rsid w:val="00D66398"/>
    <w:rsid w:val="00D664D0"/>
    <w:rsid w:val="00D666E4"/>
    <w:rsid w:val="00D66B65"/>
    <w:rsid w:val="00D66D1B"/>
    <w:rsid w:val="00D7082A"/>
    <w:rsid w:val="00D708D2"/>
    <w:rsid w:val="00D719E2"/>
    <w:rsid w:val="00D71C36"/>
    <w:rsid w:val="00D71E69"/>
    <w:rsid w:val="00D72294"/>
    <w:rsid w:val="00D724F9"/>
    <w:rsid w:val="00D72776"/>
    <w:rsid w:val="00D727FE"/>
    <w:rsid w:val="00D728A1"/>
    <w:rsid w:val="00D7290F"/>
    <w:rsid w:val="00D72BCA"/>
    <w:rsid w:val="00D72D95"/>
    <w:rsid w:val="00D72E6F"/>
    <w:rsid w:val="00D730A3"/>
    <w:rsid w:val="00D73A5C"/>
    <w:rsid w:val="00D73CC2"/>
    <w:rsid w:val="00D741DD"/>
    <w:rsid w:val="00D749F7"/>
    <w:rsid w:val="00D74A9D"/>
    <w:rsid w:val="00D75270"/>
    <w:rsid w:val="00D75E1B"/>
    <w:rsid w:val="00D75E5F"/>
    <w:rsid w:val="00D761C8"/>
    <w:rsid w:val="00D76420"/>
    <w:rsid w:val="00D76C0B"/>
    <w:rsid w:val="00D76FD7"/>
    <w:rsid w:val="00D77F1D"/>
    <w:rsid w:val="00D77F7A"/>
    <w:rsid w:val="00D80636"/>
    <w:rsid w:val="00D80A7C"/>
    <w:rsid w:val="00D80CAC"/>
    <w:rsid w:val="00D80CD3"/>
    <w:rsid w:val="00D80D7F"/>
    <w:rsid w:val="00D80F93"/>
    <w:rsid w:val="00D8128C"/>
    <w:rsid w:val="00D812B7"/>
    <w:rsid w:val="00D817A8"/>
    <w:rsid w:val="00D8185F"/>
    <w:rsid w:val="00D818E1"/>
    <w:rsid w:val="00D81908"/>
    <w:rsid w:val="00D81D3E"/>
    <w:rsid w:val="00D81F5E"/>
    <w:rsid w:val="00D820E4"/>
    <w:rsid w:val="00D824FF"/>
    <w:rsid w:val="00D827CF"/>
    <w:rsid w:val="00D82ACF"/>
    <w:rsid w:val="00D82F43"/>
    <w:rsid w:val="00D83319"/>
    <w:rsid w:val="00D83360"/>
    <w:rsid w:val="00D83444"/>
    <w:rsid w:val="00D8345A"/>
    <w:rsid w:val="00D83BE8"/>
    <w:rsid w:val="00D841C5"/>
    <w:rsid w:val="00D848BE"/>
    <w:rsid w:val="00D849B9"/>
    <w:rsid w:val="00D84B9D"/>
    <w:rsid w:val="00D84C25"/>
    <w:rsid w:val="00D84D32"/>
    <w:rsid w:val="00D84D85"/>
    <w:rsid w:val="00D85325"/>
    <w:rsid w:val="00D85643"/>
    <w:rsid w:val="00D8626D"/>
    <w:rsid w:val="00D8669A"/>
    <w:rsid w:val="00D867E3"/>
    <w:rsid w:val="00D8680B"/>
    <w:rsid w:val="00D868E8"/>
    <w:rsid w:val="00D86AB1"/>
    <w:rsid w:val="00D87150"/>
    <w:rsid w:val="00D87378"/>
    <w:rsid w:val="00D87A5A"/>
    <w:rsid w:val="00D9047A"/>
    <w:rsid w:val="00D90671"/>
    <w:rsid w:val="00D909A3"/>
    <w:rsid w:val="00D91956"/>
    <w:rsid w:val="00D91964"/>
    <w:rsid w:val="00D919D6"/>
    <w:rsid w:val="00D92434"/>
    <w:rsid w:val="00D92ACD"/>
    <w:rsid w:val="00D92B43"/>
    <w:rsid w:val="00D92E43"/>
    <w:rsid w:val="00D9399C"/>
    <w:rsid w:val="00D9419F"/>
    <w:rsid w:val="00D945BE"/>
    <w:rsid w:val="00D94C5E"/>
    <w:rsid w:val="00D94E04"/>
    <w:rsid w:val="00D955BE"/>
    <w:rsid w:val="00D955D1"/>
    <w:rsid w:val="00D963FC"/>
    <w:rsid w:val="00D9672A"/>
    <w:rsid w:val="00D96837"/>
    <w:rsid w:val="00D96C0F"/>
    <w:rsid w:val="00D96CA2"/>
    <w:rsid w:val="00D973B1"/>
    <w:rsid w:val="00D9746C"/>
    <w:rsid w:val="00D975FE"/>
    <w:rsid w:val="00D97692"/>
    <w:rsid w:val="00D97BDF"/>
    <w:rsid w:val="00D97E62"/>
    <w:rsid w:val="00DA056A"/>
    <w:rsid w:val="00DA0AF6"/>
    <w:rsid w:val="00DA0D4E"/>
    <w:rsid w:val="00DA1011"/>
    <w:rsid w:val="00DA1C5E"/>
    <w:rsid w:val="00DA1D42"/>
    <w:rsid w:val="00DA2129"/>
    <w:rsid w:val="00DA219B"/>
    <w:rsid w:val="00DA2371"/>
    <w:rsid w:val="00DA24A3"/>
    <w:rsid w:val="00DA2786"/>
    <w:rsid w:val="00DA2C53"/>
    <w:rsid w:val="00DA2D99"/>
    <w:rsid w:val="00DA2DEC"/>
    <w:rsid w:val="00DA33FF"/>
    <w:rsid w:val="00DA366F"/>
    <w:rsid w:val="00DA3924"/>
    <w:rsid w:val="00DA3B3E"/>
    <w:rsid w:val="00DA4531"/>
    <w:rsid w:val="00DA4844"/>
    <w:rsid w:val="00DA4864"/>
    <w:rsid w:val="00DA4D3A"/>
    <w:rsid w:val="00DA4F34"/>
    <w:rsid w:val="00DA5081"/>
    <w:rsid w:val="00DA528F"/>
    <w:rsid w:val="00DA5410"/>
    <w:rsid w:val="00DA5ADD"/>
    <w:rsid w:val="00DA5EF2"/>
    <w:rsid w:val="00DA6957"/>
    <w:rsid w:val="00DA6A1D"/>
    <w:rsid w:val="00DA7699"/>
    <w:rsid w:val="00DA7F31"/>
    <w:rsid w:val="00DB0160"/>
    <w:rsid w:val="00DB0964"/>
    <w:rsid w:val="00DB0B8A"/>
    <w:rsid w:val="00DB0BFE"/>
    <w:rsid w:val="00DB0CE1"/>
    <w:rsid w:val="00DB16E9"/>
    <w:rsid w:val="00DB1C59"/>
    <w:rsid w:val="00DB2ABC"/>
    <w:rsid w:val="00DB2B16"/>
    <w:rsid w:val="00DB2F0B"/>
    <w:rsid w:val="00DB3202"/>
    <w:rsid w:val="00DB3583"/>
    <w:rsid w:val="00DB3E5B"/>
    <w:rsid w:val="00DB44A6"/>
    <w:rsid w:val="00DB499F"/>
    <w:rsid w:val="00DB49FB"/>
    <w:rsid w:val="00DB56D6"/>
    <w:rsid w:val="00DB5849"/>
    <w:rsid w:val="00DB6A57"/>
    <w:rsid w:val="00DB6CA6"/>
    <w:rsid w:val="00DB7460"/>
    <w:rsid w:val="00DB759F"/>
    <w:rsid w:val="00DB7724"/>
    <w:rsid w:val="00DC0184"/>
    <w:rsid w:val="00DC0AE4"/>
    <w:rsid w:val="00DC0D71"/>
    <w:rsid w:val="00DC12A5"/>
    <w:rsid w:val="00DC194D"/>
    <w:rsid w:val="00DC1EFF"/>
    <w:rsid w:val="00DC1F12"/>
    <w:rsid w:val="00DC23EB"/>
    <w:rsid w:val="00DC273E"/>
    <w:rsid w:val="00DC2ED7"/>
    <w:rsid w:val="00DC30A1"/>
    <w:rsid w:val="00DC3352"/>
    <w:rsid w:val="00DC37B4"/>
    <w:rsid w:val="00DC3C26"/>
    <w:rsid w:val="00DC3D70"/>
    <w:rsid w:val="00DC3E13"/>
    <w:rsid w:val="00DC3FFB"/>
    <w:rsid w:val="00DC4309"/>
    <w:rsid w:val="00DC4E24"/>
    <w:rsid w:val="00DC522B"/>
    <w:rsid w:val="00DC55EA"/>
    <w:rsid w:val="00DC5A12"/>
    <w:rsid w:val="00DC5DCE"/>
    <w:rsid w:val="00DC5E70"/>
    <w:rsid w:val="00DC5F66"/>
    <w:rsid w:val="00DC76E1"/>
    <w:rsid w:val="00DC7B4A"/>
    <w:rsid w:val="00DC7B86"/>
    <w:rsid w:val="00DC7DDB"/>
    <w:rsid w:val="00DCFF1F"/>
    <w:rsid w:val="00DD011E"/>
    <w:rsid w:val="00DD037E"/>
    <w:rsid w:val="00DD080D"/>
    <w:rsid w:val="00DD0811"/>
    <w:rsid w:val="00DD0915"/>
    <w:rsid w:val="00DD0B2A"/>
    <w:rsid w:val="00DD14B4"/>
    <w:rsid w:val="00DD1E05"/>
    <w:rsid w:val="00DD1FD0"/>
    <w:rsid w:val="00DD219F"/>
    <w:rsid w:val="00DD267A"/>
    <w:rsid w:val="00DD26A8"/>
    <w:rsid w:val="00DD3271"/>
    <w:rsid w:val="00DD3493"/>
    <w:rsid w:val="00DD3845"/>
    <w:rsid w:val="00DD3C40"/>
    <w:rsid w:val="00DD3E01"/>
    <w:rsid w:val="00DD44A7"/>
    <w:rsid w:val="00DD48C5"/>
    <w:rsid w:val="00DD49DF"/>
    <w:rsid w:val="00DD4DD8"/>
    <w:rsid w:val="00DD5558"/>
    <w:rsid w:val="00DD57BE"/>
    <w:rsid w:val="00DD5887"/>
    <w:rsid w:val="00DD59B5"/>
    <w:rsid w:val="00DD5C88"/>
    <w:rsid w:val="00DD628D"/>
    <w:rsid w:val="00DD6357"/>
    <w:rsid w:val="00DD6971"/>
    <w:rsid w:val="00DD6E2F"/>
    <w:rsid w:val="00DD720F"/>
    <w:rsid w:val="00DD7292"/>
    <w:rsid w:val="00DD75C8"/>
    <w:rsid w:val="00DD7A01"/>
    <w:rsid w:val="00DD7BF6"/>
    <w:rsid w:val="00DD7F5D"/>
    <w:rsid w:val="00DD7F90"/>
    <w:rsid w:val="00DE039D"/>
    <w:rsid w:val="00DE03A7"/>
    <w:rsid w:val="00DE06A5"/>
    <w:rsid w:val="00DE0B88"/>
    <w:rsid w:val="00DE0FB9"/>
    <w:rsid w:val="00DE11A6"/>
    <w:rsid w:val="00DE13C6"/>
    <w:rsid w:val="00DE140E"/>
    <w:rsid w:val="00DE16D7"/>
    <w:rsid w:val="00DE192C"/>
    <w:rsid w:val="00DE1FE9"/>
    <w:rsid w:val="00DE2BB5"/>
    <w:rsid w:val="00DE3375"/>
    <w:rsid w:val="00DE3390"/>
    <w:rsid w:val="00DE3454"/>
    <w:rsid w:val="00DE36B8"/>
    <w:rsid w:val="00DE39E1"/>
    <w:rsid w:val="00DE3B6B"/>
    <w:rsid w:val="00DE3CA8"/>
    <w:rsid w:val="00DE3FD3"/>
    <w:rsid w:val="00DE401F"/>
    <w:rsid w:val="00DE40E8"/>
    <w:rsid w:val="00DE41CA"/>
    <w:rsid w:val="00DE4573"/>
    <w:rsid w:val="00DE4869"/>
    <w:rsid w:val="00DE4C8F"/>
    <w:rsid w:val="00DE511F"/>
    <w:rsid w:val="00DE5780"/>
    <w:rsid w:val="00DE5A34"/>
    <w:rsid w:val="00DE660C"/>
    <w:rsid w:val="00DE6BD3"/>
    <w:rsid w:val="00DE6D52"/>
    <w:rsid w:val="00DE743F"/>
    <w:rsid w:val="00DE79E9"/>
    <w:rsid w:val="00DE7A24"/>
    <w:rsid w:val="00DE7D8F"/>
    <w:rsid w:val="00DE7EC0"/>
    <w:rsid w:val="00DF018C"/>
    <w:rsid w:val="00DF03E3"/>
    <w:rsid w:val="00DF09A7"/>
    <w:rsid w:val="00DF0A3A"/>
    <w:rsid w:val="00DF1110"/>
    <w:rsid w:val="00DF140F"/>
    <w:rsid w:val="00DF176D"/>
    <w:rsid w:val="00DF1B06"/>
    <w:rsid w:val="00DF2015"/>
    <w:rsid w:val="00DF224E"/>
    <w:rsid w:val="00DF2307"/>
    <w:rsid w:val="00DF2487"/>
    <w:rsid w:val="00DF25A8"/>
    <w:rsid w:val="00DF273D"/>
    <w:rsid w:val="00DF2FFD"/>
    <w:rsid w:val="00DF308C"/>
    <w:rsid w:val="00DF310D"/>
    <w:rsid w:val="00DF34B6"/>
    <w:rsid w:val="00DF3A0C"/>
    <w:rsid w:val="00DF3B82"/>
    <w:rsid w:val="00DF3CAD"/>
    <w:rsid w:val="00DF3D1D"/>
    <w:rsid w:val="00DF45D4"/>
    <w:rsid w:val="00DF468B"/>
    <w:rsid w:val="00DF46DF"/>
    <w:rsid w:val="00DF4F0D"/>
    <w:rsid w:val="00DF507B"/>
    <w:rsid w:val="00DF57D6"/>
    <w:rsid w:val="00DF5DDA"/>
    <w:rsid w:val="00DF67A0"/>
    <w:rsid w:val="00DF68AF"/>
    <w:rsid w:val="00DF6909"/>
    <w:rsid w:val="00DF6D0D"/>
    <w:rsid w:val="00DF75A5"/>
    <w:rsid w:val="00DF7E8E"/>
    <w:rsid w:val="00DFAAFB"/>
    <w:rsid w:val="00E001E0"/>
    <w:rsid w:val="00E002F0"/>
    <w:rsid w:val="00E00362"/>
    <w:rsid w:val="00E00441"/>
    <w:rsid w:val="00E0046B"/>
    <w:rsid w:val="00E00788"/>
    <w:rsid w:val="00E011FE"/>
    <w:rsid w:val="00E0120A"/>
    <w:rsid w:val="00E02249"/>
    <w:rsid w:val="00E02293"/>
    <w:rsid w:val="00E02399"/>
    <w:rsid w:val="00E02506"/>
    <w:rsid w:val="00E02928"/>
    <w:rsid w:val="00E03287"/>
    <w:rsid w:val="00E0359F"/>
    <w:rsid w:val="00E038C6"/>
    <w:rsid w:val="00E03ABA"/>
    <w:rsid w:val="00E03EC6"/>
    <w:rsid w:val="00E03EC8"/>
    <w:rsid w:val="00E03EFC"/>
    <w:rsid w:val="00E03F2C"/>
    <w:rsid w:val="00E04113"/>
    <w:rsid w:val="00E042E3"/>
    <w:rsid w:val="00E05BEB"/>
    <w:rsid w:val="00E05D82"/>
    <w:rsid w:val="00E0641F"/>
    <w:rsid w:val="00E067AB"/>
    <w:rsid w:val="00E06E51"/>
    <w:rsid w:val="00E0700F"/>
    <w:rsid w:val="00E070F4"/>
    <w:rsid w:val="00E07382"/>
    <w:rsid w:val="00E0758E"/>
    <w:rsid w:val="00E1024B"/>
    <w:rsid w:val="00E104CB"/>
    <w:rsid w:val="00E10579"/>
    <w:rsid w:val="00E109D0"/>
    <w:rsid w:val="00E10AC4"/>
    <w:rsid w:val="00E1109C"/>
    <w:rsid w:val="00E11262"/>
    <w:rsid w:val="00E11480"/>
    <w:rsid w:val="00E11AF4"/>
    <w:rsid w:val="00E11CAC"/>
    <w:rsid w:val="00E11E8F"/>
    <w:rsid w:val="00E12417"/>
    <w:rsid w:val="00E124BC"/>
    <w:rsid w:val="00E126F8"/>
    <w:rsid w:val="00E129EC"/>
    <w:rsid w:val="00E137D0"/>
    <w:rsid w:val="00E13A09"/>
    <w:rsid w:val="00E13E14"/>
    <w:rsid w:val="00E145BF"/>
    <w:rsid w:val="00E14B87"/>
    <w:rsid w:val="00E14CA9"/>
    <w:rsid w:val="00E15887"/>
    <w:rsid w:val="00E17146"/>
    <w:rsid w:val="00E1756F"/>
    <w:rsid w:val="00E17761"/>
    <w:rsid w:val="00E178C4"/>
    <w:rsid w:val="00E17969"/>
    <w:rsid w:val="00E20802"/>
    <w:rsid w:val="00E213C2"/>
    <w:rsid w:val="00E21471"/>
    <w:rsid w:val="00E216BE"/>
    <w:rsid w:val="00E216EF"/>
    <w:rsid w:val="00E21EDF"/>
    <w:rsid w:val="00E2214A"/>
    <w:rsid w:val="00E22587"/>
    <w:rsid w:val="00E22D2B"/>
    <w:rsid w:val="00E23075"/>
    <w:rsid w:val="00E23144"/>
    <w:rsid w:val="00E2394A"/>
    <w:rsid w:val="00E23A0D"/>
    <w:rsid w:val="00E2414B"/>
    <w:rsid w:val="00E245E4"/>
    <w:rsid w:val="00E24612"/>
    <w:rsid w:val="00E2473C"/>
    <w:rsid w:val="00E24D02"/>
    <w:rsid w:val="00E24E3D"/>
    <w:rsid w:val="00E24E99"/>
    <w:rsid w:val="00E25CC2"/>
    <w:rsid w:val="00E25DED"/>
    <w:rsid w:val="00E267F2"/>
    <w:rsid w:val="00E26E67"/>
    <w:rsid w:val="00E27029"/>
    <w:rsid w:val="00E2711D"/>
    <w:rsid w:val="00E273C8"/>
    <w:rsid w:val="00E27FB0"/>
    <w:rsid w:val="00E30009"/>
    <w:rsid w:val="00E3033E"/>
    <w:rsid w:val="00E30529"/>
    <w:rsid w:val="00E3060B"/>
    <w:rsid w:val="00E30A32"/>
    <w:rsid w:val="00E31182"/>
    <w:rsid w:val="00E3122B"/>
    <w:rsid w:val="00E3148A"/>
    <w:rsid w:val="00E3170B"/>
    <w:rsid w:val="00E31A52"/>
    <w:rsid w:val="00E32025"/>
    <w:rsid w:val="00E32184"/>
    <w:rsid w:val="00E321EB"/>
    <w:rsid w:val="00E3226E"/>
    <w:rsid w:val="00E326DA"/>
    <w:rsid w:val="00E3279A"/>
    <w:rsid w:val="00E327B6"/>
    <w:rsid w:val="00E32DA4"/>
    <w:rsid w:val="00E32F39"/>
    <w:rsid w:val="00E33063"/>
    <w:rsid w:val="00E33613"/>
    <w:rsid w:val="00E33948"/>
    <w:rsid w:val="00E34613"/>
    <w:rsid w:val="00E34843"/>
    <w:rsid w:val="00E353DB"/>
    <w:rsid w:val="00E3550F"/>
    <w:rsid w:val="00E35B7C"/>
    <w:rsid w:val="00E363B4"/>
    <w:rsid w:val="00E36710"/>
    <w:rsid w:val="00E368AA"/>
    <w:rsid w:val="00E36C29"/>
    <w:rsid w:val="00E36DB6"/>
    <w:rsid w:val="00E373EF"/>
    <w:rsid w:val="00E3754E"/>
    <w:rsid w:val="00E37F89"/>
    <w:rsid w:val="00E403B2"/>
    <w:rsid w:val="00E405BC"/>
    <w:rsid w:val="00E40957"/>
    <w:rsid w:val="00E4099A"/>
    <w:rsid w:val="00E4109D"/>
    <w:rsid w:val="00E413FF"/>
    <w:rsid w:val="00E420F2"/>
    <w:rsid w:val="00E42380"/>
    <w:rsid w:val="00E42538"/>
    <w:rsid w:val="00E425FE"/>
    <w:rsid w:val="00E42654"/>
    <w:rsid w:val="00E4271B"/>
    <w:rsid w:val="00E42768"/>
    <w:rsid w:val="00E42C17"/>
    <w:rsid w:val="00E4337A"/>
    <w:rsid w:val="00E43441"/>
    <w:rsid w:val="00E43B0B"/>
    <w:rsid w:val="00E43C51"/>
    <w:rsid w:val="00E43C8E"/>
    <w:rsid w:val="00E444FB"/>
    <w:rsid w:val="00E4471B"/>
    <w:rsid w:val="00E44A22"/>
    <w:rsid w:val="00E44E13"/>
    <w:rsid w:val="00E44FD3"/>
    <w:rsid w:val="00E452B6"/>
    <w:rsid w:val="00E4538A"/>
    <w:rsid w:val="00E45821"/>
    <w:rsid w:val="00E458FE"/>
    <w:rsid w:val="00E45BFE"/>
    <w:rsid w:val="00E45C48"/>
    <w:rsid w:val="00E45C6A"/>
    <w:rsid w:val="00E461CE"/>
    <w:rsid w:val="00E46B1F"/>
    <w:rsid w:val="00E46B82"/>
    <w:rsid w:val="00E46C4F"/>
    <w:rsid w:val="00E47737"/>
    <w:rsid w:val="00E477D0"/>
    <w:rsid w:val="00E47A47"/>
    <w:rsid w:val="00E5028F"/>
    <w:rsid w:val="00E50358"/>
    <w:rsid w:val="00E50743"/>
    <w:rsid w:val="00E508DD"/>
    <w:rsid w:val="00E5098A"/>
    <w:rsid w:val="00E51954"/>
    <w:rsid w:val="00E51A2A"/>
    <w:rsid w:val="00E51ADF"/>
    <w:rsid w:val="00E51E5C"/>
    <w:rsid w:val="00E52342"/>
    <w:rsid w:val="00E523A1"/>
    <w:rsid w:val="00E53102"/>
    <w:rsid w:val="00E5311C"/>
    <w:rsid w:val="00E53403"/>
    <w:rsid w:val="00E53623"/>
    <w:rsid w:val="00E53870"/>
    <w:rsid w:val="00E539BD"/>
    <w:rsid w:val="00E53C9B"/>
    <w:rsid w:val="00E54119"/>
    <w:rsid w:val="00E544A2"/>
    <w:rsid w:val="00E547C7"/>
    <w:rsid w:val="00E548B9"/>
    <w:rsid w:val="00E548CA"/>
    <w:rsid w:val="00E549A1"/>
    <w:rsid w:val="00E549DB"/>
    <w:rsid w:val="00E54CC8"/>
    <w:rsid w:val="00E55430"/>
    <w:rsid w:val="00E554B8"/>
    <w:rsid w:val="00E557C2"/>
    <w:rsid w:val="00E558E4"/>
    <w:rsid w:val="00E55AE3"/>
    <w:rsid w:val="00E55DD7"/>
    <w:rsid w:val="00E560B0"/>
    <w:rsid w:val="00E56682"/>
    <w:rsid w:val="00E56B26"/>
    <w:rsid w:val="00E56DB2"/>
    <w:rsid w:val="00E572BE"/>
    <w:rsid w:val="00E57DC8"/>
    <w:rsid w:val="00E57EF0"/>
    <w:rsid w:val="00E6008E"/>
    <w:rsid w:val="00E606F9"/>
    <w:rsid w:val="00E60F67"/>
    <w:rsid w:val="00E610D3"/>
    <w:rsid w:val="00E619EB"/>
    <w:rsid w:val="00E61CE6"/>
    <w:rsid w:val="00E62160"/>
    <w:rsid w:val="00E62224"/>
    <w:rsid w:val="00E62539"/>
    <w:rsid w:val="00E62A36"/>
    <w:rsid w:val="00E62B68"/>
    <w:rsid w:val="00E62E87"/>
    <w:rsid w:val="00E63B88"/>
    <w:rsid w:val="00E64106"/>
    <w:rsid w:val="00E6425C"/>
    <w:rsid w:val="00E64861"/>
    <w:rsid w:val="00E64B6C"/>
    <w:rsid w:val="00E650E1"/>
    <w:rsid w:val="00E657C9"/>
    <w:rsid w:val="00E659C3"/>
    <w:rsid w:val="00E66C3A"/>
    <w:rsid w:val="00E66E15"/>
    <w:rsid w:val="00E66ECE"/>
    <w:rsid w:val="00E676BE"/>
    <w:rsid w:val="00E67E29"/>
    <w:rsid w:val="00E700DB"/>
    <w:rsid w:val="00E70585"/>
    <w:rsid w:val="00E70B1F"/>
    <w:rsid w:val="00E71021"/>
    <w:rsid w:val="00E711A9"/>
    <w:rsid w:val="00E7228B"/>
    <w:rsid w:val="00E722DD"/>
    <w:rsid w:val="00E729E5"/>
    <w:rsid w:val="00E72AB4"/>
    <w:rsid w:val="00E72BB6"/>
    <w:rsid w:val="00E72DF0"/>
    <w:rsid w:val="00E73425"/>
    <w:rsid w:val="00E739A8"/>
    <w:rsid w:val="00E73C65"/>
    <w:rsid w:val="00E73DE1"/>
    <w:rsid w:val="00E73F34"/>
    <w:rsid w:val="00E7499B"/>
    <w:rsid w:val="00E74A0A"/>
    <w:rsid w:val="00E74B5A"/>
    <w:rsid w:val="00E74BCB"/>
    <w:rsid w:val="00E752A6"/>
    <w:rsid w:val="00E753E4"/>
    <w:rsid w:val="00E7545A"/>
    <w:rsid w:val="00E75894"/>
    <w:rsid w:val="00E75DAC"/>
    <w:rsid w:val="00E75F35"/>
    <w:rsid w:val="00E75FAA"/>
    <w:rsid w:val="00E76042"/>
    <w:rsid w:val="00E764B4"/>
    <w:rsid w:val="00E7680C"/>
    <w:rsid w:val="00E76E6A"/>
    <w:rsid w:val="00E76E9B"/>
    <w:rsid w:val="00E77284"/>
    <w:rsid w:val="00E776D5"/>
    <w:rsid w:val="00E77EC3"/>
    <w:rsid w:val="00E8027A"/>
    <w:rsid w:val="00E80807"/>
    <w:rsid w:val="00E80948"/>
    <w:rsid w:val="00E80D1A"/>
    <w:rsid w:val="00E8114A"/>
    <w:rsid w:val="00E8178E"/>
    <w:rsid w:val="00E817CD"/>
    <w:rsid w:val="00E819BD"/>
    <w:rsid w:val="00E81CF8"/>
    <w:rsid w:val="00E82068"/>
    <w:rsid w:val="00E82B26"/>
    <w:rsid w:val="00E82DBD"/>
    <w:rsid w:val="00E8328F"/>
    <w:rsid w:val="00E8344A"/>
    <w:rsid w:val="00E8346A"/>
    <w:rsid w:val="00E837D9"/>
    <w:rsid w:val="00E83AEB"/>
    <w:rsid w:val="00E83E6D"/>
    <w:rsid w:val="00E84079"/>
    <w:rsid w:val="00E84349"/>
    <w:rsid w:val="00E84487"/>
    <w:rsid w:val="00E8481E"/>
    <w:rsid w:val="00E84AAF"/>
    <w:rsid w:val="00E84C9B"/>
    <w:rsid w:val="00E852D0"/>
    <w:rsid w:val="00E852EC"/>
    <w:rsid w:val="00E85941"/>
    <w:rsid w:val="00E85A83"/>
    <w:rsid w:val="00E85B41"/>
    <w:rsid w:val="00E85FAC"/>
    <w:rsid w:val="00E8610A"/>
    <w:rsid w:val="00E8613E"/>
    <w:rsid w:val="00E86234"/>
    <w:rsid w:val="00E86695"/>
    <w:rsid w:val="00E869F9"/>
    <w:rsid w:val="00E86BFB"/>
    <w:rsid w:val="00E86C46"/>
    <w:rsid w:val="00E86F0A"/>
    <w:rsid w:val="00E877B8"/>
    <w:rsid w:val="00E878B3"/>
    <w:rsid w:val="00E87DF5"/>
    <w:rsid w:val="00E87EDE"/>
    <w:rsid w:val="00E8D551"/>
    <w:rsid w:val="00E9074A"/>
    <w:rsid w:val="00E90A27"/>
    <w:rsid w:val="00E90E63"/>
    <w:rsid w:val="00E918B5"/>
    <w:rsid w:val="00E918F9"/>
    <w:rsid w:val="00E91D2B"/>
    <w:rsid w:val="00E92084"/>
    <w:rsid w:val="00E92454"/>
    <w:rsid w:val="00E9259D"/>
    <w:rsid w:val="00E92A8B"/>
    <w:rsid w:val="00E92C4A"/>
    <w:rsid w:val="00E92D45"/>
    <w:rsid w:val="00E93008"/>
    <w:rsid w:val="00E9306A"/>
    <w:rsid w:val="00E9380E"/>
    <w:rsid w:val="00E93EFF"/>
    <w:rsid w:val="00E940F1"/>
    <w:rsid w:val="00E941FD"/>
    <w:rsid w:val="00E94433"/>
    <w:rsid w:val="00E94A7B"/>
    <w:rsid w:val="00E94D95"/>
    <w:rsid w:val="00E959C1"/>
    <w:rsid w:val="00E959CA"/>
    <w:rsid w:val="00E95B9A"/>
    <w:rsid w:val="00E96461"/>
    <w:rsid w:val="00E96D03"/>
    <w:rsid w:val="00E97676"/>
    <w:rsid w:val="00E97873"/>
    <w:rsid w:val="00EA0317"/>
    <w:rsid w:val="00EA0F8F"/>
    <w:rsid w:val="00EA1491"/>
    <w:rsid w:val="00EA196A"/>
    <w:rsid w:val="00EA2343"/>
    <w:rsid w:val="00EA30B9"/>
    <w:rsid w:val="00EA318C"/>
    <w:rsid w:val="00EA3D71"/>
    <w:rsid w:val="00EA422F"/>
    <w:rsid w:val="00EA44E2"/>
    <w:rsid w:val="00EA451D"/>
    <w:rsid w:val="00EA542A"/>
    <w:rsid w:val="00EA5551"/>
    <w:rsid w:val="00EA5A98"/>
    <w:rsid w:val="00EA6054"/>
    <w:rsid w:val="00EA65DE"/>
    <w:rsid w:val="00EA6635"/>
    <w:rsid w:val="00EA694D"/>
    <w:rsid w:val="00EA6C3F"/>
    <w:rsid w:val="00EA6E6E"/>
    <w:rsid w:val="00EA6FCC"/>
    <w:rsid w:val="00EA6FDA"/>
    <w:rsid w:val="00EA72C3"/>
    <w:rsid w:val="00EA7330"/>
    <w:rsid w:val="00EA7475"/>
    <w:rsid w:val="00EA79F9"/>
    <w:rsid w:val="00EA7E04"/>
    <w:rsid w:val="00EB00E1"/>
    <w:rsid w:val="00EB01F5"/>
    <w:rsid w:val="00EB0357"/>
    <w:rsid w:val="00EB0442"/>
    <w:rsid w:val="00EB052D"/>
    <w:rsid w:val="00EB0BC5"/>
    <w:rsid w:val="00EB0DCD"/>
    <w:rsid w:val="00EB123A"/>
    <w:rsid w:val="00EB1A88"/>
    <w:rsid w:val="00EB1CCD"/>
    <w:rsid w:val="00EB2010"/>
    <w:rsid w:val="00EB2039"/>
    <w:rsid w:val="00EB20D4"/>
    <w:rsid w:val="00EB20DD"/>
    <w:rsid w:val="00EB2161"/>
    <w:rsid w:val="00EB2773"/>
    <w:rsid w:val="00EB2BE1"/>
    <w:rsid w:val="00EB2C75"/>
    <w:rsid w:val="00EB3088"/>
    <w:rsid w:val="00EB3221"/>
    <w:rsid w:val="00EB3364"/>
    <w:rsid w:val="00EB35BE"/>
    <w:rsid w:val="00EB3A67"/>
    <w:rsid w:val="00EB400F"/>
    <w:rsid w:val="00EB434B"/>
    <w:rsid w:val="00EB4459"/>
    <w:rsid w:val="00EB463A"/>
    <w:rsid w:val="00EB46BD"/>
    <w:rsid w:val="00EB4868"/>
    <w:rsid w:val="00EB4CC8"/>
    <w:rsid w:val="00EB54F0"/>
    <w:rsid w:val="00EB5527"/>
    <w:rsid w:val="00EB58CF"/>
    <w:rsid w:val="00EB5A2A"/>
    <w:rsid w:val="00EB5BE0"/>
    <w:rsid w:val="00EB6D31"/>
    <w:rsid w:val="00EB7096"/>
    <w:rsid w:val="00EB7BEE"/>
    <w:rsid w:val="00EC047A"/>
    <w:rsid w:val="00EC0818"/>
    <w:rsid w:val="00EC0F0E"/>
    <w:rsid w:val="00EC0FCB"/>
    <w:rsid w:val="00EC1112"/>
    <w:rsid w:val="00EC11D5"/>
    <w:rsid w:val="00EC15F5"/>
    <w:rsid w:val="00EC1A22"/>
    <w:rsid w:val="00EC1A48"/>
    <w:rsid w:val="00EC1F2F"/>
    <w:rsid w:val="00EC230E"/>
    <w:rsid w:val="00EC2500"/>
    <w:rsid w:val="00EC2C02"/>
    <w:rsid w:val="00EC2E6D"/>
    <w:rsid w:val="00EC2EAF"/>
    <w:rsid w:val="00EC2F9F"/>
    <w:rsid w:val="00EC3249"/>
    <w:rsid w:val="00EC374D"/>
    <w:rsid w:val="00EC3854"/>
    <w:rsid w:val="00EC3DC7"/>
    <w:rsid w:val="00EC42BD"/>
    <w:rsid w:val="00EC47F0"/>
    <w:rsid w:val="00EC4E30"/>
    <w:rsid w:val="00EC4FA8"/>
    <w:rsid w:val="00EC59D1"/>
    <w:rsid w:val="00EC5EAE"/>
    <w:rsid w:val="00EC6233"/>
    <w:rsid w:val="00EC6384"/>
    <w:rsid w:val="00EC63F7"/>
    <w:rsid w:val="00EC6588"/>
    <w:rsid w:val="00EC672E"/>
    <w:rsid w:val="00EC6B05"/>
    <w:rsid w:val="00EC6C6D"/>
    <w:rsid w:val="00EC7323"/>
    <w:rsid w:val="00EC7442"/>
    <w:rsid w:val="00EC75F9"/>
    <w:rsid w:val="00EC77B8"/>
    <w:rsid w:val="00ED06F2"/>
    <w:rsid w:val="00ED1767"/>
    <w:rsid w:val="00ED20C6"/>
    <w:rsid w:val="00ED210C"/>
    <w:rsid w:val="00ED2725"/>
    <w:rsid w:val="00ED2809"/>
    <w:rsid w:val="00ED2A32"/>
    <w:rsid w:val="00ED2A8C"/>
    <w:rsid w:val="00ED2FE3"/>
    <w:rsid w:val="00ED345F"/>
    <w:rsid w:val="00ED41D7"/>
    <w:rsid w:val="00ED4474"/>
    <w:rsid w:val="00ED453A"/>
    <w:rsid w:val="00ED4573"/>
    <w:rsid w:val="00ED4951"/>
    <w:rsid w:val="00ED4A3E"/>
    <w:rsid w:val="00ED4C7A"/>
    <w:rsid w:val="00ED569A"/>
    <w:rsid w:val="00ED58AE"/>
    <w:rsid w:val="00ED5D31"/>
    <w:rsid w:val="00ED605C"/>
    <w:rsid w:val="00ED6B56"/>
    <w:rsid w:val="00ED6B59"/>
    <w:rsid w:val="00ED6D28"/>
    <w:rsid w:val="00ED6FD8"/>
    <w:rsid w:val="00ED72F1"/>
    <w:rsid w:val="00ED7D44"/>
    <w:rsid w:val="00ED7F91"/>
    <w:rsid w:val="00EE08C4"/>
    <w:rsid w:val="00EE0A8B"/>
    <w:rsid w:val="00EE0FE0"/>
    <w:rsid w:val="00EE1149"/>
    <w:rsid w:val="00EE130F"/>
    <w:rsid w:val="00EE16BA"/>
    <w:rsid w:val="00EE19C0"/>
    <w:rsid w:val="00EE2082"/>
    <w:rsid w:val="00EE2271"/>
    <w:rsid w:val="00EE2338"/>
    <w:rsid w:val="00EE2441"/>
    <w:rsid w:val="00EE27D2"/>
    <w:rsid w:val="00EE3149"/>
    <w:rsid w:val="00EE3198"/>
    <w:rsid w:val="00EE3E99"/>
    <w:rsid w:val="00EE3F1A"/>
    <w:rsid w:val="00EE42D8"/>
    <w:rsid w:val="00EE442D"/>
    <w:rsid w:val="00EE4ABC"/>
    <w:rsid w:val="00EE4D87"/>
    <w:rsid w:val="00EE5324"/>
    <w:rsid w:val="00EE535E"/>
    <w:rsid w:val="00EE5A98"/>
    <w:rsid w:val="00EE5AC4"/>
    <w:rsid w:val="00EE6280"/>
    <w:rsid w:val="00EE67F5"/>
    <w:rsid w:val="00EE6ABD"/>
    <w:rsid w:val="00EE6B7D"/>
    <w:rsid w:val="00EE6D0B"/>
    <w:rsid w:val="00EE713B"/>
    <w:rsid w:val="00EE728D"/>
    <w:rsid w:val="00EE72B7"/>
    <w:rsid w:val="00EE795A"/>
    <w:rsid w:val="00EF0030"/>
    <w:rsid w:val="00EF03BB"/>
    <w:rsid w:val="00EF0649"/>
    <w:rsid w:val="00EF0842"/>
    <w:rsid w:val="00EF0A38"/>
    <w:rsid w:val="00EF0BB9"/>
    <w:rsid w:val="00EF0C38"/>
    <w:rsid w:val="00EF139F"/>
    <w:rsid w:val="00EF17DC"/>
    <w:rsid w:val="00EF28E5"/>
    <w:rsid w:val="00EF2A87"/>
    <w:rsid w:val="00EF2F97"/>
    <w:rsid w:val="00EF314A"/>
    <w:rsid w:val="00EF32DB"/>
    <w:rsid w:val="00EF3749"/>
    <w:rsid w:val="00EF3E18"/>
    <w:rsid w:val="00EF3FFA"/>
    <w:rsid w:val="00EF475B"/>
    <w:rsid w:val="00EF4E4F"/>
    <w:rsid w:val="00EF4E57"/>
    <w:rsid w:val="00EF5380"/>
    <w:rsid w:val="00EF53FB"/>
    <w:rsid w:val="00EF5B6F"/>
    <w:rsid w:val="00EF5BD6"/>
    <w:rsid w:val="00EF5C6A"/>
    <w:rsid w:val="00EF6203"/>
    <w:rsid w:val="00EF6402"/>
    <w:rsid w:val="00EF648C"/>
    <w:rsid w:val="00EF64F8"/>
    <w:rsid w:val="00EF669B"/>
    <w:rsid w:val="00EF71DB"/>
    <w:rsid w:val="00EF738E"/>
    <w:rsid w:val="00F004AA"/>
    <w:rsid w:val="00F005BA"/>
    <w:rsid w:val="00F007F7"/>
    <w:rsid w:val="00F009E8"/>
    <w:rsid w:val="00F00BF3"/>
    <w:rsid w:val="00F01138"/>
    <w:rsid w:val="00F0159B"/>
    <w:rsid w:val="00F01A37"/>
    <w:rsid w:val="00F01DD9"/>
    <w:rsid w:val="00F01FA7"/>
    <w:rsid w:val="00F020F6"/>
    <w:rsid w:val="00F02189"/>
    <w:rsid w:val="00F0254C"/>
    <w:rsid w:val="00F025E0"/>
    <w:rsid w:val="00F02D6C"/>
    <w:rsid w:val="00F02E92"/>
    <w:rsid w:val="00F03160"/>
    <w:rsid w:val="00F036F9"/>
    <w:rsid w:val="00F03CC3"/>
    <w:rsid w:val="00F03E3C"/>
    <w:rsid w:val="00F03E5F"/>
    <w:rsid w:val="00F03ECB"/>
    <w:rsid w:val="00F04315"/>
    <w:rsid w:val="00F04A40"/>
    <w:rsid w:val="00F04B7A"/>
    <w:rsid w:val="00F052D5"/>
    <w:rsid w:val="00F0543F"/>
    <w:rsid w:val="00F054EF"/>
    <w:rsid w:val="00F059AD"/>
    <w:rsid w:val="00F05CA7"/>
    <w:rsid w:val="00F05F53"/>
    <w:rsid w:val="00F060A3"/>
    <w:rsid w:val="00F06DF8"/>
    <w:rsid w:val="00F07324"/>
    <w:rsid w:val="00F07734"/>
    <w:rsid w:val="00F07ADB"/>
    <w:rsid w:val="00F07FC4"/>
    <w:rsid w:val="00F1063D"/>
    <w:rsid w:val="00F10772"/>
    <w:rsid w:val="00F10F6F"/>
    <w:rsid w:val="00F1239F"/>
    <w:rsid w:val="00F12879"/>
    <w:rsid w:val="00F128CC"/>
    <w:rsid w:val="00F12B9A"/>
    <w:rsid w:val="00F12C5D"/>
    <w:rsid w:val="00F132DC"/>
    <w:rsid w:val="00F13D77"/>
    <w:rsid w:val="00F13FD5"/>
    <w:rsid w:val="00F1411B"/>
    <w:rsid w:val="00F14192"/>
    <w:rsid w:val="00F1444D"/>
    <w:rsid w:val="00F14790"/>
    <w:rsid w:val="00F148B9"/>
    <w:rsid w:val="00F14E43"/>
    <w:rsid w:val="00F1673D"/>
    <w:rsid w:val="00F1685F"/>
    <w:rsid w:val="00F16A68"/>
    <w:rsid w:val="00F16C66"/>
    <w:rsid w:val="00F17292"/>
    <w:rsid w:val="00F17364"/>
    <w:rsid w:val="00F174FA"/>
    <w:rsid w:val="00F17FC5"/>
    <w:rsid w:val="00F20184"/>
    <w:rsid w:val="00F20C31"/>
    <w:rsid w:val="00F21243"/>
    <w:rsid w:val="00F2149C"/>
    <w:rsid w:val="00F21DF7"/>
    <w:rsid w:val="00F21F69"/>
    <w:rsid w:val="00F221B2"/>
    <w:rsid w:val="00F2282A"/>
    <w:rsid w:val="00F22936"/>
    <w:rsid w:val="00F22A3F"/>
    <w:rsid w:val="00F22CFD"/>
    <w:rsid w:val="00F22E3A"/>
    <w:rsid w:val="00F22EF5"/>
    <w:rsid w:val="00F232D3"/>
    <w:rsid w:val="00F23407"/>
    <w:rsid w:val="00F23949"/>
    <w:rsid w:val="00F23EAE"/>
    <w:rsid w:val="00F24104"/>
    <w:rsid w:val="00F242FA"/>
    <w:rsid w:val="00F246C7"/>
    <w:rsid w:val="00F24760"/>
    <w:rsid w:val="00F247E8"/>
    <w:rsid w:val="00F24837"/>
    <w:rsid w:val="00F24A35"/>
    <w:rsid w:val="00F24C89"/>
    <w:rsid w:val="00F24CCB"/>
    <w:rsid w:val="00F24DFA"/>
    <w:rsid w:val="00F24F39"/>
    <w:rsid w:val="00F25962"/>
    <w:rsid w:val="00F25D86"/>
    <w:rsid w:val="00F25E62"/>
    <w:rsid w:val="00F26FF8"/>
    <w:rsid w:val="00F2723B"/>
    <w:rsid w:val="00F27409"/>
    <w:rsid w:val="00F27490"/>
    <w:rsid w:val="00F277CF"/>
    <w:rsid w:val="00F306E4"/>
    <w:rsid w:val="00F30B36"/>
    <w:rsid w:val="00F30C11"/>
    <w:rsid w:val="00F315A4"/>
    <w:rsid w:val="00F3197D"/>
    <w:rsid w:val="00F32237"/>
    <w:rsid w:val="00F329BF"/>
    <w:rsid w:val="00F32F35"/>
    <w:rsid w:val="00F33076"/>
    <w:rsid w:val="00F336C7"/>
    <w:rsid w:val="00F336ED"/>
    <w:rsid w:val="00F338E2"/>
    <w:rsid w:val="00F33A9D"/>
    <w:rsid w:val="00F33C28"/>
    <w:rsid w:val="00F341E2"/>
    <w:rsid w:val="00F34734"/>
    <w:rsid w:val="00F347B7"/>
    <w:rsid w:val="00F34821"/>
    <w:rsid w:val="00F34E9E"/>
    <w:rsid w:val="00F35115"/>
    <w:rsid w:val="00F36477"/>
    <w:rsid w:val="00F36A54"/>
    <w:rsid w:val="00F371F8"/>
    <w:rsid w:val="00F37641"/>
    <w:rsid w:val="00F37AAE"/>
    <w:rsid w:val="00F37C48"/>
    <w:rsid w:val="00F37E8B"/>
    <w:rsid w:val="00F40997"/>
    <w:rsid w:val="00F40B71"/>
    <w:rsid w:val="00F40BDB"/>
    <w:rsid w:val="00F40D06"/>
    <w:rsid w:val="00F40E8A"/>
    <w:rsid w:val="00F40FE2"/>
    <w:rsid w:val="00F413B7"/>
    <w:rsid w:val="00F418CF"/>
    <w:rsid w:val="00F41B05"/>
    <w:rsid w:val="00F41BC8"/>
    <w:rsid w:val="00F41C36"/>
    <w:rsid w:val="00F41D3C"/>
    <w:rsid w:val="00F41DAE"/>
    <w:rsid w:val="00F4293D"/>
    <w:rsid w:val="00F42BEB"/>
    <w:rsid w:val="00F42F12"/>
    <w:rsid w:val="00F43984"/>
    <w:rsid w:val="00F43B92"/>
    <w:rsid w:val="00F43D36"/>
    <w:rsid w:val="00F43F4F"/>
    <w:rsid w:val="00F44284"/>
    <w:rsid w:val="00F446C1"/>
    <w:rsid w:val="00F44DDC"/>
    <w:rsid w:val="00F44E93"/>
    <w:rsid w:val="00F4510B"/>
    <w:rsid w:val="00F454EB"/>
    <w:rsid w:val="00F45813"/>
    <w:rsid w:val="00F45BED"/>
    <w:rsid w:val="00F45D56"/>
    <w:rsid w:val="00F45E2F"/>
    <w:rsid w:val="00F45F3E"/>
    <w:rsid w:val="00F45FA0"/>
    <w:rsid w:val="00F46325"/>
    <w:rsid w:val="00F46469"/>
    <w:rsid w:val="00F46563"/>
    <w:rsid w:val="00F46C34"/>
    <w:rsid w:val="00F46F00"/>
    <w:rsid w:val="00F47157"/>
    <w:rsid w:val="00F47C33"/>
    <w:rsid w:val="00F47E42"/>
    <w:rsid w:val="00F47EA3"/>
    <w:rsid w:val="00F47EAF"/>
    <w:rsid w:val="00F50097"/>
    <w:rsid w:val="00F502AD"/>
    <w:rsid w:val="00F502C0"/>
    <w:rsid w:val="00F50D9D"/>
    <w:rsid w:val="00F51190"/>
    <w:rsid w:val="00F514C4"/>
    <w:rsid w:val="00F51573"/>
    <w:rsid w:val="00F5194A"/>
    <w:rsid w:val="00F51A4F"/>
    <w:rsid w:val="00F5213F"/>
    <w:rsid w:val="00F52423"/>
    <w:rsid w:val="00F5261E"/>
    <w:rsid w:val="00F5298A"/>
    <w:rsid w:val="00F5317C"/>
    <w:rsid w:val="00F5345A"/>
    <w:rsid w:val="00F53E7E"/>
    <w:rsid w:val="00F54814"/>
    <w:rsid w:val="00F5497C"/>
    <w:rsid w:val="00F54B5A"/>
    <w:rsid w:val="00F557C4"/>
    <w:rsid w:val="00F56705"/>
    <w:rsid w:val="00F572A8"/>
    <w:rsid w:val="00F574B8"/>
    <w:rsid w:val="00F574D5"/>
    <w:rsid w:val="00F57E0F"/>
    <w:rsid w:val="00F57E2E"/>
    <w:rsid w:val="00F60101"/>
    <w:rsid w:val="00F6076E"/>
    <w:rsid w:val="00F607BE"/>
    <w:rsid w:val="00F60A95"/>
    <w:rsid w:val="00F60E7A"/>
    <w:rsid w:val="00F61015"/>
    <w:rsid w:val="00F6106D"/>
    <w:rsid w:val="00F6136F"/>
    <w:rsid w:val="00F61A6E"/>
    <w:rsid w:val="00F61D56"/>
    <w:rsid w:val="00F61E6E"/>
    <w:rsid w:val="00F61F7F"/>
    <w:rsid w:val="00F62077"/>
    <w:rsid w:val="00F62109"/>
    <w:rsid w:val="00F623AD"/>
    <w:rsid w:val="00F62C2C"/>
    <w:rsid w:val="00F62CAC"/>
    <w:rsid w:val="00F62CD8"/>
    <w:rsid w:val="00F62D62"/>
    <w:rsid w:val="00F63319"/>
    <w:rsid w:val="00F6362B"/>
    <w:rsid w:val="00F63A00"/>
    <w:rsid w:val="00F63C2B"/>
    <w:rsid w:val="00F6417E"/>
    <w:rsid w:val="00F645FD"/>
    <w:rsid w:val="00F64671"/>
    <w:rsid w:val="00F647EB"/>
    <w:rsid w:val="00F64A53"/>
    <w:rsid w:val="00F64BF0"/>
    <w:rsid w:val="00F651AB"/>
    <w:rsid w:val="00F654BC"/>
    <w:rsid w:val="00F6558F"/>
    <w:rsid w:val="00F65AE8"/>
    <w:rsid w:val="00F65BDC"/>
    <w:rsid w:val="00F65E00"/>
    <w:rsid w:val="00F65E47"/>
    <w:rsid w:val="00F664AA"/>
    <w:rsid w:val="00F6659D"/>
    <w:rsid w:val="00F66EB5"/>
    <w:rsid w:val="00F6727F"/>
    <w:rsid w:val="00F676FC"/>
    <w:rsid w:val="00F678B8"/>
    <w:rsid w:val="00F67B57"/>
    <w:rsid w:val="00F67BB9"/>
    <w:rsid w:val="00F67E7D"/>
    <w:rsid w:val="00F700F2"/>
    <w:rsid w:val="00F70439"/>
    <w:rsid w:val="00F706E3"/>
    <w:rsid w:val="00F7096D"/>
    <w:rsid w:val="00F70B81"/>
    <w:rsid w:val="00F70E21"/>
    <w:rsid w:val="00F7146E"/>
    <w:rsid w:val="00F716A1"/>
    <w:rsid w:val="00F7173F"/>
    <w:rsid w:val="00F71A4F"/>
    <w:rsid w:val="00F72125"/>
    <w:rsid w:val="00F72137"/>
    <w:rsid w:val="00F728F3"/>
    <w:rsid w:val="00F72A15"/>
    <w:rsid w:val="00F72C81"/>
    <w:rsid w:val="00F72DE2"/>
    <w:rsid w:val="00F72EFB"/>
    <w:rsid w:val="00F73EAA"/>
    <w:rsid w:val="00F73EAB"/>
    <w:rsid w:val="00F746ED"/>
    <w:rsid w:val="00F7485E"/>
    <w:rsid w:val="00F74EDA"/>
    <w:rsid w:val="00F7505E"/>
    <w:rsid w:val="00F755EC"/>
    <w:rsid w:val="00F7572B"/>
    <w:rsid w:val="00F757EF"/>
    <w:rsid w:val="00F758C5"/>
    <w:rsid w:val="00F75D31"/>
    <w:rsid w:val="00F76300"/>
    <w:rsid w:val="00F769AA"/>
    <w:rsid w:val="00F76C33"/>
    <w:rsid w:val="00F775F8"/>
    <w:rsid w:val="00F7A546"/>
    <w:rsid w:val="00F80087"/>
    <w:rsid w:val="00F8031D"/>
    <w:rsid w:val="00F80455"/>
    <w:rsid w:val="00F80646"/>
    <w:rsid w:val="00F80F9E"/>
    <w:rsid w:val="00F8120C"/>
    <w:rsid w:val="00F814F0"/>
    <w:rsid w:val="00F8158A"/>
    <w:rsid w:val="00F8161F"/>
    <w:rsid w:val="00F816CC"/>
    <w:rsid w:val="00F817FD"/>
    <w:rsid w:val="00F81C24"/>
    <w:rsid w:val="00F825D2"/>
    <w:rsid w:val="00F827DF"/>
    <w:rsid w:val="00F82ED6"/>
    <w:rsid w:val="00F837E8"/>
    <w:rsid w:val="00F83840"/>
    <w:rsid w:val="00F83D65"/>
    <w:rsid w:val="00F83DC4"/>
    <w:rsid w:val="00F8461F"/>
    <w:rsid w:val="00F84EDF"/>
    <w:rsid w:val="00F84F24"/>
    <w:rsid w:val="00F84F7A"/>
    <w:rsid w:val="00F85142"/>
    <w:rsid w:val="00F85424"/>
    <w:rsid w:val="00F8566F"/>
    <w:rsid w:val="00F85692"/>
    <w:rsid w:val="00F8571B"/>
    <w:rsid w:val="00F8685A"/>
    <w:rsid w:val="00F86C80"/>
    <w:rsid w:val="00F872D2"/>
    <w:rsid w:val="00F90059"/>
    <w:rsid w:val="00F90614"/>
    <w:rsid w:val="00F906BA"/>
    <w:rsid w:val="00F907E6"/>
    <w:rsid w:val="00F90907"/>
    <w:rsid w:val="00F90AB3"/>
    <w:rsid w:val="00F91183"/>
    <w:rsid w:val="00F91243"/>
    <w:rsid w:val="00F91969"/>
    <w:rsid w:val="00F91A1E"/>
    <w:rsid w:val="00F91CE7"/>
    <w:rsid w:val="00F9215D"/>
    <w:rsid w:val="00F9269B"/>
    <w:rsid w:val="00F92B7C"/>
    <w:rsid w:val="00F92E23"/>
    <w:rsid w:val="00F92EC6"/>
    <w:rsid w:val="00F92F3B"/>
    <w:rsid w:val="00F93110"/>
    <w:rsid w:val="00F93442"/>
    <w:rsid w:val="00F93736"/>
    <w:rsid w:val="00F938D1"/>
    <w:rsid w:val="00F93A19"/>
    <w:rsid w:val="00F93D2D"/>
    <w:rsid w:val="00F941B3"/>
    <w:rsid w:val="00F94427"/>
    <w:rsid w:val="00F9473F"/>
    <w:rsid w:val="00F948E8"/>
    <w:rsid w:val="00F9496C"/>
    <w:rsid w:val="00F94D12"/>
    <w:rsid w:val="00F954AD"/>
    <w:rsid w:val="00F96203"/>
    <w:rsid w:val="00F96247"/>
    <w:rsid w:val="00F9624E"/>
    <w:rsid w:val="00F964E0"/>
    <w:rsid w:val="00F96633"/>
    <w:rsid w:val="00F967E0"/>
    <w:rsid w:val="00F97698"/>
    <w:rsid w:val="00F97710"/>
    <w:rsid w:val="00F97AD1"/>
    <w:rsid w:val="00F97CBE"/>
    <w:rsid w:val="00FA0930"/>
    <w:rsid w:val="00FA0FD8"/>
    <w:rsid w:val="00FA1EB2"/>
    <w:rsid w:val="00FA23B9"/>
    <w:rsid w:val="00FA2513"/>
    <w:rsid w:val="00FA25B0"/>
    <w:rsid w:val="00FA270A"/>
    <w:rsid w:val="00FA27CB"/>
    <w:rsid w:val="00FA2FB9"/>
    <w:rsid w:val="00FA3875"/>
    <w:rsid w:val="00FA3EB8"/>
    <w:rsid w:val="00FA40A4"/>
    <w:rsid w:val="00FA4295"/>
    <w:rsid w:val="00FA42AB"/>
    <w:rsid w:val="00FA438F"/>
    <w:rsid w:val="00FA4C3E"/>
    <w:rsid w:val="00FA4DB3"/>
    <w:rsid w:val="00FA51AC"/>
    <w:rsid w:val="00FA5EFB"/>
    <w:rsid w:val="00FA6884"/>
    <w:rsid w:val="00FA6D71"/>
    <w:rsid w:val="00FA74E4"/>
    <w:rsid w:val="00FA750F"/>
    <w:rsid w:val="00FA76E2"/>
    <w:rsid w:val="00FB01A5"/>
    <w:rsid w:val="00FB0D6F"/>
    <w:rsid w:val="00FB125B"/>
    <w:rsid w:val="00FB1710"/>
    <w:rsid w:val="00FB1DBE"/>
    <w:rsid w:val="00FB27BE"/>
    <w:rsid w:val="00FB283C"/>
    <w:rsid w:val="00FB2BC8"/>
    <w:rsid w:val="00FB2C8E"/>
    <w:rsid w:val="00FB2D52"/>
    <w:rsid w:val="00FB2D70"/>
    <w:rsid w:val="00FB2ECB"/>
    <w:rsid w:val="00FB3058"/>
    <w:rsid w:val="00FB30BC"/>
    <w:rsid w:val="00FB30D4"/>
    <w:rsid w:val="00FB39E1"/>
    <w:rsid w:val="00FB3CA1"/>
    <w:rsid w:val="00FB3D36"/>
    <w:rsid w:val="00FB3FA9"/>
    <w:rsid w:val="00FB404F"/>
    <w:rsid w:val="00FB46F2"/>
    <w:rsid w:val="00FB4829"/>
    <w:rsid w:val="00FB48E5"/>
    <w:rsid w:val="00FB4A3E"/>
    <w:rsid w:val="00FB5023"/>
    <w:rsid w:val="00FB53C5"/>
    <w:rsid w:val="00FB54C5"/>
    <w:rsid w:val="00FB556A"/>
    <w:rsid w:val="00FB5899"/>
    <w:rsid w:val="00FB5E23"/>
    <w:rsid w:val="00FB66B2"/>
    <w:rsid w:val="00FB6A8A"/>
    <w:rsid w:val="00FB6FEC"/>
    <w:rsid w:val="00FB7163"/>
    <w:rsid w:val="00FB7CEF"/>
    <w:rsid w:val="00FC01B2"/>
    <w:rsid w:val="00FC067E"/>
    <w:rsid w:val="00FC0C30"/>
    <w:rsid w:val="00FC0C38"/>
    <w:rsid w:val="00FC0CC2"/>
    <w:rsid w:val="00FC105E"/>
    <w:rsid w:val="00FC18C3"/>
    <w:rsid w:val="00FC1B98"/>
    <w:rsid w:val="00FC26A3"/>
    <w:rsid w:val="00FC27A3"/>
    <w:rsid w:val="00FC2870"/>
    <w:rsid w:val="00FC2DD8"/>
    <w:rsid w:val="00FC33B2"/>
    <w:rsid w:val="00FC380F"/>
    <w:rsid w:val="00FC38FF"/>
    <w:rsid w:val="00FC39D3"/>
    <w:rsid w:val="00FC3B34"/>
    <w:rsid w:val="00FC3E2E"/>
    <w:rsid w:val="00FC486F"/>
    <w:rsid w:val="00FC48C5"/>
    <w:rsid w:val="00FC49CD"/>
    <w:rsid w:val="00FC4B2A"/>
    <w:rsid w:val="00FC5283"/>
    <w:rsid w:val="00FC537B"/>
    <w:rsid w:val="00FC53C6"/>
    <w:rsid w:val="00FC57F1"/>
    <w:rsid w:val="00FC5E47"/>
    <w:rsid w:val="00FC5E5E"/>
    <w:rsid w:val="00FC6038"/>
    <w:rsid w:val="00FC64F9"/>
    <w:rsid w:val="00FC660B"/>
    <w:rsid w:val="00FC697F"/>
    <w:rsid w:val="00FC6DEF"/>
    <w:rsid w:val="00FC7622"/>
    <w:rsid w:val="00FC7B88"/>
    <w:rsid w:val="00FD06E4"/>
    <w:rsid w:val="00FD07B1"/>
    <w:rsid w:val="00FD0D95"/>
    <w:rsid w:val="00FD13D5"/>
    <w:rsid w:val="00FD1F49"/>
    <w:rsid w:val="00FD1FDB"/>
    <w:rsid w:val="00FD205F"/>
    <w:rsid w:val="00FD28B2"/>
    <w:rsid w:val="00FD2928"/>
    <w:rsid w:val="00FD2BD2"/>
    <w:rsid w:val="00FD2CFF"/>
    <w:rsid w:val="00FD2FBD"/>
    <w:rsid w:val="00FD354B"/>
    <w:rsid w:val="00FD3561"/>
    <w:rsid w:val="00FD38BD"/>
    <w:rsid w:val="00FD4171"/>
    <w:rsid w:val="00FD4783"/>
    <w:rsid w:val="00FD508C"/>
    <w:rsid w:val="00FD519B"/>
    <w:rsid w:val="00FD5873"/>
    <w:rsid w:val="00FD5999"/>
    <w:rsid w:val="00FD5E29"/>
    <w:rsid w:val="00FD6161"/>
    <w:rsid w:val="00FD6D2B"/>
    <w:rsid w:val="00FD6D6A"/>
    <w:rsid w:val="00FD7184"/>
    <w:rsid w:val="00FE016B"/>
    <w:rsid w:val="00FE01D8"/>
    <w:rsid w:val="00FE025D"/>
    <w:rsid w:val="00FE0901"/>
    <w:rsid w:val="00FE195B"/>
    <w:rsid w:val="00FE1974"/>
    <w:rsid w:val="00FE1CEE"/>
    <w:rsid w:val="00FE222F"/>
    <w:rsid w:val="00FE2743"/>
    <w:rsid w:val="00FE291C"/>
    <w:rsid w:val="00FE29EF"/>
    <w:rsid w:val="00FE2FEA"/>
    <w:rsid w:val="00FE31B2"/>
    <w:rsid w:val="00FE35BD"/>
    <w:rsid w:val="00FE3883"/>
    <w:rsid w:val="00FE3E56"/>
    <w:rsid w:val="00FE4C10"/>
    <w:rsid w:val="00FE5150"/>
    <w:rsid w:val="00FE5394"/>
    <w:rsid w:val="00FE5542"/>
    <w:rsid w:val="00FE55B8"/>
    <w:rsid w:val="00FE562D"/>
    <w:rsid w:val="00FE5879"/>
    <w:rsid w:val="00FE58E8"/>
    <w:rsid w:val="00FE5A41"/>
    <w:rsid w:val="00FE5AA8"/>
    <w:rsid w:val="00FE5B23"/>
    <w:rsid w:val="00FE5D8D"/>
    <w:rsid w:val="00FE64AC"/>
    <w:rsid w:val="00FE64F8"/>
    <w:rsid w:val="00FE651B"/>
    <w:rsid w:val="00FE669C"/>
    <w:rsid w:val="00FE673C"/>
    <w:rsid w:val="00FE6F10"/>
    <w:rsid w:val="00FE76A2"/>
    <w:rsid w:val="00FE7AE2"/>
    <w:rsid w:val="00FF036E"/>
    <w:rsid w:val="00FF0465"/>
    <w:rsid w:val="00FF0829"/>
    <w:rsid w:val="00FF0A89"/>
    <w:rsid w:val="00FF139D"/>
    <w:rsid w:val="00FF1970"/>
    <w:rsid w:val="00FF1A9F"/>
    <w:rsid w:val="00FF1DD7"/>
    <w:rsid w:val="00FF2216"/>
    <w:rsid w:val="00FF28FF"/>
    <w:rsid w:val="00FF29B8"/>
    <w:rsid w:val="00FF2EE2"/>
    <w:rsid w:val="00FF3333"/>
    <w:rsid w:val="00FF33E6"/>
    <w:rsid w:val="00FF34CE"/>
    <w:rsid w:val="00FF3508"/>
    <w:rsid w:val="00FF385E"/>
    <w:rsid w:val="00FF396A"/>
    <w:rsid w:val="00FF3D9A"/>
    <w:rsid w:val="00FF410B"/>
    <w:rsid w:val="00FF41CC"/>
    <w:rsid w:val="00FF462A"/>
    <w:rsid w:val="00FF48D5"/>
    <w:rsid w:val="00FF4AFB"/>
    <w:rsid w:val="00FF516C"/>
    <w:rsid w:val="00FF5266"/>
    <w:rsid w:val="00FF58AA"/>
    <w:rsid w:val="00FF598A"/>
    <w:rsid w:val="00FF5A4D"/>
    <w:rsid w:val="00FF60CF"/>
    <w:rsid w:val="00FF618A"/>
    <w:rsid w:val="00FF62BA"/>
    <w:rsid w:val="00FF639D"/>
    <w:rsid w:val="00FF659D"/>
    <w:rsid w:val="00FF679B"/>
    <w:rsid w:val="00FF67FF"/>
    <w:rsid w:val="00FF6A02"/>
    <w:rsid w:val="00FF75DC"/>
    <w:rsid w:val="00FF7A59"/>
    <w:rsid w:val="00FF7BE5"/>
    <w:rsid w:val="00FF990D"/>
    <w:rsid w:val="0101AD61"/>
    <w:rsid w:val="0103B09D"/>
    <w:rsid w:val="011CC44B"/>
    <w:rsid w:val="011FB74A"/>
    <w:rsid w:val="014236D3"/>
    <w:rsid w:val="0151855B"/>
    <w:rsid w:val="01613226"/>
    <w:rsid w:val="0168970C"/>
    <w:rsid w:val="016D0E06"/>
    <w:rsid w:val="016D6EA3"/>
    <w:rsid w:val="017D62B9"/>
    <w:rsid w:val="019477E3"/>
    <w:rsid w:val="01B3CAA5"/>
    <w:rsid w:val="01CB4B72"/>
    <w:rsid w:val="01CC732E"/>
    <w:rsid w:val="01CFD05E"/>
    <w:rsid w:val="01D267E7"/>
    <w:rsid w:val="01D875D2"/>
    <w:rsid w:val="01EA2812"/>
    <w:rsid w:val="01EBD7A1"/>
    <w:rsid w:val="01F21EC9"/>
    <w:rsid w:val="021B5E09"/>
    <w:rsid w:val="0226206E"/>
    <w:rsid w:val="022FF98F"/>
    <w:rsid w:val="024D6CA6"/>
    <w:rsid w:val="024D807B"/>
    <w:rsid w:val="02521D5B"/>
    <w:rsid w:val="026B3F6E"/>
    <w:rsid w:val="02839DDE"/>
    <w:rsid w:val="0285B0C6"/>
    <w:rsid w:val="028BC7C3"/>
    <w:rsid w:val="02CC5E0C"/>
    <w:rsid w:val="02D840D1"/>
    <w:rsid w:val="02E27DCB"/>
    <w:rsid w:val="02E78760"/>
    <w:rsid w:val="02F95C2C"/>
    <w:rsid w:val="03172522"/>
    <w:rsid w:val="031A0441"/>
    <w:rsid w:val="031AA51A"/>
    <w:rsid w:val="031AE8FF"/>
    <w:rsid w:val="03276329"/>
    <w:rsid w:val="0332AE75"/>
    <w:rsid w:val="033B0473"/>
    <w:rsid w:val="0352C5DF"/>
    <w:rsid w:val="0371A91E"/>
    <w:rsid w:val="03796B5B"/>
    <w:rsid w:val="037A034D"/>
    <w:rsid w:val="038AB082"/>
    <w:rsid w:val="03A020B9"/>
    <w:rsid w:val="03BAEB69"/>
    <w:rsid w:val="03BDF360"/>
    <w:rsid w:val="03D36094"/>
    <w:rsid w:val="03D53261"/>
    <w:rsid w:val="03D59329"/>
    <w:rsid w:val="03DBC203"/>
    <w:rsid w:val="03DF6876"/>
    <w:rsid w:val="03E49041"/>
    <w:rsid w:val="03F4880D"/>
    <w:rsid w:val="03FD2145"/>
    <w:rsid w:val="046205DF"/>
    <w:rsid w:val="046FEB7A"/>
    <w:rsid w:val="0496E7ED"/>
    <w:rsid w:val="04D0A666"/>
    <w:rsid w:val="04D608F0"/>
    <w:rsid w:val="04D6EEB3"/>
    <w:rsid w:val="04D80EFC"/>
    <w:rsid w:val="04DBFA28"/>
    <w:rsid w:val="04E4EBA9"/>
    <w:rsid w:val="04EE30BE"/>
    <w:rsid w:val="05124933"/>
    <w:rsid w:val="05168AAC"/>
    <w:rsid w:val="053E68F3"/>
    <w:rsid w:val="0556D864"/>
    <w:rsid w:val="057A3AF3"/>
    <w:rsid w:val="0586292A"/>
    <w:rsid w:val="0593ECC2"/>
    <w:rsid w:val="05944769"/>
    <w:rsid w:val="059F84E6"/>
    <w:rsid w:val="05A4AB7C"/>
    <w:rsid w:val="05BD8346"/>
    <w:rsid w:val="05C62D2E"/>
    <w:rsid w:val="05C8B48D"/>
    <w:rsid w:val="05DA42BF"/>
    <w:rsid w:val="05E6BE02"/>
    <w:rsid w:val="05E77918"/>
    <w:rsid w:val="05E9E63E"/>
    <w:rsid w:val="05FBD3E2"/>
    <w:rsid w:val="0601E972"/>
    <w:rsid w:val="060E0E76"/>
    <w:rsid w:val="061823B4"/>
    <w:rsid w:val="061969DE"/>
    <w:rsid w:val="0619E1E6"/>
    <w:rsid w:val="061FB4BA"/>
    <w:rsid w:val="062A5B5F"/>
    <w:rsid w:val="064D6D9A"/>
    <w:rsid w:val="0658DD6E"/>
    <w:rsid w:val="0660A1BA"/>
    <w:rsid w:val="06716FB7"/>
    <w:rsid w:val="06789F04"/>
    <w:rsid w:val="0689FB5C"/>
    <w:rsid w:val="068E010E"/>
    <w:rsid w:val="06959629"/>
    <w:rsid w:val="06B1B62E"/>
    <w:rsid w:val="06B5E1C0"/>
    <w:rsid w:val="06B69FD5"/>
    <w:rsid w:val="06BE82A2"/>
    <w:rsid w:val="06C2C26D"/>
    <w:rsid w:val="06E39E46"/>
    <w:rsid w:val="06E7446A"/>
    <w:rsid w:val="06F2FE19"/>
    <w:rsid w:val="070B3A91"/>
    <w:rsid w:val="07127E1B"/>
    <w:rsid w:val="0724C64C"/>
    <w:rsid w:val="072831B6"/>
    <w:rsid w:val="0758A42E"/>
    <w:rsid w:val="0759E818"/>
    <w:rsid w:val="077BB6AC"/>
    <w:rsid w:val="077D9AD8"/>
    <w:rsid w:val="07802FCD"/>
    <w:rsid w:val="0791F76F"/>
    <w:rsid w:val="07A0C60A"/>
    <w:rsid w:val="07A1F9DF"/>
    <w:rsid w:val="07ABA33B"/>
    <w:rsid w:val="07BB0322"/>
    <w:rsid w:val="07D34907"/>
    <w:rsid w:val="07EBBB7D"/>
    <w:rsid w:val="07ECC2AB"/>
    <w:rsid w:val="0809DA09"/>
    <w:rsid w:val="0845EC61"/>
    <w:rsid w:val="0860C819"/>
    <w:rsid w:val="08622C4B"/>
    <w:rsid w:val="087A70D2"/>
    <w:rsid w:val="087EE970"/>
    <w:rsid w:val="088B738E"/>
    <w:rsid w:val="0898E53C"/>
    <w:rsid w:val="08A0767C"/>
    <w:rsid w:val="08A3B5E6"/>
    <w:rsid w:val="08D370B9"/>
    <w:rsid w:val="08E57EA2"/>
    <w:rsid w:val="08EC7E8B"/>
    <w:rsid w:val="09135A25"/>
    <w:rsid w:val="0913BE3A"/>
    <w:rsid w:val="0923DD29"/>
    <w:rsid w:val="092CA1AC"/>
    <w:rsid w:val="093190E8"/>
    <w:rsid w:val="093DE8C1"/>
    <w:rsid w:val="0968BAE5"/>
    <w:rsid w:val="09768C52"/>
    <w:rsid w:val="097F9870"/>
    <w:rsid w:val="098839F4"/>
    <w:rsid w:val="098F23E1"/>
    <w:rsid w:val="099F9563"/>
    <w:rsid w:val="09A5CE19"/>
    <w:rsid w:val="09C68ED1"/>
    <w:rsid w:val="09C95262"/>
    <w:rsid w:val="09E4A9C2"/>
    <w:rsid w:val="09E86F9D"/>
    <w:rsid w:val="09FB2B5F"/>
    <w:rsid w:val="0A065E9B"/>
    <w:rsid w:val="0A142D19"/>
    <w:rsid w:val="0A25D0EB"/>
    <w:rsid w:val="0A35520C"/>
    <w:rsid w:val="0A38A213"/>
    <w:rsid w:val="0A3C7614"/>
    <w:rsid w:val="0A3EA30E"/>
    <w:rsid w:val="0A41DE30"/>
    <w:rsid w:val="0A55BC8D"/>
    <w:rsid w:val="0A565321"/>
    <w:rsid w:val="0A5E15C2"/>
    <w:rsid w:val="0A79F40B"/>
    <w:rsid w:val="0A843F37"/>
    <w:rsid w:val="0A8B6756"/>
    <w:rsid w:val="0A8FC88C"/>
    <w:rsid w:val="0AA1CD3A"/>
    <w:rsid w:val="0AA9D058"/>
    <w:rsid w:val="0AAFA465"/>
    <w:rsid w:val="0AB26879"/>
    <w:rsid w:val="0AB80D34"/>
    <w:rsid w:val="0AD88E3C"/>
    <w:rsid w:val="0ADA3AEB"/>
    <w:rsid w:val="0AE42146"/>
    <w:rsid w:val="0AF3C512"/>
    <w:rsid w:val="0AFEE432"/>
    <w:rsid w:val="0AFF0D50"/>
    <w:rsid w:val="0B005482"/>
    <w:rsid w:val="0B124C44"/>
    <w:rsid w:val="0B260140"/>
    <w:rsid w:val="0B2F8914"/>
    <w:rsid w:val="0B3DB05B"/>
    <w:rsid w:val="0B40778F"/>
    <w:rsid w:val="0B4C5C05"/>
    <w:rsid w:val="0B553C15"/>
    <w:rsid w:val="0B5C1A69"/>
    <w:rsid w:val="0B5D15B9"/>
    <w:rsid w:val="0B6E6966"/>
    <w:rsid w:val="0B7FCB9D"/>
    <w:rsid w:val="0B803055"/>
    <w:rsid w:val="0B8C994C"/>
    <w:rsid w:val="0BC88853"/>
    <w:rsid w:val="0BD8B82C"/>
    <w:rsid w:val="0BE04696"/>
    <w:rsid w:val="0BF3A509"/>
    <w:rsid w:val="0BFA0E29"/>
    <w:rsid w:val="0C03F6CA"/>
    <w:rsid w:val="0C07A2B0"/>
    <w:rsid w:val="0C123293"/>
    <w:rsid w:val="0C12F3BE"/>
    <w:rsid w:val="0C1327F5"/>
    <w:rsid w:val="0C1FA9BE"/>
    <w:rsid w:val="0C2F662A"/>
    <w:rsid w:val="0C2F6FDF"/>
    <w:rsid w:val="0C3BF758"/>
    <w:rsid w:val="0C3C1E28"/>
    <w:rsid w:val="0C54D3A3"/>
    <w:rsid w:val="0C611771"/>
    <w:rsid w:val="0C727EEF"/>
    <w:rsid w:val="0C7B33FF"/>
    <w:rsid w:val="0C7B6EC1"/>
    <w:rsid w:val="0C7D8019"/>
    <w:rsid w:val="0C878BBC"/>
    <w:rsid w:val="0C8E92F6"/>
    <w:rsid w:val="0C91BAF2"/>
    <w:rsid w:val="0C91E40F"/>
    <w:rsid w:val="0C91E41A"/>
    <w:rsid w:val="0C9A32F1"/>
    <w:rsid w:val="0C9AAF35"/>
    <w:rsid w:val="0CA85DEF"/>
    <w:rsid w:val="0CB1A1F0"/>
    <w:rsid w:val="0CBF382C"/>
    <w:rsid w:val="0CC718BD"/>
    <w:rsid w:val="0CEB4FA7"/>
    <w:rsid w:val="0CEC8A01"/>
    <w:rsid w:val="0CF1F1F4"/>
    <w:rsid w:val="0D04CF8F"/>
    <w:rsid w:val="0D06087D"/>
    <w:rsid w:val="0D0DD65D"/>
    <w:rsid w:val="0D16F66F"/>
    <w:rsid w:val="0D1D42A7"/>
    <w:rsid w:val="0D3E5FAD"/>
    <w:rsid w:val="0D441EBC"/>
    <w:rsid w:val="0D5D2164"/>
    <w:rsid w:val="0D681C82"/>
    <w:rsid w:val="0D763AE3"/>
    <w:rsid w:val="0D7D157D"/>
    <w:rsid w:val="0D8D3729"/>
    <w:rsid w:val="0DA156BF"/>
    <w:rsid w:val="0DA8BB43"/>
    <w:rsid w:val="0DCA6782"/>
    <w:rsid w:val="0DD35C84"/>
    <w:rsid w:val="0DD90C6E"/>
    <w:rsid w:val="0DDC8B83"/>
    <w:rsid w:val="0DDCF63B"/>
    <w:rsid w:val="0DF30976"/>
    <w:rsid w:val="0DFC77AA"/>
    <w:rsid w:val="0DFD86EA"/>
    <w:rsid w:val="0E090DA9"/>
    <w:rsid w:val="0E2EC6D8"/>
    <w:rsid w:val="0E304136"/>
    <w:rsid w:val="0E345A0A"/>
    <w:rsid w:val="0E427D7A"/>
    <w:rsid w:val="0E68F499"/>
    <w:rsid w:val="0E76EDB3"/>
    <w:rsid w:val="0E866BE8"/>
    <w:rsid w:val="0E894402"/>
    <w:rsid w:val="0E8B5F77"/>
    <w:rsid w:val="0E9107B3"/>
    <w:rsid w:val="0EAD9A7C"/>
    <w:rsid w:val="0EBE6FDF"/>
    <w:rsid w:val="0EC1A759"/>
    <w:rsid w:val="0EC1FB3D"/>
    <w:rsid w:val="0ED31219"/>
    <w:rsid w:val="0ED9C111"/>
    <w:rsid w:val="0EE7397B"/>
    <w:rsid w:val="0EEDECCD"/>
    <w:rsid w:val="0F264EA9"/>
    <w:rsid w:val="0F27C7F3"/>
    <w:rsid w:val="0F368767"/>
    <w:rsid w:val="0F44B939"/>
    <w:rsid w:val="0F535F6E"/>
    <w:rsid w:val="0F6A8E09"/>
    <w:rsid w:val="0F6E74C4"/>
    <w:rsid w:val="0F81E4CB"/>
    <w:rsid w:val="0F894998"/>
    <w:rsid w:val="0F8AE130"/>
    <w:rsid w:val="0F8C028E"/>
    <w:rsid w:val="0F9390B0"/>
    <w:rsid w:val="0F97F88C"/>
    <w:rsid w:val="0FB65066"/>
    <w:rsid w:val="0FB85810"/>
    <w:rsid w:val="0FBC6FFB"/>
    <w:rsid w:val="0FED4936"/>
    <w:rsid w:val="0FEE2D2B"/>
    <w:rsid w:val="0FF235BD"/>
    <w:rsid w:val="0FFD6EB4"/>
    <w:rsid w:val="1011CBB6"/>
    <w:rsid w:val="101E32CA"/>
    <w:rsid w:val="1023227E"/>
    <w:rsid w:val="103553D7"/>
    <w:rsid w:val="1053A906"/>
    <w:rsid w:val="1065BED7"/>
    <w:rsid w:val="106849D8"/>
    <w:rsid w:val="108810C5"/>
    <w:rsid w:val="108FCFA9"/>
    <w:rsid w:val="109BB850"/>
    <w:rsid w:val="109D894E"/>
    <w:rsid w:val="10B1BD7A"/>
    <w:rsid w:val="10C64986"/>
    <w:rsid w:val="10E0E8EB"/>
    <w:rsid w:val="10EDA96E"/>
    <w:rsid w:val="110F08E7"/>
    <w:rsid w:val="1110FAB5"/>
    <w:rsid w:val="11234EAC"/>
    <w:rsid w:val="112DE91D"/>
    <w:rsid w:val="115EB0C0"/>
    <w:rsid w:val="1161E807"/>
    <w:rsid w:val="116C9A7A"/>
    <w:rsid w:val="11749743"/>
    <w:rsid w:val="117ED8F8"/>
    <w:rsid w:val="11856C24"/>
    <w:rsid w:val="118B6EBB"/>
    <w:rsid w:val="118E019A"/>
    <w:rsid w:val="119065E0"/>
    <w:rsid w:val="11A68891"/>
    <w:rsid w:val="11CC9E43"/>
    <w:rsid w:val="11D534FC"/>
    <w:rsid w:val="11E6ED3E"/>
    <w:rsid w:val="11E93828"/>
    <w:rsid w:val="11F01CE9"/>
    <w:rsid w:val="1241C438"/>
    <w:rsid w:val="1243997A"/>
    <w:rsid w:val="124C2C2C"/>
    <w:rsid w:val="124F5DAF"/>
    <w:rsid w:val="1265012D"/>
    <w:rsid w:val="1280B70A"/>
    <w:rsid w:val="1282BBC5"/>
    <w:rsid w:val="12B3810E"/>
    <w:rsid w:val="12B90550"/>
    <w:rsid w:val="12E17E70"/>
    <w:rsid w:val="12F37B0B"/>
    <w:rsid w:val="13057C2A"/>
    <w:rsid w:val="13063858"/>
    <w:rsid w:val="130DF9E2"/>
    <w:rsid w:val="13119A3F"/>
    <w:rsid w:val="132A1BD0"/>
    <w:rsid w:val="132ADB74"/>
    <w:rsid w:val="134B7A09"/>
    <w:rsid w:val="134F6C36"/>
    <w:rsid w:val="13615511"/>
    <w:rsid w:val="13885433"/>
    <w:rsid w:val="138DB12E"/>
    <w:rsid w:val="13969FC6"/>
    <w:rsid w:val="13A539BB"/>
    <w:rsid w:val="13C3DDB4"/>
    <w:rsid w:val="13D7997B"/>
    <w:rsid w:val="13E0A5E9"/>
    <w:rsid w:val="13E2BCEE"/>
    <w:rsid w:val="13ECC3F1"/>
    <w:rsid w:val="13F1F54A"/>
    <w:rsid w:val="13F2AE85"/>
    <w:rsid w:val="13FBA3E7"/>
    <w:rsid w:val="1407C060"/>
    <w:rsid w:val="1419F361"/>
    <w:rsid w:val="142105C0"/>
    <w:rsid w:val="142C6002"/>
    <w:rsid w:val="14316124"/>
    <w:rsid w:val="1433EFEE"/>
    <w:rsid w:val="143D4F9B"/>
    <w:rsid w:val="1448EDE5"/>
    <w:rsid w:val="144E74FD"/>
    <w:rsid w:val="1453D2CB"/>
    <w:rsid w:val="1464F93E"/>
    <w:rsid w:val="146D2FAA"/>
    <w:rsid w:val="147ADC10"/>
    <w:rsid w:val="147D3A0C"/>
    <w:rsid w:val="1488DDAB"/>
    <w:rsid w:val="1496A4F9"/>
    <w:rsid w:val="14B22217"/>
    <w:rsid w:val="14B3DA50"/>
    <w:rsid w:val="14C6D443"/>
    <w:rsid w:val="14CD17FC"/>
    <w:rsid w:val="14D5C6FB"/>
    <w:rsid w:val="1507D353"/>
    <w:rsid w:val="150D8F1B"/>
    <w:rsid w:val="150EFCD5"/>
    <w:rsid w:val="1512DCA5"/>
    <w:rsid w:val="15157827"/>
    <w:rsid w:val="15203268"/>
    <w:rsid w:val="1528B2D0"/>
    <w:rsid w:val="156EC25E"/>
    <w:rsid w:val="157C2B0C"/>
    <w:rsid w:val="157E2029"/>
    <w:rsid w:val="15926526"/>
    <w:rsid w:val="15C177C5"/>
    <w:rsid w:val="15C5D39F"/>
    <w:rsid w:val="15CBFE3F"/>
    <w:rsid w:val="15DB8983"/>
    <w:rsid w:val="15DF1633"/>
    <w:rsid w:val="15E5D60C"/>
    <w:rsid w:val="15EA9873"/>
    <w:rsid w:val="15F0340E"/>
    <w:rsid w:val="15F7B3CF"/>
    <w:rsid w:val="15FB933C"/>
    <w:rsid w:val="15FE52F5"/>
    <w:rsid w:val="160065C8"/>
    <w:rsid w:val="160EAC52"/>
    <w:rsid w:val="16108EB9"/>
    <w:rsid w:val="16120FF6"/>
    <w:rsid w:val="161302EF"/>
    <w:rsid w:val="16213F1D"/>
    <w:rsid w:val="163052D6"/>
    <w:rsid w:val="1633E266"/>
    <w:rsid w:val="16353514"/>
    <w:rsid w:val="16498014"/>
    <w:rsid w:val="16568611"/>
    <w:rsid w:val="1667AE6B"/>
    <w:rsid w:val="16681691"/>
    <w:rsid w:val="166F9583"/>
    <w:rsid w:val="16746E2C"/>
    <w:rsid w:val="16803852"/>
    <w:rsid w:val="1681694F"/>
    <w:rsid w:val="1685B3FF"/>
    <w:rsid w:val="168B97A1"/>
    <w:rsid w:val="1698E5C1"/>
    <w:rsid w:val="169E80E3"/>
    <w:rsid w:val="16A23D23"/>
    <w:rsid w:val="16B1FAE2"/>
    <w:rsid w:val="16C6E2EF"/>
    <w:rsid w:val="16CF5B61"/>
    <w:rsid w:val="16D5B9FE"/>
    <w:rsid w:val="16DD3544"/>
    <w:rsid w:val="16E1B17E"/>
    <w:rsid w:val="16FAE99D"/>
    <w:rsid w:val="170932DB"/>
    <w:rsid w:val="1714E79F"/>
    <w:rsid w:val="17166560"/>
    <w:rsid w:val="17195838"/>
    <w:rsid w:val="172AD957"/>
    <w:rsid w:val="172DC7CF"/>
    <w:rsid w:val="17336985"/>
    <w:rsid w:val="176BD3E1"/>
    <w:rsid w:val="177D4F9F"/>
    <w:rsid w:val="178CEDC0"/>
    <w:rsid w:val="1790BAEB"/>
    <w:rsid w:val="1794C4F0"/>
    <w:rsid w:val="17951EA9"/>
    <w:rsid w:val="179C1798"/>
    <w:rsid w:val="179D332B"/>
    <w:rsid w:val="17A5E2DA"/>
    <w:rsid w:val="17AE93CA"/>
    <w:rsid w:val="17D5E5AF"/>
    <w:rsid w:val="17E9593A"/>
    <w:rsid w:val="17FA535C"/>
    <w:rsid w:val="17FEC72C"/>
    <w:rsid w:val="18104B57"/>
    <w:rsid w:val="18133451"/>
    <w:rsid w:val="181900ED"/>
    <w:rsid w:val="18248442"/>
    <w:rsid w:val="182B8B5F"/>
    <w:rsid w:val="1832703B"/>
    <w:rsid w:val="1857BB6C"/>
    <w:rsid w:val="186479A3"/>
    <w:rsid w:val="186A8061"/>
    <w:rsid w:val="186C7200"/>
    <w:rsid w:val="1879D58F"/>
    <w:rsid w:val="188B88EF"/>
    <w:rsid w:val="189E5614"/>
    <w:rsid w:val="18C94D61"/>
    <w:rsid w:val="18CB0D80"/>
    <w:rsid w:val="18CF16E8"/>
    <w:rsid w:val="18CF3BE0"/>
    <w:rsid w:val="18DBF32A"/>
    <w:rsid w:val="18DD4CBD"/>
    <w:rsid w:val="18ECD762"/>
    <w:rsid w:val="18F5517B"/>
    <w:rsid w:val="19031D9A"/>
    <w:rsid w:val="19040078"/>
    <w:rsid w:val="1912EE1D"/>
    <w:rsid w:val="19240DC9"/>
    <w:rsid w:val="193197ED"/>
    <w:rsid w:val="194E61E1"/>
    <w:rsid w:val="1952E86E"/>
    <w:rsid w:val="1956D380"/>
    <w:rsid w:val="1959CD2C"/>
    <w:rsid w:val="195FE1EF"/>
    <w:rsid w:val="1968C79A"/>
    <w:rsid w:val="197A8E38"/>
    <w:rsid w:val="197CBFDA"/>
    <w:rsid w:val="197F2A0A"/>
    <w:rsid w:val="19854BF0"/>
    <w:rsid w:val="198AAAF3"/>
    <w:rsid w:val="1990C3A2"/>
    <w:rsid w:val="19AA635E"/>
    <w:rsid w:val="19BCFE4B"/>
    <w:rsid w:val="19C71FFD"/>
    <w:rsid w:val="19CA1E3B"/>
    <w:rsid w:val="19F889F9"/>
    <w:rsid w:val="1A10D694"/>
    <w:rsid w:val="1A176EAB"/>
    <w:rsid w:val="1A2B1FC7"/>
    <w:rsid w:val="1A2BEC56"/>
    <w:rsid w:val="1A5EEF0C"/>
    <w:rsid w:val="1A6D71AD"/>
    <w:rsid w:val="1A7A9AC2"/>
    <w:rsid w:val="1A7ECE30"/>
    <w:rsid w:val="1A87C6C3"/>
    <w:rsid w:val="1A9BA395"/>
    <w:rsid w:val="1AB31F8F"/>
    <w:rsid w:val="1AC3502E"/>
    <w:rsid w:val="1ACBE41A"/>
    <w:rsid w:val="1AECBAD3"/>
    <w:rsid w:val="1AEF5357"/>
    <w:rsid w:val="1AF95F72"/>
    <w:rsid w:val="1AFBD108"/>
    <w:rsid w:val="1AFBD11E"/>
    <w:rsid w:val="1B11D325"/>
    <w:rsid w:val="1B6684F8"/>
    <w:rsid w:val="1B68DE9B"/>
    <w:rsid w:val="1B6E4198"/>
    <w:rsid w:val="1B76A364"/>
    <w:rsid w:val="1B7C3629"/>
    <w:rsid w:val="1B7ECAED"/>
    <w:rsid w:val="1B8A30B3"/>
    <w:rsid w:val="1B96E094"/>
    <w:rsid w:val="1BA1B1F4"/>
    <w:rsid w:val="1BA9B787"/>
    <w:rsid w:val="1BB7F3FA"/>
    <w:rsid w:val="1BD0C8CD"/>
    <w:rsid w:val="1BD12D81"/>
    <w:rsid w:val="1BD3F3D0"/>
    <w:rsid w:val="1BE6D1BA"/>
    <w:rsid w:val="1BE88B4B"/>
    <w:rsid w:val="1BEA3065"/>
    <w:rsid w:val="1BF85D77"/>
    <w:rsid w:val="1BFF2941"/>
    <w:rsid w:val="1C0AA5F9"/>
    <w:rsid w:val="1C0FDED9"/>
    <w:rsid w:val="1C1A0B18"/>
    <w:rsid w:val="1C372782"/>
    <w:rsid w:val="1C488261"/>
    <w:rsid w:val="1C64CFA0"/>
    <w:rsid w:val="1C7308F2"/>
    <w:rsid w:val="1C755CC8"/>
    <w:rsid w:val="1C939EFB"/>
    <w:rsid w:val="1C9A6BFF"/>
    <w:rsid w:val="1CACE69D"/>
    <w:rsid w:val="1CB48A27"/>
    <w:rsid w:val="1CB68257"/>
    <w:rsid w:val="1CBDECCE"/>
    <w:rsid w:val="1CBE2C70"/>
    <w:rsid w:val="1CC954D7"/>
    <w:rsid w:val="1CE38243"/>
    <w:rsid w:val="1CE8B882"/>
    <w:rsid w:val="1CF2087C"/>
    <w:rsid w:val="1CF9360A"/>
    <w:rsid w:val="1D028213"/>
    <w:rsid w:val="1D0C44AB"/>
    <w:rsid w:val="1D2FE71C"/>
    <w:rsid w:val="1D37868C"/>
    <w:rsid w:val="1D3ADBD6"/>
    <w:rsid w:val="1D4BA713"/>
    <w:rsid w:val="1D5E90DA"/>
    <w:rsid w:val="1D6425E3"/>
    <w:rsid w:val="1D66FC6D"/>
    <w:rsid w:val="1D67ACE9"/>
    <w:rsid w:val="1D6A0F6F"/>
    <w:rsid w:val="1D792372"/>
    <w:rsid w:val="1D8C5D5D"/>
    <w:rsid w:val="1DB8B498"/>
    <w:rsid w:val="1DC55986"/>
    <w:rsid w:val="1DC8CA68"/>
    <w:rsid w:val="1DDC3347"/>
    <w:rsid w:val="1DE7D2E5"/>
    <w:rsid w:val="1DE96000"/>
    <w:rsid w:val="1DEB05E0"/>
    <w:rsid w:val="1DEBCA12"/>
    <w:rsid w:val="1DFDD302"/>
    <w:rsid w:val="1E253094"/>
    <w:rsid w:val="1E2B5DCC"/>
    <w:rsid w:val="1E325452"/>
    <w:rsid w:val="1E40FF4F"/>
    <w:rsid w:val="1E493F7A"/>
    <w:rsid w:val="1E4B21B1"/>
    <w:rsid w:val="1E6E9D47"/>
    <w:rsid w:val="1E8FE7DD"/>
    <w:rsid w:val="1E971674"/>
    <w:rsid w:val="1E9907DD"/>
    <w:rsid w:val="1E9E8421"/>
    <w:rsid w:val="1EA50A69"/>
    <w:rsid w:val="1EB17C07"/>
    <w:rsid w:val="1EB29B55"/>
    <w:rsid w:val="1EBDC254"/>
    <w:rsid w:val="1EBF58CC"/>
    <w:rsid w:val="1ED69629"/>
    <w:rsid w:val="1EE98186"/>
    <w:rsid w:val="1EF8334F"/>
    <w:rsid w:val="1F01BF16"/>
    <w:rsid w:val="1F133214"/>
    <w:rsid w:val="1F202A34"/>
    <w:rsid w:val="1F2E489C"/>
    <w:rsid w:val="1F4069A8"/>
    <w:rsid w:val="1F699724"/>
    <w:rsid w:val="1F69DFEC"/>
    <w:rsid w:val="1F7E4579"/>
    <w:rsid w:val="1FA085D4"/>
    <w:rsid w:val="1FBA6274"/>
    <w:rsid w:val="1FBEE3CC"/>
    <w:rsid w:val="1FE337F6"/>
    <w:rsid w:val="1FEC004E"/>
    <w:rsid w:val="1FF5B3C0"/>
    <w:rsid w:val="1FFFCC31"/>
    <w:rsid w:val="200B1160"/>
    <w:rsid w:val="20142EA0"/>
    <w:rsid w:val="20153B1C"/>
    <w:rsid w:val="201D0687"/>
    <w:rsid w:val="20283433"/>
    <w:rsid w:val="202D15AC"/>
    <w:rsid w:val="202DEF3F"/>
    <w:rsid w:val="20459433"/>
    <w:rsid w:val="204AB765"/>
    <w:rsid w:val="205D2558"/>
    <w:rsid w:val="206A9BF6"/>
    <w:rsid w:val="20A417B1"/>
    <w:rsid w:val="20A5DC7A"/>
    <w:rsid w:val="20BEE181"/>
    <w:rsid w:val="20C0B947"/>
    <w:rsid w:val="20DA9F1E"/>
    <w:rsid w:val="20DC471B"/>
    <w:rsid w:val="20E4711F"/>
    <w:rsid w:val="21158DFB"/>
    <w:rsid w:val="211D736C"/>
    <w:rsid w:val="212733EB"/>
    <w:rsid w:val="21353E3C"/>
    <w:rsid w:val="2136B011"/>
    <w:rsid w:val="214D1EF3"/>
    <w:rsid w:val="216CB96C"/>
    <w:rsid w:val="2184CDE0"/>
    <w:rsid w:val="21939FB6"/>
    <w:rsid w:val="2193DEB8"/>
    <w:rsid w:val="21A58379"/>
    <w:rsid w:val="21ABCDD3"/>
    <w:rsid w:val="21B9AF1B"/>
    <w:rsid w:val="21BDBFE2"/>
    <w:rsid w:val="21D2BC3C"/>
    <w:rsid w:val="21DBFA4B"/>
    <w:rsid w:val="21DEBC86"/>
    <w:rsid w:val="21EA0A4A"/>
    <w:rsid w:val="21F15F63"/>
    <w:rsid w:val="22018FC4"/>
    <w:rsid w:val="221CA5C3"/>
    <w:rsid w:val="2223FCC3"/>
    <w:rsid w:val="2233BEBE"/>
    <w:rsid w:val="22354900"/>
    <w:rsid w:val="2248D13E"/>
    <w:rsid w:val="22563CBA"/>
    <w:rsid w:val="22855C5D"/>
    <w:rsid w:val="22857C2E"/>
    <w:rsid w:val="22966585"/>
    <w:rsid w:val="22AB991A"/>
    <w:rsid w:val="22B0E334"/>
    <w:rsid w:val="22BD7EB1"/>
    <w:rsid w:val="22C2436B"/>
    <w:rsid w:val="22F938C9"/>
    <w:rsid w:val="22FA8F92"/>
    <w:rsid w:val="2340ADF9"/>
    <w:rsid w:val="2362FB05"/>
    <w:rsid w:val="236F7615"/>
    <w:rsid w:val="2372C7E5"/>
    <w:rsid w:val="238D7C96"/>
    <w:rsid w:val="238D8DE1"/>
    <w:rsid w:val="23AD9A25"/>
    <w:rsid w:val="23B42DF1"/>
    <w:rsid w:val="23BCC741"/>
    <w:rsid w:val="23D1DCCF"/>
    <w:rsid w:val="23D8C3F5"/>
    <w:rsid w:val="23E5D9C4"/>
    <w:rsid w:val="23ED5436"/>
    <w:rsid w:val="24109781"/>
    <w:rsid w:val="243A1BD5"/>
    <w:rsid w:val="244FF32A"/>
    <w:rsid w:val="245759C9"/>
    <w:rsid w:val="246AC5EA"/>
    <w:rsid w:val="248426DA"/>
    <w:rsid w:val="248B3D07"/>
    <w:rsid w:val="24AE0DC5"/>
    <w:rsid w:val="24C1CADB"/>
    <w:rsid w:val="24C36FD7"/>
    <w:rsid w:val="24C878C6"/>
    <w:rsid w:val="24E49A03"/>
    <w:rsid w:val="24E56BE9"/>
    <w:rsid w:val="24EB343F"/>
    <w:rsid w:val="24ECECD7"/>
    <w:rsid w:val="252945A1"/>
    <w:rsid w:val="2534BB15"/>
    <w:rsid w:val="25366288"/>
    <w:rsid w:val="2548D449"/>
    <w:rsid w:val="254DCCC5"/>
    <w:rsid w:val="2552FC72"/>
    <w:rsid w:val="255E701C"/>
    <w:rsid w:val="2585361B"/>
    <w:rsid w:val="258AAB60"/>
    <w:rsid w:val="25972952"/>
    <w:rsid w:val="25983EEC"/>
    <w:rsid w:val="25A0569A"/>
    <w:rsid w:val="25AA03E3"/>
    <w:rsid w:val="25B6A4FD"/>
    <w:rsid w:val="25C48BB2"/>
    <w:rsid w:val="25C4EA8C"/>
    <w:rsid w:val="25C651C9"/>
    <w:rsid w:val="25D04A82"/>
    <w:rsid w:val="25D1BFEE"/>
    <w:rsid w:val="25E78FB8"/>
    <w:rsid w:val="25F2D391"/>
    <w:rsid w:val="25FB5CC8"/>
    <w:rsid w:val="26491551"/>
    <w:rsid w:val="264A66FA"/>
    <w:rsid w:val="266A1F54"/>
    <w:rsid w:val="2679822F"/>
    <w:rsid w:val="26A58930"/>
    <w:rsid w:val="26AF9539"/>
    <w:rsid w:val="26C2D137"/>
    <w:rsid w:val="26D1F215"/>
    <w:rsid w:val="26E68BE8"/>
    <w:rsid w:val="26F1333D"/>
    <w:rsid w:val="26FA7179"/>
    <w:rsid w:val="2700F6B7"/>
    <w:rsid w:val="2708652F"/>
    <w:rsid w:val="271E147F"/>
    <w:rsid w:val="2736F9D2"/>
    <w:rsid w:val="273828E4"/>
    <w:rsid w:val="274DDAB0"/>
    <w:rsid w:val="274E62B3"/>
    <w:rsid w:val="275250D6"/>
    <w:rsid w:val="27613F03"/>
    <w:rsid w:val="2766C141"/>
    <w:rsid w:val="277DAF91"/>
    <w:rsid w:val="277F40FF"/>
    <w:rsid w:val="277FA66A"/>
    <w:rsid w:val="27814A7D"/>
    <w:rsid w:val="278B58CF"/>
    <w:rsid w:val="27966A74"/>
    <w:rsid w:val="2796CCA1"/>
    <w:rsid w:val="27986A1B"/>
    <w:rsid w:val="27C10A73"/>
    <w:rsid w:val="27CF7050"/>
    <w:rsid w:val="27E65446"/>
    <w:rsid w:val="27F86382"/>
    <w:rsid w:val="27FDDF5E"/>
    <w:rsid w:val="281A6D47"/>
    <w:rsid w:val="283451E2"/>
    <w:rsid w:val="2835F0D6"/>
    <w:rsid w:val="284FBB2C"/>
    <w:rsid w:val="28624DCF"/>
    <w:rsid w:val="28668129"/>
    <w:rsid w:val="287CDB27"/>
    <w:rsid w:val="287D5C42"/>
    <w:rsid w:val="2886F1DD"/>
    <w:rsid w:val="2888A38B"/>
    <w:rsid w:val="2889C834"/>
    <w:rsid w:val="288D78B5"/>
    <w:rsid w:val="289330BD"/>
    <w:rsid w:val="28A4D6CD"/>
    <w:rsid w:val="28BF5528"/>
    <w:rsid w:val="28C04E71"/>
    <w:rsid w:val="28C1E656"/>
    <w:rsid w:val="28DB46E7"/>
    <w:rsid w:val="28E37DF1"/>
    <w:rsid w:val="28E387CC"/>
    <w:rsid w:val="28E9F30D"/>
    <w:rsid w:val="28EC4D45"/>
    <w:rsid w:val="28EEB7AE"/>
    <w:rsid w:val="28F34DA7"/>
    <w:rsid w:val="291419DB"/>
    <w:rsid w:val="2920474F"/>
    <w:rsid w:val="29257658"/>
    <w:rsid w:val="29531E4C"/>
    <w:rsid w:val="296ACB0C"/>
    <w:rsid w:val="296DA145"/>
    <w:rsid w:val="296E938C"/>
    <w:rsid w:val="297428ED"/>
    <w:rsid w:val="29A95D26"/>
    <w:rsid w:val="29AB99BE"/>
    <w:rsid w:val="29B9A21A"/>
    <w:rsid w:val="29C29C8A"/>
    <w:rsid w:val="29C6C101"/>
    <w:rsid w:val="29C7FD64"/>
    <w:rsid w:val="29D94D67"/>
    <w:rsid w:val="29FE597F"/>
    <w:rsid w:val="2A030264"/>
    <w:rsid w:val="2A1299D0"/>
    <w:rsid w:val="2A255006"/>
    <w:rsid w:val="2A305E5A"/>
    <w:rsid w:val="2A371BDC"/>
    <w:rsid w:val="2A4C1F2D"/>
    <w:rsid w:val="2A55D2C5"/>
    <w:rsid w:val="2A580301"/>
    <w:rsid w:val="2A5CF7F1"/>
    <w:rsid w:val="2A75C9D1"/>
    <w:rsid w:val="2A7F0720"/>
    <w:rsid w:val="2A85EAD4"/>
    <w:rsid w:val="2A8AA27D"/>
    <w:rsid w:val="2A9C3FCE"/>
    <w:rsid w:val="2AC1B1D3"/>
    <w:rsid w:val="2ACA87CC"/>
    <w:rsid w:val="2ADAAB65"/>
    <w:rsid w:val="2AFFA240"/>
    <w:rsid w:val="2B020C04"/>
    <w:rsid w:val="2B0665A3"/>
    <w:rsid w:val="2B09F8AC"/>
    <w:rsid w:val="2B25725F"/>
    <w:rsid w:val="2B277BF9"/>
    <w:rsid w:val="2B2C6C40"/>
    <w:rsid w:val="2B33481A"/>
    <w:rsid w:val="2B46E75D"/>
    <w:rsid w:val="2B4C298A"/>
    <w:rsid w:val="2B591451"/>
    <w:rsid w:val="2B5A8B58"/>
    <w:rsid w:val="2B82DBA6"/>
    <w:rsid w:val="2B88DE89"/>
    <w:rsid w:val="2B900FD3"/>
    <w:rsid w:val="2BAC56B7"/>
    <w:rsid w:val="2BBC6D3C"/>
    <w:rsid w:val="2BBC81A3"/>
    <w:rsid w:val="2BC0D622"/>
    <w:rsid w:val="2BC0E854"/>
    <w:rsid w:val="2BCB5C75"/>
    <w:rsid w:val="2BDCE851"/>
    <w:rsid w:val="2BDE82CA"/>
    <w:rsid w:val="2BE17752"/>
    <w:rsid w:val="2BE54956"/>
    <w:rsid w:val="2BEAC0DD"/>
    <w:rsid w:val="2BECBD8E"/>
    <w:rsid w:val="2BFFF689"/>
    <w:rsid w:val="2C038CD2"/>
    <w:rsid w:val="2C08D0E0"/>
    <w:rsid w:val="2C0C9F22"/>
    <w:rsid w:val="2C0D8474"/>
    <w:rsid w:val="2C0FDC8E"/>
    <w:rsid w:val="2C15BEBB"/>
    <w:rsid w:val="2C21EA21"/>
    <w:rsid w:val="2C4FDF08"/>
    <w:rsid w:val="2C514282"/>
    <w:rsid w:val="2C524C0E"/>
    <w:rsid w:val="2C640B62"/>
    <w:rsid w:val="2C6CFC3F"/>
    <w:rsid w:val="2C72C1DD"/>
    <w:rsid w:val="2C75683A"/>
    <w:rsid w:val="2C779313"/>
    <w:rsid w:val="2C79926D"/>
    <w:rsid w:val="2C893045"/>
    <w:rsid w:val="2C8D5A4A"/>
    <w:rsid w:val="2C9A255F"/>
    <w:rsid w:val="2CA1F710"/>
    <w:rsid w:val="2CA2987B"/>
    <w:rsid w:val="2CB7D3B0"/>
    <w:rsid w:val="2CBAB1D4"/>
    <w:rsid w:val="2CC49AC3"/>
    <w:rsid w:val="2CCC1E28"/>
    <w:rsid w:val="2CDB362C"/>
    <w:rsid w:val="2D02E393"/>
    <w:rsid w:val="2D14942D"/>
    <w:rsid w:val="2D17F867"/>
    <w:rsid w:val="2D251F86"/>
    <w:rsid w:val="2D2FFB71"/>
    <w:rsid w:val="2D451732"/>
    <w:rsid w:val="2D584842"/>
    <w:rsid w:val="2D610AB7"/>
    <w:rsid w:val="2D62C5B5"/>
    <w:rsid w:val="2D6B612C"/>
    <w:rsid w:val="2D97EC8B"/>
    <w:rsid w:val="2DA02459"/>
    <w:rsid w:val="2DA9720F"/>
    <w:rsid w:val="2DB12C7B"/>
    <w:rsid w:val="2DB34D39"/>
    <w:rsid w:val="2DDC2071"/>
    <w:rsid w:val="2DDCF9D9"/>
    <w:rsid w:val="2DE50F7A"/>
    <w:rsid w:val="2DE5310C"/>
    <w:rsid w:val="2DE97120"/>
    <w:rsid w:val="2DEE7EF4"/>
    <w:rsid w:val="2DF1FEE8"/>
    <w:rsid w:val="2E0240EE"/>
    <w:rsid w:val="2E1C30DE"/>
    <w:rsid w:val="2E1E3931"/>
    <w:rsid w:val="2E1EBEF5"/>
    <w:rsid w:val="2E27520E"/>
    <w:rsid w:val="2E31C550"/>
    <w:rsid w:val="2E409B63"/>
    <w:rsid w:val="2E5ADD5F"/>
    <w:rsid w:val="2E66957B"/>
    <w:rsid w:val="2E6B4280"/>
    <w:rsid w:val="2E8E103F"/>
    <w:rsid w:val="2E9DE8B9"/>
    <w:rsid w:val="2EA40043"/>
    <w:rsid w:val="2EAB8B6A"/>
    <w:rsid w:val="2EAF8E54"/>
    <w:rsid w:val="2EB47249"/>
    <w:rsid w:val="2EC04AF9"/>
    <w:rsid w:val="2EEC946D"/>
    <w:rsid w:val="2EF2A6D9"/>
    <w:rsid w:val="2EFA31D4"/>
    <w:rsid w:val="2F21170E"/>
    <w:rsid w:val="2F2EC992"/>
    <w:rsid w:val="2F2F931E"/>
    <w:rsid w:val="2F319A73"/>
    <w:rsid w:val="2F32EEE2"/>
    <w:rsid w:val="2F44F448"/>
    <w:rsid w:val="2F524ECA"/>
    <w:rsid w:val="2F578324"/>
    <w:rsid w:val="2F5B323D"/>
    <w:rsid w:val="2F5BA5B2"/>
    <w:rsid w:val="2F5E9728"/>
    <w:rsid w:val="2F6E1595"/>
    <w:rsid w:val="2F8A6DD1"/>
    <w:rsid w:val="2F8EA2A0"/>
    <w:rsid w:val="2F973B85"/>
    <w:rsid w:val="2FC02B71"/>
    <w:rsid w:val="2FD26B24"/>
    <w:rsid w:val="2FDC5794"/>
    <w:rsid w:val="2FF269D1"/>
    <w:rsid w:val="30158B54"/>
    <w:rsid w:val="302477DC"/>
    <w:rsid w:val="302EDF4B"/>
    <w:rsid w:val="30326A81"/>
    <w:rsid w:val="3036F92F"/>
    <w:rsid w:val="30505955"/>
    <w:rsid w:val="30670570"/>
    <w:rsid w:val="3070165C"/>
    <w:rsid w:val="3074711A"/>
    <w:rsid w:val="30782C36"/>
    <w:rsid w:val="30B2A1B4"/>
    <w:rsid w:val="30B2FBE5"/>
    <w:rsid w:val="30E9CF25"/>
    <w:rsid w:val="30EBAB89"/>
    <w:rsid w:val="30FFE714"/>
    <w:rsid w:val="31098C9B"/>
    <w:rsid w:val="31317195"/>
    <w:rsid w:val="3132173A"/>
    <w:rsid w:val="3136E9B8"/>
    <w:rsid w:val="31499FF5"/>
    <w:rsid w:val="314C4393"/>
    <w:rsid w:val="31526131"/>
    <w:rsid w:val="316D8D2C"/>
    <w:rsid w:val="318012F3"/>
    <w:rsid w:val="3182BE24"/>
    <w:rsid w:val="319CDDA8"/>
    <w:rsid w:val="319FED5B"/>
    <w:rsid w:val="31AE4F81"/>
    <w:rsid w:val="31B0FB56"/>
    <w:rsid w:val="31C1D5DF"/>
    <w:rsid w:val="31D0EB1E"/>
    <w:rsid w:val="31EA9CD3"/>
    <w:rsid w:val="31EBE6D0"/>
    <w:rsid w:val="31FBD8FF"/>
    <w:rsid w:val="3212B22E"/>
    <w:rsid w:val="3217EBF6"/>
    <w:rsid w:val="3219EF1D"/>
    <w:rsid w:val="321F619A"/>
    <w:rsid w:val="32206A2A"/>
    <w:rsid w:val="3232F3A7"/>
    <w:rsid w:val="323D6BC7"/>
    <w:rsid w:val="323E774A"/>
    <w:rsid w:val="3244AF9E"/>
    <w:rsid w:val="32550AF2"/>
    <w:rsid w:val="3256FF14"/>
    <w:rsid w:val="325DBCFB"/>
    <w:rsid w:val="325E2472"/>
    <w:rsid w:val="325E3289"/>
    <w:rsid w:val="3272AE0B"/>
    <w:rsid w:val="32A39CB3"/>
    <w:rsid w:val="32B54F0D"/>
    <w:rsid w:val="32CBC1F3"/>
    <w:rsid w:val="3307667D"/>
    <w:rsid w:val="33114FE2"/>
    <w:rsid w:val="3314354F"/>
    <w:rsid w:val="33151E73"/>
    <w:rsid w:val="33367D1B"/>
    <w:rsid w:val="333F03BC"/>
    <w:rsid w:val="333FB716"/>
    <w:rsid w:val="334BE062"/>
    <w:rsid w:val="334C455A"/>
    <w:rsid w:val="336BB9DC"/>
    <w:rsid w:val="337220F9"/>
    <w:rsid w:val="337585FF"/>
    <w:rsid w:val="3379060F"/>
    <w:rsid w:val="3387645A"/>
    <w:rsid w:val="3399C1AB"/>
    <w:rsid w:val="33AD738D"/>
    <w:rsid w:val="33ADACED"/>
    <w:rsid w:val="33B6BAE5"/>
    <w:rsid w:val="33B7EC8C"/>
    <w:rsid w:val="33DA56A5"/>
    <w:rsid w:val="33DBB721"/>
    <w:rsid w:val="33E1477F"/>
    <w:rsid w:val="33F31745"/>
    <w:rsid w:val="33F44ED4"/>
    <w:rsid w:val="33F7820D"/>
    <w:rsid w:val="33FB2450"/>
    <w:rsid w:val="33FF50CF"/>
    <w:rsid w:val="340F48C9"/>
    <w:rsid w:val="34318F9E"/>
    <w:rsid w:val="3434D6C5"/>
    <w:rsid w:val="3480C465"/>
    <w:rsid w:val="348E5ED2"/>
    <w:rsid w:val="34BD2089"/>
    <w:rsid w:val="34E2E034"/>
    <w:rsid w:val="34E32368"/>
    <w:rsid w:val="34F9BB19"/>
    <w:rsid w:val="34FC2416"/>
    <w:rsid w:val="34FEDC44"/>
    <w:rsid w:val="34FF7C01"/>
    <w:rsid w:val="3516523B"/>
    <w:rsid w:val="3536EFB9"/>
    <w:rsid w:val="35389E78"/>
    <w:rsid w:val="353A30B9"/>
    <w:rsid w:val="354B5F92"/>
    <w:rsid w:val="356F1FF3"/>
    <w:rsid w:val="359796E2"/>
    <w:rsid w:val="35989F5E"/>
    <w:rsid w:val="359FA2F0"/>
    <w:rsid w:val="35AAC6E1"/>
    <w:rsid w:val="35B97233"/>
    <w:rsid w:val="35C24D7A"/>
    <w:rsid w:val="35C3EC2B"/>
    <w:rsid w:val="35D5EBF3"/>
    <w:rsid w:val="35D7ADB6"/>
    <w:rsid w:val="35E06FE2"/>
    <w:rsid w:val="35E4C667"/>
    <w:rsid w:val="35E7F8F5"/>
    <w:rsid w:val="35F1DF98"/>
    <w:rsid w:val="35F230DA"/>
    <w:rsid w:val="36025999"/>
    <w:rsid w:val="3609A29A"/>
    <w:rsid w:val="360E0C2A"/>
    <w:rsid w:val="360EAD5A"/>
    <w:rsid w:val="36183D48"/>
    <w:rsid w:val="3626EA8B"/>
    <w:rsid w:val="36344F5B"/>
    <w:rsid w:val="36371343"/>
    <w:rsid w:val="363D6053"/>
    <w:rsid w:val="364FAD39"/>
    <w:rsid w:val="3661CC44"/>
    <w:rsid w:val="366FDC25"/>
    <w:rsid w:val="369D61E1"/>
    <w:rsid w:val="36A62CAC"/>
    <w:rsid w:val="36A81D9A"/>
    <w:rsid w:val="36BF7153"/>
    <w:rsid w:val="36C2BDB1"/>
    <w:rsid w:val="36CBAC49"/>
    <w:rsid w:val="36CE0B5E"/>
    <w:rsid w:val="36DC0074"/>
    <w:rsid w:val="36E22D41"/>
    <w:rsid w:val="36F492D3"/>
    <w:rsid w:val="3708A5C5"/>
    <w:rsid w:val="37113CBC"/>
    <w:rsid w:val="37182931"/>
    <w:rsid w:val="37314964"/>
    <w:rsid w:val="3736E58D"/>
    <w:rsid w:val="373E77F6"/>
    <w:rsid w:val="3743679F"/>
    <w:rsid w:val="374879EE"/>
    <w:rsid w:val="376BD272"/>
    <w:rsid w:val="376D43F9"/>
    <w:rsid w:val="377DEC3A"/>
    <w:rsid w:val="377E005B"/>
    <w:rsid w:val="37824E4C"/>
    <w:rsid w:val="3788A759"/>
    <w:rsid w:val="378DF9CD"/>
    <w:rsid w:val="37B6AC4E"/>
    <w:rsid w:val="37E5700B"/>
    <w:rsid w:val="37F5199E"/>
    <w:rsid w:val="3818EB02"/>
    <w:rsid w:val="381D9A24"/>
    <w:rsid w:val="3822F9B6"/>
    <w:rsid w:val="382353DE"/>
    <w:rsid w:val="382649E6"/>
    <w:rsid w:val="382E4FBC"/>
    <w:rsid w:val="38373493"/>
    <w:rsid w:val="3844ACAE"/>
    <w:rsid w:val="3853D7D4"/>
    <w:rsid w:val="3860EBB9"/>
    <w:rsid w:val="3861B2EC"/>
    <w:rsid w:val="38669DBC"/>
    <w:rsid w:val="3886D6F3"/>
    <w:rsid w:val="388A3E76"/>
    <w:rsid w:val="38A778C4"/>
    <w:rsid w:val="38B520DB"/>
    <w:rsid w:val="38B9B419"/>
    <w:rsid w:val="38C6AE55"/>
    <w:rsid w:val="38C884C5"/>
    <w:rsid w:val="38CD0492"/>
    <w:rsid w:val="38D2EAEC"/>
    <w:rsid w:val="38DC8547"/>
    <w:rsid w:val="38E61AC2"/>
    <w:rsid w:val="38EECCC7"/>
    <w:rsid w:val="390EDA55"/>
    <w:rsid w:val="391665A8"/>
    <w:rsid w:val="391F14DF"/>
    <w:rsid w:val="39265861"/>
    <w:rsid w:val="394043E3"/>
    <w:rsid w:val="395E79F8"/>
    <w:rsid w:val="396BACD1"/>
    <w:rsid w:val="397B24C5"/>
    <w:rsid w:val="397B87D3"/>
    <w:rsid w:val="397FC5DF"/>
    <w:rsid w:val="398896C7"/>
    <w:rsid w:val="3995F4E9"/>
    <w:rsid w:val="3995FEBE"/>
    <w:rsid w:val="399CBB97"/>
    <w:rsid w:val="399F9E08"/>
    <w:rsid w:val="39AEDB33"/>
    <w:rsid w:val="39B2A132"/>
    <w:rsid w:val="39B68227"/>
    <w:rsid w:val="39FCB46A"/>
    <w:rsid w:val="3A20226A"/>
    <w:rsid w:val="3A233452"/>
    <w:rsid w:val="3A26950C"/>
    <w:rsid w:val="3A2A7453"/>
    <w:rsid w:val="3A31127E"/>
    <w:rsid w:val="3A368779"/>
    <w:rsid w:val="3A39DE58"/>
    <w:rsid w:val="3A42AA9A"/>
    <w:rsid w:val="3A5F073D"/>
    <w:rsid w:val="3A73A623"/>
    <w:rsid w:val="3A73F9B9"/>
    <w:rsid w:val="3A79DFB2"/>
    <w:rsid w:val="3A7C19EB"/>
    <w:rsid w:val="3A81A992"/>
    <w:rsid w:val="3A904584"/>
    <w:rsid w:val="3A94305A"/>
    <w:rsid w:val="3A9C4B30"/>
    <w:rsid w:val="3AA6E032"/>
    <w:rsid w:val="3AAFABAC"/>
    <w:rsid w:val="3ABAD6D0"/>
    <w:rsid w:val="3ACA3AE5"/>
    <w:rsid w:val="3AE3361B"/>
    <w:rsid w:val="3AFC20A0"/>
    <w:rsid w:val="3B0A2DB7"/>
    <w:rsid w:val="3B17DFAB"/>
    <w:rsid w:val="3B25B409"/>
    <w:rsid w:val="3B3380E2"/>
    <w:rsid w:val="3B37EAC0"/>
    <w:rsid w:val="3B4038E3"/>
    <w:rsid w:val="3B4CA59D"/>
    <w:rsid w:val="3B6E4343"/>
    <w:rsid w:val="3BA057E8"/>
    <w:rsid w:val="3BA5B3BE"/>
    <w:rsid w:val="3BC470B9"/>
    <w:rsid w:val="3BC9B1B0"/>
    <w:rsid w:val="3BCA76B4"/>
    <w:rsid w:val="3BCAAA79"/>
    <w:rsid w:val="3BEE3130"/>
    <w:rsid w:val="3BF5FD03"/>
    <w:rsid w:val="3BF8A0DA"/>
    <w:rsid w:val="3C031CFB"/>
    <w:rsid w:val="3C0D11AD"/>
    <w:rsid w:val="3C0F1DBF"/>
    <w:rsid w:val="3C1AB28A"/>
    <w:rsid w:val="3C2142D8"/>
    <w:rsid w:val="3C2A47B8"/>
    <w:rsid w:val="3C2C335F"/>
    <w:rsid w:val="3C38C5E5"/>
    <w:rsid w:val="3C3A17AC"/>
    <w:rsid w:val="3C59BCB6"/>
    <w:rsid w:val="3C5A7A68"/>
    <w:rsid w:val="3C5DF25C"/>
    <w:rsid w:val="3C5EB2E7"/>
    <w:rsid w:val="3C62B156"/>
    <w:rsid w:val="3C6C5A66"/>
    <w:rsid w:val="3C7127AA"/>
    <w:rsid w:val="3C92E45F"/>
    <w:rsid w:val="3C96D98B"/>
    <w:rsid w:val="3CA472D2"/>
    <w:rsid w:val="3CB7DC0E"/>
    <w:rsid w:val="3CCE61CA"/>
    <w:rsid w:val="3D10D785"/>
    <w:rsid w:val="3D181F5B"/>
    <w:rsid w:val="3D2EB2B2"/>
    <w:rsid w:val="3D381D31"/>
    <w:rsid w:val="3D38738E"/>
    <w:rsid w:val="3D41FB2F"/>
    <w:rsid w:val="3D463EBF"/>
    <w:rsid w:val="3D498E4D"/>
    <w:rsid w:val="3D51F89C"/>
    <w:rsid w:val="3D64488C"/>
    <w:rsid w:val="3D64F456"/>
    <w:rsid w:val="3D7E26E7"/>
    <w:rsid w:val="3D897C50"/>
    <w:rsid w:val="3D901FD0"/>
    <w:rsid w:val="3D92C736"/>
    <w:rsid w:val="3D93F0D0"/>
    <w:rsid w:val="3D96A800"/>
    <w:rsid w:val="3DB70974"/>
    <w:rsid w:val="3DE380E3"/>
    <w:rsid w:val="3DF4A3DF"/>
    <w:rsid w:val="3E0181CA"/>
    <w:rsid w:val="3E07CA30"/>
    <w:rsid w:val="3E08CB35"/>
    <w:rsid w:val="3E2C717D"/>
    <w:rsid w:val="3E3E52E1"/>
    <w:rsid w:val="3E4DEC28"/>
    <w:rsid w:val="3E55C363"/>
    <w:rsid w:val="3E5EDD9D"/>
    <w:rsid w:val="3E60E20D"/>
    <w:rsid w:val="3E693958"/>
    <w:rsid w:val="3E7E905C"/>
    <w:rsid w:val="3E95C341"/>
    <w:rsid w:val="3EA4C539"/>
    <w:rsid w:val="3EA8DA9A"/>
    <w:rsid w:val="3EB6B096"/>
    <w:rsid w:val="3ED145EC"/>
    <w:rsid w:val="3EDF459C"/>
    <w:rsid w:val="3EE3DCE1"/>
    <w:rsid w:val="3F083AA8"/>
    <w:rsid w:val="3F260195"/>
    <w:rsid w:val="3F2FA7F7"/>
    <w:rsid w:val="3F496810"/>
    <w:rsid w:val="3F5160DA"/>
    <w:rsid w:val="3F622B74"/>
    <w:rsid w:val="3F6468BC"/>
    <w:rsid w:val="3F649AC3"/>
    <w:rsid w:val="3F6870E0"/>
    <w:rsid w:val="3F7A99C0"/>
    <w:rsid w:val="3FA66FC1"/>
    <w:rsid w:val="3FAD6931"/>
    <w:rsid w:val="3FB35E54"/>
    <w:rsid w:val="3FB5847B"/>
    <w:rsid w:val="40063EB7"/>
    <w:rsid w:val="4048E0B0"/>
    <w:rsid w:val="4064CBBF"/>
    <w:rsid w:val="40704D86"/>
    <w:rsid w:val="4080A92F"/>
    <w:rsid w:val="408C7D6F"/>
    <w:rsid w:val="409157F7"/>
    <w:rsid w:val="409C9202"/>
    <w:rsid w:val="40BF0C12"/>
    <w:rsid w:val="40C6DB77"/>
    <w:rsid w:val="40E5CC7D"/>
    <w:rsid w:val="4104B10C"/>
    <w:rsid w:val="4112737C"/>
    <w:rsid w:val="4162F4EB"/>
    <w:rsid w:val="4176A75F"/>
    <w:rsid w:val="41815526"/>
    <w:rsid w:val="41911572"/>
    <w:rsid w:val="41DC925F"/>
    <w:rsid w:val="41E59F65"/>
    <w:rsid w:val="42085CA6"/>
    <w:rsid w:val="42235F6A"/>
    <w:rsid w:val="4225F595"/>
    <w:rsid w:val="422AF473"/>
    <w:rsid w:val="423F71F3"/>
    <w:rsid w:val="424536A4"/>
    <w:rsid w:val="424D98F5"/>
    <w:rsid w:val="42568518"/>
    <w:rsid w:val="4258B2E6"/>
    <w:rsid w:val="425C5CB5"/>
    <w:rsid w:val="425EF3C5"/>
    <w:rsid w:val="42627980"/>
    <w:rsid w:val="4267B3CA"/>
    <w:rsid w:val="426B45B2"/>
    <w:rsid w:val="42706ABD"/>
    <w:rsid w:val="42721BBB"/>
    <w:rsid w:val="4280705B"/>
    <w:rsid w:val="428639F2"/>
    <w:rsid w:val="42886D67"/>
    <w:rsid w:val="428F5BC1"/>
    <w:rsid w:val="42903FF3"/>
    <w:rsid w:val="42932CE5"/>
    <w:rsid w:val="42AF094D"/>
    <w:rsid w:val="42B7B892"/>
    <w:rsid w:val="42BAFE04"/>
    <w:rsid w:val="42C59F3E"/>
    <w:rsid w:val="42C8F2B8"/>
    <w:rsid w:val="42C9AAA0"/>
    <w:rsid w:val="42D66FB3"/>
    <w:rsid w:val="42D7B04C"/>
    <w:rsid w:val="42FCB68F"/>
    <w:rsid w:val="42FF34A1"/>
    <w:rsid w:val="4326C984"/>
    <w:rsid w:val="43692FEB"/>
    <w:rsid w:val="4377B028"/>
    <w:rsid w:val="43784D6F"/>
    <w:rsid w:val="437A73C9"/>
    <w:rsid w:val="437EFCD5"/>
    <w:rsid w:val="43B9735E"/>
    <w:rsid w:val="43BE20B8"/>
    <w:rsid w:val="43BFE492"/>
    <w:rsid w:val="43C0033C"/>
    <w:rsid w:val="43C2335D"/>
    <w:rsid w:val="43C31922"/>
    <w:rsid w:val="43C3342E"/>
    <w:rsid w:val="43D58C28"/>
    <w:rsid w:val="43E6EAAE"/>
    <w:rsid w:val="43E8E84C"/>
    <w:rsid w:val="43F955F0"/>
    <w:rsid w:val="43FA4F6A"/>
    <w:rsid w:val="44147E6A"/>
    <w:rsid w:val="4424D51A"/>
    <w:rsid w:val="442D44F9"/>
    <w:rsid w:val="442E4598"/>
    <w:rsid w:val="4431E9EC"/>
    <w:rsid w:val="443E9D36"/>
    <w:rsid w:val="443F7B13"/>
    <w:rsid w:val="444B35E7"/>
    <w:rsid w:val="445A7475"/>
    <w:rsid w:val="4466EDE6"/>
    <w:rsid w:val="446DC09A"/>
    <w:rsid w:val="4478A616"/>
    <w:rsid w:val="447D1124"/>
    <w:rsid w:val="44AAB038"/>
    <w:rsid w:val="44AF483D"/>
    <w:rsid w:val="44C88F9D"/>
    <w:rsid w:val="44D6E8A4"/>
    <w:rsid w:val="44D95AE6"/>
    <w:rsid w:val="44E2AA52"/>
    <w:rsid w:val="44E337A9"/>
    <w:rsid w:val="44F97C31"/>
    <w:rsid w:val="4512933B"/>
    <w:rsid w:val="454263E1"/>
    <w:rsid w:val="454C731A"/>
    <w:rsid w:val="454E22D9"/>
    <w:rsid w:val="456E5830"/>
    <w:rsid w:val="458A83AA"/>
    <w:rsid w:val="45AF7B5A"/>
    <w:rsid w:val="45D2C5D3"/>
    <w:rsid w:val="45D9290E"/>
    <w:rsid w:val="45EAE316"/>
    <w:rsid w:val="45EE1A44"/>
    <w:rsid w:val="45F14468"/>
    <w:rsid w:val="45FF6B1B"/>
    <w:rsid w:val="460C6FC4"/>
    <w:rsid w:val="46558DFA"/>
    <w:rsid w:val="4655CABB"/>
    <w:rsid w:val="4657A634"/>
    <w:rsid w:val="465C02DF"/>
    <w:rsid w:val="46773761"/>
    <w:rsid w:val="46800BD9"/>
    <w:rsid w:val="46871ADB"/>
    <w:rsid w:val="468A48C7"/>
    <w:rsid w:val="468DC57F"/>
    <w:rsid w:val="469C190C"/>
    <w:rsid w:val="469F1E20"/>
    <w:rsid w:val="46B3D1D5"/>
    <w:rsid w:val="46C9C236"/>
    <w:rsid w:val="46CCF406"/>
    <w:rsid w:val="46D2B303"/>
    <w:rsid w:val="46EE8031"/>
    <w:rsid w:val="46F2CD0A"/>
    <w:rsid w:val="4705AC19"/>
    <w:rsid w:val="471A58FB"/>
    <w:rsid w:val="4722615E"/>
    <w:rsid w:val="47259225"/>
    <w:rsid w:val="472F9B06"/>
    <w:rsid w:val="4745AD5E"/>
    <w:rsid w:val="47546D52"/>
    <w:rsid w:val="478B5B09"/>
    <w:rsid w:val="479711B5"/>
    <w:rsid w:val="479E8F79"/>
    <w:rsid w:val="47B2A02F"/>
    <w:rsid w:val="47C60A59"/>
    <w:rsid w:val="47D0DE1F"/>
    <w:rsid w:val="47D12686"/>
    <w:rsid w:val="47DA3B63"/>
    <w:rsid w:val="47DB2ED7"/>
    <w:rsid w:val="47EC3A7D"/>
    <w:rsid w:val="47ED69B5"/>
    <w:rsid w:val="47F86123"/>
    <w:rsid w:val="4812EACA"/>
    <w:rsid w:val="481E626E"/>
    <w:rsid w:val="483039D9"/>
    <w:rsid w:val="4833C3C5"/>
    <w:rsid w:val="483B2615"/>
    <w:rsid w:val="4865276E"/>
    <w:rsid w:val="4876F4C7"/>
    <w:rsid w:val="48871371"/>
    <w:rsid w:val="48873A46"/>
    <w:rsid w:val="488EF026"/>
    <w:rsid w:val="48998AB5"/>
    <w:rsid w:val="48BB8B3C"/>
    <w:rsid w:val="48BF8297"/>
    <w:rsid w:val="48C50C7E"/>
    <w:rsid w:val="48D66C1C"/>
    <w:rsid w:val="48DB0862"/>
    <w:rsid w:val="48EFF46B"/>
    <w:rsid w:val="4910AC5E"/>
    <w:rsid w:val="4915CA08"/>
    <w:rsid w:val="49424A81"/>
    <w:rsid w:val="4960BD01"/>
    <w:rsid w:val="49726C8F"/>
    <w:rsid w:val="497A8376"/>
    <w:rsid w:val="497F832E"/>
    <w:rsid w:val="4980996F"/>
    <w:rsid w:val="49820010"/>
    <w:rsid w:val="49933BB1"/>
    <w:rsid w:val="499662F9"/>
    <w:rsid w:val="49ABC03F"/>
    <w:rsid w:val="49AF992F"/>
    <w:rsid w:val="49B3F6D6"/>
    <w:rsid w:val="49B6C81E"/>
    <w:rsid w:val="49C32CEC"/>
    <w:rsid w:val="49CD7B35"/>
    <w:rsid w:val="49CEE7C2"/>
    <w:rsid w:val="49EE9941"/>
    <w:rsid w:val="4A01DC22"/>
    <w:rsid w:val="4A029A44"/>
    <w:rsid w:val="4A0672A5"/>
    <w:rsid w:val="4A08C1BB"/>
    <w:rsid w:val="4A0A950F"/>
    <w:rsid w:val="4A123FC3"/>
    <w:rsid w:val="4A14844A"/>
    <w:rsid w:val="4A1D8FDF"/>
    <w:rsid w:val="4A28EB7A"/>
    <w:rsid w:val="4A3EACF8"/>
    <w:rsid w:val="4A469D84"/>
    <w:rsid w:val="4A5CC21C"/>
    <w:rsid w:val="4A60A2D5"/>
    <w:rsid w:val="4A809340"/>
    <w:rsid w:val="4AA01E7F"/>
    <w:rsid w:val="4AA2478E"/>
    <w:rsid w:val="4AAEF383"/>
    <w:rsid w:val="4AAF1D98"/>
    <w:rsid w:val="4ACB3747"/>
    <w:rsid w:val="4AD0EC6D"/>
    <w:rsid w:val="4AF05EFD"/>
    <w:rsid w:val="4AFCD4BC"/>
    <w:rsid w:val="4B1620AB"/>
    <w:rsid w:val="4B1B2186"/>
    <w:rsid w:val="4B2891F1"/>
    <w:rsid w:val="4B2A0C7A"/>
    <w:rsid w:val="4B307424"/>
    <w:rsid w:val="4B360A03"/>
    <w:rsid w:val="4B375A12"/>
    <w:rsid w:val="4B56471E"/>
    <w:rsid w:val="4B56C468"/>
    <w:rsid w:val="4B60907B"/>
    <w:rsid w:val="4B68DD13"/>
    <w:rsid w:val="4B72EB98"/>
    <w:rsid w:val="4B732169"/>
    <w:rsid w:val="4B80AEB3"/>
    <w:rsid w:val="4B92B5A8"/>
    <w:rsid w:val="4B983D1A"/>
    <w:rsid w:val="4BA9AFA0"/>
    <w:rsid w:val="4BB148FD"/>
    <w:rsid w:val="4BB326D9"/>
    <w:rsid w:val="4BB541D6"/>
    <w:rsid w:val="4BB92882"/>
    <w:rsid w:val="4BC4874D"/>
    <w:rsid w:val="4BCC82F2"/>
    <w:rsid w:val="4BDF556F"/>
    <w:rsid w:val="4BE1AD88"/>
    <w:rsid w:val="4BEF491E"/>
    <w:rsid w:val="4C178AF2"/>
    <w:rsid w:val="4C1E16C1"/>
    <w:rsid w:val="4C1E8F55"/>
    <w:rsid w:val="4C3BDF0E"/>
    <w:rsid w:val="4C416A54"/>
    <w:rsid w:val="4C42FC49"/>
    <w:rsid w:val="4C549586"/>
    <w:rsid w:val="4C582EDB"/>
    <w:rsid w:val="4C5B34B2"/>
    <w:rsid w:val="4C740D8A"/>
    <w:rsid w:val="4C848B86"/>
    <w:rsid w:val="4C85EDA9"/>
    <w:rsid w:val="4C8F6242"/>
    <w:rsid w:val="4C8FD96F"/>
    <w:rsid w:val="4C9DAE43"/>
    <w:rsid w:val="4CACAB06"/>
    <w:rsid w:val="4CB5636F"/>
    <w:rsid w:val="4CBDAA60"/>
    <w:rsid w:val="4CC66ED1"/>
    <w:rsid w:val="4CFEF146"/>
    <w:rsid w:val="4D07E683"/>
    <w:rsid w:val="4D15A5B0"/>
    <w:rsid w:val="4D165A3A"/>
    <w:rsid w:val="4D179247"/>
    <w:rsid w:val="4D2F1B80"/>
    <w:rsid w:val="4D36AFC7"/>
    <w:rsid w:val="4D3AC197"/>
    <w:rsid w:val="4D4483E6"/>
    <w:rsid w:val="4D4A3F7F"/>
    <w:rsid w:val="4D58EC4C"/>
    <w:rsid w:val="4D6B669C"/>
    <w:rsid w:val="4D6C981B"/>
    <w:rsid w:val="4D7841A4"/>
    <w:rsid w:val="4D866FB7"/>
    <w:rsid w:val="4D8CB250"/>
    <w:rsid w:val="4DAAEC3A"/>
    <w:rsid w:val="4DBF2E43"/>
    <w:rsid w:val="4DCA3F76"/>
    <w:rsid w:val="4DCD77D4"/>
    <w:rsid w:val="4DCE1BC8"/>
    <w:rsid w:val="4DE33546"/>
    <w:rsid w:val="4DE35E4D"/>
    <w:rsid w:val="4DED73E8"/>
    <w:rsid w:val="4DF2FFB7"/>
    <w:rsid w:val="4DFC8D73"/>
    <w:rsid w:val="4E0B67A6"/>
    <w:rsid w:val="4E2CE13A"/>
    <w:rsid w:val="4E3C23E3"/>
    <w:rsid w:val="4E83F5AF"/>
    <w:rsid w:val="4E99FC65"/>
    <w:rsid w:val="4EA3A594"/>
    <w:rsid w:val="4ECA657F"/>
    <w:rsid w:val="4ED766E6"/>
    <w:rsid w:val="4EEC6088"/>
    <w:rsid w:val="4EFDBAE7"/>
    <w:rsid w:val="4F00C821"/>
    <w:rsid w:val="4F095C45"/>
    <w:rsid w:val="4F19EED1"/>
    <w:rsid w:val="4F1B3F6C"/>
    <w:rsid w:val="4F3D66CC"/>
    <w:rsid w:val="4F48B3CE"/>
    <w:rsid w:val="4F511B17"/>
    <w:rsid w:val="4F5376DD"/>
    <w:rsid w:val="4F5F797D"/>
    <w:rsid w:val="4F67FEE2"/>
    <w:rsid w:val="4F69451A"/>
    <w:rsid w:val="4F80BBF5"/>
    <w:rsid w:val="4FA145D8"/>
    <w:rsid w:val="4FA53C64"/>
    <w:rsid w:val="4FAB2AC5"/>
    <w:rsid w:val="4FABC42E"/>
    <w:rsid w:val="4FB09FF1"/>
    <w:rsid w:val="4FB7C4E9"/>
    <w:rsid w:val="4FCC77EA"/>
    <w:rsid w:val="4FD2A051"/>
    <w:rsid w:val="4FF0EBB0"/>
    <w:rsid w:val="5012BAE8"/>
    <w:rsid w:val="504EE480"/>
    <w:rsid w:val="5067C53C"/>
    <w:rsid w:val="506ABBFB"/>
    <w:rsid w:val="506DC3DE"/>
    <w:rsid w:val="506F72D1"/>
    <w:rsid w:val="5070D4F8"/>
    <w:rsid w:val="5082BC23"/>
    <w:rsid w:val="509533B4"/>
    <w:rsid w:val="509BCFD3"/>
    <w:rsid w:val="509CFD6B"/>
    <w:rsid w:val="50B00D0F"/>
    <w:rsid w:val="50BF4AAE"/>
    <w:rsid w:val="50BF5B68"/>
    <w:rsid w:val="50CF8D23"/>
    <w:rsid w:val="50D2D57D"/>
    <w:rsid w:val="50D4F8FE"/>
    <w:rsid w:val="50E70BE8"/>
    <w:rsid w:val="5108644D"/>
    <w:rsid w:val="51257A9A"/>
    <w:rsid w:val="51271910"/>
    <w:rsid w:val="5132786A"/>
    <w:rsid w:val="513ECAED"/>
    <w:rsid w:val="51402D63"/>
    <w:rsid w:val="51474187"/>
    <w:rsid w:val="51598F56"/>
    <w:rsid w:val="516B9CF8"/>
    <w:rsid w:val="51888EAC"/>
    <w:rsid w:val="519964FE"/>
    <w:rsid w:val="51AB8C60"/>
    <w:rsid w:val="51BDA83E"/>
    <w:rsid w:val="51C5AA5E"/>
    <w:rsid w:val="51E6A2A0"/>
    <w:rsid w:val="51F4C19F"/>
    <w:rsid w:val="51FC6389"/>
    <w:rsid w:val="521EFA72"/>
    <w:rsid w:val="52256140"/>
    <w:rsid w:val="523C2340"/>
    <w:rsid w:val="523C820A"/>
    <w:rsid w:val="52469542"/>
    <w:rsid w:val="5250362D"/>
    <w:rsid w:val="525E6BD2"/>
    <w:rsid w:val="52632994"/>
    <w:rsid w:val="5274955C"/>
    <w:rsid w:val="528ECD47"/>
    <w:rsid w:val="529700E4"/>
    <w:rsid w:val="52A0392C"/>
    <w:rsid w:val="52A5EBC5"/>
    <w:rsid w:val="52A61477"/>
    <w:rsid w:val="52BB039E"/>
    <w:rsid w:val="52BCA1A8"/>
    <w:rsid w:val="52BD8E95"/>
    <w:rsid w:val="52E9228F"/>
    <w:rsid w:val="5302B8FD"/>
    <w:rsid w:val="530AD724"/>
    <w:rsid w:val="530BCDB1"/>
    <w:rsid w:val="53148D22"/>
    <w:rsid w:val="5315969C"/>
    <w:rsid w:val="533029E5"/>
    <w:rsid w:val="53389A2B"/>
    <w:rsid w:val="533A5182"/>
    <w:rsid w:val="533FD729"/>
    <w:rsid w:val="534488CD"/>
    <w:rsid w:val="536135D1"/>
    <w:rsid w:val="536BEB26"/>
    <w:rsid w:val="53707045"/>
    <w:rsid w:val="537C42AE"/>
    <w:rsid w:val="5395DF85"/>
    <w:rsid w:val="53A5B5D4"/>
    <w:rsid w:val="53C84CF4"/>
    <w:rsid w:val="53CB7C31"/>
    <w:rsid w:val="53D06650"/>
    <w:rsid w:val="53D0A16F"/>
    <w:rsid w:val="53DF0825"/>
    <w:rsid w:val="53E50252"/>
    <w:rsid w:val="53E71A2E"/>
    <w:rsid w:val="53EEC552"/>
    <w:rsid w:val="53F03B63"/>
    <w:rsid w:val="54128841"/>
    <w:rsid w:val="5424C7EE"/>
    <w:rsid w:val="5425231A"/>
    <w:rsid w:val="54323D23"/>
    <w:rsid w:val="5442F592"/>
    <w:rsid w:val="5444CFD8"/>
    <w:rsid w:val="54557C1A"/>
    <w:rsid w:val="545954F8"/>
    <w:rsid w:val="545962AD"/>
    <w:rsid w:val="545E33CF"/>
    <w:rsid w:val="545F41FD"/>
    <w:rsid w:val="547D6CE5"/>
    <w:rsid w:val="548493D9"/>
    <w:rsid w:val="5485DB0F"/>
    <w:rsid w:val="548CB11A"/>
    <w:rsid w:val="5495654C"/>
    <w:rsid w:val="549CD2B7"/>
    <w:rsid w:val="549D1CAF"/>
    <w:rsid w:val="549F6516"/>
    <w:rsid w:val="54A23C1E"/>
    <w:rsid w:val="54A7D261"/>
    <w:rsid w:val="54C46D58"/>
    <w:rsid w:val="54C5053D"/>
    <w:rsid w:val="54C6A616"/>
    <w:rsid w:val="54C97095"/>
    <w:rsid w:val="54FBA941"/>
    <w:rsid w:val="55003719"/>
    <w:rsid w:val="550BCD59"/>
    <w:rsid w:val="551B4566"/>
    <w:rsid w:val="551C8630"/>
    <w:rsid w:val="553AB407"/>
    <w:rsid w:val="55445E23"/>
    <w:rsid w:val="554B1A15"/>
    <w:rsid w:val="555D7F98"/>
    <w:rsid w:val="5561C16E"/>
    <w:rsid w:val="5573D94B"/>
    <w:rsid w:val="558EAD58"/>
    <w:rsid w:val="559459C8"/>
    <w:rsid w:val="55A0F63F"/>
    <w:rsid w:val="55A656B8"/>
    <w:rsid w:val="55B8878B"/>
    <w:rsid w:val="55BF1380"/>
    <w:rsid w:val="55C05DFE"/>
    <w:rsid w:val="55C9E740"/>
    <w:rsid w:val="55DD49CA"/>
    <w:rsid w:val="55DFEF1A"/>
    <w:rsid w:val="55E864B5"/>
    <w:rsid w:val="560180C1"/>
    <w:rsid w:val="560BD484"/>
    <w:rsid w:val="562B317F"/>
    <w:rsid w:val="562C2A34"/>
    <w:rsid w:val="5634610E"/>
    <w:rsid w:val="5637A566"/>
    <w:rsid w:val="563E2731"/>
    <w:rsid w:val="564963A0"/>
    <w:rsid w:val="565769EB"/>
    <w:rsid w:val="5659EB35"/>
    <w:rsid w:val="565DE89C"/>
    <w:rsid w:val="5664760E"/>
    <w:rsid w:val="56799115"/>
    <w:rsid w:val="568E3A96"/>
    <w:rsid w:val="5693E4D4"/>
    <w:rsid w:val="56A84AD2"/>
    <w:rsid w:val="56BE9EC8"/>
    <w:rsid w:val="56CDEFD1"/>
    <w:rsid w:val="56CE6175"/>
    <w:rsid w:val="56D4AA48"/>
    <w:rsid w:val="56D56EF6"/>
    <w:rsid w:val="56DEFB2B"/>
    <w:rsid w:val="56ED1B12"/>
    <w:rsid w:val="56F51960"/>
    <w:rsid w:val="56FE2780"/>
    <w:rsid w:val="570A2A79"/>
    <w:rsid w:val="5725B751"/>
    <w:rsid w:val="57382CBC"/>
    <w:rsid w:val="574ABA73"/>
    <w:rsid w:val="5759C9BE"/>
    <w:rsid w:val="5759DF95"/>
    <w:rsid w:val="576702CB"/>
    <w:rsid w:val="5771F194"/>
    <w:rsid w:val="57728102"/>
    <w:rsid w:val="57802B48"/>
    <w:rsid w:val="579AB6C0"/>
    <w:rsid w:val="57A12697"/>
    <w:rsid w:val="57A1D584"/>
    <w:rsid w:val="57AB96C9"/>
    <w:rsid w:val="57AEB2FA"/>
    <w:rsid w:val="57B30BCD"/>
    <w:rsid w:val="57CAA959"/>
    <w:rsid w:val="57CF1A62"/>
    <w:rsid w:val="57E017B9"/>
    <w:rsid w:val="57EDFA28"/>
    <w:rsid w:val="57F8B88A"/>
    <w:rsid w:val="580E8B0E"/>
    <w:rsid w:val="5844D8D4"/>
    <w:rsid w:val="5872DA7E"/>
    <w:rsid w:val="5879AC90"/>
    <w:rsid w:val="589185F6"/>
    <w:rsid w:val="589260BA"/>
    <w:rsid w:val="58A921C9"/>
    <w:rsid w:val="58B749F2"/>
    <w:rsid w:val="58C1ADC7"/>
    <w:rsid w:val="58CC379A"/>
    <w:rsid w:val="58D218F1"/>
    <w:rsid w:val="58E0174E"/>
    <w:rsid w:val="58E129C4"/>
    <w:rsid w:val="58F95B96"/>
    <w:rsid w:val="58FC7249"/>
    <w:rsid w:val="590507D5"/>
    <w:rsid w:val="59189C80"/>
    <w:rsid w:val="593568E6"/>
    <w:rsid w:val="5941C754"/>
    <w:rsid w:val="59631E39"/>
    <w:rsid w:val="59879AB7"/>
    <w:rsid w:val="59A24E8A"/>
    <w:rsid w:val="59A441A9"/>
    <w:rsid w:val="59A63CEF"/>
    <w:rsid w:val="59C54EEC"/>
    <w:rsid w:val="59CA8F8A"/>
    <w:rsid w:val="59D9E510"/>
    <w:rsid w:val="59DB8018"/>
    <w:rsid w:val="5A14164A"/>
    <w:rsid w:val="5A177818"/>
    <w:rsid w:val="5A34BCC0"/>
    <w:rsid w:val="5A37BC6B"/>
    <w:rsid w:val="5A38D6CC"/>
    <w:rsid w:val="5A3D38F1"/>
    <w:rsid w:val="5A4A825F"/>
    <w:rsid w:val="5A58A084"/>
    <w:rsid w:val="5A603000"/>
    <w:rsid w:val="5A6612DE"/>
    <w:rsid w:val="5A6CE9DF"/>
    <w:rsid w:val="5A7B908A"/>
    <w:rsid w:val="5A8350C7"/>
    <w:rsid w:val="5A8546B1"/>
    <w:rsid w:val="5A915449"/>
    <w:rsid w:val="5AABC3EA"/>
    <w:rsid w:val="5AADA4C1"/>
    <w:rsid w:val="5AB84AE2"/>
    <w:rsid w:val="5AD0E7AB"/>
    <w:rsid w:val="5ADA86F1"/>
    <w:rsid w:val="5AF27242"/>
    <w:rsid w:val="5AFDF850"/>
    <w:rsid w:val="5B03ABFF"/>
    <w:rsid w:val="5B08F6D5"/>
    <w:rsid w:val="5B10E5E8"/>
    <w:rsid w:val="5B18C80F"/>
    <w:rsid w:val="5B203639"/>
    <w:rsid w:val="5B369404"/>
    <w:rsid w:val="5B4C6081"/>
    <w:rsid w:val="5B6B4B4B"/>
    <w:rsid w:val="5B79B511"/>
    <w:rsid w:val="5B7C67D2"/>
    <w:rsid w:val="5B8B819E"/>
    <w:rsid w:val="5BA32606"/>
    <w:rsid w:val="5BA4C0D2"/>
    <w:rsid w:val="5BA8B671"/>
    <w:rsid w:val="5BAB3583"/>
    <w:rsid w:val="5BB37758"/>
    <w:rsid w:val="5BB6B747"/>
    <w:rsid w:val="5BB95846"/>
    <w:rsid w:val="5BBE435B"/>
    <w:rsid w:val="5BCB2189"/>
    <w:rsid w:val="5BCCA20A"/>
    <w:rsid w:val="5BD9B92B"/>
    <w:rsid w:val="5BD9DB10"/>
    <w:rsid w:val="5C000F96"/>
    <w:rsid w:val="5C0F0F77"/>
    <w:rsid w:val="5C1E4ACD"/>
    <w:rsid w:val="5C25AE27"/>
    <w:rsid w:val="5C381F9E"/>
    <w:rsid w:val="5C385BA1"/>
    <w:rsid w:val="5C3A11FC"/>
    <w:rsid w:val="5C510192"/>
    <w:rsid w:val="5C76E367"/>
    <w:rsid w:val="5C85418E"/>
    <w:rsid w:val="5C886525"/>
    <w:rsid w:val="5C88D7FE"/>
    <w:rsid w:val="5C8F5C86"/>
    <w:rsid w:val="5CB9186A"/>
    <w:rsid w:val="5CC2A97A"/>
    <w:rsid w:val="5CCF5F01"/>
    <w:rsid w:val="5CD37F56"/>
    <w:rsid w:val="5CE83BB2"/>
    <w:rsid w:val="5D11D39F"/>
    <w:rsid w:val="5D17E1F8"/>
    <w:rsid w:val="5D2BFCEA"/>
    <w:rsid w:val="5D31FB2A"/>
    <w:rsid w:val="5D44BF76"/>
    <w:rsid w:val="5D4B1DBC"/>
    <w:rsid w:val="5D5EF958"/>
    <w:rsid w:val="5D5FC02F"/>
    <w:rsid w:val="5D664A3F"/>
    <w:rsid w:val="5D763A07"/>
    <w:rsid w:val="5D810432"/>
    <w:rsid w:val="5D98FE86"/>
    <w:rsid w:val="5DA1CE1F"/>
    <w:rsid w:val="5DAA5B49"/>
    <w:rsid w:val="5DBA19EC"/>
    <w:rsid w:val="5DBC5AEC"/>
    <w:rsid w:val="5DBE2BFE"/>
    <w:rsid w:val="5DC373B0"/>
    <w:rsid w:val="5DE74069"/>
    <w:rsid w:val="5DF257A9"/>
    <w:rsid w:val="5DF97D04"/>
    <w:rsid w:val="5DFF118F"/>
    <w:rsid w:val="5E3543F4"/>
    <w:rsid w:val="5E373C39"/>
    <w:rsid w:val="5E54F142"/>
    <w:rsid w:val="5E991504"/>
    <w:rsid w:val="5EA8BA55"/>
    <w:rsid w:val="5EB0FE1B"/>
    <w:rsid w:val="5EB9CFFA"/>
    <w:rsid w:val="5EC049AB"/>
    <w:rsid w:val="5EC7FA17"/>
    <w:rsid w:val="5EDB75FC"/>
    <w:rsid w:val="5EE818F2"/>
    <w:rsid w:val="5EF88D45"/>
    <w:rsid w:val="5F057DC4"/>
    <w:rsid w:val="5F147D35"/>
    <w:rsid w:val="5F2AA653"/>
    <w:rsid w:val="5F418000"/>
    <w:rsid w:val="5F703637"/>
    <w:rsid w:val="5F703D2C"/>
    <w:rsid w:val="5F7A73BA"/>
    <w:rsid w:val="5F7C1A48"/>
    <w:rsid w:val="5F83CBDA"/>
    <w:rsid w:val="5F88F248"/>
    <w:rsid w:val="5F8A84F5"/>
    <w:rsid w:val="5F8E9348"/>
    <w:rsid w:val="5FC0D347"/>
    <w:rsid w:val="5FC4674E"/>
    <w:rsid w:val="5FC48CB1"/>
    <w:rsid w:val="5FCD955D"/>
    <w:rsid w:val="5FCE6838"/>
    <w:rsid w:val="5FDFC1C5"/>
    <w:rsid w:val="5FE01B15"/>
    <w:rsid w:val="5FF839BF"/>
    <w:rsid w:val="600ECC6C"/>
    <w:rsid w:val="6025BEBE"/>
    <w:rsid w:val="60289153"/>
    <w:rsid w:val="6028EC7B"/>
    <w:rsid w:val="602A60E3"/>
    <w:rsid w:val="602E3A61"/>
    <w:rsid w:val="6043B226"/>
    <w:rsid w:val="6055AB94"/>
    <w:rsid w:val="607C704C"/>
    <w:rsid w:val="60805A2B"/>
    <w:rsid w:val="60842033"/>
    <w:rsid w:val="608999DC"/>
    <w:rsid w:val="609C1DBF"/>
    <w:rsid w:val="609D1FB6"/>
    <w:rsid w:val="609F1D1A"/>
    <w:rsid w:val="60B76011"/>
    <w:rsid w:val="60C18017"/>
    <w:rsid w:val="60D8CFEF"/>
    <w:rsid w:val="60DAC1CF"/>
    <w:rsid w:val="60E14BBB"/>
    <w:rsid w:val="60EA9482"/>
    <w:rsid w:val="6102BE87"/>
    <w:rsid w:val="611B332B"/>
    <w:rsid w:val="6124EF6D"/>
    <w:rsid w:val="6125E8E1"/>
    <w:rsid w:val="613F7A67"/>
    <w:rsid w:val="6154CCA3"/>
    <w:rsid w:val="6159C648"/>
    <w:rsid w:val="615EEA91"/>
    <w:rsid w:val="615F5620"/>
    <w:rsid w:val="6172A6FC"/>
    <w:rsid w:val="61994F91"/>
    <w:rsid w:val="61997197"/>
    <w:rsid w:val="619CC476"/>
    <w:rsid w:val="61A453B0"/>
    <w:rsid w:val="61C0592F"/>
    <w:rsid w:val="61C1C1D9"/>
    <w:rsid w:val="61C2CD05"/>
    <w:rsid w:val="61C4B981"/>
    <w:rsid w:val="61C86DC6"/>
    <w:rsid w:val="61D45D5A"/>
    <w:rsid w:val="61DF2A87"/>
    <w:rsid w:val="61E2FEED"/>
    <w:rsid w:val="61E4087F"/>
    <w:rsid w:val="61E8634D"/>
    <w:rsid w:val="61F156C2"/>
    <w:rsid w:val="61F32B37"/>
    <w:rsid w:val="61F5A8F6"/>
    <w:rsid w:val="61F82874"/>
    <w:rsid w:val="61FD1B57"/>
    <w:rsid w:val="6203FEDB"/>
    <w:rsid w:val="62077262"/>
    <w:rsid w:val="620E383B"/>
    <w:rsid w:val="621078AA"/>
    <w:rsid w:val="6215229C"/>
    <w:rsid w:val="622FF9F7"/>
    <w:rsid w:val="623010B8"/>
    <w:rsid w:val="623A7671"/>
    <w:rsid w:val="6254C48C"/>
    <w:rsid w:val="62973BF4"/>
    <w:rsid w:val="629A1D9C"/>
    <w:rsid w:val="629D22F1"/>
    <w:rsid w:val="629DE5E6"/>
    <w:rsid w:val="62C4730E"/>
    <w:rsid w:val="62C8EA48"/>
    <w:rsid w:val="62CA98A2"/>
    <w:rsid w:val="62CC0D40"/>
    <w:rsid w:val="62CE6C8F"/>
    <w:rsid w:val="62DFF447"/>
    <w:rsid w:val="62E30E35"/>
    <w:rsid w:val="62EEFFD1"/>
    <w:rsid w:val="62F00729"/>
    <w:rsid w:val="6300CF38"/>
    <w:rsid w:val="63062ECD"/>
    <w:rsid w:val="630A4458"/>
    <w:rsid w:val="63230EB6"/>
    <w:rsid w:val="6323708C"/>
    <w:rsid w:val="632B716E"/>
    <w:rsid w:val="633BFC34"/>
    <w:rsid w:val="63441D5B"/>
    <w:rsid w:val="6344887E"/>
    <w:rsid w:val="635F81B2"/>
    <w:rsid w:val="636DF045"/>
    <w:rsid w:val="63829596"/>
    <w:rsid w:val="63870E4D"/>
    <w:rsid w:val="63897367"/>
    <w:rsid w:val="6389A447"/>
    <w:rsid w:val="63970D18"/>
    <w:rsid w:val="63A19242"/>
    <w:rsid w:val="63B00151"/>
    <w:rsid w:val="63BDFB9B"/>
    <w:rsid w:val="63BE1FB7"/>
    <w:rsid w:val="63C2B479"/>
    <w:rsid w:val="63DEC4BE"/>
    <w:rsid w:val="63E3A389"/>
    <w:rsid w:val="63FA8B57"/>
    <w:rsid w:val="64090AF9"/>
    <w:rsid w:val="6414519B"/>
    <w:rsid w:val="64163D5B"/>
    <w:rsid w:val="6417ED15"/>
    <w:rsid w:val="6430515F"/>
    <w:rsid w:val="6446CAD2"/>
    <w:rsid w:val="644FFFAF"/>
    <w:rsid w:val="645404E9"/>
    <w:rsid w:val="64637E3E"/>
    <w:rsid w:val="646EF881"/>
    <w:rsid w:val="64996045"/>
    <w:rsid w:val="64A88544"/>
    <w:rsid w:val="64B5FD77"/>
    <w:rsid w:val="64B9FAA3"/>
    <w:rsid w:val="64BBB2FC"/>
    <w:rsid w:val="64BFDBD7"/>
    <w:rsid w:val="64C029D9"/>
    <w:rsid w:val="64C65828"/>
    <w:rsid w:val="64EF1D9C"/>
    <w:rsid w:val="6519D31E"/>
    <w:rsid w:val="651B77A9"/>
    <w:rsid w:val="6521463C"/>
    <w:rsid w:val="6526041E"/>
    <w:rsid w:val="6534D1B9"/>
    <w:rsid w:val="653A9996"/>
    <w:rsid w:val="653AF9A9"/>
    <w:rsid w:val="6544D33A"/>
    <w:rsid w:val="6545E167"/>
    <w:rsid w:val="6547A78F"/>
    <w:rsid w:val="654B4F92"/>
    <w:rsid w:val="6561A1FC"/>
    <w:rsid w:val="657304E2"/>
    <w:rsid w:val="6577DD89"/>
    <w:rsid w:val="657B816F"/>
    <w:rsid w:val="6580B298"/>
    <w:rsid w:val="6589B978"/>
    <w:rsid w:val="659051F6"/>
    <w:rsid w:val="659BF4E9"/>
    <w:rsid w:val="65A3394A"/>
    <w:rsid w:val="65AC65E4"/>
    <w:rsid w:val="65B07832"/>
    <w:rsid w:val="65B37B26"/>
    <w:rsid w:val="65CC9C2B"/>
    <w:rsid w:val="65D2CB14"/>
    <w:rsid w:val="65DB498B"/>
    <w:rsid w:val="65EF4621"/>
    <w:rsid w:val="65F0E202"/>
    <w:rsid w:val="65F26594"/>
    <w:rsid w:val="660C43F1"/>
    <w:rsid w:val="6611C194"/>
    <w:rsid w:val="6611DA68"/>
    <w:rsid w:val="6616A7C0"/>
    <w:rsid w:val="66178587"/>
    <w:rsid w:val="6625C222"/>
    <w:rsid w:val="6645BCC4"/>
    <w:rsid w:val="664C6FC1"/>
    <w:rsid w:val="664FC3CE"/>
    <w:rsid w:val="66598CBB"/>
    <w:rsid w:val="667170C7"/>
    <w:rsid w:val="667EDBA1"/>
    <w:rsid w:val="6682C833"/>
    <w:rsid w:val="668AEB42"/>
    <w:rsid w:val="669C4F56"/>
    <w:rsid w:val="66AE5D77"/>
    <w:rsid w:val="66B47417"/>
    <w:rsid w:val="66B9B83C"/>
    <w:rsid w:val="66C28356"/>
    <w:rsid w:val="66D73071"/>
    <w:rsid w:val="66D83E1D"/>
    <w:rsid w:val="66F67B82"/>
    <w:rsid w:val="67068B58"/>
    <w:rsid w:val="6709FDD0"/>
    <w:rsid w:val="67189D1B"/>
    <w:rsid w:val="671CB7AA"/>
    <w:rsid w:val="67305FD4"/>
    <w:rsid w:val="6737572E"/>
    <w:rsid w:val="674EA354"/>
    <w:rsid w:val="675069F5"/>
    <w:rsid w:val="67542C98"/>
    <w:rsid w:val="67641BCD"/>
    <w:rsid w:val="676A6192"/>
    <w:rsid w:val="6775F62E"/>
    <w:rsid w:val="677920B4"/>
    <w:rsid w:val="6792B03A"/>
    <w:rsid w:val="679639FE"/>
    <w:rsid w:val="679AD671"/>
    <w:rsid w:val="679DB232"/>
    <w:rsid w:val="679EF417"/>
    <w:rsid w:val="67D2433A"/>
    <w:rsid w:val="67E61E90"/>
    <w:rsid w:val="68022A4B"/>
    <w:rsid w:val="680552A0"/>
    <w:rsid w:val="680C06CA"/>
    <w:rsid w:val="68490154"/>
    <w:rsid w:val="684C2D75"/>
    <w:rsid w:val="6869283A"/>
    <w:rsid w:val="6890B309"/>
    <w:rsid w:val="68A6ADB1"/>
    <w:rsid w:val="68AF724A"/>
    <w:rsid w:val="68D41756"/>
    <w:rsid w:val="68DE35D4"/>
    <w:rsid w:val="68E0AC72"/>
    <w:rsid w:val="68EC11EA"/>
    <w:rsid w:val="68F10F90"/>
    <w:rsid w:val="68F81894"/>
    <w:rsid w:val="69095129"/>
    <w:rsid w:val="691D9AF4"/>
    <w:rsid w:val="691DCA77"/>
    <w:rsid w:val="69292865"/>
    <w:rsid w:val="693004F2"/>
    <w:rsid w:val="693A94A7"/>
    <w:rsid w:val="694885FB"/>
    <w:rsid w:val="69722EC5"/>
    <w:rsid w:val="6991B156"/>
    <w:rsid w:val="699D4D69"/>
    <w:rsid w:val="69A4C5EF"/>
    <w:rsid w:val="69B17416"/>
    <w:rsid w:val="69B4E181"/>
    <w:rsid w:val="69B871E8"/>
    <w:rsid w:val="69BFF456"/>
    <w:rsid w:val="69D4F3AF"/>
    <w:rsid w:val="69EB850B"/>
    <w:rsid w:val="69F28C5B"/>
    <w:rsid w:val="6A001F2E"/>
    <w:rsid w:val="6A0182A1"/>
    <w:rsid w:val="6A0B025E"/>
    <w:rsid w:val="6A0B12F1"/>
    <w:rsid w:val="6A1BB34E"/>
    <w:rsid w:val="6A23CB0D"/>
    <w:rsid w:val="6A380F8E"/>
    <w:rsid w:val="6A3BF573"/>
    <w:rsid w:val="6A3FA4D3"/>
    <w:rsid w:val="6A5A22BD"/>
    <w:rsid w:val="6A5B4146"/>
    <w:rsid w:val="6A5B49C5"/>
    <w:rsid w:val="6A680E5A"/>
    <w:rsid w:val="6A697CA0"/>
    <w:rsid w:val="6A6CED6E"/>
    <w:rsid w:val="6A77840C"/>
    <w:rsid w:val="6A8B915A"/>
    <w:rsid w:val="6A942B1C"/>
    <w:rsid w:val="6AA47514"/>
    <w:rsid w:val="6AADD103"/>
    <w:rsid w:val="6AD474F4"/>
    <w:rsid w:val="6AD9FAFC"/>
    <w:rsid w:val="6AE1C527"/>
    <w:rsid w:val="6AE217E8"/>
    <w:rsid w:val="6AE69618"/>
    <w:rsid w:val="6AE98FD9"/>
    <w:rsid w:val="6AEAFA2A"/>
    <w:rsid w:val="6AEB27FB"/>
    <w:rsid w:val="6AF286F2"/>
    <w:rsid w:val="6AF503E4"/>
    <w:rsid w:val="6AF8FC69"/>
    <w:rsid w:val="6B017E38"/>
    <w:rsid w:val="6B1D4887"/>
    <w:rsid w:val="6B2EE084"/>
    <w:rsid w:val="6B5BA6EF"/>
    <w:rsid w:val="6B5FA611"/>
    <w:rsid w:val="6B659A3A"/>
    <w:rsid w:val="6B6FDCF3"/>
    <w:rsid w:val="6B773524"/>
    <w:rsid w:val="6B83D673"/>
    <w:rsid w:val="6B84B810"/>
    <w:rsid w:val="6B906B3A"/>
    <w:rsid w:val="6B96E0D1"/>
    <w:rsid w:val="6B9908F0"/>
    <w:rsid w:val="6BAF5CCB"/>
    <w:rsid w:val="6BB643F7"/>
    <w:rsid w:val="6BDA239A"/>
    <w:rsid w:val="6BED5156"/>
    <w:rsid w:val="6BF7DB36"/>
    <w:rsid w:val="6BF9A805"/>
    <w:rsid w:val="6C0F0769"/>
    <w:rsid w:val="6C2B2978"/>
    <w:rsid w:val="6C437C5F"/>
    <w:rsid w:val="6C51C7B8"/>
    <w:rsid w:val="6C769B90"/>
    <w:rsid w:val="6C77B71C"/>
    <w:rsid w:val="6C84A571"/>
    <w:rsid w:val="6CABCB9E"/>
    <w:rsid w:val="6CB5BFCB"/>
    <w:rsid w:val="6CCA7B73"/>
    <w:rsid w:val="6CE16D94"/>
    <w:rsid w:val="6CE34622"/>
    <w:rsid w:val="6CE558CC"/>
    <w:rsid w:val="6CF0B33C"/>
    <w:rsid w:val="6D3A64AE"/>
    <w:rsid w:val="6D41D37E"/>
    <w:rsid w:val="6D5E9A41"/>
    <w:rsid w:val="6D6C673B"/>
    <w:rsid w:val="6D6CC47D"/>
    <w:rsid w:val="6D8F1272"/>
    <w:rsid w:val="6D9B190A"/>
    <w:rsid w:val="6D9F0E23"/>
    <w:rsid w:val="6DA56B8D"/>
    <w:rsid w:val="6DAE154D"/>
    <w:rsid w:val="6DE64DC4"/>
    <w:rsid w:val="6DEC1C43"/>
    <w:rsid w:val="6DF82B82"/>
    <w:rsid w:val="6DF83616"/>
    <w:rsid w:val="6E03228F"/>
    <w:rsid w:val="6E0B8E40"/>
    <w:rsid w:val="6E28B2DE"/>
    <w:rsid w:val="6E312E28"/>
    <w:rsid w:val="6E3E44EB"/>
    <w:rsid w:val="6E44A657"/>
    <w:rsid w:val="6E494545"/>
    <w:rsid w:val="6E5752CF"/>
    <w:rsid w:val="6E7FEED8"/>
    <w:rsid w:val="6E8F8FA2"/>
    <w:rsid w:val="6E9FDAD2"/>
    <w:rsid w:val="6EA0364C"/>
    <w:rsid w:val="6EA07AE8"/>
    <w:rsid w:val="6EB6FBC7"/>
    <w:rsid w:val="6EC4BA35"/>
    <w:rsid w:val="6F00402A"/>
    <w:rsid w:val="6F1AA231"/>
    <w:rsid w:val="6F1E458E"/>
    <w:rsid w:val="6F30AC7E"/>
    <w:rsid w:val="6F3AF9AE"/>
    <w:rsid w:val="6F434674"/>
    <w:rsid w:val="6F43822E"/>
    <w:rsid w:val="6F490EFF"/>
    <w:rsid w:val="6F497B36"/>
    <w:rsid w:val="6F5EEDAC"/>
    <w:rsid w:val="6F601A74"/>
    <w:rsid w:val="6F6415C8"/>
    <w:rsid w:val="6F642F8E"/>
    <w:rsid w:val="6F75EADC"/>
    <w:rsid w:val="6F7D9DB1"/>
    <w:rsid w:val="6FACF9CC"/>
    <w:rsid w:val="6FC275EF"/>
    <w:rsid w:val="6FCE1562"/>
    <w:rsid w:val="6FE62FA7"/>
    <w:rsid w:val="7000A61F"/>
    <w:rsid w:val="70263CF8"/>
    <w:rsid w:val="70285B18"/>
    <w:rsid w:val="702DEA20"/>
    <w:rsid w:val="7037AB8A"/>
    <w:rsid w:val="70397B2B"/>
    <w:rsid w:val="703CEA86"/>
    <w:rsid w:val="7048D7C4"/>
    <w:rsid w:val="705A00E6"/>
    <w:rsid w:val="7066A246"/>
    <w:rsid w:val="707445D8"/>
    <w:rsid w:val="708B5C47"/>
    <w:rsid w:val="70A2D1E2"/>
    <w:rsid w:val="70B543E9"/>
    <w:rsid w:val="70D57D7F"/>
    <w:rsid w:val="70E4FD2F"/>
    <w:rsid w:val="70EA62E3"/>
    <w:rsid w:val="70EF6DCE"/>
    <w:rsid w:val="70FA341D"/>
    <w:rsid w:val="70FB1211"/>
    <w:rsid w:val="7103CA4E"/>
    <w:rsid w:val="710C988E"/>
    <w:rsid w:val="7116BD20"/>
    <w:rsid w:val="71172C38"/>
    <w:rsid w:val="711C9DAA"/>
    <w:rsid w:val="71440377"/>
    <w:rsid w:val="714BF58F"/>
    <w:rsid w:val="71551DD0"/>
    <w:rsid w:val="716A44F9"/>
    <w:rsid w:val="71768702"/>
    <w:rsid w:val="7182AE56"/>
    <w:rsid w:val="71A135F7"/>
    <w:rsid w:val="71B84441"/>
    <w:rsid w:val="71C4C3F1"/>
    <w:rsid w:val="71ED7A99"/>
    <w:rsid w:val="71FEA41C"/>
    <w:rsid w:val="7201FE91"/>
    <w:rsid w:val="72051CAE"/>
    <w:rsid w:val="72145C1B"/>
    <w:rsid w:val="7228DD1B"/>
    <w:rsid w:val="72382104"/>
    <w:rsid w:val="724B3262"/>
    <w:rsid w:val="724CD613"/>
    <w:rsid w:val="726DB5CA"/>
    <w:rsid w:val="727A3D0A"/>
    <w:rsid w:val="7288CF63"/>
    <w:rsid w:val="72936656"/>
    <w:rsid w:val="729C46CC"/>
    <w:rsid w:val="72B5464B"/>
    <w:rsid w:val="72BC55BD"/>
    <w:rsid w:val="72C3E6CB"/>
    <w:rsid w:val="72D1E298"/>
    <w:rsid w:val="72D516E0"/>
    <w:rsid w:val="72E0E4B3"/>
    <w:rsid w:val="72F6FE87"/>
    <w:rsid w:val="731079A9"/>
    <w:rsid w:val="7312156D"/>
    <w:rsid w:val="732DDD24"/>
    <w:rsid w:val="73390B05"/>
    <w:rsid w:val="7346C670"/>
    <w:rsid w:val="73491D39"/>
    <w:rsid w:val="737159C7"/>
    <w:rsid w:val="73735EA9"/>
    <w:rsid w:val="738949A7"/>
    <w:rsid w:val="73A4F485"/>
    <w:rsid w:val="73AE8EE5"/>
    <w:rsid w:val="73B3B8B7"/>
    <w:rsid w:val="73C75964"/>
    <w:rsid w:val="73C86230"/>
    <w:rsid w:val="73F29A66"/>
    <w:rsid w:val="7411B8E9"/>
    <w:rsid w:val="7414B2AB"/>
    <w:rsid w:val="741A0B2F"/>
    <w:rsid w:val="741A4B52"/>
    <w:rsid w:val="741CFCC4"/>
    <w:rsid w:val="7420D83A"/>
    <w:rsid w:val="74394387"/>
    <w:rsid w:val="743A9ECD"/>
    <w:rsid w:val="743FDCCF"/>
    <w:rsid w:val="744E3F46"/>
    <w:rsid w:val="7463E6C3"/>
    <w:rsid w:val="7469A199"/>
    <w:rsid w:val="7491C33C"/>
    <w:rsid w:val="74B74B73"/>
    <w:rsid w:val="74C0B20E"/>
    <w:rsid w:val="74C2A31F"/>
    <w:rsid w:val="74E7036D"/>
    <w:rsid w:val="74EE0FA1"/>
    <w:rsid w:val="74F4D0ED"/>
    <w:rsid w:val="75091E89"/>
    <w:rsid w:val="750B1DB7"/>
    <w:rsid w:val="7536D9FF"/>
    <w:rsid w:val="7543FCDD"/>
    <w:rsid w:val="754621AE"/>
    <w:rsid w:val="754D2B00"/>
    <w:rsid w:val="7555EE7A"/>
    <w:rsid w:val="755FBB6E"/>
    <w:rsid w:val="756F57BE"/>
    <w:rsid w:val="7574A23F"/>
    <w:rsid w:val="75816CC6"/>
    <w:rsid w:val="7582567C"/>
    <w:rsid w:val="7588BD58"/>
    <w:rsid w:val="75908A3E"/>
    <w:rsid w:val="7595B818"/>
    <w:rsid w:val="759A1C7C"/>
    <w:rsid w:val="75A2424F"/>
    <w:rsid w:val="75E0EF97"/>
    <w:rsid w:val="7611D4A2"/>
    <w:rsid w:val="761AC38D"/>
    <w:rsid w:val="76211F5A"/>
    <w:rsid w:val="762CEF1A"/>
    <w:rsid w:val="7630CD58"/>
    <w:rsid w:val="76322784"/>
    <w:rsid w:val="7638EAD1"/>
    <w:rsid w:val="7648845B"/>
    <w:rsid w:val="765B3032"/>
    <w:rsid w:val="7669A22B"/>
    <w:rsid w:val="76774268"/>
    <w:rsid w:val="767D2961"/>
    <w:rsid w:val="76870B21"/>
    <w:rsid w:val="7688FF73"/>
    <w:rsid w:val="768D8755"/>
    <w:rsid w:val="7696FF75"/>
    <w:rsid w:val="76981272"/>
    <w:rsid w:val="76A62C00"/>
    <w:rsid w:val="76AD73AE"/>
    <w:rsid w:val="76D1912E"/>
    <w:rsid w:val="76D73C82"/>
    <w:rsid w:val="76E4217D"/>
    <w:rsid w:val="76EAF08C"/>
    <w:rsid w:val="76F093C0"/>
    <w:rsid w:val="76FD417B"/>
    <w:rsid w:val="7701BEEB"/>
    <w:rsid w:val="771AA389"/>
    <w:rsid w:val="77296274"/>
    <w:rsid w:val="7737967D"/>
    <w:rsid w:val="7744B51C"/>
    <w:rsid w:val="77451587"/>
    <w:rsid w:val="775A72E8"/>
    <w:rsid w:val="776E9502"/>
    <w:rsid w:val="77788267"/>
    <w:rsid w:val="77AF4F2B"/>
    <w:rsid w:val="77B7E8B5"/>
    <w:rsid w:val="77C46A77"/>
    <w:rsid w:val="77C687F8"/>
    <w:rsid w:val="77E60DAC"/>
    <w:rsid w:val="77E9BA87"/>
    <w:rsid w:val="77EA4C88"/>
    <w:rsid w:val="78024903"/>
    <w:rsid w:val="7806AC9E"/>
    <w:rsid w:val="78195508"/>
    <w:rsid w:val="78212DC0"/>
    <w:rsid w:val="78285E9C"/>
    <w:rsid w:val="785A993A"/>
    <w:rsid w:val="78616579"/>
    <w:rsid w:val="78637155"/>
    <w:rsid w:val="78777D7B"/>
    <w:rsid w:val="7887E1AC"/>
    <w:rsid w:val="788C18D6"/>
    <w:rsid w:val="78B8583F"/>
    <w:rsid w:val="78BA54CE"/>
    <w:rsid w:val="78D94B27"/>
    <w:rsid w:val="78DFAC76"/>
    <w:rsid w:val="78F6413B"/>
    <w:rsid w:val="790037AB"/>
    <w:rsid w:val="79057858"/>
    <w:rsid w:val="79198A7D"/>
    <w:rsid w:val="792FE05D"/>
    <w:rsid w:val="79324BBF"/>
    <w:rsid w:val="79354813"/>
    <w:rsid w:val="7937F40F"/>
    <w:rsid w:val="79420A5E"/>
    <w:rsid w:val="79483E87"/>
    <w:rsid w:val="7952B14B"/>
    <w:rsid w:val="795638FD"/>
    <w:rsid w:val="7956FBC8"/>
    <w:rsid w:val="795C48FD"/>
    <w:rsid w:val="7973E660"/>
    <w:rsid w:val="798A3C81"/>
    <w:rsid w:val="79973091"/>
    <w:rsid w:val="79A312D3"/>
    <w:rsid w:val="79A3B56E"/>
    <w:rsid w:val="79BFF5EA"/>
    <w:rsid w:val="79C0999C"/>
    <w:rsid w:val="79D65C24"/>
    <w:rsid w:val="79DA96A7"/>
    <w:rsid w:val="79E2929B"/>
    <w:rsid w:val="79F8879B"/>
    <w:rsid w:val="79FECCAF"/>
    <w:rsid w:val="7A0BE520"/>
    <w:rsid w:val="7A186453"/>
    <w:rsid w:val="7A18E97A"/>
    <w:rsid w:val="7A49A008"/>
    <w:rsid w:val="7A518CB4"/>
    <w:rsid w:val="7A54FE7F"/>
    <w:rsid w:val="7AA94980"/>
    <w:rsid w:val="7AAEFD60"/>
    <w:rsid w:val="7AC83483"/>
    <w:rsid w:val="7AF1229D"/>
    <w:rsid w:val="7B1204A6"/>
    <w:rsid w:val="7B1814E6"/>
    <w:rsid w:val="7B198C55"/>
    <w:rsid w:val="7B49318D"/>
    <w:rsid w:val="7B49AB84"/>
    <w:rsid w:val="7B4A3BF4"/>
    <w:rsid w:val="7B4E8D1E"/>
    <w:rsid w:val="7B53F06E"/>
    <w:rsid w:val="7B71E501"/>
    <w:rsid w:val="7B7444EF"/>
    <w:rsid w:val="7B7B7D3B"/>
    <w:rsid w:val="7B8BAC16"/>
    <w:rsid w:val="7B9308F7"/>
    <w:rsid w:val="7B963D3A"/>
    <w:rsid w:val="7B9902CD"/>
    <w:rsid w:val="7B9FDEE3"/>
    <w:rsid w:val="7BBD729F"/>
    <w:rsid w:val="7BBDB6E4"/>
    <w:rsid w:val="7BC0F828"/>
    <w:rsid w:val="7BC90A2D"/>
    <w:rsid w:val="7BD545A3"/>
    <w:rsid w:val="7BE99F69"/>
    <w:rsid w:val="7BEEB06A"/>
    <w:rsid w:val="7BF7B505"/>
    <w:rsid w:val="7BF9D7C8"/>
    <w:rsid w:val="7C01773E"/>
    <w:rsid w:val="7C04E4A0"/>
    <w:rsid w:val="7C04F137"/>
    <w:rsid w:val="7C060CEA"/>
    <w:rsid w:val="7C0CBDBB"/>
    <w:rsid w:val="7C0DD8C2"/>
    <w:rsid w:val="7C18886E"/>
    <w:rsid w:val="7C595E90"/>
    <w:rsid w:val="7C65860C"/>
    <w:rsid w:val="7C6E77A3"/>
    <w:rsid w:val="7C6FB0FC"/>
    <w:rsid w:val="7CA23D7E"/>
    <w:rsid w:val="7CCA2AB4"/>
    <w:rsid w:val="7CD589FD"/>
    <w:rsid w:val="7CDB68C9"/>
    <w:rsid w:val="7CE8BD56"/>
    <w:rsid w:val="7CEEB608"/>
    <w:rsid w:val="7CF3F248"/>
    <w:rsid w:val="7D09685D"/>
    <w:rsid w:val="7D0F9162"/>
    <w:rsid w:val="7D33C6D0"/>
    <w:rsid w:val="7D37126B"/>
    <w:rsid w:val="7D4E053B"/>
    <w:rsid w:val="7D529EDF"/>
    <w:rsid w:val="7D52EF66"/>
    <w:rsid w:val="7D676880"/>
    <w:rsid w:val="7D86EDA2"/>
    <w:rsid w:val="7D98B159"/>
    <w:rsid w:val="7DBB0C5B"/>
    <w:rsid w:val="7DC8732F"/>
    <w:rsid w:val="7DEEFB66"/>
    <w:rsid w:val="7DFBB21D"/>
    <w:rsid w:val="7E082C8E"/>
    <w:rsid w:val="7E1655C8"/>
    <w:rsid w:val="7E33A48E"/>
    <w:rsid w:val="7E5A4B12"/>
    <w:rsid w:val="7E62B69D"/>
    <w:rsid w:val="7E821096"/>
    <w:rsid w:val="7E85F3E1"/>
    <w:rsid w:val="7E87F773"/>
    <w:rsid w:val="7E8C6F1C"/>
    <w:rsid w:val="7E9DCC3F"/>
    <w:rsid w:val="7EA137E7"/>
    <w:rsid w:val="7EAC202D"/>
    <w:rsid w:val="7EAEE33C"/>
    <w:rsid w:val="7EB7C9F4"/>
    <w:rsid w:val="7EFE3FDD"/>
    <w:rsid w:val="7F14D3B1"/>
    <w:rsid w:val="7F2863AA"/>
    <w:rsid w:val="7F436B0A"/>
    <w:rsid w:val="7F43F397"/>
    <w:rsid w:val="7F494AE0"/>
    <w:rsid w:val="7F58173F"/>
    <w:rsid w:val="7F69343B"/>
    <w:rsid w:val="7F6ECCC3"/>
    <w:rsid w:val="7F795D02"/>
    <w:rsid w:val="7F875924"/>
    <w:rsid w:val="7F987EDA"/>
    <w:rsid w:val="7FA2523C"/>
    <w:rsid w:val="7FA5C50E"/>
    <w:rsid w:val="7FD71F48"/>
    <w:rsid w:val="7FD8A369"/>
    <w:rsid w:val="7FE8F8AD"/>
    <w:rsid w:val="7FEB6AD0"/>
    <w:rsid w:val="7FF919F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DAB6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0F7"/>
  </w:style>
  <w:style w:type="paragraph" w:styleId="Heading1">
    <w:name w:val="heading 1"/>
    <w:basedOn w:val="Normal"/>
    <w:next w:val="Normal"/>
    <w:link w:val="Heading1Char"/>
    <w:uiPriority w:val="9"/>
    <w:qFormat/>
    <w:rsid w:val="00582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2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82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82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2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2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02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EB3"/>
    <w:rPr>
      <w:rFonts w:eastAsiaTheme="majorEastAsia" w:cstheme="majorBidi"/>
      <w:color w:val="272727" w:themeColor="text1" w:themeTint="D8"/>
    </w:rPr>
  </w:style>
  <w:style w:type="paragraph" w:styleId="Title">
    <w:name w:val="Title"/>
    <w:basedOn w:val="Normal"/>
    <w:next w:val="Normal"/>
    <w:link w:val="TitleChar"/>
    <w:uiPriority w:val="10"/>
    <w:qFormat/>
    <w:rsid w:val="00582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0F7"/>
    <w:pPr>
      <w:spacing w:before="160"/>
      <w:jc w:val="center"/>
    </w:pPr>
    <w:rPr>
      <w:i/>
      <w:iCs/>
      <w:color w:val="404040" w:themeColor="text1" w:themeTint="BF"/>
    </w:rPr>
  </w:style>
  <w:style w:type="character" w:customStyle="1" w:styleId="QuoteChar">
    <w:name w:val="Quote Char"/>
    <w:basedOn w:val="DefaultParagraphFont"/>
    <w:link w:val="Quote"/>
    <w:uiPriority w:val="29"/>
    <w:rsid w:val="00B02EB3"/>
    <w:rPr>
      <w:i/>
      <w:iCs/>
      <w:color w:val="404040" w:themeColor="text1" w:themeTint="BF"/>
    </w:rPr>
  </w:style>
  <w:style w:type="paragraph" w:styleId="ListParagraph">
    <w:name w:val="List Paragraph"/>
    <w:basedOn w:val="Normal"/>
    <w:uiPriority w:val="34"/>
    <w:qFormat/>
    <w:rsid w:val="005820F7"/>
    <w:pPr>
      <w:ind w:left="720"/>
      <w:contextualSpacing/>
    </w:pPr>
  </w:style>
  <w:style w:type="character" w:styleId="IntenseEmphasis">
    <w:name w:val="Intense Emphasis"/>
    <w:basedOn w:val="DefaultParagraphFont"/>
    <w:uiPriority w:val="21"/>
    <w:qFormat/>
    <w:rsid w:val="00B02EB3"/>
    <w:rPr>
      <w:i/>
      <w:iCs/>
      <w:color w:val="0F4761" w:themeColor="accent1" w:themeShade="BF"/>
    </w:rPr>
  </w:style>
  <w:style w:type="paragraph" w:styleId="IntenseQuote">
    <w:name w:val="Intense Quote"/>
    <w:basedOn w:val="Normal"/>
    <w:next w:val="Normal"/>
    <w:link w:val="IntenseQuoteChar"/>
    <w:uiPriority w:val="30"/>
    <w:qFormat/>
    <w:rsid w:val="00582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EB3"/>
    <w:rPr>
      <w:i/>
      <w:iCs/>
      <w:color w:val="0F4761" w:themeColor="accent1" w:themeShade="BF"/>
    </w:rPr>
  </w:style>
  <w:style w:type="character" w:styleId="IntenseReference">
    <w:name w:val="Intense Reference"/>
    <w:basedOn w:val="DefaultParagraphFont"/>
    <w:uiPriority w:val="32"/>
    <w:qFormat/>
    <w:rsid w:val="00B02EB3"/>
    <w:rPr>
      <w:b/>
      <w:bCs/>
      <w:smallCaps/>
      <w:color w:val="0F4761" w:themeColor="accent1" w:themeShade="BF"/>
      <w:spacing w:val="5"/>
    </w:rPr>
  </w:style>
  <w:style w:type="paragraph" w:styleId="Header">
    <w:name w:val="header"/>
    <w:basedOn w:val="Normal"/>
    <w:link w:val="HeaderChar"/>
    <w:uiPriority w:val="99"/>
    <w:unhideWhenUsed/>
    <w:rsid w:val="00582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235"/>
  </w:style>
  <w:style w:type="paragraph" w:styleId="Footer">
    <w:name w:val="footer"/>
    <w:basedOn w:val="Normal"/>
    <w:link w:val="FooterChar"/>
    <w:uiPriority w:val="99"/>
    <w:unhideWhenUsed/>
    <w:rsid w:val="00582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235"/>
  </w:style>
  <w:style w:type="paragraph" w:styleId="NormalWeb">
    <w:name w:val="Normal (Web)"/>
    <w:basedOn w:val="Normal"/>
    <w:uiPriority w:val="99"/>
    <w:unhideWhenUsed/>
    <w:rsid w:val="005820F7"/>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BD0606"/>
    <w:pPr>
      <w:spacing w:after="0" w:line="240" w:lineRule="auto"/>
    </w:pPr>
    <w:rPr>
      <w:kern w:val="0"/>
      <w14:ligatures w14:val="none"/>
    </w:rPr>
    <w:tblPr/>
  </w:style>
  <w:style w:type="paragraph" w:styleId="FootnoteText">
    <w:name w:val="footnote text"/>
    <w:basedOn w:val="Normal"/>
    <w:link w:val="FootnoteTextChar"/>
    <w:uiPriority w:val="99"/>
    <w:semiHidden/>
    <w:unhideWhenUsed/>
    <w:rsid w:val="005820F7"/>
    <w:pPr>
      <w:spacing w:after="0" w:line="240" w:lineRule="auto"/>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BD0606"/>
    <w:rPr>
      <w:rFonts w:ascii="Times New Roman" w:eastAsia="Times New Roman" w:hAnsi="Times New Roman" w:cs="Times New Roman"/>
      <w:kern w:val="0"/>
      <w:sz w:val="20"/>
      <w:szCs w:val="20"/>
      <w:lang w:val="ro-RO"/>
      <w14:ligatures w14:val="none"/>
    </w:rPr>
  </w:style>
  <w:style w:type="character" w:styleId="FootnoteReference">
    <w:name w:val="footnote reference"/>
    <w:basedOn w:val="DefaultParagraphFont"/>
    <w:uiPriority w:val="99"/>
    <w:semiHidden/>
    <w:unhideWhenUsed/>
    <w:rsid w:val="005820F7"/>
    <w:rPr>
      <w:vertAlign w:val="superscript"/>
    </w:rPr>
  </w:style>
  <w:style w:type="character" w:styleId="CommentReference">
    <w:name w:val="annotation reference"/>
    <w:basedOn w:val="DefaultParagraphFont"/>
    <w:uiPriority w:val="99"/>
    <w:semiHidden/>
    <w:unhideWhenUsed/>
    <w:rsid w:val="003942E6"/>
    <w:rPr>
      <w:sz w:val="16"/>
      <w:szCs w:val="16"/>
    </w:rPr>
  </w:style>
  <w:style w:type="paragraph" w:styleId="CommentText">
    <w:name w:val="annotation text"/>
    <w:basedOn w:val="Normal"/>
    <w:link w:val="CommentTextChar"/>
    <w:uiPriority w:val="99"/>
    <w:unhideWhenUsed/>
    <w:rsid w:val="005820F7"/>
    <w:pPr>
      <w:spacing w:line="240" w:lineRule="auto"/>
    </w:pPr>
    <w:rPr>
      <w:sz w:val="20"/>
      <w:szCs w:val="20"/>
    </w:rPr>
  </w:style>
  <w:style w:type="character" w:customStyle="1" w:styleId="CommentTextChar">
    <w:name w:val="Comment Text Char"/>
    <w:basedOn w:val="DefaultParagraphFont"/>
    <w:link w:val="CommentText"/>
    <w:uiPriority w:val="99"/>
    <w:rsid w:val="003942E6"/>
    <w:rPr>
      <w:sz w:val="20"/>
      <w:szCs w:val="20"/>
    </w:rPr>
  </w:style>
  <w:style w:type="paragraph" w:styleId="CommentSubject">
    <w:name w:val="annotation subject"/>
    <w:basedOn w:val="CommentText"/>
    <w:next w:val="CommentText"/>
    <w:link w:val="CommentSubjectChar"/>
    <w:uiPriority w:val="99"/>
    <w:semiHidden/>
    <w:unhideWhenUsed/>
    <w:rsid w:val="003942E6"/>
    <w:rPr>
      <w:b/>
      <w:bCs/>
    </w:rPr>
  </w:style>
  <w:style w:type="character" w:customStyle="1" w:styleId="CommentSubjectChar">
    <w:name w:val="Comment Subject Char"/>
    <w:basedOn w:val="CommentTextChar"/>
    <w:link w:val="CommentSubject"/>
    <w:uiPriority w:val="99"/>
    <w:semiHidden/>
    <w:rsid w:val="003942E6"/>
    <w:rPr>
      <w:b/>
      <w:bCs/>
      <w:sz w:val="20"/>
      <w:szCs w:val="20"/>
    </w:rPr>
  </w:style>
  <w:style w:type="paragraph" w:styleId="Revision">
    <w:name w:val="Revision"/>
    <w:hidden/>
    <w:uiPriority w:val="99"/>
    <w:semiHidden/>
    <w:rsid w:val="005820F7"/>
    <w:pPr>
      <w:spacing w:after="0" w:line="240" w:lineRule="auto"/>
    </w:pPr>
  </w:style>
  <w:style w:type="character" w:styleId="Hyperlink">
    <w:name w:val="Hyperlink"/>
    <w:basedOn w:val="DefaultParagraphFont"/>
    <w:uiPriority w:val="99"/>
    <w:unhideWhenUsed/>
    <w:rsid w:val="63BE1FB7"/>
    <w:rPr>
      <w:color w:val="467886"/>
      <w:u w:val="single"/>
    </w:rPr>
  </w:style>
  <w:style w:type="character" w:customStyle="1" w:styleId="Mention">
    <w:name w:val="Mention"/>
    <w:basedOn w:val="DefaultParagraphFont"/>
    <w:uiPriority w:val="99"/>
    <w:unhideWhenUsed/>
    <w:rsid w:val="00F45BED"/>
    <w:rPr>
      <w:color w:val="2B579A"/>
      <w:shd w:val="clear" w:color="auto" w:fill="E1DFDD"/>
    </w:rPr>
  </w:style>
  <w:style w:type="character" w:styleId="FollowedHyperlink">
    <w:name w:val="FollowedHyperlink"/>
    <w:basedOn w:val="DefaultParagraphFont"/>
    <w:uiPriority w:val="99"/>
    <w:semiHidden/>
    <w:unhideWhenUsed/>
    <w:rsid w:val="00F336ED"/>
    <w:rPr>
      <w:color w:val="96607D" w:themeColor="followedHyperlink"/>
      <w:u w:val="single"/>
    </w:rPr>
  </w:style>
  <w:style w:type="character" w:customStyle="1" w:styleId="UnresolvedMention">
    <w:name w:val="Unresolved Mention"/>
    <w:basedOn w:val="DefaultParagraphFont"/>
    <w:uiPriority w:val="99"/>
    <w:semiHidden/>
    <w:unhideWhenUsed/>
    <w:rsid w:val="002A2D12"/>
    <w:rPr>
      <w:color w:val="605E5C"/>
      <w:shd w:val="clear" w:color="auto" w:fill="E1DFDD"/>
    </w:rPr>
  </w:style>
  <w:style w:type="character" w:customStyle="1" w:styleId="BodyPlaceholderText">
    <w:name w:val="BodyPlaceholderText"/>
    <w:basedOn w:val="PlaceholderText"/>
    <w:semiHidden/>
    <w:rsid w:val="005820F7"/>
    <w:rPr>
      <w:color w:val="3366CC"/>
    </w:rPr>
  </w:style>
  <w:style w:type="character" w:customStyle="1" w:styleId="CrossReference">
    <w:name w:val="Cross Reference"/>
    <w:basedOn w:val="DefaultParagraphFont"/>
    <w:semiHidden/>
    <w:rsid w:val="005820F7"/>
    <w:rPr>
      <w:i/>
    </w:rPr>
  </w:style>
  <w:style w:type="character" w:customStyle="1" w:styleId="InstructionBlue">
    <w:name w:val="InstructionBlue"/>
    <w:semiHidden/>
    <w:rsid w:val="005820F7"/>
    <w:rPr>
      <w:i/>
      <w:color w:val="3366CC"/>
    </w:rPr>
  </w:style>
  <w:style w:type="character" w:customStyle="1" w:styleId="InstructionPlaceholder">
    <w:name w:val="InstructionPlaceholder"/>
    <w:semiHidden/>
    <w:rsid w:val="005820F7"/>
    <w:rPr>
      <w:color w:val="CB3535"/>
    </w:rPr>
  </w:style>
  <w:style w:type="character" w:customStyle="1" w:styleId="InstructionRed">
    <w:name w:val="InstructionRed"/>
    <w:semiHidden/>
    <w:rsid w:val="005820F7"/>
    <w:rPr>
      <w:i/>
      <w:color w:val="CB3535"/>
    </w:rPr>
  </w:style>
  <w:style w:type="character" w:customStyle="1" w:styleId="MarkingLabel">
    <w:name w:val="MarkingLabel"/>
    <w:semiHidden/>
    <w:rsid w:val="005820F7"/>
    <w:rPr>
      <w:b/>
      <w:caps/>
      <w:sz w:val="28"/>
    </w:rPr>
  </w:style>
  <w:style w:type="character" w:customStyle="1" w:styleId="MarkingText">
    <w:name w:val="MarkingText"/>
    <w:semiHidden/>
    <w:rsid w:val="005820F7"/>
    <w:rPr>
      <w:i/>
      <w:sz w:val="28"/>
    </w:rPr>
  </w:style>
  <w:style w:type="character" w:styleId="PlaceholderText">
    <w:name w:val="Placeholder Text"/>
    <w:basedOn w:val="DefaultParagraphFont"/>
    <w:semiHidden/>
    <w:rsid w:val="005820F7"/>
    <w:rPr>
      <w:color w:val="288061"/>
    </w:rPr>
  </w:style>
  <w:style w:type="paragraph" w:customStyle="1" w:styleId="AfterTable">
    <w:name w:val="After Table"/>
    <w:semiHidden/>
    <w:rsid w:val="005820F7"/>
    <w:pPr>
      <w:spacing w:after="0" w:line="240" w:lineRule="auto"/>
    </w:pPr>
    <w:rPr>
      <w:rFonts w:ascii="Times New Roman" w:eastAsia="Times New Roman" w:hAnsi="Times New Roman" w:cs="Times New Roman"/>
      <w:kern w:val="0"/>
      <w:sz w:val="4"/>
      <w:szCs w:val="20"/>
      <w:lang w:eastAsia="en-IE"/>
      <w14:ligatures w14:val="none"/>
    </w:rPr>
  </w:style>
  <w:style w:type="paragraph" w:customStyle="1" w:styleId="AnnexTitle">
    <w:name w:val="AnnexTitle"/>
    <w:basedOn w:val="Normal"/>
    <w:next w:val="Normal"/>
    <w:uiPriority w:val="45"/>
    <w:qFormat/>
    <w:rsid w:val="005820F7"/>
    <w:pPr>
      <w:pageBreakBefore/>
      <w:numPr>
        <w:numId w:val="19"/>
      </w:numPr>
      <w:spacing w:after="480" w:line="240" w:lineRule="auto"/>
      <w:jc w:val="both"/>
      <w:outlineLvl w:val="0"/>
    </w:pPr>
    <w:rPr>
      <w:rFonts w:ascii="Times New Roman" w:eastAsia="Times New Roman" w:hAnsi="Times New Roman" w:cs="Times New Roman"/>
      <w:b/>
      <w:kern w:val="0"/>
      <w:sz w:val="32"/>
      <w:szCs w:val="20"/>
      <w:lang w:eastAsia="en-IE"/>
      <w14:ligatures w14:val="none"/>
    </w:rPr>
  </w:style>
  <w:style w:type="paragraph" w:styleId="Caption">
    <w:name w:val="caption"/>
    <w:basedOn w:val="Normal"/>
    <w:next w:val="Normal"/>
    <w:semiHidden/>
    <w:rsid w:val="005820F7"/>
    <w:pPr>
      <w:spacing w:before="160" w:after="240" w:line="240" w:lineRule="auto"/>
      <w:jc w:val="both"/>
    </w:pPr>
    <w:rPr>
      <w:rFonts w:ascii="Times New Roman" w:eastAsia="Times New Roman" w:hAnsi="Times New Roman" w:cs="Times New Roman"/>
      <w:i/>
      <w:kern w:val="0"/>
      <w:szCs w:val="20"/>
      <w:lang w:eastAsia="en-IE"/>
      <w14:ligatures w14:val="none"/>
    </w:rPr>
  </w:style>
  <w:style w:type="paragraph" w:customStyle="1" w:styleId="ChapterTitle">
    <w:name w:val="ChapterTitle"/>
    <w:basedOn w:val="Normal"/>
    <w:next w:val="SectionTitle"/>
    <w:uiPriority w:val="43"/>
    <w:qFormat/>
    <w:rsid w:val="005820F7"/>
    <w:pPr>
      <w:keepNext/>
      <w:spacing w:after="480" w:line="240" w:lineRule="auto"/>
      <w:jc w:val="center"/>
      <w:outlineLvl w:val="0"/>
    </w:pPr>
    <w:rPr>
      <w:rFonts w:ascii="Times New Roman" w:eastAsia="Times New Roman" w:hAnsi="Times New Roman" w:cs="Times New Roman"/>
      <w:b/>
      <w:kern w:val="0"/>
      <w:sz w:val="32"/>
      <w:szCs w:val="20"/>
      <w:lang w:eastAsia="en-IE"/>
      <w14:ligatures w14:val="none"/>
    </w:rPr>
  </w:style>
  <w:style w:type="paragraph" w:customStyle="1" w:styleId="ConfidentialUE">
    <w:name w:val="Confidential UE"/>
    <w:basedOn w:val="Normal"/>
    <w:semiHidden/>
    <w:rsid w:val="005820F7"/>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Contact">
    <w:name w:val="Contact"/>
    <w:basedOn w:val="Normal"/>
    <w:semiHidden/>
    <w:rsid w:val="005820F7"/>
    <w:pPr>
      <w:spacing w:before="480" w:after="0" w:line="240" w:lineRule="auto"/>
      <w:ind w:left="567" w:hanging="567"/>
      <w:contextualSpacing/>
    </w:pPr>
    <w:rPr>
      <w:rFonts w:ascii="Times New Roman" w:eastAsia="Times New Roman" w:hAnsi="Times New Roman" w:cs="Times New Roman"/>
      <w:kern w:val="0"/>
      <w:sz w:val="24"/>
      <w:szCs w:val="20"/>
      <w:lang w:eastAsia="en-IE"/>
      <w14:ligatures w14:val="none"/>
    </w:rPr>
  </w:style>
  <w:style w:type="paragraph" w:customStyle="1" w:styleId="ContNum">
    <w:name w:val="ContNum"/>
    <w:basedOn w:val="Normal"/>
    <w:uiPriority w:val="20"/>
    <w:qFormat/>
    <w:rsid w:val="005820F7"/>
    <w:pPr>
      <w:numPr>
        <w:numId w:val="18"/>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ContNumLevel2">
    <w:name w:val="ContNum (Level 2)"/>
    <w:basedOn w:val="Normal"/>
    <w:uiPriority w:val="20"/>
    <w:rsid w:val="005820F7"/>
    <w:pPr>
      <w:numPr>
        <w:ilvl w:val="1"/>
        <w:numId w:val="18"/>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ContNumLevel3">
    <w:name w:val="ContNum (Level 3)"/>
    <w:basedOn w:val="Normal"/>
    <w:uiPriority w:val="20"/>
    <w:rsid w:val="005820F7"/>
    <w:pPr>
      <w:numPr>
        <w:ilvl w:val="2"/>
        <w:numId w:val="18"/>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Date">
    <w:name w:val="Date"/>
    <w:basedOn w:val="Normal"/>
    <w:next w:val="References"/>
    <w:link w:val="DateChar"/>
    <w:semiHidden/>
    <w:rsid w:val="005820F7"/>
    <w:pPr>
      <w:spacing w:after="0" w:line="240" w:lineRule="auto"/>
      <w:ind w:left="5102" w:right="-567"/>
    </w:pPr>
    <w:rPr>
      <w:rFonts w:ascii="Times New Roman" w:eastAsia="Times New Roman" w:hAnsi="Times New Roman" w:cs="Times New Roman"/>
      <w:kern w:val="0"/>
      <w:sz w:val="24"/>
      <w:szCs w:val="20"/>
      <w:lang w:eastAsia="en-IE"/>
      <w14:ligatures w14:val="none"/>
    </w:rPr>
  </w:style>
  <w:style w:type="character" w:customStyle="1" w:styleId="DateChar">
    <w:name w:val="Date Char"/>
    <w:basedOn w:val="DefaultParagraphFont"/>
    <w:link w:val="Date"/>
    <w:semiHidden/>
    <w:rsid w:val="005820F7"/>
    <w:rPr>
      <w:rFonts w:ascii="Times New Roman" w:eastAsia="Times New Roman" w:hAnsi="Times New Roman" w:cs="Times New Roman"/>
      <w:kern w:val="0"/>
      <w:sz w:val="24"/>
      <w:szCs w:val="20"/>
      <w:lang w:val="ro-RO" w:eastAsia="en-IE"/>
      <w14:ligatures w14:val="none"/>
    </w:rPr>
  </w:style>
  <w:style w:type="paragraph" w:customStyle="1" w:styleId="Designator">
    <w:name w:val="Designator"/>
    <w:basedOn w:val="Normal"/>
    <w:semiHidden/>
    <w:rsid w:val="005820F7"/>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DoubSign">
    <w:name w:val="DoubSign"/>
    <w:basedOn w:val="Normal"/>
    <w:semiHidden/>
    <w:rsid w:val="005820F7"/>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EmptyParagraph">
    <w:name w:val="Empty Paragraph"/>
    <w:basedOn w:val="Normal"/>
    <w:next w:val="Normal"/>
    <w:semiHidden/>
    <w:rsid w:val="005820F7"/>
    <w:pPr>
      <w:spacing w:before="240" w:after="240" w:line="240" w:lineRule="auto"/>
      <w:jc w:val="both"/>
    </w:pPr>
    <w:rPr>
      <w:rFonts w:ascii="Times New Roman" w:eastAsia="Times New Roman" w:hAnsi="Times New Roman" w:cs="Times New Roman"/>
      <w:kern w:val="0"/>
      <w:sz w:val="24"/>
      <w:szCs w:val="20"/>
      <w:lang w:eastAsia="en-IE"/>
      <w14:ligatures w14:val="none"/>
    </w:rPr>
  </w:style>
  <w:style w:type="paragraph" w:styleId="EndnoteText">
    <w:name w:val="endnote text"/>
    <w:basedOn w:val="Normal"/>
    <w:link w:val="EndnoteTextChar"/>
    <w:semiHidden/>
    <w:rsid w:val="005820F7"/>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EndnoteTextChar">
    <w:name w:val="Endnote Text Char"/>
    <w:basedOn w:val="DefaultParagraphFont"/>
    <w:link w:val="EndnoteText"/>
    <w:semiHidden/>
    <w:rsid w:val="005820F7"/>
    <w:rPr>
      <w:rFonts w:ascii="Times New Roman" w:eastAsia="Times New Roman" w:hAnsi="Times New Roman" w:cs="Times New Roman"/>
      <w:kern w:val="0"/>
      <w:sz w:val="20"/>
      <w:szCs w:val="20"/>
      <w:lang w:val="ro-RO" w:eastAsia="en-IE"/>
      <w14:ligatures w14:val="none"/>
    </w:rPr>
  </w:style>
  <w:style w:type="paragraph" w:customStyle="1" w:styleId="FigureBody">
    <w:name w:val="Figure Body"/>
    <w:basedOn w:val="Normal"/>
    <w:next w:val="FigureSource"/>
    <w:uiPriority w:val="99"/>
    <w:semiHidden/>
    <w:unhideWhenUsed/>
    <w:rsid w:val="005820F7"/>
    <w:pPr>
      <w:keepNext/>
      <w:spacing w:after="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FigureBody1">
    <w:name w:val="Figure Body 1"/>
    <w:basedOn w:val="Text1"/>
    <w:next w:val="FigureSource1"/>
    <w:uiPriority w:val="99"/>
    <w:semiHidden/>
    <w:unhideWhenUsed/>
    <w:rsid w:val="005820F7"/>
    <w:pPr>
      <w:keepNext/>
      <w:spacing w:after="40"/>
    </w:pPr>
  </w:style>
  <w:style w:type="paragraph" w:customStyle="1" w:styleId="FigureBody2">
    <w:name w:val="Figure Body 2"/>
    <w:basedOn w:val="Text2"/>
    <w:next w:val="FigureSource2"/>
    <w:uiPriority w:val="99"/>
    <w:semiHidden/>
    <w:unhideWhenUsed/>
    <w:rsid w:val="005820F7"/>
    <w:pPr>
      <w:keepNext/>
      <w:spacing w:after="40"/>
    </w:pPr>
  </w:style>
  <w:style w:type="paragraph" w:customStyle="1" w:styleId="FigureBody3">
    <w:name w:val="Figure Body 3"/>
    <w:basedOn w:val="Text3"/>
    <w:next w:val="FigureSource3"/>
    <w:uiPriority w:val="99"/>
    <w:semiHidden/>
    <w:unhideWhenUsed/>
    <w:rsid w:val="005820F7"/>
    <w:pPr>
      <w:keepNext/>
      <w:spacing w:after="40"/>
    </w:pPr>
  </w:style>
  <w:style w:type="paragraph" w:customStyle="1" w:styleId="FigureBody4">
    <w:name w:val="Figure Body 4"/>
    <w:basedOn w:val="Text4"/>
    <w:next w:val="FigureSource4"/>
    <w:uiPriority w:val="99"/>
    <w:semiHidden/>
    <w:unhideWhenUsed/>
    <w:rsid w:val="005820F7"/>
    <w:pPr>
      <w:keepNext/>
      <w:spacing w:after="40"/>
    </w:pPr>
  </w:style>
  <w:style w:type="paragraph" w:customStyle="1" w:styleId="FigureSource">
    <w:name w:val="Figure Source"/>
    <w:basedOn w:val="Normal"/>
    <w:next w:val="Normal"/>
    <w:uiPriority w:val="99"/>
    <w:semiHidden/>
    <w:unhideWhenUsed/>
    <w:rsid w:val="005820F7"/>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FigureSource1">
    <w:name w:val="Figure Source 1"/>
    <w:basedOn w:val="Text1"/>
    <w:next w:val="Text1"/>
    <w:uiPriority w:val="99"/>
    <w:semiHidden/>
    <w:unhideWhenUsed/>
    <w:rsid w:val="005820F7"/>
    <w:rPr>
      <w:sz w:val="20"/>
    </w:rPr>
  </w:style>
  <w:style w:type="paragraph" w:customStyle="1" w:styleId="FigureSource2">
    <w:name w:val="Figure Source 2"/>
    <w:basedOn w:val="Text2"/>
    <w:next w:val="Text2"/>
    <w:uiPriority w:val="99"/>
    <w:semiHidden/>
    <w:unhideWhenUsed/>
    <w:rsid w:val="005820F7"/>
    <w:rPr>
      <w:sz w:val="20"/>
    </w:rPr>
  </w:style>
  <w:style w:type="paragraph" w:customStyle="1" w:styleId="FigureSource3">
    <w:name w:val="Figure Source 3"/>
    <w:basedOn w:val="Text3"/>
    <w:next w:val="Text3"/>
    <w:uiPriority w:val="99"/>
    <w:semiHidden/>
    <w:unhideWhenUsed/>
    <w:rsid w:val="005820F7"/>
    <w:rPr>
      <w:sz w:val="20"/>
    </w:rPr>
  </w:style>
  <w:style w:type="paragraph" w:customStyle="1" w:styleId="FigureSource4">
    <w:name w:val="Figure Source 4"/>
    <w:basedOn w:val="Text4"/>
    <w:next w:val="Text4"/>
    <w:uiPriority w:val="99"/>
    <w:semiHidden/>
    <w:unhideWhenUsed/>
    <w:rsid w:val="005820F7"/>
    <w:rPr>
      <w:sz w:val="20"/>
    </w:rPr>
  </w:style>
  <w:style w:type="paragraph" w:customStyle="1" w:styleId="FigureTitle">
    <w:name w:val="Figure Title"/>
    <w:basedOn w:val="Normal"/>
    <w:next w:val="FigureBody"/>
    <w:uiPriority w:val="99"/>
    <w:semiHidden/>
    <w:unhideWhenUsed/>
    <w:rsid w:val="005820F7"/>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FigureTitle1">
    <w:name w:val="Figure Title 1"/>
    <w:basedOn w:val="Text1"/>
    <w:next w:val="FigureBody1"/>
    <w:uiPriority w:val="99"/>
    <w:semiHidden/>
    <w:unhideWhenUsed/>
    <w:rsid w:val="005820F7"/>
    <w:pPr>
      <w:keepNext/>
      <w:spacing w:after="120"/>
    </w:pPr>
    <w:rPr>
      <w:b/>
      <w:i/>
    </w:rPr>
  </w:style>
  <w:style w:type="paragraph" w:customStyle="1" w:styleId="FigureTitle2">
    <w:name w:val="Figure Title 2"/>
    <w:basedOn w:val="Text2"/>
    <w:next w:val="FigureBody2"/>
    <w:uiPriority w:val="99"/>
    <w:semiHidden/>
    <w:unhideWhenUsed/>
    <w:rsid w:val="005820F7"/>
    <w:pPr>
      <w:keepNext/>
      <w:spacing w:after="120"/>
    </w:pPr>
    <w:rPr>
      <w:b/>
      <w:i/>
    </w:rPr>
  </w:style>
  <w:style w:type="paragraph" w:customStyle="1" w:styleId="FigureTitle3">
    <w:name w:val="Figure Title 3"/>
    <w:basedOn w:val="Text3"/>
    <w:next w:val="FigureBody3"/>
    <w:uiPriority w:val="99"/>
    <w:semiHidden/>
    <w:unhideWhenUsed/>
    <w:rsid w:val="005820F7"/>
    <w:pPr>
      <w:keepNext/>
      <w:spacing w:after="120"/>
    </w:pPr>
    <w:rPr>
      <w:b/>
      <w:i/>
    </w:rPr>
  </w:style>
  <w:style w:type="paragraph" w:customStyle="1" w:styleId="FigureTitle4">
    <w:name w:val="Figure Title 4"/>
    <w:basedOn w:val="Text4"/>
    <w:next w:val="FigureBody4"/>
    <w:uiPriority w:val="99"/>
    <w:semiHidden/>
    <w:unhideWhenUsed/>
    <w:rsid w:val="005820F7"/>
    <w:pPr>
      <w:keepNext/>
      <w:spacing w:after="120"/>
    </w:pPr>
    <w:rPr>
      <w:b/>
      <w:i/>
    </w:rPr>
  </w:style>
  <w:style w:type="paragraph" w:customStyle="1" w:styleId="FooterLine">
    <w:name w:val="Footer Line"/>
    <w:basedOn w:val="Footer"/>
    <w:next w:val="Footer"/>
    <w:semiHidden/>
    <w:rsid w:val="005820F7"/>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eastAsia="en-IE"/>
      <w14:ligatures w14:val="none"/>
    </w:rPr>
  </w:style>
  <w:style w:type="paragraph" w:customStyle="1" w:styleId="HistoryTable">
    <w:name w:val="HistoryTable"/>
    <w:basedOn w:val="Normal"/>
    <w:semiHidden/>
    <w:rsid w:val="005820F7"/>
    <w:pPr>
      <w:spacing w:before="60" w:after="60" w:line="240" w:lineRule="auto"/>
    </w:pPr>
    <w:rPr>
      <w:rFonts w:ascii="Times New Roman" w:eastAsia="Times New Roman" w:hAnsi="Times New Roman" w:cs="Times New Roman"/>
      <w:kern w:val="0"/>
      <w:sz w:val="20"/>
      <w:szCs w:val="20"/>
      <w:lang w:eastAsia="en-IE"/>
      <w14:ligatures w14:val="none"/>
    </w:rPr>
  </w:style>
  <w:style w:type="paragraph" w:customStyle="1" w:styleId="HistTableHeading">
    <w:name w:val="HistTableHeading"/>
    <w:basedOn w:val="Normal"/>
    <w:next w:val="HistoryTable"/>
    <w:semiHidden/>
    <w:rsid w:val="005820F7"/>
    <w:pPr>
      <w:spacing w:before="240" w:after="240" w:line="240" w:lineRule="auto"/>
      <w:jc w:val="center"/>
    </w:pPr>
    <w:rPr>
      <w:rFonts w:ascii="Times New Roman Bold" w:eastAsia="Times New Roman" w:hAnsi="Times New Roman Bold" w:cs="Times New Roman"/>
      <w:b/>
      <w:caps/>
      <w:kern w:val="0"/>
      <w:sz w:val="24"/>
      <w:szCs w:val="20"/>
      <w:lang w:eastAsia="en-IE"/>
      <w14:ligatures w14:val="none"/>
    </w:rPr>
  </w:style>
  <w:style w:type="paragraph" w:customStyle="1" w:styleId="LegalNumPar">
    <w:name w:val="LegalNumPar"/>
    <w:basedOn w:val="Normal"/>
    <w:uiPriority w:val="20"/>
    <w:qFormat/>
    <w:rsid w:val="005820F7"/>
    <w:pPr>
      <w:numPr>
        <w:numId w:val="17"/>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2">
    <w:name w:val="LegalNumPar2"/>
    <w:basedOn w:val="Normal"/>
    <w:uiPriority w:val="20"/>
    <w:rsid w:val="005820F7"/>
    <w:pPr>
      <w:numPr>
        <w:ilvl w:val="1"/>
        <w:numId w:val="17"/>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3">
    <w:name w:val="LegalNumPar3"/>
    <w:basedOn w:val="Normal"/>
    <w:uiPriority w:val="20"/>
    <w:rsid w:val="005820F7"/>
    <w:pPr>
      <w:numPr>
        <w:ilvl w:val="2"/>
        <w:numId w:val="17"/>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styleId="ListBullet">
    <w:name w:val="List Bullet"/>
    <w:basedOn w:val="Normal"/>
    <w:uiPriority w:val="35"/>
    <w:rsid w:val="005820F7"/>
    <w:pPr>
      <w:numPr>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Level2">
    <w:name w:val="List Bullet (Level 2)"/>
    <w:basedOn w:val="Normal"/>
    <w:uiPriority w:val="35"/>
    <w:semiHidden/>
    <w:unhideWhenUsed/>
    <w:rsid w:val="005820F7"/>
    <w:pPr>
      <w:numPr>
        <w:ilvl w:val="1"/>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Level3">
    <w:name w:val="List Bullet (Level 3)"/>
    <w:basedOn w:val="Normal"/>
    <w:uiPriority w:val="35"/>
    <w:semiHidden/>
    <w:unhideWhenUsed/>
    <w:rsid w:val="005820F7"/>
    <w:pPr>
      <w:numPr>
        <w:ilvl w:val="2"/>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Level4">
    <w:name w:val="List Bullet (Level 4)"/>
    <w:basedOn w:val="Normal"/>
    <w:uiPriority w:val="35"/>
    <w:semiHidden/>
    <w:unhideWhenUsed/>
    <w:rsid w:val="005820F7"/>
    <w:pPr>
      <w:numPr>
        <w:ilvl w:val="3"/>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1">
    <w:name w:val="List Bullet 1"/>
    <w:basedOn w:val="Text1"/>
    <w:uiPriority w:val="35"/>
    <w:rsid w:val="005820F7"/>
    <w:pPr>
      <w:numPr>
        <w:numId w:val="15"/>
      </w:numPr>
    </w:pPr>
  </w:style>
  <w:style w:type="paragraph" w:customStyle="1" w:styleId="ListBullet1Level2">
    <w:name w:val="List Bullet 1 (Level 2)"/>
    <w:basedOn w:val="Text1"/>
    <w:uiPriority w:val="35"/>
    <w:semiHidden/>
    <w:unhideWhenUsed/>
    <w:rsid w:val="005820F7"/>
    <w:pPr>
      <w:numPr>
        <w:ilvl w:val="1"/>
        <w:numId w:val="15"/>
      </w:numPr>
    </w:pPr>
  </w:style>
  <w:style w:type="paragraph" w:customStyle="1" w:styleId="ListBullet1Level3">
    <w:name w:val="List Bullet 1 (Level 3)"/>
    <w:basedOn w:val="Text1"/>
    <w:uiPriority w:val="35"/>
    <w:semiHidden/>
    <w:unhideWhenUsed/>
    <w:rsid w:val="005820F7"/>
    <w:pPr>
      <w:numPr>
        <w:ilvl w:val="2"/>
        <w:numId w:val="15"/>
      </w:numPr>
    </w:pPr>
  </w:style>
  <w:style w:type="paragraph" w:customStyle="1" w:styleId="ListBullet1Level4">
    <w:name w:val="List Bullet 1 (Level 4)"/>
    <w:basedOn w:val="Text1"/>
    <w:uiPriority w:val="35"/>
    <w:semiHidden/>
    <w:unhideWhenUsed/>
    <w:rsid w:val="005820F7"/>
    <w:pPr>
      <w:numPr>
        <w:ilvl w:val="3"/>
        <w:numId w:val="15"/>
      </w:numPr>
    </w:pPr>
  </w:style>
  <w:style w:type="paragraph" w:styleId="ListBullet2">
    <w:name w:val="List Bullet 2"/>
    <w:basedOn w:val="Text2"/>
    <w:uiPriority w:val="35"/>
    <w:rsid w:val="005820F7"/>
    <w:pPr>
      <w:numPr>
        <w:numId w:val="14"/>
      </w:numPr>
    </w:pPr>
  </w:style>
  <w:style w:type="paragraph" w:customStyle="1" w:styleId="ListBullet2Level2">
    <w:name w:val="List Bullet 2 (Level 2)"/>
    <w:basedOn w:val="Text2"/>
    <w:uiPriority w:val="35"/>
    <w:semiHidden/>
    <w:unhideWhenUsed/>
    <w:rsid w:val="005820F7"/>
    <w:pPr>
      <w:numPr>
        <w:ilvl w:val="1"/>
        <w:numId w:val="14"/>
      </w:numPr>
    </w:pPr>
  </w:style>
  <w:style w:type="paragraph" w:customStyle="1" w:styleId="ListBullet2Level3">
    <w:name w:val="List Bullet 2 (Level 3)"/>
    <w:basedOn w:val="Text2"/>
    <w:uiPriority w:val="35"/>
    <w:semiHidden/>
    <w:unhideWhenUsed/>
    <w:rsid w:val="005820F7"/>
    <w:pPr>
      <w:numPr>
        <w:ilvl w:val="2"/>
        <w:numId w:val="14"/>
      </w:numPr>
    </w:pPr>
  </w:style>
  <w:style w:type="paragraph" w:customStyle="1" w:styleId="ListBullet2Level4">
    <w:name w:val="List Bullet 2 (Level 4)"/>
    <w:basedOn w:val="Text2"/>
    <w:uiPriority w:val="35"/>
    <w:semiHidden/>
    <w:unhideWhenUsed/>
    <w:rsid w:val="005820F7"/>
    <w:pPr>
      <w:numPr>
        <w:ilvl w:val="3"/>
        <w:numId w:val="14"/>
      </w:numPr>
    </w:pPr>
  </w:style>
  <w:style w:type="paragraph" w:styleId="ListBullet3">
    <w:name w:val="List Bullet 3"/>
    <w:basedOn w:val="Text3"/>
    <w:uiPriority w:val="35"/>
    <w:rsid w:val="005820F7"/>
    <w:pPr>
      <w:numPr>
        <w:numId w:val="13"/>
      </w:numPr>
    </w:pPr>
  </w:style>
  <w:style w:type="paragraph" w:customStyle="1" w:styleId="ListBullet3Level2">
    <w:name w:val="List Bullet 3 (Level 2)"/>
    <w:basedOn w:val="Text3"/>
    <w:uiPriority w:val="35"/>
    <w:semiHidden/>
    <w:unhideWhenUsed/>
    <w:rsid w:val="005820F7"/>
    <w:pPr>
      <w:numPr>
        <w:ilvl w:val="1"/>
        <w:numId w:val="13"/>
      </w:numPr>
    </w:pPr>
  </w:style>
  <w:style w:type="paragraph" w:customStyle="1" w:styleId="ListBullet3Level3">
    <w:name w:val="List Bullet 3 (Level 3)"/>
    <w:basedOn w:val="Text3"/>
    <w:uiPriority w:val="35"/>
    <w:semiHidden/>
    <w:unhideWhenUsed/>
    <w:rsid w:val="005820F7"/>
    <w:pPr>
      <w:numPr>
        <w:ilvl w:val="2"/>
        <w:numId w:val="13"/>
      </w:numPr>
    </w:pPr>
  </w:style>
  <w:style w:type="paragraph" w:customStyle="1" w:styleId="ListBullet3Level4">
    <w:name w:val="List Bullet 3 (Level 4)"/>
    <w:basedOn w:val="Text3"/>
    <w:uiPriority w:val="35"/>
    <w:semiHidden/>
    <w:unhideWhenUsed/>
    <w:rsid w:val="005820F7"/>
    <w:pPr>
      <w:numPr>
        <w:ilvl w:val="3"/>
        <w:numId w:val="13"/>
      </w:numPr>
    </w:pPr>
  </w:style>
  <w:style w:type="paragraph" w:styleId="ListBullet4">
    <w:name w:val="List Bullet 4"/>
    <w:basedOn w:val="Text4"/>
    <w:uiPriority w:val="35"/>
    <w:rsid w:val="005820F7"/>
    <w:pPr>
      <w:numPr>
        <w:numId w:val="12"/>
      </w:numPr>
    </w:pPr>
  </w:style>
  <w:style w:type="paragraph" w:customStyle="1" w:styleId="ListBullet4Level2">
    <w:name w:val="List Bullet 4 (Level 2)"/>
    <w:basedOn w:val="Text4"/>
    <w:uiPriority w:val="35"/>
    <w:semiHidden/>
    <w:unhideWhenUsed/>
    <w:rsid w:val="005820F7"/>
    <w:pPr>
      <w:numPr>
        <w:ilvl w:val="1"/>
        <w:numId w:val="12"/>
      </w:numPr>
    </w:pPr>
  </w:style>
  <w:style w:type="paragraph" w:customStyle="1" w:styleId="ListBullet4Level3">
    <w:name w:val="List Bullet 4 (Level 3)"/>
    <w:basedOn w:val="Text4"/>
    <w:uiPriority w:val="35"/>
    <w:semiHidden/>
    <w:unhideWhenUsed/>
    <w:rsid w:val="005820F7"/>
    <w:pPr>
      <w:numPr>
        <w:ilvl w:val="2"/>
        <w:numId w:val="12"/>
      </w:numPr>
    </w:pPr>
  </w:style>
  <w:style w:type="paragraph" w:customStyle="1" w:styleId="ListBullet4Level4">
    <w:name w:val="List Bullet 4 (Level 4)"/>
    <w:basedOn w:val="Text4"/>
    <w:uiPriority w:val="35"/>
    <w:semiHidden/>
    <w:unhideWhenUsed/>
    <w:rsid w:val="005820F7"/>
    <w:pPr>
      <w:numPr>
        <w:ilvl w:val="3"/>
        <w:numId w:val="12"/>
      </w:numPr>
    </w:pPr>
  </w:style>
  <w:style w:type="paragraph" w:customStyle="1" w:styleId="ListDash">
    <w:name w:val="List Dash"/>
    <w:basedOn w:val="Normal"/>
    <w:uiPriority w:val="35"/>
    <w:rsid w:val="005820F7"/>
    <w:pPr>
      <w:numPr>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Level2">
    <w:name w:val="List Dash (Level 2)"/>
    <w:basedOn w:val="Normal"/>
    <w:semiHidden/>
    <w:unhideWhenUsed/>
    <w:rsid w:val="005820F7"/>
    <w:pPr>
      <w:numPr>
        <w:ilvl w:val="1"/>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Level3">
    <w:name w:val="List Dash (Level 3)"/>
    <w:basedOn w:val="Normal"/>
    <w:semiHidden/>
    <w:unhideWhenUsed/>
    <w:rsid w:val="005820F7"/>
    <w:pPr>
      <w:numPr>
        <w:ilvl w:val="2"/>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Level4">
    <w:name w:val="List Dash (Level 4)"/>
    <w:basedOn w:val="Normal"/>
    <w:semiHidden/>
    <w:unhideWhenUsed/>
    <w:rsid w:val="005820F7"/>
    <w:pPr>
      <w:numPr>
        <w:ilvl w:val="3"/>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1">
    <w:name w:val="List Dash 1"/>
    <w:basedOn w:val="Text1"/>
    <w:uiPriority w:val="35"/>
    <w:rsid w:val="005820F7"/>
    <w:pPr>
      <w:numPr>
        <w:numId w:val="5"/>
      </w:numPr>
    </w:pPr>
  </w:style>
  <w:style w:type="paragraph" w:customStyle="1" w:styleId="ListDash1Level2">
    <w:name w:val="List Dash 1 (Level 2)"/>
    <w:basedOn w:val="Text1"/>
    <w:uiPriority w:val="35"/>
    <w:semiHidden/>
    <w:unhideWhenUsed/>
    <w:rsid w:val="005820F7"/>
    <w:pPr>
      <w:numPr>
        <w:ilvl w:val="1"/>
        <w:numId w:val="5"/>
      </w:numPr>
    </w:pPr>
  </w:style>
  <w:style w:type="paragraph" w:customStyle="1" w:styleId="ListDash1Level3">
    <w:name w:val="List Dash 1 (Level 3)"/>
    <w:basedOn w:val="Text1"/>
    <w:uiPriority w:val="35"/>
    <w:semiHidden/>
    <w:unhideWhenUsed/>
    <w:rsid w:val="005820F7"/>
    <w:pPr>
      <w:numPr>
        <w:ilvl w:val="2"/>
        <w:numId w:val="5"/>
      </w:numPr>
    </w:pPr>
  </w:style>
  <w:style w:type="paragraph" w:customStyle="1" w:styleId="ListDash1Level4">
    <w:name w:val="List Dash 1 (Level 4)"/>
    <w:basedOn w:val="Text1"/>
    <w:uiPriority w:val="35"/>
    <w:semiHidden/>
    <w:unhideWhenUsed/>
    <w:rsid w:val="005820F7"/>
    <w:pPr>
      <w:numPr>
        <w:ilvl w:val="3"/>
        <w:numId w:val="5"/>
      </w:numPr>
    </w:pPr>
  </w:style>
  <w:style w:type="paragraph" w:customStyle="1" w:styleId="ListDash2">
    <w:name w:val="List Dash 2"/>
    <w:basedOn w:val="Text2"/>
    <w:uiPriority w:val="35"/>
    <w:rsid w:val="005820F7"/>
    <w:pPr>
      <w:numPr>
        <w:numId w:val="4"/>
      </w:numPr>
    </w:pPr>
  </w:style>
  <w:style w:type="paragraph" w:customStyle="1" w:styleId="ListDash2Level2">
    <w:name w:val="List Dash 2 (Level 2)"/>
    <w:basedOn w:val="Text2"/>
    <w:uiPriority w:val="35"/>
    <w:semiHidden/>
    <w:unhideWhenUsed/>
    <w:rsid w:val="005820F7"/>
    <w:pPr>
      <w:numPr>
        <w:ilvl w:val="1"/>
        <w:numId w:val="4"/>
      </w:numPr>
    </w:pPr>
  </w:style>
  <w:style w:type="paragraph" w:customStyle="1" w:styleId="ListDash2Level3">
    <w:name w:val="List Dash 2 (Level 3)"/>
    <w:basedOn w:val="Text2"/>
    <w:uiPriority w:val="35"/>
    <w:semiHidden/>
    <w:unhideWhenUsed/>
    <w:rsid w:val="005820F7"/>
    <w:pPr>
      <w:numPr>
        <w:ilvl w:val="2"/>
        <w:numId w:val="4"/>
      </w:numPr>
    </w:pPr>
  </w:style>
  <w:style w:type="paragraph" w:customStyle="1" w:styleId="ListDash2Level4">
    <w:name w:val="List Dash 2 (Level 4)"/>
    <w:basedOn w:val="Text2"/>
    <w:uiPriority w:val="35"/>
    <w:semiHidden/>
    <w:unhideWhenUsed/>
    <w:rsid w:val="005820F7"/>
    <w:pPr>
      <w:numPr>
        <w:ilvl w:val="3"/>
        <w:numId w:val="4"/>
      </w:numPr>
    </w:pPr>
  </w:style>
  <w:style w:type="paragraph" w:customStyle="1" w:styleId="ListDash3">
    <w:name w:val="List Dash 3"/>
    <w:basedOn w:val="Text3"/>
    <w:uiPriority w:val="35"/>
    <w:rsid w:val="005820F7"/>
    <w:pPr>
      <w:numPr>
        <w:numId w:val="3"/>
      </w:numPr>
    </w:pPr>
  </w:style>
  <w:style w:type="paragraph" w:customStyle="1" w:styleId="ListDash3Level2">
    <w:name w:val="List Dash 3 (Level 2)"/>
    <w:basedOn w:val="Text3"/>
    <w:uiPriority w:val="35"/>
    <w:semiHidden/>
    <w:unhideWhenUsed/>
    <w:rsid w:val="005820F7"/>
    <w:pPr>
      <w:numPr>
        <w:ilvl w:val="1"/>
        <w:numId w:val="3"/>
      </w:numPr>
    </w:pPr>
  </w:style>
  <w:style w:type="paragraph" w:customStyle="1" w:styleId="ListDash3Level3">
    <w:name w:val="List Dash 3 (Level 3)"/>
    <w:basedOn w:val="Text3"/>
    <w:uiPriority w:val="35"/>
    <w:semiHidden/>
    <w:unhideWhenUsed/>
    <w:rsid w:val="005820F7"/>
    <w:pPr>
      <w:numPr>
        <w:ilvl w:val="2"/>
        <w:numId w:val="3"/>
      </w:numPr>
    </w:pPr>
  </w:style>
  <w:style w:type="paragraph" w:customStyle="1" w:styleId="ListDash3Level4">
    <w:name w:val="List Dash 3 (Level 4)"/>
    <w:basedOn w:val="Text3"/>
    <w:uiPriority w:val="35"/>
    <w:semiHidden/>
    <w:unhideWhenUsed/>
    <w:rsid w:val="005820F7"/>
    <w:pPr>
      <w:numPr>
        <w:ilvl w:val="3"/>
        <w:numId w:val="3"/>
      </w:numPr>
    </w:pPr>
  </w:style>
  <w:style w:type="paragraph" w:customStyle="1" w:styleId="ListDash4">
    <w:name w:val="List Dash 4"/>
    <w:basedOn w:val="Text4"/>
    <w:uiPriority w:val="35"/>
    <w:rsid w:val="005820F7"/>
    <w:pPr>
      <w:numPr>
        <w:numId w:val="2"/>
      </w:numPr>
    </w:pPr>
  </w:style>
  <w:style w:type="paragraph" w:customStyle="1" w:styleId="ListDash4Level2">
    <w:name w:val="List Dash 4 (Level 2)"/>
    <w:basedOn w:val="Text4"/>
    <w:uiPriority w:val="35"/>
    <w:semiHidden/>
    <w:unhideWhenUsed/>
    <w:rsid w:val="005820F7"/>
    <w:pPr>
      <w:numPr>
        <w:ilvl w:val="1"/>
        <w:numId w:val="2"/>
      </w:numPr>
    </w:pPr>
  </w:style>
  <w:style w:type="paragraph" w:customStyle="1" w:styleId="ListDash4Level3">
    <w:name w:val="List Dash 4 (Level 3)"/>
    <w:basedOn w:val="Text4"/>
    <w:uiPriority w:val="35"/>
    <w:semiHidden/>
    <w:unhideWhenUsed/>
    <w:rsid w:val="005820F7"/>
    <w:pPr>
      <w:numPr>
        <w:ilvl w:val="2"/>
        <w:numId w:val="2"/>
      </w:numPr>
    </w:pPr>
  </w:style>
  <w:style w:type="paragraph" w:customStyle="1" w:styleId="ListDash4Level4">
    <w:name w:val="List Dash 4 (Level 4)"/>
    <w:basedOn w:val="Text4"/>
    <w:uiPriority w:val="35"/>
    <w:semiHidden/>
    <w:unhideWhenUsed/>
    <w:rsid w:val="005820F7"/>
    <w:pPr>
      <w:numPr>
        <w:ilvl w:val="3"/>
        <w:numId w:val="2"/>
      </w:numPr>
    </w:pPr>
  </w:style>
  <w:style w:type="paragraph" w:styleId="ListNumber">
    <w:name w:val="List Number"/>
    <w:basedOn w:val="Normal"/>
    <w:uiPriority w:val="30"/>
    <w:rsid w:val="005820F7"/>
    <w:pPr>
      <w:numPr>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Level2">
    <w:name w:val="List Number (Level 2)"/>
    <w:basedOn w:val="Normal"/>
    <w:uiPriority w:val="30"/>
    <w:rsid w:val="005820F7"/>
    <w:pPr>
      <w:numPr>
        <w:ilvl w:val="1"/>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Level3">
    <w:name w:val="List Number (Level 3)"/>
    <w:basedOn w:val="Normal"/>
    <w:uiPriority w:val="30"/>
    <w:rsid w:val="005820F7"/>
    <w:pPr>
      <w:numPr>
        <w:ilvl w:val="2"/>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Level4">
    <w:name w:val="List Number (Level 4)"/>
    <w:basedOn w:val="Normal"/>
    <w:uiPriority w:val="30"/>
    <w:rsid w:val="005820F7"/>
    <w:pPr>
      <w:numPr>
        <w:ilvl w:val="3"/>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1">
    <w:name w:val="List Number 1"/>
    <w:basedOn w:val="Text1"/>
    <w:uiPriority w:val="30"/>
    <w:rsid w:val="005820F7"/>
    <w:pPr>
      <w:numPr>
        <w:numId w:val="10"/>
      </w:numPr>
    </w:pPr>
  </w:style>
  <w:style w:type="paragraph" w:customStyle="1" w:styleId="ListNumber1Level2">
    <w:name w:val="List Number 1 (Level 2)"/>
    <w:basedOn w:val="Text1"/>
    <w:uiPriority w:val="30"/>
    <w:semiHidden/>
    <w:unhideWhenUsed/>
    <w:rsid w:val="005820F7"/>
    <w:pPr>
      <w:numPr>
        <w:ilvl w:val="1"/>
        <w:numId w:val="10"/>
      </w:numPr>
    </w:pPr>
  </w:style>
  <w:style w:type="paragraph" w:customStyle="1" w:styleId="ListNumber1Level3">
    <w:name w:val="List Number 1 (Level 3)"/>
    <w:basedOn w:val="Text1"/>
    <w:uiPriority w:val="30"/>
    <w:semiHidden/>
    <w:unhideWhenUsed/>
    <w:rsid w:val="005820F7"/>
    <w:pPr>
      <w:numPr>
        <w:ilvl w:val="2"/>
        <w:numId w:val="10"/>
      </w:numPr>
    </w:pPr>
  </w:style>
  <w:style w:type="paragraph" w:customStyle="1" w:styleId="ListNumber1Level4">
    <w:name w:val="List Number 1 (Level 4)"/>
    <w:basedOn w:val="Text1"/>
    <w:uiPriority w:val="30"/>
    <w:semiHidden/>
    <w:unhideWhenUsed/>
    <w:rsid w:val="005820F7"/>
    <w:pPr>
      <w:numPr>
        <w:ilvl w:val="3"/>
        <w:numId w:val="10"/>
      </w:numPr>
    </w:pPr>
  </w:style>
  <w:style w:type="paragraph" w:styleId="ListNumber2">
    <w:name w:val="List Number 2"/>
    <w:basedOn w:val="Text2"/>
    <w:uiPriority w:val="30"/>
    <w:rsid w:val="005820F7"/>
    <w:pPr>
      <w:numPr>
        <w:numId w:val="9"/>
      </w:numPr>
    </w:pPr>
  </w:style>
  <w:style w:type="paragraph" w:customStyle="1" w:styleId="ListNumber2Level2">
    <w:name w:val="List Number 2 (Level 2)"/>
    <w:basedOn w:val="Text2"/>
    <w:uiPriority w:val="30"/>
    <w:semiHidden/>
    <w:unhideWhenUsed/>
    <w:rsid w:val="005820F7"/>
    <w:pPr>
      <w:numPr>
        <w:ilvl w:val="1"/>
        <w:numId w:val="9"/>
      </w:numPr>
    </w:pPr>
  </w:style>
  <w:style w:type="paragraph" w:customStyle="1" w:styleId="ListNumber2Level3">
    <w:name w:val="List Number 2 (Level 3)"/>
    <w:basedOn w:val="Text2"/>
    <w:uiPriority w:val="30"/>
    <w:semiHidden/>
    <w:unhideWhenUsed/>
    <w:rsid w:val="005820F7"/>
    <w:pPr>
      <w:numPr>
        <w:ilvl w:val="2"/>
        <w:numId w:val="9"/>
      </w:numPr>
    </w:pPr>
  </w:style>
  <w:style w:type="paragraph" w:customStyle="1" w:styleId="ListNumber2Level4">
    <w:name w:val="List Number 2 (Level 4)"/>
    <w:basedOn w:val="Text2"/>
    <w:uiPriority w:val="30"/>
    <w:semiHidden/>
    <w:unhideWhenUsed/>
    <w:rsid w:val="005820F7"/>
    <w:pPr>
      <w:numPr>
        <w:ilvl w:val="3"/>
        <w:numId w:val="9"/>
      </w:numPr>
    </w:pPr>
  </w:style>
  <w:style w:type="paragraph" w:styleId="ListNumber3">
    <w:name w:val="List Number 3"/>
    <w:basedOn w:val="Text3"/>
    <w:uiPriority w:val="30"/>
    <w:rsid w:val="005820F7"/>
    <w:pPr>
      <w:numPr>
        <w:numId w:val="8"/>
      </w:numPr>
    </w:pPr>
  </w:style>
  <w:style w:type="paragraph" w:customStyle="1" w:styleId="ListNumber3Level2">
    <w:name w:val="List Number 3 (Level 2)"/>
    <w:basedOn w:val="Text3"/>
    <w:uiPriority w:val="30"/>
    <w:semiHidden/>
    <w:unhideWhenUsed/>
    <w:rsid w:val="005820F7"/>
    <w:pPr>
      <w:numPr>
        <w:ilvl w:val="1"/>
        <w:numId w:val="8"/>
      </w:numPr>
    </w:pPr>
  </w:style>
  <w:style w:type="paragraph" w:customStyle="1" w:styleId="ListNumber3Level3">
    <w:name w:val="List Number 3 (Level 3)"/>
    <w:basedOn w:val="Text3"/>
    <w:uiPriority w:val="30"/>
    <w:semiHidden/>
    <w:unhideWhenUsed/>
    <w:rsid w:val="005820F7"/>
    <w:pPr>
      <w:numPr>
        <w:ilvl w:val="2"/>
        <w:numId w:val="8"/>
      </w:numPr>
    </w:pPr>
  </w:style>
  <w:style w:type="paragraph" w:customStyle="1" w:styleId="ListNumber3Level4">
    <w:name w:val="List Number 3 (Level 4)"/>
    <w:basedOn w:val="Text3"/>
    <w:uiPriority w:val="30"/>
    <w:semiHidden/>
    <w:unhideWhenUsed/>
    <w:rsid w:val="005820F7"/>
    <w:pPr>
      <w:numPr>
        <w:ilvl w:val="3"/>
        <w:numId w:val="8"/>
      </w:numPr>
    </w:pPr>
  </w:style>
  <w:style w:type="paragraph" w:styleId="ListNumber4">
    <w:name w:val="List Number 4"/>
    <w:basedOn w:val="Text4"/>
    <w:uiPriority w:val="30"/>
    <w:rsid w:val="005820F7"/>
    <w:pPr>
      <w:numPr>
        <w:numId w:val="7"/>
      </w:numPr>
    </w:pPr>
  </w:style>
  <w:style w:type="paragraph" w:customStyle="1" w:styleId="ListNumber4Level2">
    <w:name w:val="List Number 4 (Level 2)"/>
    <w:basedOn w:val="Text4"/>
    <w:uiPriority w:val="30"/>
    <w:semiHidden/>
    <w:unhideWhenUsed/>
    <w:rsid w:val="005820F7"/>
    <w:pPr>
      <w:numPr>
        <w:ilvl w:val="1"/>
        <w:numId w:val="7"/>
      </w:numPr>
    </w:pPr>
  </w:style>
  <w:style w:type="paragraph" w:customStyle="1" w:styleId="ListNumber4Level3">
    <w:name w:val="List Number 4 (Level 3)"/>
    <w:basedOn w:val="Text4"/>
    <w:uiPriority w:val="30"/>
    <w:semiHidden/>
    <w:unhideWhenUsed/>
    <w:rsid w:val="005820F7"/>
    <w:pPr>
      <w:numPr>
        <w:ilvl w:val="2"/>
        <w:numId w:val="7"/>
      </w:numPr>
    </w:pPr>
  </w:style>
  <w:style w:type="paragraph" w:customStyle="1" w:styleId="ListNumber4Level4">
    <w:name w:val="List Number 4 (Level 4)"/>
    <w:basedOn w:val="Text4"/>
    <w:uiPriority w:val="30"/>
    <w:semiHidden/>
    <w:unhideWhenUsed/>
    <w:rsid w:val="005820F7"/>
    <w:pPr>
      <w:numPr>
        <w:ilvl w:val="3"/>
        <w:numId w:val="7"/>
      </w:numPr>
    </w:pPr>
  </w:style>
  <w:style w:type="paragraph" w:customStyle="1" w:styleId="Marking">
    <w:name w:val="Marking"/>
    <w:basedOn w:val="Normal"/>
    <w:semiHidden/>
    <w:rsid w:val="005820F7"/>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20"/>
    <w:qFormat/>
    <w:rsid w:val="005820F7"/>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2">
    <w:name w:val="NumPar 2"/>
    <w:basedOn w:val="Heading2"/>
    <w:uiPriority w:val="20"/>
    <w:qFormat/>
    <w:rsid w:val="005820F7"/>
    <w:pPr>
      <w:keepNext w:val="0"/>
      <w:keepLines w:val="0"/>
      <w:numPr>
        <w:ilvl w:val="1"/>
      </w:numPr>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3">
    <w:name w:val="NumPar 3"/>
    <w:basedOn w:val="Heading3"/>
    <w:uiPriority w:val="20"/>
    <w:qFormat/>
    <w:rsid w:val="005820F7"/>
    <w:pPr>
      <w:keepNext w:val="0"/>
      <w:keepLines w:val="0"/>
      <w:numPr>
        <w:ilvl w:val="2"/>
      </w:numPr>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20"/>
    <w:qFormat/>
    <w:rsid w:val="005820F7"/>
    <w:pPr>
      <w:keepNext w:val="0"/>
      <w:keepLines w:val="0"/>
      <w:numPr>
        <w:ilvl w:val="3"/>
      </w:numPr>
      <w:spacing w:before="0" w:after="240" w:line="240" w:lineRule="auto"/>
      <w:jc w:val="both"/>
      <w:outlineLvl w:val="9"/>
    </w:pPr>
    <w:rPr>
      <w:rFonts w:ascii="Times New Roman" w:eastAsia="Times New Roman" w:hAnsi="Times New Roman" w:cs="Times New Roman"/>
      <w:i w:val="0"/>
      <w:iCs w:val="0"/>
      <w:color w:val="auto"/>
      <w:kern w:val="0"/>
      <w:sz w:val="24"/>
      <w:szCs w:val="20"/>
      <w:lang w:eastAsia="en-IE"/>
      <w14:ligatures w14:val="none"/>
    </w:rPr>
  </w:style>
  <w:style w:type="paragraph" w:customStyle="1" w:styleId="PartTitle">
    <w:name w:val="PartTitle"/>
    <w:basedOn w:val="Normal"/>
    <w:next w:val="ChapterTitle"/>
    <w:uiPriority w:val="42"/>
    <w:qFormat/>
    <w:rsid w:val="005820F7"/>
    <w:pPr>
      <w:keepNext/>
      <w:pageBreakBefore/>
      <w:spacing w:after="480" w:line="240" w:lineRule="auto"/>
      <w:jc w:val="center"/>
      <w:outlineLvl w:val="0"/>
    </w:pPr>
    <w:rPr>
      <w:rFonts w:ascii="Times New Roman" w:eastAsia="Times New Roman" w:hAnsi="Times New Roman" w:cs="Times New Roman"/>
      <w:b/>
      <w:kern w:val="0"/>
      <w:sz w:val="36"/>
      <w:szCs w:val="20"/>
      <w:lang w:eastAsia="en-IE"/>
      <w14:ligatures w14:val="none"/>
    </w:rPr>
  </w:style>
  <w:style w:type="paragraph" w:customStyle="1" w:styleId="References">
    <w:name w:val="References"/>
    <w:basedOn w:val="Normal"/>
    <w:semiHidden/>
    <w:rsid w:val="005820F7"/>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customStyle="1" w:styleId="Releasable">
    <w:name w:val="Releasable"/>
    <w:basedOn w:val="Normal"/>
    <w:semiHidden/>
    <w:rsid w:val="005820F7"/>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RUE">
    <w:name w:val="RUE"/>
    <w:basedOn w:val="Normal"/>
    <w:semiHidden/>
    <w:rsid w:val="005820F7"/>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SecretUE">
    <w:name w:val="Secret UE"/>
    <w:basedOn w:val="Normal"/>
    <w:semiHidden/>
    <w:rsid w:val="005820F7"/>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44"/>
    <w:qFormat/>
    <w:rsid w:val="005820F7"/>
    <w:pPr>
      <w:keepNext/>
      <w:spacing w:after="480" w:line="240" w:lineRule="auto"/>
      <w:jc w:val="center"/>
      <w:outlineLvl w:val="0"/>
    </w:pPr>
    <w:rPr>
      <w:rFonts w:ascii="Times New Roman" w:eastAsia="Times New Roman" w:hAnsi="Times New Roman" w:cs="Times New Roman"/>
      <w:b/>
      <w:smallCaps/>
      <w:kern w:val="0"/>
      <w:sz w:val="28"/>
      <w:szCs w:val="20"/>
      <w:lang w:eastAsia="en-IE"/>
      <w14:ligatures w14:val="none"/>
    </w:rPr>
  </w:style>
  <w:style w:type="paragraph" w:styleId="Signature">
    <w:name w:val="Signature"/>
    <w:basedOn w:val="Normal"/>
    <w:link w:val="SignatureChar"/>
    <w:semiHidden/>
    <w:rsid w:val="005820F7"/>
    <w:pPr>
      <w:spacing w:before="1200" w:after="0" w:line="240" w:lineRule="auto"/>
      <w:ind w:left="5102"/>
      <w:jc w:val="center"/>
    </w:pPr>
    <w:rPr>
      <w:rFonts w:ascii="Times New Roman" w:eastAsia="Times New Roman" w:hAnsi="Times New Roman" w:cs="Times New Roman"/>
      <w:kern w:val="0"/>
      <w:sz w:val="24"/>
      <w:szCs w:val="20"/>
      <w:lang w:eastAsia="en-IE"/>
      <w14:ligatures w14:val="none"/>
    </w:rPr>
  </w:style>
  <w:style w:type="character" w:customStyle="1" w:styleId="SignatureChar">
    <w:name w:val="Signature Char"/>
    <w:basedOn w:val="DefaultParagraphFont"/>
    <w:link w:val="Signature"/>
    <w:semiHidden/>
    <w:rsid w:val="005820F7"/>
    <w:rPr>
      <w:rFonts w:ascii="Times New Roman" w:eastAsia="Times New Roman" w:hAnsi="Times New Roman" w:cs="Times New Roman"/>
      <w:kern w:val="0"/>
      <w:sz w:val="24"/>
      <w:szCs w:val="20"/>
      <w:lang w:val="ro-RO" w:eastAsia="en-IE"/>
      <w14:ligatures w14:val="none"/>
    </w:rPr>
  </w:style>
  <w:style w:type="paragraph" w:customStyle="1" w:styleId="SignatureL">
    <w:name w:val="SignatureL"/>
    <w:basedOn w:val="Normal"/>
    <w:semiHidden/>
    <w:rsid w:val="005820F7"/>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SubTitle1">
    <w:name w:val="SubTitle 1"/>
    <w:basedOn w:val="Normal"/>
    <w:next w:val="SubTitle2"/>
    <w:uiPriority w:val="41"/>
    <w:qFormat/>
    <w:rsid w:val="005820F7"/>
    <w:pPr>
      <w:spacing w:after="240" w:line="240" w:lineRule="auto"/>
      <w:jc w:val="center"/>
    </w:pPr>
    <w:rPr>
      <w:rFonts w:ascii="Times New Roman" w:eastAsia="Times New Roman" w:hAnsi="Times New Roman" w:cs="Times New Roman"/>
      <w:b/>
      <w:kern w:val="0"/>
      <w:sz w:val="40"/>
      <w:szCs w:val="20"/>
      <w:lang w:eastAsia="en-IE"/>
      <w14:ligatures w14:val="none"/>
    </w:rPr>
  </w:style>
  <w:style w:type="paragraph" w:customStyle="1" w:styleId="SubTitle2">
    <w:name w:val="SubTitle 2"/>
    <w:basedOn w:val="Normal"/>
    <w:uiPriority w:val="41"/>
    <w:qFormat/>
    <w:rsid w:val="005820F7"/>
    <w:pPr>
      <w:spacing w:after="240" w:line="240" w:lineRule="auto"/>
      <w:jc w:val="center"/>
    </w:pPr>
    <w:rPr>
      <w:rFonts w:ascii="Times New Roman" w:eastAsia="Times New Roman" w:hAnsi="Times New Roman" w:cs="Times New Roman"/>
      <w:b/>
      <w:kern w:val="0"/>
      <w:sz w:val="32"/>
      <w:szCs w:val="20"/>
      <w:lang w:eastAsia="en-IE"/>
      <w14:ligatures w14:val="none"/>
    </w:rPr>
  </w:style>
  <w:style w:type="paragraph" w:customStyle="1" w:styleId="TableListBullet">
    <w:name w:val="Table List Bullet"/>
    <w:basedOn w:val="TableText"/>
    <w:uiPriority w:val="55"/>
    <w:rsid w:val="005820F7"/>
    <w:pPr>
      <w:numPr>
        <w:numId w:val="20"/>
      </w:numPr>
    </w:pPr>
  </w:style>
  <w:style w:type="paragraph" w:customStyle="1" w:styleId="TableListBulletLevel2">
    <w:name w:val="Table List Bullet (Level 2)"/>
    <w:basedOn w:val="TableText"/>
    <w:uiPriority w:val="55"/>
    <w:semiHidden/>
    <w:unhideWhenUsed/>
    <w:rsid w:val="005820F7"/>
    <w:pPr>
      <w:numPr>
        <w:ilvl w:val="1"/>
        <w:numId w:val="20"/>
      </w:numPr>
    </w:pPr>
  </w:style>
  <w:style w:type="paragraph" w:customStyle="1" w:styleId="TableListBulletLevel3">
    <w:name w:val="Table List Bullet (Level 3)"/>
    <w:basedOn w:val="TableText"/>
    <w:uiPriority w:val="55"/>
    <w:semiHidden/>
    <w:unhideWhenUsed/>
    <w:rsid w:val="005820F7"/>
    <w:pPr>
      <w:numPr>
        <w:ilvl w:val="2"/>
        <w:numId w:val="20"/>
      </w:numPr>
    </w:pPr>
  </w:style>
  <w:style w:type="paragraph" w:customStyle="1" w:styleId="TableListBulletLevel4">
    <w:name w:val="Table List Bullet (Level 4)"/>
    <w:basedOn w:val="TableText"/>
    <w:uiPriority w:val="55"/>
    <w:semiHidden/>
    <w:unhideWhenUsed/>
    <w:rsid w:val="005820F7"/>
    <w:pPr>
      <w:numPr>
        <w:ilvl w:val="3"/>
        <w:numId w:val="20"/>
      </w:numPr>
    </w:pPr>
  </w:style>
  <w:style w:type="paragraph" w:customStyle="1" w:styleId="TableListDash">
    <w:name w:val="Table List Dash"/>
    <w:basedOn w:val="TableText"/>
    <w:uiPriority w:val="55"/>
    <w:rsid w:val="005820F7"/>
    <w:pPr>
      <w:numPr>
        <w:numId w:val="21"/>
      </w:numPr>
    </w:pPr>
  </w:style>
  <w:style w:type="paragraph" w:customStyle="1" w:styleId="TableListDashLevel2">
    <w:name w:val="Table List Dash (Level 2)"/>
    <w:basedOn w:val="TableText"/>
    <w:uiPriority w:val="55"/>
    <w:semiHidden/>
    <w:unhideWhenUsed/>
    <w:rsid w:val="005820F7"/>
    <w:pPr>
      <w:numPr>
        <w:ilvl w:val="1"/>
        <w:numId w:val="21"/>
      </w:numPr>
    </w:pPr>
  </w:style>
  <w:style w:type="paragraph" w:customStyle="1" w:styleId="TableListDashLevel3">
    <w:name w:val="Table List Dash (Level 3)"/>
    <w:basedOn w:val="TableText"/>
    <w:uiPriority w:val="55"/>
    <w:semiHidden/>
    <w:unhideWhenUsed/>
    <w:rsid w:val="005820F7"/>
    <w:pPr>
      <w:numPr>
        <w:ilvl w:val="2"/>
        <w:numId w:val="21"/>
      </w:numPr>
    </w:pPr>
  </w:style>
  <w:style w:type="paragraph" w:customStyle="1" w:styleId="TableListDashLevel4">
    <w:name w:val="Table List Dash (Level 4)"/>
    <w:basedOn w:val="TableText"/>
    <w:uiPriority w:val="55"/>
    <w:semiHidden/>
    <w:unhideWhenUsed/>
    <w:rsid w:val="005820F7"/>
    <w:pPr>
      <w:numPr>
        <w:ilvl w:val="3"/>
        <w:numId w:val="21"/>
      </w:numPr>
    </w:pPr>
  </w:style>
  <w:style w:type="paragraph" w:customStyle="1" w:styleId="TableListNumber">
    <w:name w:val="Table List Number"/>
    <w:basedOn w:val="TableText"/>
    <w:uiPriority w:val="55"/>
    <w:rsid w:val="005820F7"/>
    <w:pPr>
      <w:numPr>
        <w:numId w:val="22"/>
      </w:numPr>
    </w:pPr>
  </w:style>
  <w:style w:type="paragraph" w:customStyle="1" w:styleId="TableListNumberLevel2">
    <w:name w:val="Table List Number (Level 2)"/>
    <w:basedOn w:val="TableText"/>
    <w:uiPriority w:val="55"/>
    <w:semiHidden/>
    <w:unhideWhenUsed/>
    <w:rsid w:val="005820F7"/>
    <w:pPr>
      <w:numPr>
        <w:ilvl w:val="1"/>
        <w:numId w:val="22"/>
      </w:numPr>
    </w:pPr>
  </w:style>
  <w:style w:type="paragraph" w:customStyle="1" w:styleId="TableListNumberLevel3">
    <w:name w:val="Table List Number (Level 3)"/>
    <w:basedOn w:val="TableText"/>
    <w:uiPriority w:val="55"/>
    <w:semiHidden/>
    <w:unhideWhenUsed/>
    <w:rsid w:val="005820F7"/>
    <w:pPr>
      <w:numPr>
        <w:ilvl w:val="2"/>
        <w:numId w:val="22"/>
      </w:numPr>
    </w:pPr>
  </w:style>
  <w:style w:type="paragraph" w:customStyle="1" w:styleId="TableListNumberLevel4">
    <w:name w:val="Table List Number (Level 4)"/>
    <w:basedOn w:val="TableText"/>
    <w:uiPriority w:val="55"/>
    <w:semiHidden/>
    <w:unhideWhenUsed/>
    <w:rsid w:val="005820F7"/>
    <w:pPr>
      <w:numPr>
        <w:ilvl w:val="3"/>
        <w:numId w:val="22"/>
      </w:numPr>
    </w:pPr>
  </w:style>
  <w:style w:type="paragraph" w:customStyle="1" w:styleId="TableSource">
    <w:name w:val="Table Source"/>
    <w:basedOn w:val="Normal"/>
    <w:next w:val="Normal"/>
    <w:uiPriority w:val="99"/>
    <w:semiHidden/>
    <w:unhideWhenUsed/>
    <w:rsid w:val="005820F7"/>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TableSource1">
    <w:name w:val="Table Source 1"/>
    <w:basedOn w:val="Text1"/>
    <w:next w:val="Text1"/>
    <w:uiPriority w:val="99"/>
    <w:semiHidden/>
    <w:unhideWhenUsed/>
    <w:rsid w:val="005820F7"/>
    <w:rPr>
      <w:sz w:val="20"/>
    </w:rPr>
  </w:style>
  <w:style w:type="paragraph" w:customStyle="1" w:styleId="TableSource2">
    <w:name w:val="Table Source 2"/>
    <w:basedOn w:val="Text2"/>
    <w:next w:val="Text2"/>
    <w:uiPriority w:val="99"/>
    <w:semiHidden/>
    <w:unhideWhenUsed/>
    <w:rsid w:val="005820F7"/>
    <w:rPr>
      <w:sz w:val="20"/>
    </w:rPr>
  </w:style>
  <w:style w:type="paragraph" w:customStyle="1" w:styleId="TableSource3">
    <w:name w:val="Table Source 3"/>
    <w:basedOn w:val="Text3"/>
    <w:next w:val="Text3"/>
    <w:uiPriority w:val="99"/>
    <w:semiHidden/>
    <w:unhideWhenUsed/>
    <w:rsid w:val="005820F7"/>
    <w:rPr>
      <w:sz w:val="20"/>
    </w:rPr>
  </w:style>
  <w:style w:type="paragraph" w:customStyle="1" w:styleId="TableSource4">
    <w:name w:val="Table Source 4"/>
    <w:basedOn w:val="Text4"/>
    <w:next w:val="Text4"/>
    <w:uiPriority w:val="99"/>
    <w:semiHidden/>
    <w:unhideWhenUsed/>
    <w:rsid w:val="005820F7"/>
    <w:rPr>
      <w:sz w:val="20"/>
    </w:rPr>
  </w:style>
  <w:style w:type="paragraph" w:customStyle="1" w:styleId="TableText">
    <w:name w:val="Table Text"/>
    <w:basedOn w:val="Normal"/>
    <w:uiPriority w:val="50"/>
    <w:qFormat/>
    <w:rsid w:val="005820F7"/>
    <w:pPr>
      <w:spacing w:before="60" w:after="60" w:line="240" w:lineRule="auto"/>
    </w:pPr>
    <w:rPr>
      <w:rFonts w:ascii="Times New Roman" w:eastAsia="Times New Roman" w:hAnsi="Times New Roman" w:cs="Times New Roman"/>
      <w:kern w:val="0"/>
      <w:sz w:val="24"/>
      <w:szCs w:val="20"/>
      <w:lang w:eastAsia="en-IE"/>
      <w14:ligatures w14:val="none"/>
    </w:rPr>
  </w:style>
  <w:style w:type="paragraph" w:customStyle="1" w:styleId="TableTitle">
    <w:name w:val="Table Title"/>
    <w:basedOn w:val="Normal"/>
    <w:uiPriority w:val="99"/>
    <w:semiHidden/>
    <w:unhideWhenUsed/>
    <w:rsid w:val="005820F7"/>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TableTitle1">
    <w:name w:val="Table Title 1"/>
    <w:basedOn w:val="Text1"/>
    <w:uiPriority w:val="99"/>
    <w:semiHidden/>
    <w:unhideWhenUsed/>
    <w:rsid w:val="005820F7"/>
    <w:pPr>
      <w:keepNext/>
      <w:spacing w:after="120"/>
    </w:pPr>
    <w:rPr>
      <w:b/>
      <w:i/>
    </w:rPr>
  </w:style>
  <w:style w:type="paragraph" w:customStyle="1" w:styleId="TableTitle2">
    <w:name w:val="Table Title 2"/>
    <w:basedOn w:val="Text2"/>
    <w:uiPriority w:val="99"/>
    <w:semiHidden/>
    <w:unhideWhenUsed/>
    <w:rsid w:val="005820F7"/>
    <w:pPr>
      <w:keepNext/>
      <w:spacing w:after="120"/>
    </w:pPr>
    <w:rPr>
      <w:b/>
      <w:i/>
    </w:rPr>
  </w:style>
  <w:style w:type="paragraph" w:customStyle="1" w:styleId="TableTitle3">
    <w:name w:val="Table Title 3"/>
    <w:basedOn w:val="Text3"/>
    <w:uiPriority w:val="99"/>
    <w:semiHidden/>
    <w:unhideWhenUsed/>
    <w:rsid w:val="005820F7"/>
    <w:pPr>
      <w:keepNext/>
      <w:spacing w:after="120"/>
    </w:pPr>
    <w:rPr>
      <w:b/>
      <w:i/>
    </w:rPr>
  </w:style>
  <w:style w:type="paragraph" w:customStyle="1" w:styleId="TableTitle4">
    <w:name w:val="Table Title 4"/>
    <w:basedOn w:val="Text4"/>
    <w:uiPriority w:val="99"/>
    <w:semiHidden/>
    <w:unhideWhenUsed/>
    <w:rsid w:val="005820F7"/>
    <w:pPr>
      <w:keepNext/>
      <w:spacing w:after="120"/>
    </w:pPr>
    <w:rPr>
      <w:b/>
      <w:i/>
    </w:rPr>
  </w:style>
  <w:style w:type="paragraph" w:customStyle="1" w:styleId="Text1">
    <w:name w:val="Text 1"/>
    <w:basedOn w:val="Normal"/>
    <w:qFormat/>
    <w:rsid w:val="005820F7"/>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paragraph" w:customStyle="1" w:styleId="Text2">
    <w:name w:val="Text 2"/>
    <w:basedOn w:val="Normal"/>
    <w:qFormat/>
    <w:rsid w:val="005820F7"/>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customStyle="1" w:styleId="Text3">
    <w:name w:val="Text 3"/>
    <w:basedOn w:val="Normal"/>
    <w:qFormat/>
    <w:rsid w:val="005820F7"/>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customStyle="1" w:styleId="Text4">
    <w:name w:val="Text 4"/>
    <w:basedOn w:val="Normal"/>
    <w:qFormat/>
    <w:rsid w:val="005820F7"/>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styleId="TOC1">
    <w:name w:val="toc 1"/>
    <w:basedOn w:val="Normal"/>
    <w:next w:val="Normal"/>
    <w:semiHidden/>
    <w:rsid w:val="005820F7"/>
    <w:pPr>
      <w:tabs>
        <w:tab w:val="left" w:pos="482"/>
        <w:tab w:val="right" w:leader="dot" w:pos="8640"/>
      </w:tabs>
      <w:spacing w:before="120" w:after="120" w:line="240" w:lineRule="auto"/>
      <w:ind w:left="482" w:right="720" w:hanging="482"/>
      <w:jc w:val="both"/>
    </w:pPr>
    <w:rPr>
      <w:rFonts w:ascii="Times New Roman" w:eastAsia="Times New Roman" w:hAnsi="Times New Roman" w:cs="Times New Roman"/>
      <w:kern w:val="0"/>
      <w:sz w:val="24"/>
      <w:szCs w:val="20"/>
      <w:lang w:eastAsia="en-IE"/>
      <w14:ligatures w14:val="none"/>
    </w:rPr>
  </w:style>
  <w:style w:type="paragraph" w:styleId="TOC2">
    <w:name w:val="toc 2"/>
    <w:basedOn w:val="Normal"/>
    <w:next w:val="Normal"/>
    <w:semiHidden/>
    <w:rsid w:val="005820F7"/>
    <w:pPr>
      <w:tabs>
        <w:tab w:val="left" w:pos="1077"/>
        <w:tab w:val="right" w:leader="dot" w:pos="8640"/>
      </w:tabs>
      <w:spacing w:before="60" w:after="60" w:line="240" w:lineRule="auto"/>
      <w:ind w:left="1077" w:right="720" w:hanging="595"/>
      <w:jc w:val="both"/>
    </w:pPr>
    <w:rPr>
      <w:rFonts w:ascii="Times New Roman" w:eastAsia="Times New Roman" w:hAnsi="Times New Roman" w:cs="Times New Roman"/>
      <w:noProof/>
      <w:kern w:val="0"/>
      <w:sz w:val="24"/>
      <w:szCs w:val="20"/>
      <w:lang w:eastAsia="en-IE"/>
      <w14:ligatures w14:val="none"/>
    </w:rPr>
  </w:style>
  <w:style w:type="paragraph" w:styleId="TOC3">
    <w:name w:val="toc 3"/>
    <w:basedOn w:val="Normal"/>
    <w:next w:val="Normal"/>
    <w:semiHidden/>
    <w:rsid w:val="005820F7"/>
    <w:pPr>
      <w:tabs>
        <w:tab w:val="left" w:pos="1916"/>
        <w:tab w:val="right" w:leader="dot" w:pos="8640"/>
      </w:tabs>
      <w:spacing w:before="60" w:after="60" w:line="240" w:lineRule="auto"/>
      <w:ind w:left="1916" w:right="720" w:hanging="839"/>
      <w:jc w:val="both"/>
    </w:pPr>
    <w:rPr>
      <w:rFonts w:ascii="Times New Roman" w:eastAsia="Times New Roman" w:hAnsi="Times New Roman" w:cs="Times New Roman"/>
      <w:kern w:val="0"/>
      <w:sz w:val="24"/>
      <w:szCs w:val="20"/>
      <w:lang w:eastAsia="en-IE"/>
      <w14:ligatures w14:val="none"/>
    </w:rPr>
  </w:style>
  <w:style w:type="paragraph" w:styleId="TOC4">
    <w:name w:val="toc 4"/>
    <w:basedOn w:val="Normal"/>
    <w:next w:val="Normal"/>
    <w:semiHidden/>
    <w:rsid w:val="005820F7"/>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 w:val="24"/>
      <w:szCs w:val="20"/>
      <w:lang w:eastAsia="en-IE"/>
      <w14:ligatures w14:val="none"/>
    </w:rPr>
  </w:style>
  <w:style w:type="paragraph" w:styleId="TOC5">
    <w:name w:val="toc 5"/>
    <w:basedOn w:val="Normal"/>
    <w:next w:val="Normal"/>
    <w:semiHidden/>
    <w:rsid w:val="005820F7"/>
    <w:pPr>
      <w:tabs>
        <w:tab w:val="right" w:leader="dot" w:pos="8640"/>
      </w:tabs>
      <w:spacing w:before="240" w:after="120" w:line="240" w:lineRule="auto"/>
      <w:ind w:right="720"/>
      <w:jc w:val="both"/>
    </w:pPr>
    <w:rPr>
      <w:rFonts w:ascii="Times New Roman" w:eastAsia="Times New Roman" w:hAnsi="Times New Roman" w:cs="Times New Roman"/>
      <w:caps/>
      <w:kern w:val="0"/>
      <w:sz w:val="24"/>
      <w:szCs w:val="20"/>
      <w:lang w:eastAsia="en-IE"/>
      <w14:ligatures w14:val="none"/>
    </w:rPr>
  </w:style>
  <w:style w:type="paragraph" w:styleId="TOC6">
    <w:name w:val="toc 6"/>
    <w:basedOn w:val="Normal"/>
    <w:next w:val="Normal"/>
    <w:semiHidden/>
    <w:rsid w:val="005820F7"/>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kern w:val="0"/>
      <w:sz w:val="24"/>
      <w:szCs w:val="20"/>
      <w:lang w:eastAsia="en-IE"/>
      <w14:ligatures w14:val="none"/>
    </w:rPr>
  </w:style>
  <w:style w:type="paragraph" w:styleId="TOC7">
    <w:name w:val="toc 7"/>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8">
    <w:name w:val="toc 8"/>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9">
    <w:name w:val="toc 9"/>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Heading">
    <w:name w:val="TOC Heading"/>
    <w:basedOn w:val="Normal"/>
    <w:next w:val="Normal"/>
    <w:semiHidden/>
    <w:rsid w:val="005820F7"/>
    <w:pPr>
      <w:spacing w:before="240" w:after="240" w:line="240" w:lineRule="auto"/>
      <w:jc w:val="center"/>
    </w:pPr>
    <w:rPr>
      <w:rFonts w:ascii="Times New Roman Bold" w:eastAsia="Times New Roman" w:hAnsi="Times New Roman Bold" w:cs="Times New Roman"/>
      <w:b/>
      <w:caps/>
      <w:kern w:val="0"/>
      <w:sz w:val="24"/>
      <w:szCs w:val="20"/>
      <w:lang w:eastAsia="en-IE"/>
      <w14:ligatures w14:val="none"/>
    </w:rPr>
  </w:style>
  <w:style w:type="paragraph" w:customStyle="1" w:styleId="TrsSecretUE">
    <w:name w:val="Très Secret UE"/>
    <w:basedOn w:val="Normal"/>
    <w:semiHidden/>
    <w:rsid w:val="005820F7"/>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ZCom">
    <w:name w:val="Z_Com"/>
    <w:basedOn w:val="Normal"/>
    <w:next w:val="ZDGName"/>
    <w:semiHidden/>
    <w:rsid w:val="005820F7"/>
    <w:pPr>
      <w:widowControl w:val="0"/>
      <w:spacing w:before="90" w:after="0" w:line="240" w:lineRule="auto"/>
      <w:ind w:right="85"/>
    </w:pPr>
    <w:rPr>
      <w:rFonts w:ascii="Times New Roman" w:eastAsia="Times New Roman" w:hAnsi="Times New Roman" w:cs="Times New Roman"/>
      <w:kern w:val="0"/>
      <w:sz w:val="24"/>
      <w:szCs w:val="20"/>
      <w:lang w:eastAsia="en-IE"/>
      <w14:ligatures w14:val="none"/>
    </w:rPr>
  </w:style>
  <w:style w:type="paragraph" w:customStyle="1" w:styleId="ZDGName">
    <w:name w:val="Z_DGName"/>
    <w:basedOn w:val="Normal"/>
    <w:semiHidden/>
    <w:rsid w:val="005820F7"/>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semiHidden/>
    <w:rsid w:val="005820F7"/>
    <w:pPr>
      <w:widowControl w:val="0"/>
      <w:spacing w:after="0" w:line="240" w:lineRule="auto"/>
      <w:ind w:right="85"/>
      <w:jc w:val="both"/>
    </w:pPr>
    <w:rPr>
      <w:rFonts w:ascii="Times New Roman" w:eastAsia="Times New Roman" w:hAnsi="Times New Roman" w:cs="Times New Roman"/>
      <w:kern w:val="0"/>
      <w:sz w:val="24"/>
      <w:szCs w:val="20"/>
      <w:lang w:eastAsia="en-IE"/>
      <w14:ligatures w14:val="none"/>
    </w:rPr>
  </w:style>
  <w:style w:type="table" w:customStyle="1" w:styleId="EurolookClassicBlue">
    <w:name w:val="Eurolook Classic Blu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4">
    <w:name w:val="Eurolook Classic Rust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LightBlue">
    <w:name w:val="Eurolook Light Blu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2">
    <w:name w:val="Eurolook Light Blu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3">
    <w:name w:val="Eurolook Light Blu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4">
    <w:name w:val="Eurolook Light Blu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2">
    <w:name w:val="Eurolook Light Grey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3">
    <w:name w:val="Eurolook Light Grey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4">
    <w:name w:val="Eurolook Light Grey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Olive">
    <w:name w:val="Eurolook Light Oliv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5820F7"/>
    <w:pPr>
      <w:spacing w:after="0" w:line="240" w:lineRule="auto"/>
    </w:pPr>
    <w:rPr>
      <w:rFonts w:ascii="Times New Roman" w:eastAsia="Times New Roman" w:hAnsi="Times New Roman" w:cs="Times New Roman"/>
      <w:kern w:val="0"/>
      <w:sz w:val="24"/>
      <w:szCs w:val="20"/>
      <w:lang w:val="en-GB"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5820F7"/>
    <w:tblPr>
      <w:tblInd w:w="482" w:type="dxa"/>
    </w:tblPr>
    <w:tblStylePr w:type="firstRow">
      <w:rPr>
        <w:b/>
      </w:rPr>
      <w:tblPr/>
      <w:trPr>
        <w:cantSplit/>
        <w:tblHeader/>
      </w:trPr>
    </w:tblStylePr>
  </w:style>
  <w:style w:type="table" w:customStyle="1" w:styleId="EurolookTable2">
    <w:name w:val="Eurolook Table 2"/>
    <w:basedOn w:val="EurolookTable"/>
    <w:semiHidden/>
    <w:rsid w:val="005820F7"/>
    <w:tblPr>
      <w:tblInd w:w="1202" w:type="dxa"/>
    </w:tblPr>
    <w:tblStylePr w:type="firstRow">
      <w:rPr>
        <w:b/>
      </w:rPr>
      <w:tblPr/>
      <w:trPr>
        <w:cantSplit/>
        <w:tblHeader/>
      </w:trPr>
    </w:tblStylePr>
  </w:style>
  <w:style w:type="table" w:customStyle="1" w:styleId="EurolookTable3">
    <w:name w:val="Eurolook Table 3"/>
    <w:basedOn w:val="EurolookTable"/>
    <w:semiHidden/>
    <w:rsid w:val="005820F7"/>
    <w:tblPr>
      <w:tblInd w:w="1202" w:type="dxa"/>
    </w:tblPr>
    <w:tblStylePr w:type="firstRow">
      <w:rPr>
        <w:b/>
      </w:rPr>
      <w:tblPr/>
      <w:trPr>
        <w:cantSplit/>
        <w:tblHeader/>
      </w:trPr>
    </w:tblStylePr>
  </w:style>
  <w:style w:type="table" w:customStyle="1" w:styleId="EurolookTable4">
    <w:name w:val="Eurolook Table 4"/>
    <w:basedOn w:val="EurolookTable"/>
    <w:semiHidden/>
    <w:rsid w:val="005820F7"/>
    <w:tblPr>
      <w:tblInd w:w="1202" w:type="dxa"/>
    </w:tblPr>
    <w:tblStylePr w:type="firstRow">
      <w:rPr>
        <w:b/>
      </w:rPr>
      <w:tblPr/>
      <w:trPr>
        <w:cantSplit/>
        <w:tblHeader/>
      </w:trPr>
    </w:tblStylePr>
  </w:style>
  <w:style w:type="table" w:customStyle="1" w:styleId="HelperTableBase">
    <w:name w:val="Helper Table Base"/>
    <w:semiHidden/>
    <w:rsid w:val="005820F7"/>
    <w:pPr>
      <w:spacing w:after="0" w:line="240" w:lineRule="auto"/>
    </w:pPr>
    <w:rPr>
      <w:rFonts w:ascii="Times New Roman" w:eastAsia="Times New Roman" w:hAnsi="Times New Roman" w:cs="Times New Roman"/>
      <w:kern w:val="0"/>
      <w:sz w:val="24"/>
      <w:szCs w:val="20"/>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820F7"/>
    <w:tblPr/>
  </w:style>
  <w:style w:type="table" w:customStyle="1" w:styleId="TableHistory">
    <w:name w:val="Table History"/>
    <w:basedOn w:val="TableNormal"/>
    <w:semiHidden/>
    <w:rsid w:val="005820F7"/>
    <w:pPr>
      <w:spacing w:before="60" w:after="60" w:line="264" w:lineRule="auto"/>
    </w:pPr>
    <w:rPr>
      <w:rFonts w:ascii="Times New Roman" w:eastAsia="Times New Roman" w:hAnsi="Times New Roman" w:cs="Times New Roman"/>
      <w:kern w:val="0"/>
      <w:szCs w:val="20"/>
      <w:lang w:eastAsia="en-IE"/>
      <w14:ligatures w14:val="none"/>
    </w:rPr>
    <w:tblPr/>
  </w:style>
  <w:style w:type="table" w:customStyle="1" w:styleId="TableLetterhead">
    <w:name w:val="Table Letterhead"/>
    <w:basedOn w:val="TableNormal"/>
    <w:semiHidden/>
    <w:rsid w:val="005820F7"/>
    <w:pPr>
      <w:spacing w:after="0" w:line="240" w:lineRule="auto"/>
    </w:pPr>
    <w:rPr>
      <w:rFonts w:ascii="Times New Roman" w:eastAsia="Times New Roman" w:hAnsi="Times New Roman" w:cs="Times New Roman"/>
      <w:kern w:val="0"/>
      <w:sz w:val="24"/>
      <w:szCs w:val="20"/>
      <w:lang w:eastAsia="en-IE"/>
      <w14:ligatures w14:val="none"/>
    </w:rPr>
    <w:tblPr/>
  </w:style>
  <w:style w:type="character" w:customStyle="1" w:styleId="Marker">
    <w:name w:val="Marker"/>
    <w:basedOn w:val="DefaultParagraphFont"/>
    <w:rsid w:val="005820F7"/>
    <w:rPr>
      <w:color w:val="0000FF"/>
      <w:shd w:val="clear" w:color="auto" w:fill="auto"/>
    </w:rPr>
  </w:style>
  <w:style w:type="paragraph" w:customStyle="1" w:styleId="Pagedecouverture">
    <w:name w:val="Page de couverture"/>
    <w:basedOn w:val="Normal"/>
    <w:next w:val="Normal"/>
    <w:link w:val="PagedecouvertureChar"/>
    <w:rsid w:val="005820F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820F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5820F7"/>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5820F7"/>
    <w:rPr>
      <w:rFonts w:ascii="Times New Roman" w:hAnsi="Times New Roman" w:cs="Times New Roman"/>
      <w:kern w:val="0"/>
      <w:sz w:val="24"/>
      <w:lang w:val="ro-RO"/>
      <w14:ligatures w14:val="none"/>
    </w:rPr>
  </w:style>
  <w:style w:type="paragraph" w:customStyle="1" w:styleId="FooterSensitivity">
    <w:name w:val="Footer Sensitivity"/>
    <w:basedOn w:val="Normal"/>
    <w:link w:val="FooterSensitivityChar"/>
    <w:rsid w:val="005820F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5820F7"/>
    <w:rPr>
      <w:rFonts w:ascii="Times New Roman" w:hAnsi="Times New Roman" w:cs="Times New Roman"/>
      <w:b/>
      <w:kern w:val="0"/>
      <w:sz w:val="32"/>
      <w:lang w:val="ro-RO"/>
      <w14:ligatures w14:val="none"/>
    </w:rPr>
  </w:style>
  <w:style w:type="paragraph" w:customStyle="1" w:styleId="HeaderCoverPage">
    <w:name w:val="Header Cover Page"/>
    <w:basedOn w:val="Normal"/>
    <w:link w:val="HeaderCoverPageChar"/>
    <w:rsid w:val="005820F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5820F7"/>
    <w:rPr>
      <w:rFonts w:ascii="Times New Roman" w:hAnsi="Times New Roman" w:cs="Times New Roman"/>
      <w:kern w:val="0"/>
      <w:sz w:val="24"/>
      <w:lang w:val="ro-RO"/>
      <w14:ligatures w14:val="none"/>
    </w:rPr>
  </w:style>
  <w:style w:type="paragraph" w:customStyle="1" w:styleId="HeaderSensitivity">
    <w:name w:val="Header Sensitivity"/>
    <w:basedOn w:val="Normal"/>
    <w:link w:val="HeaderSensitivityChar"/>
    <w:rsid w:val="005820F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5820F7"/>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5D6B4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5820F7"/>
    <w:rPr>
      <w:rFonts w:ascii="Times New Roman" w:hAnsi="Times New Roman" w:cs="Times New Roman"/>
      <w:kern w:val="0"/>
      <w:sz w:val="28"/>
      <w:lang w:val="ro-RO"/>
      <w14:ligatures w14:val="none"/>
    </w:rPr>
  </w:style>
  <w:style w:type="paragraph" w:customStyle="1" w:styleId="Disclaimer">
    <w:name w:val="Disclaimer"/>
    <w:basedOn w:val="Normal"/>
    <w:rsid w:val="005D6B4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D6B4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5D6B4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5D6B4B"/>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5268">
      <w:bodyDiv w:val="1"/>
      <w:marLeft w:val="0"/>
      <w:marRight w:val="0"/>
      <w:marTop w:val="0"/>
      <w:marBottom w:val="0"/>
      <w:divBdr>
        <w:top w:val="none" w:sz="0" w:space="0" w:color="auto"/>
        <w:left w:val="none" w:sz="0" w:space="0" w:color="auto"/>
        <w:bottom w:val="none" w:sz="0" w:space="0" w:color="auto"/>
        <w:right w:val="none" w:sz="0" w:space="0" w:color="auto"/>
      </w:divBdr>
    </w:div>
    <w:div w:id="220793379">
      <w:bodyDiv w:val="1"/>
      <w:marLeft w:val="0"/>
      <w:marRight w:val="0"/>
      <w:marTop w:val="0"/>
      <w:marBottom w:val="0"/>
      <w:divBdr>
        <w:top w:val="none" w:sz="0" w:space="0" w:color="auto"/>
        <w:left w:val="none" w:sz="0" w:space="0" w:color="auto"/>
        <w:bottom w:val="none" w:sz="0" w:space="0" w:color="auto"/>
        <w:right w:val="none" w:sz="0" w:space="0" w:color="auto"/>
      </w:divBdr>
    </w:div>
    <w:div w:id="222109238">
      <w:bodyDiv w:val="1"/>
      <w:marLeft w:val="0"/>
      <w:marRight w:val="0"/>
      <w:marTop w:val="0"/>
      <w:marBottom w:val="0"/>
      <w:divBdr>
        <w:top w:val="none" w:sz="0" w:space="0" w:color="auto"/>
        <w:left w:val="none" w:sz="0" w:space="0" w:color="auto"/>
        <w:bottom w:val="none" w:sz="0" w:space="0" w:color="auto"/>
        <w:right w:val="none" w:sz="0" w:space="0" w:color="auto"/>
      </w:divBdr>
      <w:divsChild>
        <w:div w:id="1066614073">
          <w:marLeft w:val="0"/>
          <w:marRight w:val="0"/>
          <w:marTop w:val="0"/>
          <w:marBottom w:val="0"/>
          <w:divBdr>
            <w:top w:val="none" w:sz="0" w:space="0" w:color="auto"/>
            <w:left w:val="none" w:sz="0" w:space="0" w:color="auto"/>
            <w:bottom w:val="none" w:sz="0" w:space="0" w:color="auto"/>
            <w:right w:val="none" w:sz="0" w:space="0" w:color="auto"/>
          </w:divBdr>
        </w:div>
        <w:div w:id="1115322967">
          <w:marLeft w:val="0"/>
          <w:marRight w:val="0"/>
          <w:marTop w:val="0"/>
          <w:marBottom w:val="0"/>
          <w:divBdr>
            <w:top w:val="none" w:sz="0" w:space="0" w:color="auto"/>
            <w:left w:val="none" w:sz="0" w:space="0" w:color="auto"/>
            <w:bottom w:val="none" w:sz="0" w:space="0" w:color="auto"/>
            <w:right w:val="none" w:sz="0" w:space="0" w:color="auto"/>
          </w:divBdr>
        </w:div>
      </w:divsChild>
    </w:div>
    <w:div w:id="232397840">
      <w:bodyDiv w:val="1"/>
      <w:marLeft w:val="0"/>
      <w:marRight w:val="0"/>
      <w:marTop w:val="0"/>
      <w:marBottom w:val="0"/>
      <w:divBdr>
        <w:top w:val="none" w:sz="0" w:space="0" w:color="auto"/>
        <w:left w:val="none" w:sz="0" w:space="0" w:color="auto"/>
        <w:bottom w:val="none" w:sz="0" w:space="0" w:color="auto"/>
        <w:right w:val="none" w:sz="0" w:space="0" w:color="auto"/>
      </w:divBdr>
    </w:div>
    <w:div w:id="284384266">
      <w:bodyDiv w:val="1"/>
      <w:marLeft w:val="0"/>
      <w:marRight w:val="0"/>
      <w:marTop w:val="0"/>
      <w:marBottom w:val="0"/>
      <w:divBdr>
        <w:top w:val="none" w:sz="0" w:space="0" w:color="auto"/>
        <w:left w:val="none" w:sz="0" w:space="0" w:color="auto"/>
        <w:bottom w:val="none" w:sz="0" w:space="0" w:color="auto"/>
        <w:right w:val="none" w:sz="0" w:space="0" w:color="auto"/>
      </w:divBdr>
    </w:div>
    <w:div w:id="300695032">
      <w:bodyDiv w:val="1"/>
      <w:marLeft w:val="0"/>
      <w:marRight w:val="0"/>
      <w:marTop w:val="0"/>
      <w:marBottom w:val="0"/>
      <w:divBdr>
        <w:top w:val="none" w:sz="0" w:space="0" w:color="auto"/>
        <w:left w:val="none" w:sz="0" w:space="0" w:color="auto"/>
        <w:bottom w:val="none" w:sz="0" w:space="0" w:color="auto"/>
        <w:right w:val="none" w:sz="0" w:space="0" w:color="auto"/>
      </w:divBdr>
    </w:div>
    <w:div w:id="443039941">
      <w:bodyDiv w:val="1"/>
      <w:marLeft w:val="0"/>
      <w:marRight w:val="0"/>
      <w:marTop w:val="0"/>
      <w:marBottom w:val="0"/>
      <w:divBdr>
        <w:top w:val="none" w:sz="0" w:space="0" w:color="auto"/>
        <w:left w:val="none" w:sz="0" w:space="0" w:color="auto"/>
        <w:bottom w:val="none" w:sz="0" w:space="0" w:color="auto"/>
        <w:right w:val="none" w:sz="0" w:space="0" w:color="auto"/>
      </w:divBdr>
    </w:div>
    <w:div w:id="531769266">
      <w:bodyDiv w:val="1"/>
      <w:marLeft w:val="0"/>
      <w:marRight w:val="0"/>
      <w:marTop w:val="0"/>
      <w:marBottom w:val="0"/>
      <w:divBdr>
        <w:top w:val="none" w:sz="0" w:space="0" w:color="auto"/>
        <w:left w:val="none" w:sz="0" w:space="0" w:color="auto"/>
        <w:bottom w:val="none" w:sz="0" w:space="0" w:color="auto"/>
        <w:right w:val="none" w:sz="0" w:space="0" w:color="auto"/>
      </w:divBdr>
    </w:div>
    <w:div w:id="567149775">
      <w:bodyDiv w:val="1"/>
      <w:marLeft w:val="0"/>
      <w:marRight w:val="0"/>
      <w:marTop w:val="0"/>
      <w:marBottom w:val="0"/>
      <w:divBdr>
        <w:top w:val="none" w:sz="0" w:space="0" w:color="auto"/>
        <w:left w:val="none" w:sz="0" w:space="0" w:color="auto"/>
        <w:bottom w:val="none" w:sz="0" w:space="0" w:color="auto"/>
        <w:right w:val="none" w:sz="0" w:space="0" w:color="auto"/>
      </w:divBdr>
    </w:div>
    <w:div w:id="638145281">
      <w:bodyDiv w:val="1"/>
      <w:marLeft w:val="0"/>
      <w:marRight w:val="0"/>
      <w:marTop w:val="0"/>
      <w:marBottom w:val="0"/>
      <w:divBdr>
        <w:top w:val="none" w:sz="0" w:space="0" w:color="auto"/>
        <w:left w:val="none" w:sz="0" w:space="0" w:color="auto"/>
        <w:bottom w:val="none" w:sz="0" w:space="0" w:color="auto"/>
        <w:right w:val="none" w:sz="0" w:space="0" w:color="auto"/>
      </w:divBdr>
    </w:div>
    <w:div w:id="688411885">
      <w:bodyDiv w:val="1"/>
      <w:marLeft w:val="0"/>
      <w:marRight w:val="0"/>
      <w:marTop w:val="0"/>
      <w:marBottom w:val="0"/>
      <w:divBdr>
        <w:top w:val="none" w:sz="0" w:space="0" w:color="auto"/>
        <w:left w:val="none" w:sz="0" w:space="0" w:color="auto"/>
        <w:bottom w:val="none" w:sz="0" w:space="0" w:color="auto"/>
        <w:right w:val="none" w:sz="0" w:space="0" w:color="auto"/>
      </w:divBdr>
    </w:div>
    <w:div w:id="831137158">
      <w:bodyDiv w:val="1"/>
      <w:marLeft w:val="0"/>
      <w:marRight w:val="0"/>
      <w:marTop w:val="0"/>
      <w:marBottom w:val="0"/>
      <w:divBdr>
        <w:top w:val="none" w:sz="0" w:space="0" w:color="auto"/>
        <w:left w:val="none" w:sz="0" w:space="0" w:color="auto"/>
        <w:bottom w:val="none" w:sz="0" w:space="0" w:color="auto"/>
        <w:right w:val="none" w:sz="0" w:space="0" w:color="auto"/>
      </w:divBdr>
    </w:div>
    <w:div w:id="884297171">
      <w:bodyDiv w:val="1"/>
      <w:marLeft w:val="0"/>
      <w:marRight w:val="0"/>
      <w:marTop w:val="0"/>
      <w:marBottom w:val="0"/>
      <w:divBdr>
        <w:top w:val="none" w:sz="0" w:space="0" w:color="auto"/>
        <w:left w:val="none" w:sz="0" w:space="0" w:color="auto"/>
        <w:bottom w:val="none" w:sz="0" w:space="0" w:color="auto"/>
        <w:right w:val="none" w:sz="0" w:space="0" w:color="auto"/>
      </w:divBdr>
    </w:div>
    <w:div w:id="959261481">
      <w:bodyDiv w:val="1"/>
      <w:marLeft w:val="0"/>
      <w:marRight w:val="0"/>
      <w:marTop w:val="0"/>
      <w:marBottom w:val="0"/>
      <w:divBdr>
        <w:top w:val="none" w:sz="0" w:space="0" w:color="auto"/>
        <w:left w:val="none" w:sz="0" w:space="0" w:color="auto"/>
        <w:bottom w:val="none" w:sz="0" w:space="0" w:color="auto"/>
        <w:right w:val="none" w:sz="0" w:space="0" w:color="auto"/>
      </w:divBdr>
    </w:div>
    <w:div w:id="1070228707">
      <w:bodyDiv w:val="1"/>
      <w:marLeft w:val="0"/>
      <w:marRight w:val="0"/>
      <w:marTop w:val="0"/>
      <w:marBottom w:val="0"/>
      <w:divBdr>
        <w:top w:val="none" w:sz="0" w:space="0" w:color="auto"/>
        <w:left w:val="none" w:sz="0" w:space="0" w:color="auto"/>
        <w:bottom w:val="none" w:sz="0" w:space="0" w:color="auto"/>
        <w:right w:val="none" w:sz="0" w:space="0" w:color="auto"/>
      </w:divBdr>
      <w:divsChild>
        <w:div w:id="218900709">
          <w:marLeft w:val="0"/>
          <w:marRight w:val="0"/>
          <w:marTop w:val="0"/>
          <w:marBottom w:val="0"/>
          <w:divBdr>
            <w:top w:val="none" w:sz="0" w:space="0" w:color="auto"/>
            <w:left w:val="none" w:sz="0" w:space="0" w:color="auto"/>
            <w:bottom w:val="none" w:sz="0" w:space="0" w:color="auto"/>
            <w:right w:val="none" w:sz="0" w:space="0" w:color="auto"/>
          </w:divBdr>
        </w:div>
        <w:div w:id="465318171">
          <w:marLeft w:val="0"/>
          <w:marRight w:val="0"/>
          <w:marTop w:val="0"/>
          <w:marBottom w:val="0"/>
          <w:divBdr>
            <w:top w:val="none" w:sz="0" w:space="0" w:color="auto"/>
            <w:left w:val="none" w:sz="0" w:space="0" w:color="auto"/>
            <w:bottom w:val="none" w:sz="0" w:space="0" w:color="auto"/>
            <w:right w:val="none" w:sz="0" w:space="0" w:color="auto"/>
          </w:divBdr>
        </w:div>
        <w:div w:id="766387393">
          <w:marLeft w:val="0"/>
          <w:marRight w:val="0"/>
          <w:marTop w:val="0"/>
          <w:marBottom w:val="0"/>
          <w:divBdr>
            <w:top w:val="none" w:sz="0" w:space="0" w:color="auto"/>
            <w:left w:val="none" w:sz="0" w:space="0" w:color="auto"/>
            <w:bottom w:val="none" w:sz="0" w:space="0" w:color="auto"/>
            <w:right w:val="none" w:sz="0" w:space="0" w:color="auto"/>
          </w:divBdr>
        </w:div>
        <w:div w:id="1888183635">
          <w:marLeft w:val="0"/>
          <w:marRight w:val="0"/>
          <w:marTop w:val="0"/>
          <w:marBottom w:val="0"/>
          <w:divBdr>
            <w:top w:val="none" w:sz="0" w:space="0" w:color="auto"/>
            <w:left w:val="none" w:sz="0" w:space="0" w:color="auto"/>
            <w:bottom w:val="none" w:sz="0" w:space="0" w:color="auto"/>
            <w:right w:val="none" w:sz="0" w:space="0" w:color="auto"/>
          </w:divBdr>
        </w:div>
        <w:div w:id="1931812704">
          <w:marLeft w:val="0"/>
          <w:marRight w:val="0"/>
          <w:marTop w:val="0"/>
          <w:marBottom w:val="0"/>
          <w:divBdr>
            <w:top w:val="none" w:sz="0" w:space="0" w:color="auto"/>
            <w:left w:val="none" w:sz="0" w:space="0" w:color="auto"/>
            <w:bottom w:val="none" w:sz="0" w:space="0" w:color="auto"/>
            <w:right w:val="none" w:sz="0" w:space="0" w:color="auto"/>
          </w:divBdr>
        </w:div>
      </w:divsChild>
    </w:div>
    <w:div w:id="1137336400">
      <w:bodyDiv w:val="1"/>
      <w:marLeft w:val="0"/>
      <w:marRight w:val="0"/>
      <w:marTop w:val="0"/>
      <w:marBottom w:val="0"/>
      <w:divBdr>
        <w:top w:val="none" w:sz="0" w:space="0" w:color="auto"/>
        <w:left w:val="none" w:sz="0" w:space="0" w:color="auto"/>
        <w:bottom w:val="none" w:sz="0" w:space="0" w:color="auto"/>
        <w:right w:val="none" w:sz="0" w:space="0" w:color="auto"/>
      </w:divBdr>
    </w:div>
    <w:div w:id="1277978931">
      <w:bodyDiv w:val="1"/>
      <w:marLeft w:val="0"/>
      <w:marRight w:val="0"/>
      <w:marTop w:val="0"/>
      <w:marBottom w:val="0"/>
      <w:divBdr>
        <w:top w:val="none" w:sz="0" w:space="0" w:color="auto"/>
        <w:left w:val="none" w:sz="0" w:space="0" w:color="auto"/>
        <w:bottom w:val="none" w:sz="0" w:space="0" w:color="auto"/>
        <w:right w:val="none" w:sz="0" w:space="0" w:color="auto"/>
      </w:divBdr>
      <w:divsChild>
        <w:div w:id="5136822">
          <w:marLeft w:val="0"/>
          <w:marRight w:val="0"/>
          <w:marTop w:val="0"/>
          <w:marBottom w:val="0"/>
          <w:divBdr>
            <w:top w:val="none" w:sz="0" w:space="0" w:color="auto"/>
            <w:left w:val="none" w:sz="0" w:space="0" w:color="auto"/>
            <w:bottom w:val="none" w:sz="0" w:space="0" w:color="auto"/>
            <w:right w:val="none" w:sz="0" w:space="0" w:color="auto"/>
          </w:divBdr>
        </w:div>
        <w:div w:id="46223828">
          <w:marLeft w:val="0"/>
          <w:marRight w:val="0"/>
          <w:marTop w:val="0"/>
          <w:marBottom w:val="0"/>
          <w:divBdr>
            <w:top w:val="none" w:sz="0" w:space="0" w:color="auto"/>
            <w:left w:val="none" w:sz="0" w:space="0" w:color="auto"/>
            <w:bottom w:val="none" w:sz="0" w:space="0" w:color="auto"/>
            <w:right w:val="none" w:sz="0" w:space="0" w:color="auto"/>
          </w:divBdr>
        </w:div>
        <w:div w:id="510031943">
          <w:marLeft w:val="0"/>
          <w:marRight w:val="0"/>
          <w:marTop w:val="0"/>
          <w:marBottom w:val="0"/>
          <w:divBdr>
            <w:top w:val="none" w:sz="0" w:space="0" w:color="auto"/>
            <w:left w:val="none" w:sz="0" w:space="0" w:color="auto"/>
            <w:bottom w:val="none" w:sz="0" w:space="0" w:color="auto"/>
            <w:right w:val="none" w:sz="0" w:space="0" w:color="auto"/>
          </w:divBdr>
        </w:div>
        <w:div w:id="589697112">
          <w:marLeft w:val="0"/>
          <w:marRight w:val="0"/>
          <w:marTop w:val="0"/>
          <w:marBottom w:val="0"/>
          <w:divBdr>
            <w:top w:val="none" w:sz="0" w:space="0" w:color="auto"/>
            <w:left w:val="none" w:sz="0" w:space="0" w:color="auto"/>
            <w:bottom w:val="none" w:sz="0" w:space="0" w:color="auto"/>
            <w:right w:val="none" w:sz="0" w:space="0" w:color="auto"/>
          </w:divBdr>
        </w:div>
        <w:div w:id="2051951985">
          <w:marLeft w:val="0"/>
          <w:marRight w:val="0"/>
          <w:marTop w:val="0"/>
          <w:marBottom w:val="0"/>
          <w:divBdr>
            <w:top w:val="none" w:sz="0" w:space="0" w:color="auto"/>
            <w:left w:val="none" w:sz="0" w:space="0" w:color="auto"/>
            <w:bottom w:val="none" w:sz="0" w:space="0" w:color="auto"/>
            <w:right w:val="none" w:sz="0" w:space="0" w:color="auto"/>
          </w:divBdr>
        </w:div>
      </w:divsChild>
    </w:div>
    <w:div w:id="1385374114">
      <w:bodyDiv w:val="1"/>
      <w:marLeft w:val="0"/>
      <w:marRight w:val="0"/>
      <w:marTop w:val="0"/>
      <w:marBottom w:val="0"/>
      <w:divBdr>
        <w:top w:val="none" w:sz="0" w:space="0" w:color="auto"/>
        <w:left w:val="none" w:sz="0" w:space="0" w:color="auto"/>
        <w:bottom w:val="none" w:sz="0" w:space="0" w:color="auto"/>
        <w:right w:val="none" w:sz="0" w:space="0" w:color="auto"/>
      </w:divBdr>
    </w:div>
    <w:div w:id="1419015219">
      <w:bodyDiv w:val="1"/>
      <w:marLeft w:val="0"/>
      <w:marRight w:val="0"/>
      <w:marTop w:val="0"/>
      <w:marBottom w:val="0"/>
      <w:divBdr>
        <w:top w:val="none" w:sz="0" w:space="0" w:color="auto"/>
        <w:left w:val="none" w:sz="0" w:space="0" w:color="auto"/>
        <w:bottom w:val="none" w:sz="0" w:space="0" w:color="auto"/>
        <w:right w:val="none" w:sz="0" w:space="0" w:color="auto"/>
      </w:divBdr>
      <w:divsChild>
        <w:div w:id="889339180">
          <w:marLeft w:val="0"/>
          <w:marRight w:val="0"/>
          <w:marTop w:val="0"/>
          <w:marBottom w:val="0"/>
          <w:divBdr>
            <w:top w:val="none" w:sz="0" w:space="0" w:color="auto"/>
            <w:left w:val="none" w:sz="0" w:space="0" w:color="auto"/>
            <w:bottom w:val="none" w:sz="0" w:space="0" w:color="auto"/>
            <w:right w:val="none" w:sz="0" w:space="0" w:color="auto"/>
          </w:divBdr>
        </w:div>
        <w:div w:id="2015262850">
          <w:marLeft w:val="0"/>
          <w:marRight w:val="0"/>
          <w:marTop w:val="0"/>
          <w:marBottom w:val="0"/>
          <w:divBdr>
            <w:top w:val="none" w:sz="0" w:space="0" w:color="auto"/>
            <w:left w:val="none" w:sz="0" w:space="0" w:color="auto"/>
            <w:bottom w:val="none" w:sz="0" w:space="0" w:color="auto"/>
            <w:right w:val="none" w:sz="0" w:space="0" w:color="auto"/>
          </w:divBdr>
        </w:div>
      </w:divsChild>
    </w:div>
    <w:div w:id="1455756017">
      <w:bodyDiv w:val="1"/>
      <w:marLeft w:val="0"/>
      <w:marRight w:val="0"/>
      <w:marTop w:val="0"/>
      <w:marBottom w:val="0"/>
      <w:divBdr>
        <w:top w:val="none" w:sz="0" w:space="0" w:color="auto"/>
        <w:left w:val="none" w:sz="0" w:space="0" w:color="auto"/>
        <w:bottom w:val="none" w:sz="0" w:space="0" w:color="auto"/>
        <w:right w:val="none" w:sz="0" w:space="0" w:color="auto"/>
      </w:divBdr>
    </w:div>
    <w:div w:id="1463960215">
      <w:bodyDiv w:val="1"/>
      <w:marLeft w:val="0"/>
      <w:marRight w:val="0"/>
      <w:marTop w:val="0"/>
      <w:marBottom w:val="0"/>
      <w:divBdr>
        <w:top w:val="none" w:sz="0" w:space="0" w:color="auto"/>
        <w:left w:val="none" w:sz="0" w:space="0" w:color="auto"/>
        <w:bottom w:val="none" w:sz="0" w:space="0" w:color="auto"/>
        <w:right w:val="none" w:sz="0" w:space="0" w:color="auto"/>
      </w:divBdr>
    </w:div>
    <w:div w:id="1487824370">
      <w:bodyDiv w:val="1"/>
      <w:marLeft w:val="0"/>
      <w:marRight w:val="0"/>
      <w:marTop w:val="0"/>
      <w:marBottom w:val="0"/>
      <w:divBdr>
        <w:top w:val="none" w:sz="0" w:space="0" w:color="auto"/>
        <w:left w:val="none" w:sz="0" w:space="0" w:color="auto"/>
        <w:bottom w:val="none" w:sz="0" w:space="0" w:color="auto"/>
        <w:right w:val="none" w:sz="0" w:space="0" w:color="auto"/>
      </w:divBdr>
    </w:div>
    <w:div w:id="1550454389">
      <w:bodyDiv w:val="1"/>
      <w:marLeft w:val="0"/>
      <w:marRight w:val="0"/>
      <w:marTop w:val="0"/>
      <w:marBottom w:val="0"/>
      <w:divBdr>
        <w:top w:val="none" w:sz="0" w:space="0" w:color="auto"/>
        <w:left w:val="none" w:sz="0" w:space="0" w:color="auto"/>
        <w:bottom w:val="none" w:sz="0" w:space="0" w:color="auto"/>
        <w:right w:val="none" w:sz="0" w:space="0" w:color="auto"/>
      </w:divBdr>
    </w:div>
    <w:div w:id="1578662169">
      <w:bodyDiv w:val="1"/>
      <w:marLeft w:val="0"/>
      <w:marRight w:val="0"/>
      <w:marTop w:val="0"/>
      <w:marBottom w:val="0"/>
      <w:divBdr>
        <w:top w:val="none" w:sz="0" w:space="0" w:color="auto"/>
        <w:left w:val="none" w:sz="0" w:space="0" w:color="auto"/>
        <w:bottom w:val="none" w:sz="0" w:space="0" w:color="auto"/>
        <w:right w:val="none" w:sz="0" w:space="0" w:color="auto"/>
      </w:divBdr>
    </w:div>
    <w:div w:id="1634673679">
      <w:bodyDiv w:val="1"/>
      <w:marLeft w:val="0"/>
      <w:marRight w:val="0"/>
      <w:marTop w:val="0"/>
      <w:marBottom w:val="0"/>
      <w:divBdr>
        <w:top w:val="none" w:sz="0" w:space="0" w:color="auto"/>
        <w:left w:val="none" w:sz="0" w:space="0" w:color="auto"/>
        <w:bottom w:val="none" w:sz="0" w:space="0" w:color="auto"/>
        <w:right w:val="none" w:sz="0" w:space="0" w:color="auto"/>
      </w:divBdr>
    </w:div>
    <w:div w:id="1654212746">
      <w:bodyDiv w:val="1"/>
      <w:marLeft w:val="0"/>
      <w:marRight w:val="0"/>
      <w:marTop w:val="0"/>
      <w:marBottom w:val="0"/>
      <w:divBdr>
        <w:top w:val="none" w:sz="0" w:space="0" w:color="auto"/>
        <w:left w:val="none" w:sz="0" w:space="0" w:color="auto"/>
        <w:bottom w:val="none" w:sz="0" w:space="0" w:color="auto"/>
        <w:right w:val="none" w:sz="0" w:space="0" w:color="auto"/>
      </w:divBdr>
    </w:div>
    <w:div w:id="1711414177">
      <w:bodyDiv w:val="1"/>
      <w:marLeft w:val="0"/>
      <w:marRight w:val="0"/>
      <w:marTop w:val="0"/>
      <w:marBottom w:val="0"/>
      <w:divBdr>
        <w:top w:val="none" w:sz="0" w:space="0" w:color="auto"/>
        <w:left w:val="none" w:sz="0" w:space="0" w:color="auto"/>
        <w:bottom w:val="none" w:sz="0" w:space="0" w:color="auto"/>
        <w:right w:val="none" w:sz="0" w:space="0" w:color="auto"/>
      </w:divBdr>
    </w:div>
    <w:div w:id="1748376631">
      <w:bodyDiv w:val="1"/>
      <w:marLeft w:val="0"/>
      <w:marRight w:val="0"/>
      <w:marTop w:val="0"/>
      <w:marBottom w:val="0"/>
      <w:divBdr>
        <w:top w:val="none" w:sz="0" w:space="0" w:color="auto"/>
        <w:left w:val="none" w:sz="0" w:space="0" w:color="auto"/>
        <w:bottom w:val="none" w:sz="0" w:space="0" w:color="auto"/>
        <w:right w:val="none" w:sz="0" w:space="0" w:color="auto"/>
      </w:divBdr>
    </w:div>
    <w:div w:id="1778720509">
      <w:bodyDiv w:val="1"/>
      <w:marLeft w:val="0"/>
      <w:marRight w:val="0"/>
      <w:marTop w:val="0"/>
      <w:marBottom w:val="0"/>
      <w:divBdr>
        <w:top w:val="none" w:sz="0" w:space="0" w:color="auto"/>
        <w:left w:val="none" w:sz="0" w:space="0" w:color="auto"/>
        <w:bottom w:val="none" w:sz="0" w:space="0" w:color="auto"/>
        <w:right w:val="none" w:sz="0" w:space="0" w:color="auto"/>
      </w:divBdr>
    </w:div>
    <w:div w:id="1853757476">
      <w:bodyDiv w:val="1"/>
      <w:marLeft w:val="0"/>
      <w:marRight w:val="0"/>
      <w:marTop w:val="0"/>
      <w:marBottom w:val="0"/>
      <w:divBdr>
        <w:top w:val="none" w:sz="0" w:space="0" w:color="auto"/>
        <w:left w:val="none" w:sz="0" w:space="0" w:color="auto"/>
        <w:bottom w:val="none" w:sz="0" w:space="0" w:color="auto"/>
        <w:right w:val="none" w:sz="0" w:space="0" w:color="auto"/>
      </w:divBdr>
    </w:div>
    <w:div w:id="1928003771">
      <w:bodyDiv w:val="1"/>
      <w:marLeft w:val="0"/>
      <w:marRight w:val="0"/>
      <w:marTop w:val="0"/>
      <w:marBottom w:val="0"/>
      <w:divBdr>
        <w:top w:val="none" w:sz="0" w:space="0" w:color="auto"/>
        <w:left w:val="none" w:sz="0" w:space="0" w:color="auto"/>
        <w:bottom w:val="none" w:sz="0" w:space="0" w:color="auto"/>
        <w:right w:val="none" w:sz="0" w:space="0" w:color="auto"/>
      </w:divBdr>
    </w:div>
    <w:div w:id="1990547754">
      <w:bodyDiv w:val="1"/>
      <w:marLeft w:val="0"/>
      <w:marRight w:val="0"/>
      <w:marTop w:val="0"/>
      <w:marBottom w:val="0"/>
      <w:divBdr>
        <w:top w:val="none" w:sz="0" w:space="0" w:color="auto"/>
        <w:left w:val="none" w:sz="0" w:space="0" w:color="auto"/>
        <w:bottom w:val="none" w:sz="0" w:space="0" w:color="auto"/>
        <w:right w:val="none" w:sz="0" w:space="0" w:color="auto"/>
      </w:divBdr>
    </w:div>
    <w:div w:id="2012952823">
      <w:bodyDiv w:val="1"/>
      <w:marLeft w:val="0"/>
      <w:marRight w:val="0"/>
      <w:marTop w:val="0"/>
      <w:marBottom w:val="0"/>
      <w:divBdr>
        <w:top w:val="none" w:sz="0" w:space="0" w:color="auto"/>
        <w:left w:val="none" w:sz="0" w:space="0" w:color="auto"/>
        <w:bottom w:val="none" w:sz="0" w:space="0" w:color="auto"/>
        <w:right w:val="none" w:sz="0" w:space="0" w:color="auto"/>
      </w:divBdr>
    </w:div>
    <w:div w:id="2088919593">
      <w:bodyDiv w:val="1"/>
      <w:marLeft w:val="0"/>
      <w:marRight w:val="0"/>
      <w:marTop w:val="0"/>
      <w:marBottom w:val="0"/>
      <w:divBdr>
        <w:top w:val="none" w:sz="0" w:space="0" w:color="auto"/>
        <w:left w:val="none" w:sz="0" w:space="0" w:color="auto"/>
        <w:bottom w:val="none" w:sz="0" w:space="0" w:color="auto"/>
        <w:right w:val="none" w:sz="0" w:space="0" w:color="auto"/>
      </w:divBdr>
    </w:div>
    <w:div w:id="211937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griculture.ec.europa.eu/common-agricultural-policy/cap-overview/cap-2023-27_r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2649/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10.0.47847.0</Version>
    <Date>2025-10-24T15:07:58</Date>
    <Language>EN</Language>
    <Note/>
  </Created>
  <Edited>
    <Version/>
    <Date/>
  </Edited>
  <DocumentModel>
    <Id>6cbda13a-4db2-46c6-876a-ef72275827ef</Id>
    <Name>Report</Name>
  </DocumentModel>
  <CustomTemplate>
    <Id/>
    <Name/>
  </CustomTemplate>
  <DocumentDate>2025-10-24T15:07:58</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3.xml><?xml version="1.0" encoding="utf-8"?>
<Author Role="Creator" AuthorRoleName="Writer" AuthorRoleDisplayName="Writer" AuthorRoleId="a4fbaff4-b07c-48b4-a21e-e7b9eedf3796">
  <Id>d5be51d8-bc80-46c6-9337-594c6e41e936</Id>
  <Names>
    <Latin>
      <FirstName>Isabelle</FirstName>
      <LastName>MUQUET</LastName>
    </Latin>
    <Greek>
      <FirstName/>
      <LastName/>
    </Greek>
    <Cyrillic>
      <FirstName/>
      <LastName/>
    </Cyrillic>
    <DocumentScript>
      <FirstName>Isabelle</FirstName>
      <LastName>MUQUET</LastName>
      <FullName>Isabelle MUQUET</FullName>
    </DocumentScript>
  </Names>
  <Initials>IM</Initials>
  <Gender>f</Gender>
  <Email>Isabelle.MUQUET@ec.europa.eu</Email>
  <Service>AGRI.A.3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2>
  <OrgaEntity3>
    <Id>d618432b-a67d-42c3-8c50-d5faa0e2abc5</Id>
    <LogicalLevel>3</LogicalLevel>
    <Name>AGRI.A.3</Name>
    <HeadLine1>A.3 – Policy performance</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
    <OrgaEntity>
      <Id>d618432b-a67d-42c3-8c50-d5faa0e2abc5</Id>
      <LogicalLevel>3</LogicalLevel>
      <Name>AGRI.A.3</Name>
      <HeadLine1>A.3 – Policy performance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+32 229-59434</Phone>
    <Office>L130 06/068</Office>
  </MainWorkplace>
  <Workplaces>
    <Workplace IsMain="true">
      <AddressId>f03b5801-04c9-4931-aa17-c6d6c70bc579</AddressId>
      <Fax/>
      <Phone>+32 229-59434</Phone>
      <Office>L130 06/068</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0C5E3586-FD86-40C2-88A3-1435D49A7DA1}">
  <ds:schemaRefs/>
</ds:datastoreItem>
</file>

<file path=customXml/itemProps4.xml><?xml version="1.0" encoding="utf-8"?>
<ds:datastoreItem xmlns:ds="http://schemas.openxmlformats.org/officeDocument/2006/customXml" ds:itemID="{03DD9163-ECB4-429C-9F57-96B569DD3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5800</Words>
  <Characters>33060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2026-01-19T06:49:00Z</dcterms:created>
  <dcterms:modified xsi:type="dcterms:W3CDTF">2026-01-21T07:31:00Z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2025-11-25T17:32:43Z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ae6f17cd-2980-4b3c-9a92-ee99b34060c7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ies>
</file>