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9991D" w14:textId="01294962" w:rsidR="00391E27" w:rsidRDefault="005751D8" w:rsidP="005751D8">
      <w:pPr>
        <w:pStyle w:val="Pagedecouverture"/>
        <w:rPr>
          <w:noProof/>
        </w:rPr>
      </w:pPr>
      <w:bookmarkStart w:id="0" w:name="LW_BM_COVERPAGE"/>
      <w:r>
        <w:rPr>
          <w:noProof/>
        </w:rPr>
        <w:pict w14:anchorId="75396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FD3463-2133-4E16-80D6-1ABABF2CD007" style="width:455.25pt;height:401.25pt">
            <v:imagedata r:id="rId7" o:title=""/>
          </v:shape>
        </w:pict>
      </w:r>
    </w:p>
    <w:bookmarkEnd w:id="0"/>
    <w:p w14:paraId="167BD94F" w14:textId="77777777" w:rsidR="00E128BE" w:rsidRDefault="00E128BE" w:rsidP="00E128BE">
      <w:pPr>
        <w:rPr>
          <w:noProof/>
          <w:lang w:val="en-IE"/>
        </w:rPr>
        <w:sectPr w:rsidR="00E128BE" w:rsidSect="005751D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7147FC26" w14:textId="0BAF6676" w:rsidR="00365813" w:rsidRPr="00E04863" w:rsidRDefault="18EB93D7" w:rsidP="6CCB2203">
      <w:pPr>
        <w:spacing w:after="240" w:line="240" w:lineRule="auto"/>
        <w:jc w:val="center"/>
        <w:rPr>
          <w:rFonts w:ascii="Times New Roman" w:eastAsia="Times New Roman" w:hAnsi="Times New Roman" w:cs="Times New Roman"/>
          <w:noProof/>
          <w:sz w:val="24"/>
          <w:szCs w:val="24"/>
        </w:rPr>
      </w:pPr>
      <w:bookmarkStart w:id="1" w:name="_GoBack"/>
      <w:bookmarkEnd w:id="1"/>
      <w:r>
        <w:rPr>
          <w:rFonts w:ascii="Times New Roman" w:hAnsi="Times New Roman"/>
          <w:b/>
          <w:noProof/>
          <w:color w:val="000000" w:themeColor="text1"/>
          <w:sz w:val="24"/>
        </w:rPr>
        <w:lastRenderedPageBreak/>
        <w:t>ANEXA I</w:t>
      </w:r>
    </w:p>
    <w:p w14:paraId="1D6D4F8B" w14:textId="77953A10" w:rsidR="00365813" w:rsidRPr="00E04863" w:rsidRDefault="00365813" w:rsidP="00E04863">
      <w:pPr>
        <w:spacing w:after="240" w:line="240" w:lineRule="auto"/>
        <w:jc w:val="center"/>
        <w:rPr>
          <w:rFonts w:ascii="Times New Roman" w:hAnsi="Times New Roman" w:cs="Times New Roman"/>
          <w:noProof/>
          <w:sz w:val="24"/>
          <w:szCs w:val="24"/>
        </w:rPr>
      </w:pPr>
      <w:r>
        <w:rPr>
          <w:rFonts w:ascii="Times New Roman" w:hAnsi="Times New Roman"/>
          <w:b/>
          <w:noProof/>
          <w:sz w:val="24"/>
        </w:rPr>
        <w:t>Planul de acțiune pentru revizuirea în profunzime a reglementărilor</w:t>
      </w:r>
    </w:p>
    <w:p w14:paraId="1FF75A5B" w14:textId="77777777"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Comisia continuă să promoveze inițiative ambițioase care oferă beneficii cetățenilor și întreprinderilor, susținând standardele ridicate ale Uniunii. În completarea acestor eforturi, simplificarea legislației UE, reducerea la minimum a sarcinii de reglementare, abordarea inconsecvențelor și a provocărilor în materie de punere în aplicare sunt, de asemenea, importante pentru atingerea obiectivelor de politică ale Uniunii. </w:t>
      </w:r>
    </w:p>
    <w:p w14:paraId="6F5206F5" w14:textId="77777777"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Extinderea treptată a corpusului legislativ al UE a contribuit în mod semnificativ la atingerea obiectivelor-cheie de politică, răspunzând noilor provocări și realităților în continuă evoluție. În același timp, ritmul și amploarea sa au sporit necesitatea de a asigura coerența și consecvența, de a evita suprapunerile și de a se asigura că normele își îndeplinesc obiectivele preconizate cu o eficiență ridicată.</w:t>
      </w:r>
    </w:p>
    <w:p w14:paraId="38E1E428" w14:textId="5EAF393C"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Din acest motiv, fiecare membru al colegiului efectuează o examinare cuprinzătoare a legislației UE aflate în responsabilitatea sa. Membrii colegiului testează rezistența tuturor domeniilor de politică pentru a facilita punerea în aplicare a dreptului UE și pentru crește gradul de eficiență a punerii în aplicare. </w:t>
      </w:r>
    </w:p>
    <w:p w14:paraId="4CFAB5D0" w14:textId="53802A53"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 această bază, Comisia a anunțat în februarie </w:t>
      </w:r>
      <w:r w:rsidRPr="00CC7EC0">
        <w:rPr>
          <w:rFonts w:ascii="Times New Roman" w:hAnsi="Times New Roman"/>
          <w:noProof/>
          <w:sz w:val="24"/>
        </w:rPr>
        <w:t>2026</w:t>
      </w:r>
      <w:r>
        <w:rPr>
          <w:rFonts w:ascii="Times New Roman" w:hAnsi="Times New Roman"/>
          <w:noProof/>
          <w:sz w:val="24"/>
        </w:rPr>
        <w:t xml:space="preserve"> că va efectua o revizuire în profunzime a reglementărilor. Acest exercițiu va contribui la asigurarea unei mai bune eficiențe de reglementare a corpusului legislativ al UE în domeniile prioritare. Obiectivul său general este de a moderniza și de a simplifica aceste domenii pentru a se asigura că sunt adecvate scopului, îmbunătățind transparența, reducând sarcinile și promovând previzibilitatea pentru a consolida competitivitatea și inovarea. </w:t>
      </w:r>
    </w:p>
    <w:p w14:paraId="491DB9E3" w14:textId="7D35EF06"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Planul de acțiune prezintă acțiuni strategice în </w:t>
      </w:r>
      <w:r w:rsidRPr="00CC7EC0">
        <w:rPr>
          <w:rFonts w:ascii="Times New Roman" w:hAnsi="Times New Roman"/>
          <w:noProof/>
          <w:sz w:val="24"/>
        </w:rPr>
        <w:t>12</w:t>
      </w:r>
      <w:r>
        <w:rPr>
          <w:rFonts w:ascii="Times New Roman" w:hAnsi="Times New Roman"/>
          <w:noProof/>
          <w:sz w:val="24"/>
        </w:rPr>
        <w:t xml:space="preserve"> domenii-cheie de politică – libera circulație a mărfurilor și serviciilor, serviciile financiare și sectorul bancar, Uniunea vamală, fiscalitatea, sănătatea și siguranța alimentară, agricultura, transporturile, energia, clima, mediul, sectorul digital și locuințele și autorizarea. Aceste domenii vor fi examinate cu prioritate în </w:t>
      </w:r>
      <w:r w:rsidRPr="00CC7EC0">
        <w:rPr>
          <w:rFonts w:ascii="Times New Roman" w:hAnsi="Times New Roman"/>
          <w:noProof/>
          <w:sz w:val="24"/>
        </w:rPr>
        <w:t>2026</w:t>
      </w:r>
      <w:r>
        <w:rPr>
          <w:rFonts w:ascii="Times New Roman" w:hAnsi="Times New Roman"/>
          <w:noProof/>
          <w:sz w:val="24"/>
        </w:rPr>
        <w:t xml:space="preserve"> și </w:t>
      </w:r>
      <w:r w:rsidRPr="00CC7EC0">
        <w:rPr>
          <w:rFonts w:ascii="Times New Roman" w:hAnsi="Times New Roman"/>
          <w:noProof/>
          <w:sz w:val="24"/>
        </w:rPr>
        <w:t>2027</w:t>
      </w:r>
      <w:r>
        <w:rPr>
          <w:rFonts w:ascii="Times New Roman" w:hAnsi="Times New Roman"/>
          <w:noProof/>
          <w:sz w:val="24"/>
        </w:rPr>
        <w:t xml:space="preserve">. </w:t>
      </w:r>
    </w:p>
    <w:p w14:paraId="2054A326" w14:textId="77777777" w:rsid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Revizuirea în profunzime a reglementărilor poate avea ca rezultat propuneri legislative sau alte propuneri de reglementare, măsuri de sprijin, abrogări, retrageri sau alte acțiuni menite să abordeze dispozițiile perimate, suprapunerile, inconsecvențele sau cerințele redundante care generează sarcini inutile și să promoveze consolidarea. Prin urmare, prezentul plan de acțiune va spori, în domenii-cheie, eficacitatea reglementărilor UE prin reducerea complexității și a fragmentării inutile. </w:t>
      </w:r>
    </w:p>
    <w:p w14:paraId="3D565041" w14:textId="45E5EA27" w:rsidR="00EC7DBA" w:rsidRPr="00E04863"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 xml:space="preserve">Libera circulație a mărfurilor și serviciilor </w:t>
      </w:r>
    </w:p>
    <w:p w14:paraId="7EE6E480" w14:textId="725BFD58" w:rsidR="006D693F"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 revizuire în profunzime din punctul de vedere al reglementării și cuprinzătoare a legislației privind produsele va urmări să faciliteze accesul transfrontalier pe piață, să reducă sarcinile administrative și să sporească gradul de transparență și de responsabilizare. </w:t>
      </w:r>
    </w:p>
    <w:p w14:paraId="3351B59D" w14:textId="285ADC18" w:rsidR="00EC7DBA"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Actul legislativ european privind produsele va simplifica și va alinia normele UE privind produsele pentru a facilita vânzarea transfrontalieră de mărfuri, pentru a reduce sarcina administrativă pentru întreprinderi și pentru a crește gradul de transparență și de responsabilizare. Acesta va elimina suprapunerile și neconcordanțele dintre legile existente și va introduce informații digitale despre produse pentru a permite un schimb mai bun de date și o aplicare mai eficace a normelor. Actul legislativ se va alinia, de asemenea, la cerințele generale privind siguranța produselor pentru produsele nearmonizate, asigurând un cadru mai coerent, mai consecvent și mai eficient în întreaga piață unică.</w:t>
      </w:r>
    </w:p>
    <w:p w14:paraId="60B1265E" w14:textId="01BF4522" w:rsidR="00EC7DBA" w:rsidRPr="00E04863" w:rsidRDefault="00507DD9"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Ulterior, legislația sectorială va fi actualizată prin intermediul unui pachet omnibus pentru a include definițiile comune, normele, inclusiv cele privind utilizarea standardelor armonizate pentru a oferi prezumția de conformitate, și procedurile simplificate prevăzute în Actul legislativ european privind produsele. </w:t>
      </w:r>
    </w:p>
    <w:p w14:paraId="0719D84B" w14:textId="5EF80490" w:rsidR="00EC7DBA" w:rsidRPr="00E04863" w:rsidRDefault="008A7473"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În domeniul achizițiilor publice, acquis-ul UE conține numeroase acte legislative care stabilesc cerințe privind fondul și procedura pentru achizițiile publice. Deși majoritatea acestora îndeplinesc un rol de facilitare, o revizuire în profunzime a reglementărilor ar spori claritatea și coerența, facilitând astfel punerea în aplicare atât pentru administrațiile publice, cât și pentru contractanții publici. Actul legislativ privind achizițiile publice va simplifica procedurile și va elimina suprapunerile și duplicările cu numeroasele norme sectoriale privind achizițiile publice din legislația UE. Abrogarea dispozițiilor redundante privind achizițiile publice din actele sectoriale va raționaliza legislația și va asigura coerența.</w:t>
      </w:r>
    </w:p>
    <w:p w14:paraId="4E30CAEB" w14:textId="77777777" w:rsidR="004566F4" w:rsidRPr="009C4E42" w:rsidRDefault="004566F4"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Servicii financiare și bancare</w:t>
      </w:r>
    </w:p>
    <w:p w14:paraId="40E58771" w14:textId="7CD52B65" w:rsidR="004566F4" w:rsidRPr="00E04863" w:rsidRDefault="004566F4" w:rsidP="004566F4">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revizuire în profunzime din punctul de vedere al reglementării și cuprinzătoare a normelor bancare va determina simplificarea și raționalizarea acestora și va promova piața unică în sectorul bancar – sporind astfel competitivitatea băncilor din UE și a economiei UE în general și menținând în același timp stabilitatea prudențială și financiară. Viitorul raport privind competitivitatea sectorului bancar va prezenta o serie de măsuri menite să reformeze normele bancare și să reducă duplicările și suprapunerile dintre cadrele microprudențiale, macroprudențiale și de gestionare a crizelor, să reducă fragmentarea pieței unice, să faciliteze consolidarea transfrontalieră și să permită băncilor din UE să se extindă și să aibă succes într-o economie globalizată și în viitor. Comunicarea privind ajutoarele de stat în sectorul bancar va simplifica normele existente, inclusiv prin consolidarea instrumentelor existente într-un cadru unic de reglementare.</w:t>
      </w:r>
    </w:p>
    <w:p w14:paraId="4089CD5F" w14:textId="7C1CD543" w:rsidR="004566F4" w:rsidRPr="00E04863" w:rsidRDefault="003C77CE" w:rsidP="004566F4">
      <w:pPr>
        <w:spacing w:after="240" w:line="240" w:lineRule="auto"/>
        <w:jc w:val="both"/>
        <w:rPr>
          <w:rFonts w:ascii="Times New Roman" w:hAnsi="Times New Roman" w:cs="Times New Roman"/>
          <w:noProof/>
          <w:sz w:val="24"/>
          <w:szCs w:val="24"/>
        </w:rPr>
      </w:pPr>
      <w:r>
        <w:rPr>
          <w:rFonts w:ascii="Times New Roman" w:hAnsi="Times New Roman"/>
          <w:noProof/>
          <w:sz w:val="24"/>
        </w:rPr>
        <w:t>Normele privind fondurile cu capital de risc și de creștere vor fi adaptate pentru a identifica posibilitățile de simplificare și de reducere a sarcinilor administrative, de facilitare a investițiilor și de promovare a creșterii economice. În plus, Directiva privind drepturile acționarilor va fi raționalizată pentru a asigura previzibilitatea și securitatea juridică în întreaga Uniune. Simplificarea criteriilor tehnice de examinare prevăzute de Regulamentul privind taxonomia, raționalizarea informațiilor care trebuie furnizate în temeiul Regulamentului privind taxonomia și simplificarea standardelor de raportare privind durabilitatea și a standardelor voluntare, pe baza revizuirii în curs, vor contribui la asigurarea faptului că sectorul financiar este competitiv și rămâne aliniat la standarde ridicate de responsabilitate socială și de mediu.</w:t>
      </w:r>
    </w:p>
    <w:p w14:paraId="5116E5F9" w14:textId="4636EDBB" w:rsidR="00D4660D" w:rsidRPr="009C4E42" w:rsidRDefault="00D4660D" w:rsidP="0019442F">
      <w:pPr>
        <w:spacing w:before="360" w:after="240" w:line="240" w:lineRule="auto"/>
        <w:rPr>
          <w:rFonts w:ascii="Times New Roman" w:hAnsi="Times New Roman" w:cs="Times New Roman"/>
          <w:b/>
          <w:bCs/>
          <w:noProof/>
          <w:sz w:val="24"/>
          <w:szCs w:val="24"/>
        </w:rPr>
      </w:pPr>
      <w:r>
        <w:rPr>
          <w:rFonts w:ascii="Times New Roman" w:hAnsi="Times New Roman"/>
          <w:b/>
          <w:noProof/>
          <w:sz w:val="24"/>
        </w:rPr>
        <w:t>Uniunea vamală</w:t>
      </w:r>
    </w:p>
    <w:p w14:paraId="76815C44" w14:textId="4BC21137" w:rsidR="00D4660D" w:rsidRPr="00E04863"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Pe baza unei evaluări, o revizuire în profunzime din punctul de vedere al reglementării a regulilor de origine nepreferențiale ale UE va lua în considerare gruparea unor astfel de norme într-un singur corpus legislativ, simplificând mediul de reglementare actual și reducând sarcinile administrative și asigurându-se, în același timp, că legislația este „protejată împotriva fraudei”. Revizuirea va aborda proliferarea dispozițiilor privind originea sau cvasioriginea în diverse acte. Acest lucru va facilita punerea în aplicare a regulilor de origine, cu un grad mai ridicat de securitate juridică. Printre măsurile suplimentare de simplificare s-ar putea număra înlocuirea anumitor formulare și certificate pe suport de hârtie cu unele eliberate electronic, promovând un mediu vamal mai digitalizat și mai eficient.</w:t>
      </w:r>
    </w:p>
    <w:p w14:paraId="5BBDA299" w14:textId="7010E9DB" w:rsidR="00D4660D" w:rsidRDefault="00D4660D" w:rsidP="00D4660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paralel, sistemul de suspendări și contingente tarifare autonome va fi revizuit, pe baza unei evaluări, pentru a raționaliza și a simplifica mecanismele administrative, reducând costurile de asigurare a conformității legislative și administrative. Acest exercițiu de simplificare va urmări să clarifice și să raționalizeze cerințele de acordare a scutirii tarifare, să reducă frecvența actualizărilor juridice periodice și să valorifice digitalizarea pentru a îmbunătăți eficiența și a elimina suprapunerile legislative. </w:t>
      </w:r>
    </w:p>
    <w:p w14:paraId="1513B834" w14:textId="77777777" w:rsidR="00D4660D" w:rsidRDefault="00D4660D" w:rsidP="00E11089">
      <w:pPr>
        <w:keepNext/>
        <w:spacing w:before="360" w:after="240" w:line="240" w:lineRule="auto"/>
        <w:rPr>
          <w:rFonts w:ascii="Times New Roman" w:hAnsi="Times New Roman" w:cs="Times New Roman"/>
          <w:b/>
          <w:bCs/>
          <w:noProof/>
          <w:sz w:val="24"/>
          <w:szCs w:val="24"/>
        </w:rPr>
      </w:pPr>
      <w:r>
        <w:rPr>
          <w:rFonts w:ascii="Times New Roman" w:hAnsi="Times New Roman"/>
          <w:b/>
          <w:noProof/>
          <w:sz w:val="24"/>
        </w:rPr>
        <w:t>Impozitarea</w:t>
      </w:r>
    </w:p>
    <w:p w14:paraId="461A9C41" w14:textId="02DDFC52" w:rsidR="00D4660D"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Ca parte a eforturilor cuprinzătoare ale Uniunii de a-și consolida cadrul fiscal, pachetul omnibus privind impozitarea va simplifica și va raționaliza și mai mult legislația fiscală. Acesta va include revizuirea a șase directive privind impozitarea directă, care vor aborda cerințele excesive de conformitate fiscală, tratamentul fiscal inegal, barierele fiscale naționale care împiedică activitățile comerciale transfrontaliere, afectează piața internă și creează probleme de securitate juridică, promovând în același timp obiectivele de politică existente. </w:t>
      </w:r>
    </w:p>
    <w:p w14:paraId="193D317E" w14:textId="23EC7780" w:rsidR="00714853" w:rsidRPr="00F10B0F"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În plus, reformarea directivelor privind cooperarea administrativă în domeniul impozitării directe (DAC) va urmări să reducă complexitatea și să îmbunătățească claritatea și securitatea juridică pentru părțile interesate, inclusiv pentru administrațiile fiscale, entitățile raportoare și contribuabili. Aceasta va asigura faptul că obligațiile de raportare și de notificare sunt proporționale și specifice, menținând obiectivele noastre de politică privind combaterea evaziunii fiscale și evitarea obligațiilor fiscale și eliminând în același timp sarcinile inutile. De</w:t>
      </w:r>
      <w:r w:rsidR="00CC7EC0">
        <w:rPr>
          <w:rFonts w:ascii="Times New Roman" w:hAnsi="Times New Roman"/>
          <w:noProof/>
          <w:sz w:val="24"/>
        </w:rPr>
        <w:t> </w:t>
      </w:r>
      <w:r>
        <w:rPr>
          <w:rFonts w:ascii="Times New Roman" w:hAnsi="Times New Roman"/>
          <w:noProof/>
          <w:sz w:val="24"/>
        </w:rPr>
        <w:t xml:space="preserve">asemenea, reformarea va îmbunătăți eficacitatea și posibilitatea de utilizare a informațiilor, permițând administrațiilor fiscale să identifice contribuabilii și să utilizeze datele pentru a stimula evaluarea riscurilor și monitorizarea conformității. </w:t>
      </w:r>
    </w:p>
    <w:p w14:paraId="56CC907F" w14:textId="77777777" w:rsidR="00EC7DBA" w:rsidRPr="009C4E42"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Sănătate și siguranță alimentară</w:t>
      </w:r>
    </w:p>
    <w:p w14:paraId="00D04217" w14:textId="192591A9" w:rsidR="00EC7DBA" w:rsidRPr="00E04863"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 revizuire a reglementărilor privind siguranța alimentară va analiza domeniile în care sunt necesare simplificări și îmbunătățiri, menținând în același timp un nivel ridicat de protecție a sănătății umane. Un studiu aprofundat va colecta date esențiale în sprijinul acestui exercițiu, inclusiv în ceea ce privește produsele compuse, donarea de alimente și dubla autorizare a alimentelor. </w:t>
      </w:r>
    </w:p>
    <w:p w14:paraId="508419B0" w14:textId="5151B8E4" w:rsidR="00EC7DBA"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plus, depunerea electronică a dosarelor privind lanțul alimentar în vederea autorizării va face obiectul unor actualizări digitale pentru a simplifica și a elimina duplicarea pentru operatorii economici, raționalizând canalele de comunicare și reducând întârzierile în primire a documentației. Acest lucru va permite interacțiuni mai rapide și mai eficiente între operatori, aducând, în cele din urmă, beneficii consumatorilor și promovând o industrie alimentară mai competitivă. În plus, simplificarea procedurilor pentru instrumentele informatice va facilita depunerea dosarelor pentru autorizațiile de introducere pe piață, reducând sarcinile administrative și promovând inovarea. </w:t>
      </w:r>
    </w:p>
    <w:p w14:paraId="76DA4AA7" w14:textId="77777777" w:rsidR="00EC7DBA" w:rsidRPr="00E04863"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domeniul produselor biocide, va fi examinată o posibilă revizuire a cadrului juridic, pe baza unui dialog privind punerea în aplicare, a verificării situației reale și a evaluării, pentru a identifica oportunitățile de simplificare și îmbunătățire. </w:t>
      </w:r>
    </w:p>
    <w:p w14:paraId="7C321DDE" w14:textId="59A2AA23" w:rsidR="00EC7DBA" w:rsidRPr="009C4E42"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 xml:space="preserve">Agricultură </w:t>
      </w:r>
    </w:p>
    <w:p w14:paraId="0B431E2D" w14:textId="6F0798EF" w:rsidR="007C1A6B"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Consolidarea planificată a legislației privind indicațiile geografice și sistemele de calitate va reduce sarcina administrativă și va face legislația UE mai accesibilă și mai ușor de parcurs. În prezent, normele care reglementează indicațiile geografice sunt dispersate în mai multe regulamente, inclusiv în Regulamentul principal privind protecția indicațiilor geografice și în Regulamentul de instituire a unei organizări comune a piețelor produselor agricole. În plus, consolidarea actelor delegate din sectorul vitivinicol va simplifica și mai mult cadrul de reglementare.</w:t>
      </w:r>
    </w:p>
    <w:p w14:paraId="29B0BD98" w14:textId="6C54C735" w:rsidR="00EC7DBA" w:rsidRPr="00E04863" w:rsidRDefault="00FE5201"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Mai multe acte juridice caduce și redundante vor fi abrogate, inclusiv Decizia Comisiei de instituire a unui grup științific de experți pentru denumirile de origine, indicațiile geografice și specialitățile tradiționale garantate. </w:t>
      </w:r>
    </w:p>
    <w:p w14:paraId="779C1C81" w14:textId="744E481A" w:rsidR="00EC7DBA" w:rsidRDefault="002444E9"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plus, politica de promovare va fi simplificată, cu accent pe reducerea obligațiilor de raportare ale statelor membre și pe introducerea unor sume forfetare, facilitând punerea în aplicare de către acestea a măsurilor de promovare a produselor agricole. </w:t>
      </w:r>
    </w:p>
    <w:p w14:paraId="28A675FF" w14:textId="77777777" w:rsidR="003B2D66" w:rsidRPr="009C4E42" w:rsidRDefault="003B2D66" w:rsidP="007821C1">
      <w:pPr>
        <w:keepNext/>
        <w:spacing w:before="360" w:after="240" w:line="240" w:lineRule="auto"/>
        <w:rPr>
          <w:rFonts w:ascii="Times New Roman" w:hAnsi="Times New Roman" w:cs="Times New Roman"/>
          <w:noProof/>
          <w:sz w:val="24"/>
          <w:szCs w:val="24"/>
        </w:rPr>
      </w:pPr>
      <w:r>
        <w:rPr>
          <w:rFonts w:ascii="Times New Roman" w:hAnsi="Times New Roman"/>
          <w:b/>
          <w:noProof/>
          <w:sz w:val="24"/>
        </w:rPr>
        <w:t>Transport</w:t>
      </w:r>
    </w:p>
    <w:p w14:paraId="4AFDEFD2" w14:textId="38BA6B6C" w:rsidR="00086DE7" w:rsidRDefault="003B2D66" w:rsidP="00255E4B">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Revizuirea în profunzime a reglementărilor va acoperi toate modurile de transport, cu scopul de a elimina cerințele inutile și de a simplifica normele privind aspecte-cheie, cum ar fi interoperabilitatea. Digitalizarea în continuare în sectorul transporturilor va fi, de asemenea, urmărită și are potențialul de a identifica soluții suplimentare de simplificare. </w:t>
      </w:r>
    </w:p>
    <w:p w14:paraId="1149A1EB" w14:textId="0EA29C46" w:rsidR="00086DE7" w:rsidRPr="00E04863" w:rsidRDefault="00A66748" w:rsidP="00086DE7">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Acest exercițiu va lua în considerare anumite obligații care decurg din inițiativa ReFuelEU în domeniul aviației pentru a spori claritatea și transparența, cu scopul de a simplifica mediul de reglementare și de a promova o industrie mai eficientă și mai competitivă, menținând în același timp nivelul de ambiție și previzibilitatea investițiilor. </w:t>
      </w:r>
    </w:p>
    <w:p w14:paraId="55EBD323" w14:textId="2B5E0F5B" w:rsidR="00594748" w:rsidRDefault="00594748" w:rsidP="003B2D66">
      <w:pPr>
        <w:spacing w:after="240" w:line="240" w:lineRule="auto"/>
        <w:jc w:val="both"/>
        <w:rPr>
          <w:rFonts w:ascii="Times New Roman" w:hAnsi="Times New Roman" w:cs="Times New Roman"/>
          <w:noProof/>
          <w:sz w:val="24"/>
          <w:szCs w:val="24"/>
        </w:rPr>
      </w:pPr>
      <w:r>
        <w:rPr>
          <w:rFonts w:ascii="Times New Roman" w:hAnsi="Times New Roman"/>
          <w:noProof/>
          <w:sz w:val="24"/>
        </w:rPr>
        <w:t>În ceea ce privește transportul rutier, eliminarea obligațiilor caduce va fi însoțită de o inițiativă privind obligațiile de serviciu public, în timp ce o revizuire a Agenției UE pentru Căile Ferate va urmări optimizarea proceselor.</w:t>
      </w:r>
    </w:p>
    <w:p w14:paraId="2AD33D75" w14:textId="4AD79C84" w:rsidR="007C1A6B" w:rsidRPr="009C4E42"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Energie</w:t>
      </w:r>
    </w:p>
    <w:p w14:paraId="04E976BE" w14:textId="18BABE78"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revizuire cuprinzătoare a cadrului de guvernanță energetică va contribui la valorificarea întregului potențial al uniunii energetice. Revizuirea Regulamentului privind guvernanța uniunii energetice și a acțiunilor climatice va reduce cerințele de raportare pentru statele membre, valorificând datele existente și digitalizarea pentru a elimina obligațiile redundante și a raționaliza dispozițiile. În plus, la stabilirea cadrului privind energia din surse regenerabile și eficiența energetică pentru deceniul următor, Comisia va căuta oportunități de simplificare a cadrului actual prin eliminarea duplicărilor și a suprapunerilor și prin reducerea sarcinii administrative, pentru a raționaliza măsurile pentru statele membre și operatorii economici, menținând în același timp obiectivele de politică sau încrederea investitorilor, precum și pentru a promova un sistem energetic mai eficient și mai integrat. </w:t>
      </w:r>
    </w:p>
    <w:p w14:paraId="0B7D0435" w14:textId="4F29D058"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În domeniul securității aprovizionării, revizuirea cadrului de securitate energetică pe baza unei verificări cuprinzătoare a adecvării ar trebui să conducă la proceduri mai clare, la cerințe de raportare reduse și la o cooperare transfrontalieră consolidată între statele membre, integrând în același timp toate tipurile de gaze și energie electrică într-o abordare holistică la nivelul întregului sistem. Revizuirea va consolida, de asemenea, reziliența la amenințările moderne, inclusiv la perturbările legate de condițiile climaterice, la atacurile cibernetice și la schimbările geopolitice, prin simplificarea procedurilor, reducerea proceselor de raportare și dezvoltarea unui mecanism mai flexibil de gestionare a crizelor.</w:t>
      </w:r>
    </w:p>
    <w:p w14:paraId="0AFEE8F8" w14:textId="0FCC6F17" w:rsidR="007C1A6B" w:rsidRPr="00E04863"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Clima</w:t>
      </w:r>
    </w:p>
    <w:p w14:paraId="703C2C03" w14:textId="0B88E4FC"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Revizuirea schemei UE de comercializare a certificatelor de emisii va urmări să identifice și să elimine dispozițiile perimate, simplificând monitorizarea, raportarea și verificarea emisiilor pentru operatori, și să introducă principiul „monitorizării și raportării unice”. În plus, directiva a fost modificată de mai multe ori de la adoptarea sa și va fi codificată. </w:t>
      </w:r>
    </w:p>
    <w:p w14:paraId="4F715897"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paralel, revizuirea în profunzime a reglementărilor va analiza fuzionarea Regulamentului privind exploatarea terenurilor, schimbarea destinației terenurilor și silvicultura și a Regulamentului privind partajarea eforturilor într-un singur instrument privind obiectivele naționale în materie de climă. De asemenea, aceasta va reduce duplicarea și va raționaliza obligațiile de raportare ale statelor membre, maximizând în același timp sinergiile dintre raportarea absorbțiilor de carbon la nivel național și la nivelul gestionarilor de terenuri. </w:t>
      </w:r>
    </w:p>
    <w:p w14:paraId="4A60691A"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Revizuirea standardelor privind emisiile de CO</w:t>
      </w:r>
      <w:r w:rsidRPr="00CC7EC0">
        <w:rPr>
          <w:rFonts w:ascii="Times New Roman" w:hAnsi="Times New Roman"/>
          <w:noProof/>
          <w:sz w:val="24"/>
          <w:vertAlign w:val="subscript"/>
        </w:rPr>
        <w:t>2</w:t>
      </w:r>
      <w:r>
        <w:rPr>
          <w:rFonts w:ascii="Times New Roman" w:hAnsi="Times New Roman"/>
          <w:noProof/>
          <w:sz w:val="24"/>
        </w:rPr>
        <w:t xml:space="preserve"> pentru vehiculele grele va căuta oportunități de raționalizare în continuare a dispozițiilor de monitorizare și raportare pentru statele membre și industrie, asigurând o abordare mai eficientă și mai eficace în ceea ce privește reducerea emisiilor de gaze cu efect de seră și promovarea unei economii cu emisii scăzute de dioxid de carbon. </w:t>
      </w:r>
    </w:p>
    <w:p w14:paraId="6FACF8E3" w14:textId="0872326B"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O revizuire în profunzime din punctul de vedere al reglementării a normelor UE privind contabilizarea carbonului va urmări elaborarea unei definiții coerente a intensității emisiilor de dioxid de carbon în lanțurile de aprovizionare și asigurarea faptului că abaterile de la definiția coerentă sunt bine justificate. Acest lucru va elimina discrepanțele și contradicțiile care decurg din alegerile fragmentate, inclusiv, de exemplu, în ceea ce privește bateriile, hidrogenul, combustibilii reciclați și proiectarea ecologică.</w:t>
      </w:r>
    </w:p>
    <w:p w14:paraId="25789B26" w14:textId="77777777" w:rsidR="007C1A6B" w:rsidRPr="009C4E42"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Mediu</w:t>
      </w:r>
    </w:p>
    <w:p w14:paraId="1EE4C345" w14:textId="77777777"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Viitorul act legislativ privind economia circulară va aborda obstacolele semnificative din calea bunei funcționări a pieței unice, în special în ceea ce privește introducerea produselor pe piață în mai multe state membre, și va îmbunătăți gestionarea deșeurilor și valorificarea materiilor prime secundare. </w:t>
      </w:r>
    </w:p>
    <w:p w14:paraId="4923E5F6" w14:textId="1DDD085C"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În plus, Directiva-cadru „Strategia pentru mediul marin” va fi revizuită pentru a simplifica punerea în aplicare, a reduce sarcinile administrative și a garanta protecția și utilizarea durabilă a mediului marin. Revizuirea oferă ocazia de a realiza sinergii mai strânse cu pregătirea Actului legislativ privind oceanele, pe baza revizuirii Directivei privind amenajarea spațiului maritim, inclusiv a potențialului de consolidare a cadrului juridic.</w:t>
      </w:r>
    </w:p>
    <w:p w14:paraId="3C92D5EB" w14:textId="2CE565E2" w:rsidR="00365813" w:rsidRPr="00E04863" w:rsidRDefault="00365813" w:rsidP="00CC7EC0">
      <w:pPr>
        <w:keepNext/>
        <w:spacing w:before="360" w:after="240" w:line="240" w:lineRule="auto"/>
        <w:rPr>
          <w:rFonts w:ascii="Times New Roman" w:hAnsi="Times New Roman" w:cs="Times New Roman"/>
          <w:noProof/>
          <w:sz w:val="24"/>
          <w:szCs w:val="24"/>
        </w:rPr>
      </w:pPr>
      <w:r>
        <w:rPr>
          <w:rFonts w:ascii="Times New Roman" w:hAnsi="Times New Roman"/>
          <w:b/>
          <w:noProof/>
          <w:sz w:val="24"/>
        </w:rPr>
        <w:t>Sectorul digital</w:t>
      </w:r>
    </w:p>
    <w:p w14:paraId="1959C3CF" w14:textId="1A723AD5" w:rsidR="00A1239E" w:rsidRPr="009E1269" w:rsidRDefault="00A1239E"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revizuire în profunzime din punctul de vedere al reglementării a legislației digitale orizontale și sectoriale va urmări să asigure simplificarea reglementărilor în domeniile digitale esențiale pentru competitivitatea Europei.</w:t>
      </w:r>
    </w:p>
    <w:p w14:paraId="3111817B" w14:textId="4396736F" w:rsidR="000026EA" w:rsidRDefault="003B2D66"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 efectuează o verificare a adecvării în sectorul digital pentru a evalua efectele cumulative ale cadrului de reglementare în domeniul digital asupra competitivității UE, identificând sinergiile și bunele practici, cartografiind normele aplicabile, reducând redundanțele și duplicările și eliminând lacunele. </w:t>
      </w:r>
    </w:p>
    <w:p w14:paraId="1B67F98E" w14:textId="122A9624" w:rsidR="00EA57F1" w:rsidRDefault="00947271"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parte esențială a verificării adecvării constă în examinarea guvernanței normelor din sectorul digital și în căutarea oportunităților de consolidare a punerii în aplicare și a asigurării respectării acestora și, nu în ultimul rând, în sporirea coerenței, a consecvenței și a previzibilități pentru întreprinderi. Aceasta va analiza cele mai bune practici în procesele de consultare, cooperarea dintre autorități, aplicarea consecventă și prevenirea interpretărilor contradictorii, precum și reducerea sarcinilor administrative.</w:t>
      </w:r>
    </w:p>
    <w:p w14:paraId="425ED1A5" w14:textId="7D9C8FB6" w:rsidR="003B2D66" w:rsidRPr="00E04863" w:rsidRDefault="00EA57F1"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Revizuirea Directivei serviciilor mass-media audiovizuale va moderniza și va simplifica normele pentru asigurarea protecției telespectatorilor și a pluralismului mass-mediei.</w:t>
      </w:r>
    </w:p>
    <w:p w14:paraId="108ED0E7" w14:textId="06CE9236" w:rsidR="00EC0BC2" w:rsidRPr="005B0272" w:rsidRDefault="006446AB" w:rsidP="00E04863">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Revizuirea în profunzime din punctul de vedere al reglementării a legislației digitale orizontale și sectoriale va analiza legătura dintre diferite norme, evaluând modul în care acestea interacționează și modul în care suprapunerea lor afectează întreprinderile din diferite sectoare. Aceasta se va concentra pe asigurarea unui cadru eficient care să raționalizeze cerințele și să elimine suprapunerile, menținând în același timp particularitățile fiecărui sector. Revizuirea se va baza pe eforturile de simplificare existente, inclusiv în cadrul pachetului Omnibus în domeniul digital, și va interacționa cu evaluările actelor specifice efectuate în paralel.</w:t>
      </w:r>
    </w:p>
    <w:p w14:paraId="62347DFB" w14:textId="77777777" w:rsidR="00102B55" w:rsidRDefault="00102B55" w:rsidP="00E04863">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gamă largă de sectoare fac obiectul normelor generale în materie de securitate cibernetică, precum și al reglementărilor sectoriale – cum ar fi Directiva privind securitatea rețelelor și a sistemelor informatice, Actul legislativ privind reziliența operațională digitală și Regulamentul privind identificarea electronică și serviciile de încredere. Atunci când va fi adoptată de colegiuitori, soluția pentru raportarea incidentelor propusă în pachetul Omnibus în domeniul digital va oferi un pas operațional esențial în direcția unei coerențe sporite, care este imperios necesar.</w:t>
      </w:r>
    </w:p>
    <w:p w14:paraId="6AE21474" w14:textId="36CCABD5" w:rsidR="00865C8A" w:rsidRPr="00E04863" w:rsidRDefault="008937AF" w:rsidP="00E04863">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Armonizarea cerințelor de raportare prin intermediul instrumentelor digitale, inclusiv extinderea ghișeului unic și revizuirea Sistemului de informare al pieței interne, va facilita schimbul de informații, înregistrarea și plata. Armonizarea facturării electronice va aborda fragmentarea și va reduce sarcinile, permițând reutilizarea datelor.</w:t>
      </w:r>
    </w:p>
    <w:p w14:paraId="55266312" w14:textId="64B685F9" w:rsidR="00AB0BC6" w:rsidRPr="00E04863" w:rsidRDefault="00D9778C" w:rsidP="00E11089">
      <w:pPr>
        <w:keepNext/>
        <w:spacing w:before="360" w:after="240" w:line="240" w:lineRule="auto"/>
        <w:rPr>
          <w:rFonts w:ascii="Times New Roman" w:hAnsi="Times New Roman" w:cs="Times New Roman"/>
          <w:noProof/>
          <w:sz w:val="24"/>
          <w:szCs w:val="24"/>
        </w:rPr>
      </w:pPr>
      <w:r>
        <w:rPr>
          <w:rFonts w:ascii="Times New Roman" w:hAnsi="Times New Roman"/>
          <w:b/>
          <w:noProof/>
          <w:sz w:val="24"/>
        </w:rPr>
        <w:t>Locuințe și autorizare</w:t>
      </w:r>
    </w:p>
    <w:p w14:paraId="76BA9F79" w14:textId="1F503910" w:rsidR="00D9778C" w:rsidRPr="00E04863" w:rsidRDefault="003E060F" w:rsidP="00D9778C">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w:t>
      </w:r>
      <w:r w:rsidRPr="00CC7EC0">
        <w:rPr>
          <w:rFonts w:ascii="Times New Roman" w:hAnsi="Times New Roman"/>
          <w:noProof/>
          <w:sz w:val="24"/>
        </w:rPr>
        <w:t>2027</w:t>
      </w:r>
      <w:r>
        <w:rPr>
          <w:rFonts w:ascii="Times New Roman" w:hAnsi="Times New Roman"/>
          <w:noProof/>
          <w:sz w:val="24"/>
        </w:rPr>
        <w:t xml:space="preserve">, Comisia va prezenta un pachet de simplificare privind locuințele, cu scopul de a facilita furnizarea de locuințe la prețuri accesibile, durabile și de calitate. Pachetul se va baza pe o cartografiere cuprinzătoare a legislației și inițiativelor relevante ale UE. Acesta va identifica oportunități de reducere a sarcinilor administrative inutile, de accelerare a proceselor și de îmbunătățire a eficienței din punctul de vedere al costurilor, respectând în același timp obiectivele de politică mai ample. Pachetul va oferi, de asemenea, sprijin statelor membre în ceea ce privește punerea în aplicare eficace a normelor relevante ale UE. </w:t>
      </w:r>
    </w:p>
    <w:p w14:paraId="4D0541BF" w14:textId="3D4CCF25" w:rsidR="00863E8D" w:rsidRDefault="00F5373F" w:rsidP="00E0486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sens mai larg, în ceea ce privește autorizarea, în decembrie </w:t>
      </w:r>
      <w:r w:rsidRPr="00CC7EC0">
        <w:rPr>
          <w:rFonts w:ascii="Times New Roman" w:hAnsi="Times New Roman"/>
          <w:noProof/>
          <w:sz w:val="24"/>
        </w:rPr>
        <w:t>2025</w:t>
      </w:r>
      <w:r>
        <w:rPr>
          <w:rFonts w:ascii="Times New Roman" w:hAnsi="Times New Roman"/>
          <w:noProof/>
          <w:sz w:val="24"/>
        </w:rPr>
        <w:t xml:space="preserve">, Comisia a prezentat o propunere de accelerare a evaluărilor de mediu, inclusiv prin intermediul punctelor unice de contact, al portalurilor digitale și al termenelor. </w:t>
      </w:r>
    </w:p>
    <w:p w14:paraId="0F57A23C" w14:textId="24368B02" w:rsidR="00EC41F0" w:rsidRPr="00127FF7" w:rsidRDefault="00AB7404" w:rsidP="00E04863">
      <w:pPr>
        <w:spacing w:after="240" w:line="240" w:lineRule="auto"/>
        <w:jc w:val="both"/>
        <w:rPr>
          <w:rFonts w:ascii="Times New Roman" w:hAnsi="Times New Roman" w:cs="Times New Roman"/>
          <w:noProof/>
          <w:sz w:val="24"/>
          <w:szCs w:val="24"/>
        </w:rPr>
      </w:pPr>
      <w:r>
        <w:rPr>
          <w:rFonts w:ascii="Times New Roman" w:hAnsi="Times New Roman"/>
          <w:noProof/>
          <w:sz w:val="24"/>
        </w:rPr>
        <w:t>Pe baza acestei propuneri, Comisia va colabora cu colegiuitorii pentru a consolida o abordare transsectorială cuprinzătoare, menținând în același timp obiectivele politicii în materie de mediu și sănătate.</w:t>
      </w:r>
    </w:p>
    <w:sectPr w:rsidR="00EC41F0" w:rsidRPr="00127FF7" w:rsidSect="003842F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65584" w14:textId="77777777" w:rsidR="00826FA9" w:rsidRDefault="00826FA9" w:rsidP="00365813">
      <w:pPr>
        <w:spacing w:after="0" w:line="240" w:lineRule="auto"/>
      </w:pPr>
      <w:r>
        <w:separator/>
      </w:r>
    </w:p>
  </w:endnote>
  <w:endnote w:type="continuationSeparator" w:id="0">
    <w:p w14:paraId="12ECE85D" w14:textId="77777777" w:rsidR="00826FA9" w:rsidRDefault="00826FA9" w:rsidP="0036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576E1" w14:textId="60AEE083" w:rsidR="005751D8" w:rsidRPr="005751D8" w:rsidRDefault="005751D8" w:rsidP="005751D8">
    <w:pPr>
      <w:pStyle w:val="FooterCoverPage"/>
      <w:rPr>
        <w:rFonts w:ascii="Arial" w:hAnsi="Arial" w:cs="Arial"/>
        <w:b/>
        <w:sz w:val="48"/>
      </w:rPr>
    </w:pPr>
    <w:r w:rsidRPr="005751D8">
      <w:rPr>
        <w:rFonts w:ascii="Arial" w:hAnsi="Arial" w:cs="Arial"/>
        <w:b/>
        <w:sz w:val="48"/>
      </w:rPr>
      <w:t>RO</w:t>
    </w:r>
    <w:r w:rsidRPr="005751D8">
      <w:rPr>
        <w:rFonts w:ascii="Arial" w:hAnsi="Arial" w:cs="Arial"/>
        <w:b/>
        <w:sz w:val="48"/>
      </w:rPr>
      <w:tab/>
    </w:r>
    <w:r w:rsidRPr="005751D8">
      <w:rPr>
        <w:rFonts w:ascii="Arial" w:hAnsi="Arial" w:cs="Arial"/>
        <w:b/>
        <w:sz w:val="48"/>
      </w:rPr>
      <w:tab/>
    </w:r>
    <w:r w:rsidRPr="005751D8">
      <w:tab/>
    </w:r>
    <w:r w:rsidRPr="005751D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E9B7" w14:textId="2C18C10F" w:rsidR="005751D8" w:rsidRPr="005751D8" w:rsidRDefault="005751D8" w:rsidP="005751D8">
    <w:pPr>
      <w:pStyle w:val="FooterCoverPage"/>
      <w:rPr>
        <w:rFonts w:ascii="Arial" w:hAnsi="Arial" w:cs="Arial"/>
        <w:b/>
        <w:sz w:val="48"/>
      </w:rPr>
    </w:pPr>
    <w:r w:rsidRPr="005751D8">
      <w:rPr>
        <w:rFonts w:ascii="Arial" w:hAnsi="Arial" w:cs="Arial"/>
        <w:b/>
        <w:sz w:val="48"/>
      </w:rPr>
      <w:t>RO</w:t>
    </w:r>
    <w:r w:rsidRPr="005751D8">
      <w:rPr>
        <w:rFonts w:ascii="Arial" w:hAnsi="Arial" w:cs="Arial"/>
        <w:b/>
        <w:sz w:val="48"/>
      </w:rPr>
      <w:tab/>
    </w:r>
    <w:r w:rsidRPr="005751D8">
      <w:rPr>
        <w:rFonts w:ascii="Arial" w:hAnsi="Arial" w:cs="Arial"/>
        <w:b/>
        <w:sz w:val="48"/>
      </w:rPr>
      <w:tab/>
    </w:r>
    <w:r w:rsidRPr="005751D8">
      <w:tab/>
    </w:r>
    <w:r w:rsidRPr="005751D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AE5DD" w14:textId="77777777" w:rsidR="005751D8" w:rsidRPr="005751D8" w:rsidRDefault="005751D8" w:rsidP="005751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C5411" w14:textId="77777777" w:rsidR="0043496F" w:rsidRDefault="00434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4529308"/>
      <w:docPartObj>
        <w:docPartGallery w:val="Page Numbers (Bottom of Page)"/>
        <w:docPartUnique/>
      </w:docPartObj>
    </w:sdtPr>
    <w:sdtEndPr>
      <w:rPr>
        <w:rFonts w:ascii="Times New Roman" w:hAnsi="Times New Roman" w:cs="Times New Roman"/>
        <w:noProof/>
      </w:rPr>
    </w:sdtEndPr>
    <w:sdtContent>
      <w:p w14:paraId="5295E69C" w14:textId="672D82A2" w:rsidR="00262554" w:rsidRPr="00E04863" w:rsidRDefault="002625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751D8">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2A473" w14:textId="77777777" w:rsidR="00936A0C" w:rsidRDefault="00936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FD7A1" w14:textId="77777777" w:rsidR="00826FA9" w:rsidRDefault="00826FA9" w:rsidP="00365813">
      <w:pPr>
        <w:spacing w:after="0" w:line="240" w:lineRule="auto"/>
      </w:pPr>
      <w:r>
        <w:separator/>
      </w:r>
    </w:p>
  </w:footnote>
  <w:footnote w:type="continuationSeparator" w:id="0">
    <w:p w14:paraId="3A3C489A" w14:textId="77777777" w:rsidR="00826FA9" w:rsidRDefault="00826FA9" w:rsidP="0036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21D05" w14:textId="77777777" w:rsidR="005751D8" w:rsidRPr="005751D8" w:rsidRDefault="005751D8" w:rsidP="005751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3787" w14:textId="77777777" w:rsidR="005751D8" w:rsidRPr="005751D8" w:rsidRDefault="005751D8" w:rsidP="005751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4A4FF" w14:textId="77777777" w:rsidR="005751D8" w:rsidRPr="005751D8" w:rsidRDefault="005751D8" w:rsidP="005751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6DD3" w14:textId="77777777" w:rsidR="00BD3B45" w:rsidRDefault="00BD3B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9CE06" w14:textId="77777777" w:rsidR="00E128BE" w:rsidRDefault="00E128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C205" w14:textId="77777777" w:rsidR="004F1A7E" w:rsidRDefault="004F1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519A"/>
    <w:multiLevelType w:val="multilevel"/>
    <w:tmpl w:val="7C34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8318E"/>
    <w:multiLevelType w:val="multilevel"/>
    <w:tmpl w:val="9CCA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00674"/>
    <w:multiLevelType w:val="multilevel"/>
    <w:tmpl w:val="5BDE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77F10"/>
    <w:multiLevelType w:val="multilevel"/>
    <w:tmpl w:val="967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E73"/>
    <w:multiLevelType w:val="hybridMultilevel"/>
    <w:tmpl w:val="F6F0E74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506173"/>
    <w:multiLevelType w:val="multilevel"/>
    <w:tmpl w:val="9C82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D7732"/>
    <w:multiLevelType w:val="multilevel"/>
    <w:tmpl w:val="2BD2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16A89"/>
    <w:multiLevelType w:val="multilevel"/>
    <w:tmpl w:val="C40A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B3DC1"/>
    <w:multiLevelType w:val="multilevel"/>
    <w:tmpl w:val="A1D2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41BC1"/>
    <w:multiLevelType w:val="multilevel"/>
    <w:tmpl w:val="FDBA5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076A7"/>
    <w:multiLevelType w:val="multilevel"/>
    <w:tmpl w:val="6524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85CBC"/>
    <w:multiLevelType w:val="multilevel"/>
    <w:tmpl w:val="B7D6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6D7B7B"/>
    <w:multiLevelType w:val="multilevel"/>
    <w:tmpl w:val="F132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9"/>
  </w:num>
  <w:num w:numId="4">
    <w:abstractNumId w:val="8"/>
  </w:num>
  <w:num w:numId="5">
    <w:abstractNumId w:val="3"/>
  </w:num>
  <w:num w:numId="6">
    <w:abstractNumId w:val="10"/>
  </w:num>
  <w:num w:numId="7">
    <w:abstractNumId w:val="7"/>
  </w:num>
  <w:num w:numId="8">
    <w:abstractNumId w:val="11"/>
  </w:num>
  <w:num w:numId="9">
    <w:abstractNumId w:val="2"/>
  </w:num>
  <w:num w:numId="10">
    <w:abstractNumId w:val="0"/>
  </w:num>
  <w:num w:numId="11">
    <w:abstractNumId w:val="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a"/>
    <w:docVar w:name="LW_ANNEX_NBR_FIRST" w:val="1"/>
    <w:docVar w:name="LW_ANNEX_NBR_LAST" w:val="1"/>
    <w:docVar w:name="LW_ANNEX_UNIQUE" w:val="0"/>
    <w:docVar w:name="LW_CORRIGENDUM" w:val="&lt;UNUSED&gt;"/>
    <w:docVar w:name="LW_COVERPAGE_EXISTS" w:val="True"/>
    <w:docVar w:name="LW_COVERPAGE_GUID" w:val="96FD3463-2133-4E16-80D6-1ABABF2CD007"/>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Font=Calibri,Bold&gt;Un cadru de reglementare al UE mai simplu, mai clar \u537?i mai bine aplicat&lt;/FMT&gt;_x000d__x000b__x000d__x000d__x000d__x000d__x000d__x000d__x000d__x000d__x000b_"/>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L EUROPEAN, CONSILIU, COMITETUL ECONOMIC \u536?I SOCIAL EUROPEAN \u536?I COMITETUL REGIUNILOR"/>
    <w:docVar w:name="LwApiVersions" w:val="LW4CoDe 1.24.5.0; LW 9.2, Build 20251112"/>
  </w:docVars>
  <w:rsids>
    <w:rsidRoot w:val="00A61111"/>
    <w:rsid w:val="000008E7"/>
    <w:rsid w:val="000026EA"/>
    <w:rsid w:val="00003598"/>
    <w:rsid w:val="00005E75"/>
    <w:rsid w:val="000060A9"/>
    <w:rsid w:val="00006521"/>
    <w:rsid w:val="0001132B"/>
    <w:rsid w:val="00016A3E"/>
    <w:rsid w:val="000178D9"/>
    <w:rsid w:val="0002069B"/>
    <w:rsid w:val="00021010"/>
    <w:rsid w:val="000224C5"/>
    <w:rsid w:val="00025B89"/>
    <w:rsid w:val="00027521"/>
    <w:rsid w:val="00027FE9"/>
    <w:rsid w:val="000323AF"/>
    <w:rsid w:val="00040A5C"/>
    <w:rsid w:val="00040EF5"/>
    <w:rsid w:val="00042AF6"/>
    <w:rsid w:val="00042D5C"/>
    <w:rsid w:val="00043FEA"/>
    <w:rsid w:val="00044ED7"/>
    <w:rsid w:val="00050C5F"/>
    <w:rsid w:val="00052EA1"/>
    <w:rsid w:val="000542E9"/>
    <w:rsid w:val="00060E0B"/>
    <w:rsid w:val="00062016"/>
    <w:rsid w:val="00062ABB"/>
    <w:rsid w:val="00063191"/>
    <w:rsid w:val="0006799A"/>
    <w:rsid w:val="00071F34"/>
    <w:rsid w:val="00071F4B"/>
    <w:rsid w:val="00072693"/>
    <w:rsid w:val="00072A98"/>
    <w:rsid w:val="00072EDD"/>
    <w:rsid w:val="000760F4"/>
    <w:rsid w:val="00076B74"/>
    <w:rsid w:val="00082ACD"/>
    <w:rsid w:val="00083871"/>
    <w:rsid w:val="00084203"/>
    <w:rsid w:val="00086DE7"/>
    <w:rsid w:val="00090764"/>
    <w:rsid w:val="000908E0"/>
    <w:rsid w:val="00093200"/>
    <w:rsid w:val="000937B5"/>
    <w:rsid w:val="00094F9D"/>
    <w:rsid w:val="000A2714"/>
    <w:rsid w:val="000A5958"/>
    <w:rsid w:val="000A5963"/>
    <w:rsid w:val="000A6D53"/>
    <w:rsid w:val="000A7E36"/>
    <w:rsid w:val="000B536C"/>
    <w:rsid w:val="000B6966"/>
    <w:rsid w:val="000B7D8A"/>
    <w:rsid w:val="000C0847"/>
    <w:rsid w:val="000C0C35"/>
    <w:rsid w:val="000C2FDC"/>
    <w:rsid w:val="000C34D1"/>
    <w:rsid w:val="000C3547"/>
    <w:rsid w:val="000C525E"/>
    <w:rsid w:val="000C5A16"/>
    <w:rsid w:val="000C6970"/>
    <w:rsid w:val="000C718F"/>
    <w:rsid w:val="000D15AB"/>
    <w:rsid w:val="000D2D5C"/>
    <w:rsid w:val="000D35AC"/>
    <w:rsid w:val="000D3D32"/>
    <w:rsid w:val="000D45A1"/>
    <w:rsid w:val="000D6137"/>
    <w:rsid w:val="000D66B3"/>
    <w:rsid w:val="000D6D67"/>
    <w:rsid w:val="000E051C"/>
    <w:rsid w:val="000E2F37"/>
    <w:rsid w:val="000E30AA"/>
    <w:rsid w:val="000E3A1E"/>
    <w:rsid w:val="000E490A"/>
    <w:rsid w:val="000F0530"/>
    <w:rsid w:val="000F0B3E"/>
    <w:rsid w:val="000F1486"/>
    <w:rsid w:val="000F2887"/>
    <w:rsid w:val="000F2C04"/>
    <w:rsid w:val="000F5422"/>
    <w:rsid w:val="000F7030"/>
    <w:rsid w:val="000F7B71"/>
    <w:rsid w:val="00101B20"/>
    <w:rsid w:val="00102B55"/>
    <w:rsid w:val="00102B60"/>
    <w:rsid w:val="00103CBB"/>
    <w:rsid w:val="00103CDA"/>
    <w:rsid w:val="00107070"/>
    <w:rsid w:val="0010753D"/>
    <w:rsid w:val="001113D4"/>
    <w:rsid w:val="001115B2"/>
    <w:rsid w:val="001179F1"/>
    <w:rsid w:val="001220ED"/>
    <w:rsid w:val="00123EF6"/>
    <w:rsid w:val="00127FF7"/>
    <w:rsid w:val="00141D1F"/>
    <w:rsid w:val="00146323"/>
    <w:rsid w:val="00147A0C"/>
    <w:rsid w:val="001521B8"/>
    <w:rsid w:val="00152344"/>
    <w:rsid w:val="00153492"/>
    <w:rsid w:val="00153CC6"/>
    <w:rsid w:val="00154586"/>
    <w:rsid w:val="00155C0F"/>
    <w:rsid w:val="00156D0F"/>
    <w:rsid w:val="001614F9"/>
    <w:rsid w:val="00165497"/>
    <w:rsid w:val="00165EA7"/>
    <w:rsid w:val="001705D8"/>
    <w:rsid w:val="001712DF"/>
    <w:rsid w:val="0017215E"/>
    <w:rsid w:val="00181361"/>
    <w:rsid w:val="00187099"/>
    <w:rsid w:val="0019442F"/>
    <w:rsid w:val="0019571F"/>
    <w:rsid w:val="0019581E"/>
    <w:rsid w:val="00196858"/>
    <w:rsid w:val="001A0DE4"/>
    <w:rsid w:val="001A1C8E"/>
    <w:rsid w:val="001A5B6C"/>
    <w:rsid w:val="001A5CF3"/>
    <w:rsid w:val="001A5EE3"/>
    <w:rsid w:val="001B1C6B"/>
    <w:rsid w:val="001B1F8B"/>
    <w:rsid w:val="001B5810"/>
    <w:rsid w:val="001B61E7"/>
    <w:rsid w:val="001C08A2"/>
    <w:rsid w:val="001C19A2"/>
    <w:rsid w:val="001C1AF5"/>
    <w:rsid w:val="001C321B"/>
    <w:rsid w:val="001C420B"/>
    <w:rsid w:val="001C500A"/>
    <w:rsid w:val="001C7ABE"/>
    <w:rsid w:val="001D0FB9"/>
    <w:rsid w:val="001D21AA"/>
    <w:rsid w:val="001D3595"/>
    <w:rsid w:val="001D391F"/>
    <w:rsid w:val="001D53FB"/>
    <w:rsid w:val="001D6464"/>
    <w:rsid w:val="001E0DD0"/>
    <w:rsid w:val="001E5372"/>
    <w:rsid w:val="001E684A"/>
    <w:rsid w:val="001F0BAD"/>
    <w:rsid w:val="001F2FD5"/>
    <w:rsid w:val="001F3C75"/>
    <w:rsid w:val="001F4FD8"/>
    <w:rsid w:val="001F5326"/>
    <w:rsid w:val="001F7174"/>
    <w:rsid w:val="00202ACF"/>
    <w:rsid w:val="00205040"/>
    <w:rsid w:val="002051C5"/>
    <w:rsid w:val="00205AB1"/>
    <w:rsid w:val="00205B40"/>
    <w:rsid w:val="00205E59"/>
    <w:rsid w:val="00206B8B"/>
    <w:rsid w:val="00206FF9"/>
    <w:rsid w:val="002103F4"/>
    <w:rsid w:val="002105AB"/>
    <w:rsid w:val="0021261E"/>
    <w:rsid w:val="002141D8"/>
    <w:rsid w:val="00214D61"/>
    <w:rsid w:val="00217A1C"/>
    <w:rsid w:val="0022122D"/>
    <w:rsid w:val="00224EF0"/>
    <w:rsid w:val="00226441"/>
    <w:rsid w:val="002277EA"/>
    <w:rsid w:val="0023406F"/>
    <w:rsid w:val="002374AE"/>
    <w:rsid w:val="00237F66"/>
    <w:rsid w:val="0024114F"/>
    <w:rsid w:val="00241D92"/>
    <w:rsid w:val="00242C59"/>
    <w:rsid w:val="0024353A"/>
    <w:rsid w:val="002444E9"/>
    <w:rsid w:val="00246AC3"/>
    <w:rsid w:val="00251405"/>
    <w:rsid w:val="0025286C"/>
    <w:rsid w:val="00252FE1"/>
    <w:rsid w:val="0025488D"/>
    <w:rsid w:val="002556E8"/>
    <w:rsid w:val="00255E4B"/>
    <w:rsid w:val="002566CB"/>
    <w:rsid w:val="00256824"/>
    <w:rsid w:val="00256AD8"/>
    <w:rsid w:val="00257912"/>
    <w:rsid w:val="00260892"/>
    <w:rsid w:val="002611ED"/>
    <w:rsid w:val="00261BAA"/>
    <w:rsid w:val="00262554"/>
    <w:rsid w:val="00263BA5"/>
    <w:rsid w:val="00263EEE"/>
    <w:rsid w:val="00264205"/>
    <w:rsid w:val="00266D3F"/>
    <w:rsid w:val="00266E65"/>
    <w:rsid w:val="0027060B"/>
    <w:rsid w:val="00271357"/>
    <w:rsid w:val="00272914"/>
    <w:rsid w:val="00275270"/>
    <w:rsid w:val="00275782"/>
    <w:rsid w:val="00276B0C"/>
    <w:rsid w:val="0027720A"/>
    <w:rsid w:val="0027794D"/>
    <w:rsid w:val="00277FC9"/>
    <w:rsid w:val="002827BF"/>
    <w:rsid w:val="002829E3"/>
    <w:rsid w:val="00284DD7"/>
    <w:rsid w:val="00285EF4"/>
    <w:rsid w:val="00287B2A"/>
    <w:rsid w:val="002929D9"/>
    <w:rsid w:val="002950C7"/>
    <w:rsid w:val="0029651A"/>
    <w:rsid w:val="002A1B85"/>
    <w:rsid w:val="002A2338"/>
    <w:rsid w:val="002A5505"/>
    <w:rsid w:val="002A65BB"/>
    <w:rsid w:val="002B0D1A"/>
    <w:rsid w:val="002B10E6"/>
    <w:rsid w:val="002B15CB"/>
    <w:rsid w:val="002B22FC"/>
    <w:rsid w:val="002B3A0E"/>
    <w:rsid w:val="002B429F"/>
    <w:rsid w:val="002B45F4"/>
    <w:rsid w:val="002B4692"/>
    <w:rsid w:val="002B6162"/>
    <w:rsid w:val="002C03AE"/>
    <w:rsid w:val="002C04E0"/>
    <w:rsid w:val="002C6519"/>
    <w:rsid w:val="002D067D"/>
    <w:rsid w:val="002D1615"/>
    <w:rsid w:val="002D1BAA"/>
    <w:rsid w:val="002D1F10"/>
    <w:rsid w:val="002D30E5"/>
    <w:rsid w:val="002D330E"/>
    <w:rsid w:val="002D4229"/>
    <w:rsid w:val="002D5C1D"/>
    <w:rsid w:val="002D6196"/>
    <w:rsid w:val="002D69DF"/>
    <w:rsid w:val="002D6A3B"/>
    <w:rsid w:val="002D70D7"/>
    <w:rsid w:val="002E24E2"/>
    <w:rsid w:val="002E3F58"/>
    <w:rsid w:val="002E4365"/>
    <w:rsid w:val="002E5797"/>
    <w:rsid w:val="002F0D96"/>
    <w:rsid w:val="002F1384"/>
    <w:rsid w:val="002F1E6F"/>
    <w:rsid w:val="002F1E78"/>
    <w:rsid w:val="002F360D"/>
    <w:rsid w:val="002F4467"/>
    <w:rsid w:val="002F5F39"/>
    <w:rsid w:val="002F7F22"/>
    <w:rsid w:val="00302B92"/>
    <w:rsid w:val="00302DC2"/>
    <w:rsid w:val="003031E3"/>
    <w:rsid w:val="00306EA7"/>
    <w:rsid w:val="00307BE0"/>
    <w:rsid w:val="0031137F"/>
    <w:rsid w:val="00312A2A"/>
    <w:rsid w:val="00317FC0"/>
    <w:rsid w:val="00320512"/>
    <w:rsid w:val="00320EEB"/>
    <w:rsid w:val="003221CA"/>
    <w:rsid w:val="00322A45"/>
    <w:rsid w:val="00323059"/>
    <w:rsid w:val="00324BD3"/>
    <w:rsid w:val="00325168"/>
    <w:rsid w:val="00325D6F"/>
    <w:rsid w:val="00326BD9"/>
    <w:rsid w:val="003270F1"/>
    <w:rsid w:val="00330625"/>
    <w:rsid w:val="00340051"/>
    <w:rsid w:val="00340AAD"/>
    <w:rsid w:val="00341F3A"/>
    <w:rsid w:val="00342164"/>
    <w:rsid w:val="003466DE"/>
    <w:rsid w:val="00354B4E"/>
    <w:rsid w:val="00356233"/>
    <w:rsid w:val="003563A3"/>
    <w:rsid w:val="003606D0"/>
    <w:rsid w:val="00365813"/>
    <w:rsid w:val="003717D7"/>
    <w:rsid w:val="003756BE"/>
    <w:rsid w:val="0037655E"/>
    <w:rsid w:val="00377BB2"/>
    <w:rsid w:val="00380900"/>
    <w:rsid w:val="00380DCD"/>
    <w:rsid w:val="00381CE1"/>
    <w:rsid w:val="003842FF"/>
    <w:rsid w:val="00384B63"/>
    <w:rsid w:val="003903FC"/>
    <w:rsid w:val="00391E27"/>
    <w:rsid w:val="003958EC"/>
    <w:rsid w:val="00395AED"/>
    <w:rsid w:val="003A1DCE"/>
    <w:rsid w:val="003A385D"/>
    <w:rsid w:val="003B2727"/>
    <w:rsid w:val="003B2D66"/>
    <w:rsid w:val="003B3228"/>
    <w:rsid w:val="003B41D8"/>
    <w:rsid w:val="003B4D59"/>
    <w:rsid w:val="003B4DCF"/>
    <w:rsid w:val="003B516C"/>
    <w:rsid w:val="003B5808"/>
    <w:rsid w:val="003B5EBD"/>
    <w:rsid w:val="003B6564"/>
    <w:rsid w:val="003B7CC1"/>
    <w:rsid w:val="003C0A9C"/>
    <w:rsid w:val="003C2656"/>
    <w:rsid w:val="003C606A"/>
    <w:rsid w:val="003C72EB"/>
    <w:rsid w:val="003C77CE"/>
    <w:rsid w:val="003D026E"/>
    <w:rsid w:val="003D0459"/>
    <w:rsid w:val="003D2909"/>
    <w:rsid w:val="003D4312"/>
    <w:rsid w:val="003D5AE4"/>
    <w:rsid w:val="003D758A"/>
    <w:rsid w:val="003E060F"/>
    <w:rsid w:val="003E3E7A"/>
    <w:rsid w:val="003E5BAB"/>
    <w:rsid w:val="003E70D0"/>
    <w:rsid w:val="003E7F0F"/>
    <w:rsid w:val="003F486C"/>
    <w:rsid w:val="003F570E"/>
    <w:rsid w:val="003F6845"/>
    <w:rsid w:val="00403485"/>
    <w:rsid w:val="00410012"/>
    <w:rsid w:val="0041187E"/>
    <w:rsid w:val="00411BFA"/>
    <w:rsid w:val="00411F7B"/>
    <w:rsid w:val="00413350"/>
    <w:rsid w:val="00416BC3"/>
    <w:rsid w:val="004171A8"/>
    <w:rsid w:val="00421D92"/>
    <w:rsid w:val="00424EF2"/>
    <w:rsid w:val="0042519A"/>
    <w:rsid w:val="0042719A"/>
    <w:rsid w:val="00427985"/>
    <w:rsid w:val="00427D5F"/>
    <w:rsid w:val="0043496F"/>
    <w:rsid w:val="00440745"/>
    <w:rsid w:val="00440DA8"/>
    <w:rsid w:val="00442D7B"/>
    <w:rsid w:val="00443D6D"/>
    <w:rsid w:val="0044485B"/>
    <w:rsid w:val="0044487E"/>
    <w:rsid w:val="004451DC"/>
    <w:rsid w:val="00447355"/>
    <w:rsid w:val="00450673"/>
    <w:rsid w:val="0045442D"/>
    <w:rsid w:val="004546A5"/>
    <w:rsid w:val="00455694"/>
    <w:rsid w:val="0045625B"/>
    <w:rsid w:val="004566F4"/>
    <w:rsid w:val="00456DEE"/>
    <w:rsid w:val="004609A2"/>
    <w:rsid w:val="004617E1"/>
    <w:rsid w:val="00462E2E"/>
    <w:rsid w:val="00463377"/>
    <w:rsid w:val="004637FD"/>
    <w:rsid w:val="00466782"/>
    <w:rsid w:val="004704C2"/>
    <w:rsid w:val="00471910"/>
    <w:rsid w:val="0047242B"/>
    <w:rsid w:val="004729D3"/>
    <w:rsid w:val="00474924"/>
    <w:rsid w:val="0047668C"/>
    <w:rsid w:val="00481C60"/>
    <w:rsid w:val="00486056"/>
    <w:rsid w:val="0048719F"/>
    <w:rsid w:val="004871CF"/>
    <w:rsid w:val="00487A77"/>
    <w:rsid w:val="00487C21"/>
    <w:rsid w:val="00495D7F"/>
    <w:rsid w:val="0049655A"/>
    <w:rsid w:val="00497555"/>
    <w:rsid w:val="004A026C"/>
    <w:rsid w:val="004A1413"/>
    <w:rsid w:val="004A26CF"/>
    <w:rsid w:val="004A2794"/>
    <w:rsid w:val="004A32F8"/>
    <w:rsid w:val="004A4220"/>
    <w:rsid w:val="004A4718"/>
    <w:rsid w:val="004A4BD3"/>
    <w:rsid w:val="004A4FB5"/>
    <w:rsid w:val="004A5AE9"/>
    <w:rsid w:val="004A7A5A"/>
    <w:rsid w:val="004B37AD"/>
    <w:rsid w:val="004B3824"/>
    <w:rsid w:val="004B49BF"/>
    <w:rsid w:val="004C0221"/>
    <w:rsid w:val="004C226E"/>
    <w:rsid w:val="004C65C7"/>
    <w:rsid w:val="004C6B94"/>
    <w:rsid w:val="004C7189"/>
    <w:rsid w:val="004C7D33"/>
    <w:rsid w:val="004D0771"/>
    <w:rsid w:val="004D1C49"/>
    <w:rsid w:val="004D36A8"/>
    <w:rsid w:val="004D5819"/>
    <w:rsid w:val="004D67EF"/>
    <w:rsid w:val="004E0C6B"/>
    <w:rsid w:val="004E2BAD"/>
    <w:rsid w:val="004E53BA"/>
    <w:rsid w:val="004E5A6E"/>
    <w:rsid w:val="004E6671"/>
    <w:rsid w:val="004E6BE3"/>
    <w:rsid w:val="004E77CE"/>
    <w:rsid w:val="004F1A7E"/>
    <w:rsid w:val="004F1F27"/>
    <w:rsid w:val="004F2B02"/>
    <w:rsid w:val="004F3C06"/>
    <w:rsid w:val="0050080B"/>
    <w:rsid w:val="00500DAC"/>
    <w:rsid w:val="00501338"/>
    <w:rsid w:val="005024C6"/>
    <w:rsid w:val="0050281B"/>
    <w:rsid w:val="00503185"/>
    <w:rsid w:val="00505F7E"/>
    <w:rsid w:val="00507DD9"/>
    <w:rsid w:val="00511CFE"/>
    <w:rsid w:val="00512868"/>
    <w:rsid w:val="00512CF7"/>
    <w:rsid w:val="00513385"/>
    <w:rsid w:val="0051413A"/>
    <w:rsid w:val="005177EB"/>
    <w:rsid w:val="00521011"/>
    <w:rsid w:val="00523845"/>
    <w:rsid w:val="005238EF"/>
    <w:rsid w:val="00532C48"/>
    <w:rsid w:val="00535E05"/>
    <w:rsid w:val="005360EC"/>
    <w:rsid w:val="005376DE"/>
    <w:rsid w:val="00537A3E"/>
    <w:rsid w:val="00541D97"/>
    <w:rsid w:val="0054501B"/>
    <w:rsid w:val="00552504"/>
    <w:rsid w:val="00553347"/>
    <w:rsid w:val="0055455B"/>
    <w:rsid w:val="0055478B"/>
    <w:rsid w:val="0056013A"/>
    <w:rsid w:val="00561CF6"/>
    <w:rsid w:val="005634B9"/>
    <w:rsid w:val="00563AA7"/>
    <w:rsid w:val="00564AD8"/>
    <w:rsid w:val="00566652"/>
    <w:rsid w:val="00566A47"/>
    <w:rsid w:val="00566B64"/>
    <w:rsid w:val="00570E2B"/>
    <w:rsid w:val="005732AA"/>
    <w:rsid w:val="0057362C"/>
    <w:rsid w:val="005736F7"/>
    <w:rsid w:val="005751D8"/>
    <w:rsid w:val="00575225"/>
    <w:rsid w:val="0057620E"/>
    <w:rsid w:val="005779AA"/>
    <w:rsid w:val="005824D2"/>
    <w:rsid w:val="005835D0"/>
    <w:rsid w:val="00585B3F"/>
    <w:rsid w:val="00585DDC"/>
    <w:rsid w:val="00592AC2"/>
    <w:rsid w:val="00594748"/>
    <w:rsid w:val="005978CE"/>
    <w:rsid w:val="005A08D1"/>
    <w:rsid w:val="005A25BB"/>
    <w:rsid w:val="005A34FF"/>
    <w:rsid w:val="005A4442"/>
    <w:rsid w:val="005A4BFD"/>
    <w:rsid w:val="005A5E23"/>
    <w:rsid w:val="005A6970"/>
    <w:rsid w:val="005A6AC8"/>
    <w:rsid w:val="005A72E3"/>
    <w:rsid w:val="005A7385"/>
    <w:rsid w:val="005B0272"/>
    <w:rsid w:val="005B0279"/>
    <w:rsid w:val="005B087A"/>
    <w:rsid w:val="005B1E36"/>
    <w:rsid w:val="005B349B"/>
    <w:rsid w:val="005B3AE0"/>
    <w:rsid w:val="005B62FA"/>
    <w:rsid w:val="005B668A"/>
    <w:rsid w:val="005B6CB3"/>
    <w:rsid w:val="005B7111"/>
    <w:rsid w:val="005C0A73"/>
    <w:rsid w:val="005C0CF1"/>
    <w:rsid w:val="005C340F"/>
    <w:rsid w:val="005C7509"/>
    <w:rsid w:val="005D123F"/>
    <w:rsid w:val="005D189B"/>
    <w:rsid w:val="005D195B"/>
    <w:rsid w:val="005D1CE2"/>
    <w:rsid w:val="005D26FB"/>
    <w:rsid w:val="005D340F"/>
    <w:rsid w:val="005D3C24"/>
    <w:rsid w:val="005D41CD"/>
    <w:rsid w:val="005D6845"/>
    <w:rsid w:val="005E0BA2"/>
    <w:rsid w:val="005E0F29"/>
    <w:rsid w:val="005E1A7A"/>
    <w:rsid w:val="005E223E"/>
    <w:rsid w:val="005E2B5F"/>
    <w:rsid w:val="005E4151"/>
    <w:rsid w:val="005E5CFF"/>
    <w:rsid w:val="005E6067"/>
    <w:rsid w:val="005E6397"/>
    <w:rsid w:val="005F173F"/>
    <w:rsid w:val="005F38D0"/>
    <w:rsid w:val="005F3ED7"/>
    <w:rsid w:val="005F45E8"/>
    <w:rsid w:val="005F5878"/>
    <w:rsid w:val="005F647E"/>
    <w:rsid w:val="005F73F8"/>
    <w:rsid w:val="005F78C0"/>
    <w:rsid w:val="00600FD3"/>
    <w:rsid w:val="006042A8"/>
    <w:rsid w:val="00605984"/>
    <w:rsid w:val="00606228"/>
    <w:rsid w:val="006067B3"/>
    <w:rsid w:val="00606DA7"/>
    <w:rsid w:val="0060728D"/>
    <w:rsid w:val="006074E0"/>
    <w:rsid w:val="00620B77"/>
    <w:rsid w:val="00621EBC"/>
    <w:rsid w:val="006224C2"/>
    <w:rsid w:val="00622565"/>
    <w:rsid w:val="00622B81"/>
    <w:rsid w:val="006237C6"/>
    <w:rsid w:val="006257D5"/>
    <w:rsid w:val="00627244"/>
    <w:rsid w:val="00630EFD"/>
    <w:rsid w:val="00634537"/>
    <w:rsid w:val="006352AE"/>
    <w:rsid w:val="00636480"/>
    <w:rsid w:val="00637409"/>
    <w:rsid w:val="00641494"/>
    <w:rsid w:val="00643288"/>
    <w:rsid w:val="00643EDF"/>
    <w:rsid w:val="006446AB"/>
    <w:rsid w:val="00650A08"/>
    <w:rsid w:val="00656641"/>
    <w:rsid w:val="00656E11"/>
    <w:rsid w:val="00657C05"/>
    <w:rsid w:val="006617B0"/>
    <w:rsid w:val="00661B5B"/>
    <w:rsid w:val="006631FC"/>
    <w:rsid w:val="0066452D"/>
    <w:rsid w:val="00665481"/>
    <w:rsid w:val="0066617F"/>
    <w:rsid w:val="00666BF9"/>
    <w:rsid w:val="006713DF"/>
    <w:rsid w:val="00675C3C"/>
    <w:rsid w:val="00676936"/>
    <w:rsid w:val="00676B29"/>
    <w:rsid w:val="00677715"/>
    <w:rsid w:val="006842AB"/>
    <w:rsid w:val="006916DD"/>
    <w:rsid w:val="00691D0C"/>
    <w:rsid w:val="00693FB3"/>
    <w:rsid w:val="0069657C"/>
    <w:rsid w:val="00697090"/>
    <w:rsid w:val="006A0DD2"/>
    <w:rsid w:val="006A4F15"/>
    <w:rsid w:val="006A6D84"/>
    <w:rsid w:val="006A77E1"/>
    <w:rsid w:val="006B18A7"/>
    <w:rsid w:val="006B454B"/>
    <w:rsid w:val="006B5C53"/>
    <w:rsid w:val="006B7DB4"/>
    <w:rsid w:val="006C0954"/>
    <w:rsid w:val="006C0E36"/>
    <w:rsid w:val="006C45F0"/>
    <w:rsid w:val="006C69EB"/>
    <w:rsid w:val="006D027F"/>
    <w:rsid w:val="006D04CB"/>
    <w:rsid w:val="006D085D"/>
    <w:rsid w:val="006D1B70"/>
    <w:rsid w:val="006D332F"/>
    <w:rsid w:val="006D5900"/>
    <w:rsid w:val="006D693F"/>
    <w:rsid w:val="006D7833"/>
    <w:rsid w:val="006E084D"/>
    <w:rsid w:val="006E1D04"/>
    <w:rsid w:val="006E2E22"/>
    <w:rsid w:val="006E3042"/>
    <w:rsid w:val="006E3B8F"/>
    <w:rsid w:val="006E41E4"/>
    <w:rsid w:val="006E4CCF"/>
    <w:rsid w:val="006E5CB0"/>
    <w:rsid w:val="006F17FC"/>
    <w:rsid w:val="006F195E"/>
    <w:rsid w:val="006F27E3"/>
    <w:rsid w:val="006F42A5"/>
    <w:rsid w:val="006F46CB"/>
    <w:rsid w:val="0070739A"/>
    <w:rsid w:val="007100BF"/>
    <w:rsid w:val="00710C9F"/>
    <w:rsid w:val="007110FE"/>
    <w:rsid w:val="007120D5"/>
    <w:rsid w:val="007128B9"/>
    <w:rsid w:val="00714853"/>
    <w:rsid w:val="00714FDA"/>
    <w:rsid w:val="00715D1E"/>
    <w:rsid w:val="00716397"/>
    <w:rsid w:val="0071671D"/>
    <w:rsid w:val="00720B0A"/>
    <w:rsid w:val="00722DAC"/>
    <w:rsid w:val="00725BE5"/>
    <w:rsid w:val="00727D5D"/>
    <w:rsid w:val="00730223"/>
    <w:rsid w:val="007367B7"/>
    <w:rsid w:val="00737B62"/>
    <w:rsid w:val="00742857"/>
    <w:rsid w:val="00743EF0"/>
    <w:rsid w:val="00744572"/>
    <w:rsid w:val="0075021F"/>
    <w:rsid w:val="00752D76"/>
    <w:rsid w:val="007542BF"/>
    <w:rsid w:val="00754808"/>
    <w:rsid w:val="007566D9"/>
    <w:rsid w:val="00756B48"/>
    <w:rsid w:val="007573E9"/>
    <w:rsid w:val="00760A06"/>
    <w:rsid w:val="007612A6"/>
    <w:rsid w:val="00763364"/>
    <w:rsid w:val="007647D2"/>
    <w:rsid w:val="00764882"/>
    <w:rsid w:val="00771C4A"/>
    <w:rsid w:val="007752FF"/>
    <w:rsid w:val="00776631"/>
    <w:rsid w:val="0078009D"/>
    <w:rsid w:val="007813A5"/>
    <w:rsid w:val="007821C1"/>
    <w:rsid w:val="0078367D"/>
    <w:rsid w:val="007872FF"/>
    <w:rsid w:val="00791BA1"/>
    <w:rsid w:val="00791CF3"/>
    <w:rsid w:val="00794431"/>
    <w:rsid w:val="00794DE9"/>
    <w:rsid w:val="007A045F"/>
    <w:rsid w:val="007A1B22"/>
    <w:rsid w:val="007A34BD"/>
    <w:rsid w:val="007B2AC9"/>
    <w:rsid w:val="007C0AF0"/>
    <w:rsid w:val="007C13EF"/>
    <w:rsid w:val="007C1954"/>
    <w:rsid w:val="007C1A6B"/>
    <w:rsid w:val="007C3CDF"/>
    <w:rsid w:val="007C44C7"/>
    <w:rsid w:val="007C59E9"/>
    <w:rsid w:val="007C7C98"/>
    <w:rsid w:val="007D301B"/>
    <w:rsid w:val="007D3A83"/>
    <w:rsid w:val="007D3E2D"/>
    <w:rsid w:val="007D4D8C"/>
    <w:rsid w:val="007D4FE1"/>
    <w:rsid w:val="007D6881"/>
    <w:rsid w:val="007D7497"/>
    <w:rsid w:val="007E176D"/>
    <w:rsid w:val="007E78FA"/>
    <w:rsid w:val="007E791A"/>
    <w:rsid w:val="007E7D35"/>
    <w:rsid w:val="007F0745"/>
    <w:rsid w:val="007F0A03"/>
    <w:rsid w:val="007F1705"/>
    <w:rsid w:val="007F2E5F"/>
    <w:rsid w:val="007F38F1"/>
    <w:rsid w:val="007F4BE6"/>
    <w:rsid w:val="007F4F3B"/>
    <w:rsid w:val="007F5032"/>
    <w:rsid w:val="007F619B"/>
    <w:rsid w:val="00801384"/>
    <w:rsid w:val="008019EC"/>
    <w:rsid w:val="00801D4D"/>
    <w:rsid w:val="00805B56"/>
    <w:rsid w:val="00806563"/>
    <w:rsid w:val="008065D4"/>
    <w:rsid w:val="00806FA4"/>
    <w:rsid w:val="00810BCA"/>
    <w:rsid w:val="00812E43"/>
    <w:rsid w:val="0081569D"/>
    <w:rsid w:val="00815C58"/>
    <w:rsid w:val="008169BA"/>
    <w:rsid w:val="0082066F"/>
    <w:rsid w:val="008213F7"/>
    <w:rsid w:val="008226E1"/>
    <w:rsid w:val="0082321F"/>
    <w:rsid w:val="00824AD0"/>
    <w:rsid w:val="00824DA8"/>
    <w:rsid w:val="00826B8E"/>
    <w:rsid w:val="00826FA9"/>
    <w:rsid w:val="00827DBA"/>
    <w:rsid w:val="00827EA6"/>
    <w:rsid w:val="008308FE"/>
    <w:rsid w:val="00832267"/>
    <w:rsid w:val="00834042"/>
    <w:rsid w:val="00834CAD"/>
    <w:rsid w:val="00834E75"/>
    <w:rsid w:val="00840F83"/>
    <w:rsid w:val="00843D0D"/>
    <w:rsid w:val="00844597"/>
    <w:rsid w:val="008457EE"/>
    <w:rsid w:val="00850661"/>
    <w:rsid w:val="00850BB3"/>
    <w:rsid w:val="00851E4E"/>
    <w:rsid w:val="00852BA7"/>
    <w:rsid w:val="008562A9"/>
    <w:rsid w:val="00861E28"/>
    <w:rsid w:val="0086268F"/>
    <w:rsid w:val="00863E8D"/>
    <w:rsid w:val="00863FD2"/>
    <w:rsid w:val="00865C8A"/>
    <w:rsid w:val="00866C5C"/>
    <w:rsid w:val="008714A2"/>
    <w:rsid w:val="008719CD"/>
    <w:rsid w:val="0087219A"/>
    <w:rsid w:val="0087386E"/>
    <w:rsid w:val="008776D1"/>
    <w:rsid w:val="0088500F"/>
    <w:rsid w:val="0089262A"/>
    <w:rsid w:val="00892EA8"/>
    <w:rsid w:val="008937AF"/>
    <w:rsid w:val="008971A8"/>
    <w:rsid w:val="00897836"/>
    <w:rsid w:val="008A00D0"/>
    <w:rsid w:val="008A6BC6"/>
    <w:rsid w:val="008A6F58"/>
    <w:rsid w:val="008A7473"/>
    <w:rsid w:val="008A7B53"/>
    <w:rsid w:val="008B1249"/>
    <w:rsid w:val="008B1850"/>
    <w:rsid w:val="008B20D6"/>
    <w:rsid w:val="008B4410"/>
    <w:rsid w:val="008B6493"/>
    <w:rsid w:val="008B65BB"/>
    <w:rsid w:val="008B7E9F"/>
    <w:rsid w:val="008C009D"/>
    <w:rsid w:val="008C0743"/>
    <w:rsid w:val="008C24D7"/>
    <w:rsid w:val="008C2F3C"/>
    <w:rsid w:val="008C6ADD"/>
    <w:rsid w:val="008C6F52"/>
    <w:rsid w:val="008C7A99"/>
    <w:rsid w:val="008D180D"/>
    <w:rsid w:val="008E0545"/>
    <w:rsid w:val="008E0F46"/>
    <w:rsid w:val="008E3ED5"/>
    <w:rsid w:val="008E5031"/>
    <w:rsid w:val="008E6D22"/>
    <w:rsid w:val="008F080F"/>
    <w:rsid w:val="008F1707"/>
    <w:rsid w:val="008F597A"/>
    <w:rsid w:val="008F5D94"/>
    <w:rsid w:val="00902706"/>
    <w:rsid w:val="00903220"/>
    <w:rsid w:val="009032C7"/>
    <w:rsid w:val="0090424B"/>
    <w:rsid w:val="009078FA"/>
    <w:rsid w:val="0091018A"/>
    <w:rsid w:val="009116FA"/>
    <w:rsid w:val="00913AA9"/>
    <w:rsid w:val="00923308"/>
    <w:rsid w:val="009255DE"/>
    <w:rsid w:val="00926603"/>
    <w:rsid w:val="00927FF1"/>
    <w:rsid w:val="00930032"/>
    <w:rsid w:val="00930DF8"/>
    <w:rsid w:val="0093286A"/>
    <w:rsid w:val="00933648"/>
    <w:rsid w:val="009339A1"/>
    <w:rsid w:val="0093415A"/>
    <w:rsid w:val="00936A0C"/>
    <w:rsid w:val="00941380"/>
    <w:rsid w:val="009413EB"/>
    <w:rsid w:val="009457B6"/>
    <w:rsid w:val="00947271"/>
    <w:rsid w:val="00947395"/>
    <w:rsid w:val="009516DF"/>
    <w:rsid w:val="009579B8"/>
    <w:rsid w:val="00961B58"/>
    <w:rsid w:val="0096236E"/>
    <w:rsid w:val="009623B9"/>
    <w:rsid w:val="00963B5F"/>
    <w:rsid w:val="00966BBA"/>
    <w:rsid w:val="009703AB"/>
    <w:rsid w:val="00971494"/>
    <w:rsid w:val="00971636"/>
    <w:rsid w:val="009716E8"/>
    <w:rsid w:val="00972C3F"/>
    <w:rsid w:val="00973354"/>
    <w:rsid w:val="009739D0"/>
    <w:rsid w:val="00973CA6"/>
    <w:rsid w:val="00973E9A"/>
    <w:rsid w:val="00974004"/>
    <w:rsid w:val="00975F62"/>
    <w:rsid w:val="00976F63"/>
    <w:rsid w:val="00982DFD"/>
    <w:rsid w:val="00983A26"/>
    <w:rsid w:val="00983A83"/>
    <w:rsid w:val="0098561E"/>
    <w:rsid w:val="00985A5E"/>
    <w:rsid w:val="00986066"/>
    <w:rsid w:val="009930E1"/>
    <w:rsid w:val="00995A8D"/>
    <w:rsid w:val="00997350"/>
    <w:rsid w:val="009A20BB"/>
    <w:rsid w:val="009A3E44"/>
    <w:rsid w:val="009A714A"/>
    <w:rsid w:val="009B2FB5"/>
    <w:rsid w:val="009B595D"/>
    <w:rsid w:val="009B71EE"/>
    <w:rsid w:val="009C2BC5"/>
    <w:rsid w:val="009C3147"/>
    <w:rsid w:val="009C4E42"/>
    <w:rsid w:val="009C58A3"/>
    <w:rsid w:val="009C66C6"/>
    <w:rsid w:val="009D1525"/>
    <w:rsid w:val="009D1BC8"/>
    <w:rsid w:val="009D1F9C"/>
    <w:rsid w:val="009D30FC"/>
    <w:rsid w:val="009D328B"/>
    <w:rsid w:val="009D4551"/>
    <w:rsid w:val="009E1269"/>
    <w:rsid w:val="009E3A1D"/>
    <w:rsid w:val="009E4676"/>
    <w:rsid w:val="009E4C80"/>
    <w:rsid w:val="009F0404"/>
    <w:rsid w:val="009F0C1F"/>
    <w:rsid w:val="009F1284"/>
    <w:rsid w:val="009F20B2"/>
    <w:rsid w:val="009F371A"/>
    <w:rsid w:val="009F3FF0"/>
    <w:rsid w:val="00A006F4"/>
    <w:rsid w:val="00A0118E"/>
    <w:rsid w:val="00A03A4B"/>
    <w:rsid w:val="00A06B39"/>
    <w:rsid w:val="00A1239E"/>
    <w:rsid w:val="00A136F8"/>
    <w:rsid w:val="00A139DD"/>
    <w:rsid w:val="00A16107"/>
    <w:rsid w:val="00A21134"/>
    <w:rsid w:val="00A2401C"/>
    <w:rsid w:val="00A2508E"/>
    <w:rsid w:val="00A2665A"/>
    <w:rsid w:val="00A271CE"/>
    <w:rsid w:val="00A27670"/>
    <w:rsid w:val="00A309FC"/>
    <w:rsid w:val="00A30B9F"/>
    <w:rsid w:val="00A31103"/>
    <w:rsid w:val="00A32480"/>
    <w:rsid w:val="00A35234"/>
    <w:rsid w:val="00A4162A"/>
    <w:rsid w:val="00A41F28"/>
    <w:rsid w:val="00A43A80"/>
    <w:rsid w:val="00A43AA9"/>
    <w:rsid w:val="00A45002"/>
    <w:rsid w:val="00A45530"/>
    <w:rsid w:val="00A52FB6"/>
    <w:rsid w:val="00A53A23"/>
    <w:rsid w:val="00A5423E"/>
    <w:rsid w:val="00A562F0"/>
    <w:rsid w:val="00A61111"/>
    <w:rsid w:val="00A64F66"/>
    <w:rsid w:val="00A665AF"/>
    <w:rsid w:val="00A66748"/>
    <w:rsid w:val="00A716D6"/>
    <w:rsid w:val="00A722F8"/>
    <w:rsid w:val="00A730D6"/>
    <w:rsid w:val="00A744AF"/>
    <w:rsid w:val="00A75EB4"/>
    <w:rsid w:val="00A779D8"/>
    <w:rsid w:val="00A80693"/>
    <w:rsid w:val="00A80EFD"/>
    <w:rsid w:val="00A810E5"/>
    <w:rsid w:val="00A816EA"/>
    <w:rsid w:val="00A838CC"/>
    <w:rsid w:val="00A85023"/>
    <w:rsid w:val="00A86124"/>
    <w:rsid w:val="00A90B19"/>
    <w:rsid w:val="00A91B59"/>
    <w:rsid w:val="00A926AA"/>
    <w:rsid w:val="00A9271C"/>
    <w:rsid w:val="00A9345B"/>
    <w:rsid w:val="00A935DC"/>
    <w:rsid w:val="00A93F27"/>
    <w:rsid w:val="00A941A7"/>
    <w:rsid w:val="00A95E39"/>
    <w:rsid w:val="00A9789A"/>
    <w:rsid w:val="00A97CCB"/>
    <w:rsid w:val="00AA0245"/>
    <w:rsid w:val="00AA09F1"/>
    <w:rsid w:val="00AA6E45"/>
    <w:rsid w:val="00AB0499"/>
    <w:rsid w:val="00AB0BC6"/>
    <w:rsid w:val="00AB0C1F"/>
    <w:rsid w:val="00AB17B2"/>
    <w:rsid w:val="00AB279F"/>
    <w:rsid w:val="00AB40C4"/>
    <w:rsid w:val="00AB5428"/>
    <w:rsid w:val="00AB6733"/>
    <w:rsid w:val="00AB7404"/>
    <w:rsid w:val="00AC0DED"/>
    <w:rsid w:val="00AC0F91"/>
    <w:rsid w:val="00AC1E25"/>
    <w:rsid w:val="00AC3484"/>
    <w:rsid w:val="00AD18A9"/>
    <w:rsid w:val="00AD25C8"/>
    <w:rsid w:val="00AD2F81"/>
    <w:rsid w:val="00AD6633"/>
    <w:rsid w:val="00AE0EFC"/>
    <w:rsid w:val="00AE2A4E"/>
    <w:rsid w:val="00AE7BA9"/>
    <w:rsid w:val="00AF1FCE"/>
    <w:rsid w:val="00AF414C"/>
    <w:rsid w:val="00AF54F0"/>
    <w:rsid w:val="00AF7DA1"/>
    <w:rsid w:val="00B010F2"/>
    <w:rsid w:val="00B02F86"/>
    <w:rsid w:val="00B040B4"/>
    <w:rsid w:val="00B0558F"/>
    <w:rsid w:val="00B0710D"/>
    <w:rsid w:val="00B0767C"/>
    <w:rsid w:val="00B12599"/>
    <w:rsid w:val="00B12D17"/>
    <w:rsid w:val="00B1332A"/>
    <w:rsid w:val="00B1361A"/>
    <w:rsid w:val="00B137BE"/>
    <w:rsid w:val="00B143D0"/>
    <w:rsid w:val="00B15DC8"/>
    <w:rsid w:val="00B17782"/>
    <w:rsid w:val="00B218FE"/>
    <w:rsid w:val="00B31D6C"/>
    <w:rsid w:val="00B32DCA"/>
    <w:rsid w:val="00B33C95"/>
    <w:rsid w:val="00B34EB7"/>
    <w:rsid w:val="00B3571D"/>
    <w:rsid w:val="00B35B84"/>
    <w:rsid w:val="00B37992"/>
    <w:rsid w:val="00B4064B"/>
    <w:rsid w:val="00B42296"/>
    <w:rsid w:val="00B43B6D"/>
    <w:rsid w:val="00B45718"/>
    <w:rsid w:val="00B46B3A"/>
    <w:rsid w:val="00B470C7"/>
    <w:rsid w:val="00B47432"/>
    <w:rsid w:val="00B47EEA"/>
    <w:rsid w:val="00B5247D"/>
    <w:rsid w:val="00B54B6A"/>
    <w:rsid w:val="00B54FE5"/>
    <w:rsid w:val="00B56E57"/>
    <w:rsid w:val="00B632A2"/>
    <w:rsid w:val="00B64C2C"/>
    <w:rsid w:val="00B66BBC"/>
    <w:rsid w:val="00B67C09"/>
    <w:rsid w:val="00B7088C"/>
    <w:rsid w:val="00B71B38"/>
    <w:rsid w:val="00B73708"/>
    <w:rsid w:val="00B767C4"/>
    <w:rsid w:val="00B77CC1"/>
    <w:rsid w:val="00B81B11"/>
    <w:rsid w:val="00B85A91"/>
    <w:rsid w:val="00B869BC"/>
    <w:rsid w:val="00B92E59"/>
    <w:rsid w:val="00B97DC2"/>
    <w:rsid w:val="00BA080A"/>
    <w:rsid w:val="00BA1944"/>
    <w:rsid w:val="00BA7C86"/>
    <w:rsid w:val="00BB0557"/>
    <w:rsid w:val="00BB0B54"/>
    <w:rsid w:val="00BB0BA1"/>
    <w:rsid w:val="00BB6922"/>
    <w:rsid w:val="00BC2AC7"/>
    <w:rsid w:val="00BC3FE6"/>
    <w:rsid w:val="00BC43D4"/>
    <w:rsid w:val="00BC4F3E"/>
    <w:rsid w:val="00BC579A"/>
    <w:rsid w:val="00BD11CD"/>
    <w:rsid w:val="00BD37AF"/>
    <w:rsid w:val="00BD3B45"/>
    <w:rsid w:val="00BD6DD2"/>
    <w:rsid w:val="00BE0095"/>
    <w:rsid w:val="00BE115F"/>
    <w:rsid w:val="00BE136C"/>
    <w:rsid w:val="00BE13E4"/>
    <w:rsid w:val="00BE1C7A"/>
    <w:rsid w:val="00BE2044"/>
    <w:rsid w:val="00BE4DF8"/>
    <w:rsid w:val="00BE573A"/>
    <w:rsid w:val="00BE626E"/>
    <w:rsid w:val="00BE6A94"/>
    <w:rsid w:val="00BE7027"/>
    <w:rsid w:val="00BF2A36"/>
    <w:rsid w:val="00BF2E01"/>
    <w:rsid w:val="00BF34F8"/>
    <w:rsid w:val="00BF3B40"/>
    <w:rsid w:val="00BF43B5"/>
    <w:rsid w:val="00BF4B95"/>
    <w:rsid w:val="00C001A5"/>
    <w:rsid w:val="00C02534"/>
    <w:rsid w:val="00C02580"/>
    <w:rsid w:val="00C041BB"/>
    <w:rsid w:val="00C05A5A"/>
    <w:rsid w:val="00C07E48"/>
    <w:rsid w:val="00C1089B"/>
    <w:rsid w:val="00C13084"/>
    <w:rsid w:val="00C132EF"/>
    <w:rsid w:val="00C158F7"/>
    <w:rsid w:val="00C15DD4"/>
    <w:rsid w:val="00C173C2"/>
    <w:rsid w:val="00C20CF8"/>
    <w:rsid w:val="00C2257D"/>
    <w:rsid w:val="00C24B73"/>
    <w:rsid w:val="00C27A36"/>
    <w:rsid w:val="00C27E01"/>
    <w:rsid w:val="00C3265F"/>
    <w:rsid w:val="00C333E4"/>
    <w:rsid w:val="00C3359C"/>
    <w:rsid w:val="00C3447B"/>
    <w:rsid w:val="00C3506F"/>
    <w:rsid w:val="00C35448"/>
    <w:rsid w:val="00C36020"/>
    <w:rsid w:val="00C36482"/>
    <w:rsid w:val="00C40445"/>
    <w:rsid w:val="00C41D22"/>
    <w:rsid w:val="00C422A9"/>
    <w:rsid w:val="00C524F8"/>
    <w:rsid w:val="00C5471B"/>
    <w:rsid w:val="00C55A12"/>
    <w:rsid w:val="00C60D80"/>
    <w:rsid w:val="00C61D33"/>
    <w:rsid w:val="00C63DFF"/>
    <w:rsid w:val="00C67A74"/>
    <w:rsid w:val="00C70506"/>
    <w:rsid w:val="00C70630"/>
    <w:rsid w:val="00C722F9"/>
    <w:rsid w:val="00C72F99"/>
    <w:rsid w:val="00C73EA0"/>
    <w:rsid w:val="00C74339"/>
    <w:rsid w:val="00C76DD4"/>
    <w:rsid w:val="00C77BCE"/>
    <w:rsid w:val="00C80205"/>
    <w:rsid w:val="00C81F24"/>
    <w:rsid w:val="00C86360"/>
    <w:rsid w:val="00C920DF"/>
    <w:rsid w:val="00C94329"/>
    <w:rsid w:val="00C9567E"/>
    <w:rsid w:val="00C9581A"/>
    <w:rsid w:val="00C961A4"/>
    <w:rsid w:val="00C97795"/>
    <w:rsid w:val="00CA11DB"/>
    <w:rsid w:val="00CA15A4"/>
    <w:rsid w:val="00CA1857"/>
    <w:rsid w:val="00CA3C26"/>
    <w:rsid w:val="00CA492B"/>
    <w:rsid w:val="00CA5EA9"/>
    <w:rsid w:val="00CA784E"/>
    <w:rsid w:val="00CA7CED"/>
    <w:rsid w:val="00CB064A"/>
    <w:rsid w:val="00CB074A"/>
    <w:rsid w:val="00CB1640"/>
    <w:rsid w:val="00CB1E8C"/>
    <w:rsid w:val="00CB5BC7"/>
    <w:rsid w:val="00CB6123"/>
    <w:rsid w:val="00CB6EE4"/>
    <w:rsid w:val="00CB7733"/>
    <w:rsid w:val="00CC00D1"/>
    <w:rsid w:val="00CC07B3"/>
    <w:rsid w:val="00CC14FB"/>
    <w:rsid w:val="00CC4753"/>
    <w:rsid w:val="00CC5397"/>
    <w:rsid w:val="00CC55EB"/>
    <w:rsid w:val="00CC7145"/>
    <w:rsid w:val="00CC7EC0"/>
    <w:rsid w:val="00CD2D9A"/>
    <w:rsid w:val="00CD4EC9"/>
    <w:rsid w:val="00CD6B56"/>
    <w:rsid w:val="00CD6EA5"/>
    <w:rsid w:val="00CD77A6"/>
    <w:rsid w:val="00CD7CB1"/>
    <w:rsid w:val="00CE0971"/>
    <w:rsid w:val="00CE0F02"/>
    <w:rsid w:val="00CE122D"/>
    <w:rsid w:val="00CE255A"/>
    <w:rsid w:val="00CE44EC"/>
    <w:rsid w:val="00CE45FF"/>
    <w:rsid w:val="00CE568D"/>
    <w:rsid w:val="00CF3E32"/>
    <w:rsid w:val="00CF7A5E"/>
    <w:rsid w:val="00D00DDD"/>
    <w:rsid w:val="00D0395D"/>
    <w:rsid w:val="00D03D4B"/>
    <w:rsid w:val="00D043E3"/>
    <w:rsid w:val="00D04EA1"/>
    <w:rsid w:val="00D0556A"/>
    <w:rsid w:val="00D103C9"/>
    <w:rsid w:val="00D173E0"/>
    <w:rsid w:val="00D1746D"/>
    <w:rsid w:val="00D21B8F"/>
    <w:rsid w:val="00D22BCB"/>
    <w:rsid w:val="00D24802"/>
    <w:rsid w:val="00D25880"/>
    <w:rsid w:val="00D27549"/>
    <w:rsid w:val="00D27A33"/>
    <w:rsid w:val="00D27D47"/>
    <w:rsid w:val="00D307A4"/>
    <w:rsid w:val="00D32181"/>
    <w:rsid w:val="00D35A00"/>
    <w:rsid w:val="00D36BB0"/>
    <w:rsid w:val="00D40224"/>
    <w:rsid w:val="00D41692"/>
    <w:rsid w:val="00D4290E"/>
    <w:rsid w:val="00D42D29"/>
    <w:rsid w:val="00D44AD2"/>
    <w:rsid w:val="00D44E4A"/>
    <w:rsid w:val="00D45BA0"/>
    <w:rsid w:val="00D46441"/>
    <w:rsid w:val="00D4660D"/>
    <w:rsid w:val="00D473BA"/>
    <w:rsid w:val="00D477E8"/>
    <w:rsid w:val="00D5149D"/>
    <w:rsid w:val="00D5151F"/>
    <w:rsid w:val="00D51DD7"/>
    <w:rsid w:val="00D55162"/>
    <w:rsid w:val="00D560D5"/>
    <w:rsid w:val="00D5773D"/>
    <w:rsid w:val="00D57E73"/>
    <w:rsid w:val="00D57F3C"/>
    <w:rsid w:val="00D60C21"/>
    <w:rsid w:val="00D62A6B"/>
    <w:rsid w:val="00D639BD"/>
    <w:rsid w:val="00D644D6"/>
    <w:rsid w:val="00D6587E"/>
    <w:rsid w:val="00D705ED"/>
    <w:rsid w:val="00D760F7"/>
    <w:rsid w:val="00D76996"/>
    <w:rsid w:val="00D76E6A"/>
    <w:rsid w:val="00D8285B"/>
    <w:rsid w:val="00D86D62"/>
    <w:rsid w:val="00D87534"/>
    <w:rsid w:val="00D90A1A"/>
    <w:rsid w:val="00D94D0E"/>
    <w:rsid w:val="00D95177"/>
    <w:rsid w:val="00D96AEC"/>
    <w:rsid w:val="00D971F3"/>
    <w:rsid w:val="00D9778C"/>
    <w:rsid w:val="00DA3387"/>
    <w:rsid w:val="00DA483A"/>
    <w:rsid w:val="00DA53D6"/>
    <w:rsid w:val="00DA5C94"/>
    <w:rsid w:val="00DA7E21"/>
    <w:rsid w:val="00DB1D3C"/>
    <w:rsid w:val="00DB52DF"/>
    <w:rsid w:val="00DB76A0"/>
    <w:rsid w:val="00DC0049"/>
    <w:rsid w:val="00DC0CCF"/>
    <w:rsid w:val="00DC206D"/>
    <w:rsid w:val="00DC277C"/>
    <w:rsid w:val="00DC3564"/>
    <w:rsid w:val="00DC48F1"/>
    <w:rsid w:val="00DC4E04"/>
    <w:rsid w:val="00DC529B"/>
    <w:rsid w:val="00DC5660"/>
    <w:rsid w:val="00DC730F"/>
    <w:rsid w:val="00DD4B2A"/>
    <w:rsid w:val="00DD4CF9"/>
    <w:rsid w:val="00DD548C"/>
    <w:rsid w:val="00DD557D"/>
    <w:rsid w:val="00DD63D6"/>
    <w:rsid w:val="00DE0694"/>
    <w:rsid w:val="00DE1BC4"/>
    <w:rsid w:val="00DE3C8F"/>
    <w:rsid w:val="00DE6411"/>
    <w:rsid w:val="00DF26B7"/>
    <w:rsid w:val="00DF3E62"/>
    <w:rsid w:val="00DF74D1"/>
    <w:rsid w:val="00E01066"/>
    <w:rsid w:val="00E01DD7"/>
    <w:rsid w:val="00E02C64"/>
    <w:rsid w:val="00E03EBC"/>
    <w:rsid w:val="00E0459F"/>
    <w:rsid w:val="00E04863"/>
    <w:rsid w:val="00E0637C"/>
    <w:rsid w:val="00E07768"/>
    <w:rsid w:val="00E11089"/>
    <w:rsid w:val="00E1138F"/>
    <w:rsid w:val="00E128BE"/>
    <w:rsid w:val="00E13C2D"/>
    <w:rsid w:val="00E1559F"/>
    <w:rsid w:val="00E16973"/>
    <w:rsid w:val="00E17688"/>
    <w:rsid w:val="00E226DF"/>
    <w:rsid w:val="00E23307"/>
    <w:rsid w:val="00E24690"/>
    <w:rsid w:val="00E25005"/>
    <w:rsid w:val="00E2731A"/>
    <w:rsid w:val="00E308EA"/>
    <w:rsid w:val="00E33466"/>
    <w:rsid w:val="00E33598"/>
    <w:rsid w:val="00E34AAF"/>
    <w:rsid w:val="00E36764"/>
    <w:rsid w:val="00E36CCC"/>
    <w:rsid w:val="00E3771D"/>
    <w:rsid w:val="00E40A4E"/>
    <w:rsid w:val="00E43240"/>
    <w:rsid w:val="00E437AE"/>
    <w:rsid w:val="00E46622"/>
    <w:rsid w:val="00E47C30"/>
    <w:rsid w:val="00E51D5C"/>
    <w:rsid w:val="00E52D14"/>
    <w:rsid w:val="00E52FDB"/>
    <w:rsid w:val="00E53545"/>
    <w:rsid w:val="00E53CB4"/>
    <w:rsid w:val="00E559D3"/>
    <w:rsid w:val="00E57CF1"/>
    <w:rsid w:val="00E63604"/>
    <w:rsid w:val="00E6397A"/>
    <w:rsid w:val="00E65D16"/>
    <w:rsid w:val="00E66F07"/>
    <w:rsid w:val="00E6700B"/>
    <w:rsid w:val="00E67C7E"/>
    <w:rsid w:val="00E72EBB"/>
    <w:rsid w:val="00E743BD"/>
    <w:rsid w:val="00E75513"/>
    <w:rsid w:val="00E77017"/>
    <w:rsid w:val="00E83E3C"/>
    <w:rsid w:val="00E84048"/>
    <w:rsid w:val="00E84A3E"/>
    <w:rsid w:val="00E86932"/>
    <w:rsid w:val="00E86C82"/>
    <w:rsid w:val="00E90F19"/>
    <w:rsid w:val="00E91B8A"/>
    <w:rsid w:val="00E9260B"/>
    <w:rsid w:val="00E927DE"/>
    <w:rsid w:val="00E92FBA"/>
    <w:rsid w:val="00E93432"/>
    <w:rsid w:val="00E9491D"/>
    <w:rsid w:val="00E94DAF"/>
    <w:rsid w:val="00E95A35"/>
    <w:rsid w:val="00E972A9"/>
    <w:rsid w:val="00E97A80"/>
    <w:rsid w:val="00EA0273"/>
    <w:rsid w:val="00EA57F1"/>
    <w:rsid w:val="00EB0441"/>
    <w:rsid w:val="00EB0463"/>
    <w:rsid w:val="00EB1328"/>
    <w:rsid w:val="00EB14A2"/>
    <w:rsid w:val="00EB15C3"/>
    <w:rsid w:val="00EB246C"/>
    <w:rsid w:val="00EB2D27"/>
    <w:rsid w:val="00EB4674"/>
    <w:rsid w:val="00EB4AA5"/>
    <w:rsid w:val="00EB5958"/>
    <w:rsid w:val="00EC0BC2"/>
    <w:rsid w:val="00EC0E0F"/>
    <w:rsid w:val="00EC3EB9"/>
    <w:rsid w:val="00EC41F0"/>
    <w:rsid w:val="00EC4E60"/>
    <w:rsid w:val="00EC59E0"/>
    <w:rsid w:val="00EC7DBA"/>
    <w:rsid w:val="00ED01CE"/>
    <w:rsid w:val="00ED281C"/>
    <w:rsid w:val="00ED355B"/>
    <w:rsid w:val="00ED36C0"/>
    <w:rsid w:val="00ED7498"/>
    <w:rsid w:val="00EE33FD"/>
    <w:rsid w:val="00EE3D0D"/>
    <w:rsid w:val="00EE6D8D"/>
    <w:rsid w:val="00EF088C"/>
    <w:rsid w:val="00EF1654"/>
    <w:rsid w:val="00EF2EB9"/>
    <w:rsid w:val="00EF7716"/>
    <w:rsid w:val="00EF7C35"/>
    <w:rsid w:val="00F00F29"/>
    <w:rsid w:val="00F049F4"/>
    <w:rsid w:val="00F04EFA"/>
    <w:rsid w:val="00F05E0A"/>
    <w:rsid w:val="00F06A5A"/>
    <w:rsid w:val="00F07162"/>
    <w:rsid w:val="00F105DA"/>
    <w:rsid w:val="00F10B0F"/>
    <w:rsid w:val="00F126F4"/>
    <w:rsid w:val="00F14D49"/>
    <w:rsid w:val="00F15BF8"/>
    <w:rsid w:val="00F17185"/>
    <w:rsid w:val="00F17E38"/>
    <w:rsid w:val="00F21ABB"/>
    <w:rsid w:val="00F2211F"/>
    <w:rsid w:val="00F22F2A"/>
    <w:rsid w:val="00F25D77"/>
    <w:rsid w:val="00F34187"/>
    <w:rsid w:val="00F404E1"/>
    <w:rsid w:val="00F40856"/>
    <w:rsid w:val="00F41941"/>
    <w:rsid w:val="00F41FAE"/>
    <w:rsid w:val="00F442B5"/>
    <w:rsid w:val="00F461AC"/>
    <w:rsid w:val="00F47A79"/>
    <w:rsid w:val="00F524BD"/>
    <w:rsid w:val="00F5373F"/>
    <w:rsid w:val="00F55B95"/>
    <w:rsid w:val="00F56AB8"/>
    <w:rsid w:val="00F57179"/>
    <w:rsid w:val="00F57780"/>
    <w:rsid w:val="00F57A2B"/>
    <w:rsid w:val="00F6143D"/>
    <w:rsid w:val="00F63560"/>
    <w:rsid w:val="00F64509"/>
    <w:rsid w:val="00F64F47"/>
    <w:rsid w:val="00F64F72"/>
    <w:rsid w:val="00F6506D"/>
    <w:rsid w:val="00F65D32"/>
    <w:rsid w:val="00F660E0"/>
    <w:rsid w:val="00F66B87"/>
    <w:rsid w:val="00F77C6B"/>
    <w:rsid w:val="00F807C5"/>
    <w:rsid w:val="00F809AF"/>
    <w:rsid w:val="00F8493C"/>
    <w:rsid w:val="00F84F7F"/>
    <w:rsid w:val="00F854E3"/>
    <w:rsid w:val="00F86E63"/>
    <w:rsid w:val="00F877E6"/>
    <w:rsid w:val="00F87EDE"/>
    <w:rsid w:val="00F95FFC"/>
    <w:rsid w:val="00FA176D"/>
    <w:rsid w:val="00FA21FB"/>
    <w:rsid w:val="00FA4313"/>
    <w:rsid w:val="00FA4365"/>
    <w:rsid w:val="00FB0AC5"/>
    <w:rsid w:val="00FB3561"/>
    <w:rsid w:val="00FB56C3"/>
    <w:rsid w:val="00FB708F"/>
    <w:rsid w:val="00FC074C"/>
    <w:rsid w:val="00FC0A71"/>
    <w:rsid w:val="00FC47FF"/>
    <w:rsid w:val="00FC4825"/>
    <w:rsid w:val="00FC64F8"/>
    <w:rsid w:val="00FC6883"/>
    <w:rsid w:val="00FC7AB5"/>
    <w:rsid w:val="00FD2E1B"/>
    <w:rsid w:val="00FD2E30"/>
    <w:rsid w:val="00FD658C"/>
    <w:rsid w:val="00FD7803"/>
    <w:rsid w:val="00FD78ED"/>
    <w:rsid w:val="00FE3947"/>
    <w:rsid w:val="00FE5201"/>
    <w:rsid w:val="00FE6991"/>
    <w:rsid w:val="00FF5311"/>
    <w:rsid w:val="04A2DFC3"/>
    <w:rsid w:val="086B10A0"/>
    <w:rsid w:val="08EEEE24"/>
    <w:rsid w:val="0C10C893"/>
    <w:rsid w:val="0C7E323F"/>
    <w:rsid w:val="0E6E7C60"/>
    <w:rsid w:val="0EFB1742"/>
    <w:rsid w:val="0F660786"/>
    <w:rsid w:val="0FFD3466"/>
    <w:rsid w:val="101F7077"/>
    <w:rsid w:val="10788F6F"/>
    <w:rsid w:val="13CE294D"/>
    <w:rsid w:val="1461BC44"/>
    <w:rsid w:val="155A88B1"/>
    <w:rsid w:val="15D4085A"/>
    <w:rsid w:val="18EB93D7"/>
    <w:rsid w:val="19C93F1F"/>
    <w:rsid w:val="1C3550DA"/>
    <w:rsid w:val="2078183D"/>
    <w:rsid w:val="216BB8FD"/>
    <w:rsid w:val="25D10865"/>
    <w:rsid w:val="25F2EFBD"/>
    <w:rsid w:val="265945ED"/>
    <w:rsid w:val="27A85064"/>
    <w:rsid w:val="2B40920E"/>
    <w:rsid w:val="2BFFEDFB"/>
    <w:rsid w:val="2EB224EB"/>
    <w:rsid w:val="2EC9754F"/>
    <w:rsid w:val="309BA8DB"/>
    <w:rsid w:val="31F9DD95"/>
    <w:rsid w:val="324B331D"/>
    <w:rsid w:val="366A9A99"/>
    <w:rsid w:val="3C6628D0"/>
    <w:rsid w:val="3C9D8636"/>
    <w:rsid w:val="3CAA1F26"/>
    <w:rsid w:val="40E759CB"/>
    <w:rsid w:val="41D7A4B8"/>
    <w:rsid w:val="43E324CC"/>
    <w:rsid w:val="457437BF"/>
    <w:rsid w:val="463AE8F3"/>
    <w:rsid w:val="4944C6F0"/>
    <w:rsid w:val="4FC775E6"/>
    <w:rsid w:val="4FFC3267"/>
    <w:rsid w:val="50A5704F"/>
    <w:rsid w:val="51DFD4AE"/>
    <w:rsid w:val="51FB264E"/>
    <w:rsid w:val="53C4AB09"/>
    <w:rsid w:val="54044489"/>
    <w:rsid w:val="562BAA5C"/>
    <w:rsid w:val="5804CA0D"/>
    <w:rsid w:val="580B05A6"/>
    <w:rsid w:val="592CDBF2"/>
    <w:rsid w:val="59815628"/>
    <w:rsid w:val="5B6C3DF0"/>
    <w:rsid w:val="5D9D262C"/>
    <w:rsid w:val="6027C6C2"/>
    <w:rsid w:val="61F95C5C"/>
    <w:rsid w:val="6201DD02"/>
    <w:rsid w:val="671A7E68"/>
    <w:rsid w:val="67C43255"/>
    <w:rsid w:val="6ADC2AE1"/>
    <w:rsid w:val="6CCB2203"/>
    <w:rsid w:val="6ECC9DCF"/>
    <w:rsid w:val="70A5B43A"/>
    <w:rsid w:val="729733A1"/>
    <w:rsid w:val="7654474A"/>
    <w:rsid w:val="76F39962"/>
    <w:rsid w:val="7711596E"/>
    <w:rsid w:val="7B024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7886BD"/>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111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111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111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111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111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1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1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111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111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111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111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1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111"/>
    <w:rPr>
      <w:rFonts w:eastAsiaTheme="majorEastAsia" w:cstheme="majorBidi"/>
      <w:color w:val="272727" w:themeColor="text1" w:themeTint="D8"/>
    </w:rPr>
  </w:style>
  <w:style w:type="paragraph" w:styleId="Title">
    <w:name w:val="Title"/>
    <w:basedOn w:val="Normal"/>
    <w:next w:val="Normal"/>
    <w:link w:val="TitleChar"/>
    <w:uiPriority w:val="10"/>
    <w:qFormat/>
    <w:rsid w:val="00A61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1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1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111"/>
    <w:rPr>
      <w:i/>
      <w:iCs/>
      <w:color w:val="404040" w:themeColor="text1" w:themeTint="BF"/>
    </w:rPr>
  </w:style>
  <w:style w:type="paragraph" w:styleId="ListParagraph">
    <w:name w:val="List Paragraph"/>
    <w:basedOn w:val="Normal"/>
    <w:uiPriority w:val="34"/>
    <w:qFormat/>
    <w:rsid w:val="00A61111"/>
    <w:pPr>
      <w:ind w:left="720"/>
      <w:contextualSpacing/>
    </w:pPr>
  </w:style>
  <w:style w:type="character" w:styleId="IntenseEmphasis">
    <w:name w:val="Intense Emphasis"/>
    <w:basedOn w:val="DefaultParagraphFont"/>
    <w:uiPriority w:val="21"/>
    <w:qFormat/>
    <w:rsid w:val="00A61111"/>
    <w:rPr>
      <w:i/>
      <w:iCs/>
      <w:color w:val="365F91" w:themeColor="accent1" w:themeShade="BF"/>
    </w:rPr>
  </w:style>
  <w:style w:type="paragraph" w:styleId="IntenseQuote">
    <w:name w:val="Intense Quote"/>
    <w:basedOn w:val="Normal"/>
    <w:next w:val="Normal"/>
    <w:link w:val="IntenseQuoteChar"/>
    <w:uiPriority w:val="30"/>
    <w:qFormat/>
    <w:rsid w:val="00A611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1111"/>
    <w:rPr>
      <w:i/>
      <w:iCs/>
      <w:color w:val="365F91" w:themeColor="accent1" w:themeShade="BF"/>
    </w:rPr>
  </w:style>
  <w:style w:type="character" w:styleId="IntenseReference">
    <w:name w:val="Intense Reference"/>
    <w:basedOn w:val="DefaultParagraphFont"/>
    <w:uiPriority w:val="32"/>
    <w:qFormat/>
    <w:rsid w:val="00A61111"/>
    <w:rPr>
      <w:b/>
      <w:bCs/>
      <w:smallCaps/>
      <w:color w:val="365F91" w:themeColor="accent1" w:themeShade="BF"/>
      <w:spacing w:val="5"/>
    </w:rPr>
  </w:style>
  <w:style w:type="paragraph" w:styleId="Header">
    <w:name w:val="header"/>
    <w:basedOn w:val="Normal"/>
    <w:link w:val="HeaderChar"/>
    <w:uiPriority w:val="99"/>
    <w:unhideWhenUsed/>
    <w:rsid w:val="0036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813"/>
  </w:style>
  <w:style w:type="paragraph" w:styleId="Footer">
    <w:name w:val="footer"/>
    <w:basedOn w:val="Normal"/>
    <w:link w:val="FooterChar"/>
    <w:uiPriority w:val="99"/>
    <w:unhideWhenUsed/>
    <w:rsid w:val="0036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813"/>
  </w:style>
  <w:style w:type="paragraph" w:styleId="Revision">
    <w:name w:val="Revision"/>
    <w:hidden/>
    <w:uiPriority w:val="99"/>
    <w:semiHidden/>
    <w:rsid w:val="00427D5F"/>
    <w:pPr>
      <w:spacing w:after="0" w:line="240" w:lineRule="auto"/>
    </w:pPr>
  </w:style>
  <w:style w:type="character" w:styleId="CommentReference">
    <w:name w:val="annotation reference"/>
    <w:basedOn w:val="DefaultParagraphFont"/>
    <w:uiPriority w:val="99"/>
    <w:unhideWhenUsed/>
    <w:rsid w:val="00E16973"/>
    <w:rPr>
      <w:sz w:val="16"/>
      <w:szCs w:val="16"/>
    </w:rPr>
  </w:style>
  <w:style w:type="paragraph" w:styleId="CommentText">
    <w:name w:val="annotation text"/>
    <w:basedOn w:val="Normal"/>
    <w:link w:val="CommentTextChar"/>
    <w:uiPriority w:val="99"/>
    <w:unhideWhenUsed/>
    <w:rsid w:val="00C13084"/>
    <w:pPr>
      <w:spacing w:line="240" w:lineRule="auto"/>
    </w:pPr>
    <w:rPr>
      <w:sz w:val="20"/>
      <w:szCs w:val="20"/>
    </w:rPr>
  </w:style>
  <w:style w:type="character" w:customStyle="1" w:styleId="CommentTextChar">
    <w:name w:val="Comment Text Char"/>
    <w:basedOn w:val="DefaultParagraphFont"/>
    <w:link w:val="CommentText"/>
    <w:uiPriority w:val="99"/>
    <w:rsid w:val="00C13084"/>
    <w:rPr>
      <w:sz w:val="20"/>
      <w:szCs w:val="20"/>
    </w:rPr>
  </w:style>
  <w:style w:type="paragraph" w:styleId="CommentSubject">
    <w:name w:val="annotation subject"/>
    <w:basedOn w:val="CommentText"/>
    <w:next w:val="CommentText"/>
    <w:link w:val="CommentSubjectChar"/>
    <w:uiPriority w:val="99"/>
    <w:semiHidden/>
    <w:unhideWhenUsed/>
    <w:rsid w:val="00C13084"/>
    <w:rPr>
      <w:b/>
      <w:bCs/>
    </w:rPr>
  </w:style>
  <w:style w:type="character" w:customStyle="1" w:styleId="CommentSubjectChar">
    <w:name w:val="Comment Subject Char"/>
    <w:basedOn w:val="CommentTextChar"/>
    <w:link w:val="CommentSubject"/>
    <w:uiPriority w:val="99"/>
    <w:semiHidden/>
    <w:rsid w:val="00C13084"/>
    <w:rPr>
      <w:b/>
      <w:bCs/>
      <w:sz w:val="20"/>
      <w:szCs w:val="20"/>
    </w:rPr>
  </w:style>
  <w:style w:type="character" w:customStyle="1" w:styleId="Mention">
    <w:name w:val="Mention"/>
    <w:basedOn w:val="DefaultParagraphFont"/>
    <w:uiPriority w:val="99"/>
    <w:unhideWhenUsed/>
    <w:rsid w:val="00AB0BC6"/>
    <w:rPr>
      <w:color w:val="2B579A"/>
      <w:shd w:val="clear" w:color="auto" w:fill="E1DFDD"/>
    </w:rPr>
  </w:style>
  <w:style w:type="character" w:styleId="Hyperlink">
    <w:name w:val="Hyperlink"/>
    <w:basedOn w:val="DefaultParagraphFont"/>
    <w:uiPriority w:val="99"/>
    <w:unhideWhenUsed/>
    <w:rsid w:val="00330625"/>
    <w:rPr>
      <w:color w:val="0000FF" w:themeColor="hyperlink"/>
      <w:u w:val="single"/>
    </w:rPr>
  </w:style>
  <w:style w:type="character" w:customStyle="1" w:styleId="UnresolvedMention">
    <w:name w:val="Unresolved Mention"/>
    <w:basedOn w:val="DefaultParagraphFont"/>
    <w:uiPriority w:val="99"/>
    <w:semiHidden/>
    <w:unhideWhenUsed/>
    <w:rsid w:val="00330625"/>
    <w:rPr>
      <w:color w:val="605E5C"/>
      <w:shd w:val="clear" w:color="auto" w:fill="E1DFDD"/>
    </w:rPr>
  </w:style>
  <w:style w:type="character" w:styleId="Strong">
    <w:name w:val="Strong"/>
    <w:basedOn w:val="DefaultParagraphFont"/>
    <w:uiPriority w:val="22"/>
    <w:qFormat/>
    <w:rsid w:val="0069657C"/>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iPriority w:val="99"/>
    <w:unhideWhenUsed/>
    <w:qFormat/>
    <w:rsid w:val="0069657C"/>
    <w:pPr>
      <w:spacing w:after="0" w:line="240" w:lineRule="auto"/>
      <w:ind w:left="170" w:hanging="170"/>
      <w:jc w:val="both"/>
    </w:pPr>
    <w:rPr>
      <w:rFonts w:ascii="Times New Roman" w:eastAsia="Times New Roman" w:hAnsi="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uiPriority w:val="99"/>
    <w:qFormat/>
    <w:rsid w:val="0069657C"/>
    <w:rPr>
      <w:rFonts w:ascii="Times New Roman" w:eastAsia="Times New Roman" w:hAnsi="Times New Roman" w:cs="Times New Roman"/>
      <w:kern w:val="2"/>
      <w:sz w:val="20"/>
      <w:szCs w:val="24"/>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sid w:val="0069657C"/>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69657C"/>
    <w:pPr>
      <w:spacing w:after="160" w:line="240" w:lineRule="exact"/>
      <w:jc w:val="both"/>
    </w:pPr>
    <w:rPr>
      <w:vertAlign w:val="superscript"/>
    </w:rPr>
  </w:style>
  <w:style w:type="character" w:customStyle="1" w:styleId="Marker">
    <w:name w:val="Marker"/>
    <w:basedOn w:val="DefaultParagraphFont"/>
    <w:rsid w:val="00391E27"/>
    <w:rPr>
      <w:color w:val="0000FF"/>
      <w:shd w:val="clear" w:color="auto" w:fill="auto"/>
    </w:rPr>
  </w:style>
  <w:style w:type="paragraph" w:customStyle="1" w:styleId="Pagedecouverture">
    <w:name w:val="Page de couverture"/>
    <w:basedOn w:val="Normal"/>
    <w:next w:val="Normal"/>
    <w:rsid w:val="00BD3B4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50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506"/>
    <w:rPr>
      <w:rFonts w:ascii="Times New Roman" w:hAnsi="Times New Roman" w:cs="Times New Roman"/>
      <w:sz w:val="24"/>
    </w:rPr>
  </w:style>
  <w:style w:type="paragraph" w:customStyle="1" w:styleId="FooterSensitivity">
    <w:name w:val="Footer Sensitivity"/>
    <w:basedOn w:val="Normal"/>
    <w:link w:val="FooterSensitivityChar"/>
    <w:rsid w:val="00C7050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506"/>
    <w:rPr>
      <w:rFonts w:ascii="Times New Roman" w:hAnsi="Times New Roman" w:cs="Times New Roman"/>
      <w:b/>
      <w:sz w:val="32"/>
    </w:rPr>
  </w:style>
  <w:style w:type="paragraph" w:customStyle="1" w:styleId="HeaderCoverPage">
    <w:name w:val="Header Cover Page"/>
    <w:basedOn w:val="Normal"/>
    <w:link w:val="HeaderCoverPageChar"/>
    <w:rsid w:val="00C7050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506"/>
    <w:rPr>
      <w:rFonts w:ascii="Times New Roman" w:hAnsi="Times New Roman" w:cs="Times New Roman"/>
      <w:sz w:val="24"/>
    </w:rPr>
  </w:style>
  <w:style w:type="paragraph" w:customStyle="1" w:styleId="HeaderSensitivity">
    <w:name w:val="Header Sensitivity"/>
    <w:basedOn w:val="Normal"/>
    <w:link w:val="HeaderSensitivityChar"/>
    <w:rsid w:val="00C7050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506"/>
    <w:rPr>
      <w:rFonts w:ascii="Times New Roman" w:hAnsi="Times New Roman" w:cs="Times New Roman"/>
      <w:b/>
      <w:sz w:val="32"/>
    </w:rPr>
  </w:style>
  <w:style w:type="paragraph" w:customStyle="1" w:styleId="HeaderSensitivityRight">
    <w:name w:val="Header Sensitivity Right"/>
    <w:basedOn w:val="Normal"/>
    <w:link w:val="HeaderSensitivityRightChar"/>
    <w:rsid w:val="00C7050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506"/>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5933">
      <w:bodyDiv w:val="1"/>
      <w:marLeft w:val="0"/>
      <w:marRight w:val="0"/>
      <w:marTop w:val="0"/>
      <w:marBottom w:val="0"/>
      <w:divBdr>
        <w:top w:val="none" w:sz="0" w:space="0" w:color="auto"/>
        <w:left w:val="none" w:sz="0" w:space="0" w:color="auto"/>
        <w:bottom w:val="none" w:sz="0" w:space="0" w:color="auto"/>
        <w:right w:val="none" w:sz="0" w:space="0" w:color="auto"/>
      </w:divBdr>
    </w:div>
    <w:div w:id="104664385">
      <w:bodyDiv w:val="1"/>
      <w:marLeft w:val="0"/>
      <w:marRight w:val="0"/>
      <w:marTop w:val="0"/>
      <w:marBottom w:val="0"/>
      <w:divBdr>
        <w:top w:val="none" w:sz="0" w:space="0" w:color="auto"/>
        <w:left w:val="none" w:sz="0" w:space="0" w:color="auto"/>
        <w:bottom w:val="none" w:sz="0" w:space="0" w:color="auto"/>
        <w:right w:val="none" w:sz="0" w:space="0" w:color="auto"/>
      </w:divBdr>
    </w:div>
    <w:div w:id="109739396">
      <w:bodyDiv w:val="1"/>
      <w:marLeft w:val="0"/>
      <w:marRight w:val="0"/>
      <w:marTop w:val="0"/>
      <w:marBottom w:val="0"/>
      <w:divBdr>
        <w:top w:val="none" w:sz="0" w:space="0" w:color="auto"/>
        <w:left w:val="none" w:sz="0" w:space="0" w:color="auto"/>
        <w:bottom w:val="none" w:sz="0" w:space="0" w:color="auto"/>
        <w:right w:val="none" w:sz="0" w:space="0" w:color="auto"/>
      </w:divBdr>
    </w:div>
    <w:div w:id="176118451">
      <w:bodyDiv w:val="1"/>
      <w:marLeft w:val="0"/>
      <w:marRight w:val="0"/>
      <w:marTop w:val="0"/>
      <w:marBottom w:val="0"/>
      <w:divBdr>
        <w:top w:val="none" w:sz="0" w:space="0" w:color="auto"/>
        <w:left w:val="none" w:sz="0" w:space="0" w:color="auto"/>
        <w:bottom w:val="none" w:sz="0" w:space="0" w:color="auto"/>
        <w:right w:val="none" w:sz="0" w:space="0" w:color="auto"/>
      </w:divBdr>
    </w:div>
    <w:div w:id="297533952">
      <w:bodyDiv w:val="1"/>
      <w:marLeft w:val="0"/>
      <w:marRight w:val="0"/>
      <w:marTop w:val="0"/>
      <w:marBottom w:val="0"/>
      <w:divBdr>
        <w:top w:val="none" w:sz="0" w:space="0" w:color="auto"/>
        <w:left w:val="none" w:sz="0" w:space="0" w:color="auto"/>
        <w:bottom w:val="none" w:sz="0" w:space="0" w:color="auto"/>
        <w:right w:val="none" w:sz="0" w:space="0" w:color="auto"/>
      </w:divBdr>
    </w:div>
    <w:div w:id="480198466">
      <w:bodyDiv w:val="1"/>
      <w:marLeft w:val="0"/>
      <w:marRight w:val="0"/>
      <w:marTop w:val="0"/>
      <w:marBottom w:val="0"/>
      <w:divBdr>
        <w:top w:val="none" w:sz="0" w:space="0" w:color="auto"/>
        <w:left w:val="none" w:sz="0" w:space="0" w:color="auto"/>
        <w:bottom w:val="none" w:sz="0" w:space="0" w:color="auto"/>
        <w:right w:val="none" w:sz="0" w:space="0" w:color="auto"/>
      </w:divBdr>
    </w:div>
    <w:div w:id="484316888">
      <w:bodyDiv w:val="1"/>
      <w:marLeft w:val="0"/>
      <w:marRight w:val="0"/>
      <w:marTop w:val="0"/>
      <w:marBottom w:val="0"/>
      <w:divBdr>
        <w:top w:val="none" w:sz="0" w:space="0" w:color="auto"/>
        <w:left w:val="none" w:sz="0" w:space="0" w:color="auto"/>
        <w:bottom w:val="none" w:sz="0" w:space="0" w:color="auto"/>
        <w:right w:val="none" w:sz="0" w:space="0" w:color="auto"/>
      </w:divBdr>
    </w:div>
    <w:div w:id="520701282">
      <w:bodyDiv w:val="1"/>
      <w:marLeft w:val="0"/>
      <w:marRight w:val="0"/>
      <w:marTop w:val="0"/>
      <w:marBottom w:val="0"/>
      <w:divBdr>
        <w:top w:val="none" w:sz="0" w:space="0" w:color="auto"/>
        <w:left w:val="none" w:sz="0" w:space="0" w:color="auto"/>
        <w:bottom w:val="none" w:sz="0" w:space="0" w:color="auto"/>
        <w:right w:val="none" w:sz="0" w:space="0" w:color="auto"/>
      </w:divBdr>
    </w:div>
    <w:div w:id="614018832">
      <w:bodyDiv w:val="1"/>
      <w:marLeft w:val="0"/>
      <w:marRight w:val="0"/>
      <w:marTop w:val="0"/>
      <w:marBottom w:val="0"/>
      <w:divBdr>
        <w:top w:val="none" w:sz="0" w:space="0" w:color="auto"/>
        <w:left w:val="none" w:sz="0" w:space="0" w:color="auto"/>
        <w:bottom w:val="none" w:sz="0" w:space="0" w:color="auto"/>
        <w:right w:val="none" w:sz="0" w:space="0" w:color="auto"/>
      </w:divBdr>
    </w:div>
    <w:div w:id="648822545">
      <w:bodyDiv w:val="1"/>
      <w:marLeft w:val="0"/>
      <w:marRight w:val="0"/>
      <w:marTop w:val="0"/>
      <w:marBottom w:val="0"/>
      <w:divBdr>
        <w:top w:val="none" w:sz="0" w:space="0" w:color="auto"/>
        <w:left w:val="none" w:sz="0" w:space="0" w:color="auto"/>
        <w:bottom w:val="none" w:sz="0" w:space="0" w:color="auto"/>
        <w:right w:val="none" w:sz="0" w:space="0" w:color="auto"/>
      </w:divBdr>
    </w:div>
    <w:div w:id="876507915">
      <w:bodyDiv w:val="1"/>
      <w:marLeft w:val="0"/>
      <w:marRight w:val="0"/>
      <w:marTop w:val="0"/>
      <w:marBottom w:val="0"/>
      <w:divBdr>
        <w:top w:val="none" w:sz="0" w:space="0" w:color="auto"/>
        <w:left w:val="none" w:sz="0" w:space="0" w:color="auto"/>
        <w:bottom w:val="none" w:sz="0" w:space="0" w:color="auto"/>
        <w:right w:val="none" w:sz="0" w:space="0" w:color="auto"/>
      </w:divBdr>
    </w:div>
    <w:div w:id="961885571">
      <w:bodyDiv w:val="1"/>
      <w:marLeft w:val="0"/>
      <w:marRight w:val="0"/>
      <w:marTop w:val="0"/>
      <w:marBottom w:val="0"/>
      <w:divBdr>
        <w:top w:val="none" w:sz="0" w:space="0" w:color="auto"/>
        <w:left w:val="none" w:sz="0" w:space="0" w:color="auto"/>
        <w:bottom w:val="none" w:sz="0" w:space="0" w:color="auto"/>
        <w:right w:val="none" w:sz="0" w:space="0" w:color="auto"/>
      </w:divBdr>
    </w:div>
    <w:div w:id="1322351405">
      <w:bodyDiv w:val="1"/>
      <w:marLeft w:val="0"/>
      <w:marRight w:val="0"/>
      <w:marTop w:val="0"/>
      <w:marBottom w:val="0"/>
      <w:divBdr>
        <w:top w:val="none" w:sz="0" w:space="0" w:color="auto"/>
        <w:left w:val="none" w:sz="0" w:space="0" w:color="auto"/>
        <w:bottom w:val="none" w:sz="0" w:space="0" w:color="auto"/>
        <w:right w:val="none" w:sz="0" w:space="0" w:color="auto"/>
      </w:divBdr>
    </w:div>
    <w:div w:id="1531842617">
      <w:bodyDiv w:val="1"/>
      <w:marLeft w:val="0"/>
      <w:marRight w:val="0"/>
      <w:marTop w:val="0"/>
      <w:marBottom w:val="0"/>
      <w:divBdr>
        <w:top w:val="none" w:sz="0" w:space="0" w:color="auto"/>
        <w:left w:val="none" w:sz="0" w:space="0" w:color="auto"/>
        <w:bottom w:val="none" w:sz="0" w:space="0" w:color="auto"/>
        <w:right w:val="none" w:sz="0" w:space="0" w:color="auto"/>
      </w:divBdr>
    </w:div>
    <w:div w:id="20255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3121</Words>
  <Characters>17794</Characters>
  <Application>Microsoft Office Word</Application>
  <DocSecurity>0</DocSecurity>
  <Lines>148</Lines>
  <Paragraphs>41</Paragraphs>
  <ScaleCrop>false</ScaleCrop>
  <Manager/>
  <Company/>
  <LinksUpToDate>false</LinksUpToDate>
  <CharactersWithSpaces>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2026-04-27T17:34:00Z</dcterms:created>
  <dcterms:modified xsi:type="dcterms:W3CDTF">2026-05-13T10:33:00Z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2026-04-27T16:07:39Z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e01710ec-4980-46d8-b5ae-5736b60040b8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