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A65DF5" w14:textId="39011494" w:rsidR="00F754F8" w:rsidRDefault="002A44A2" w:rsidP="002A44A2">
      <w:pPr>
        <w:pStyle w:val="Pagedecouverture"/>
        <w:rPr>
          <w:noProof/>
        </w:rPr>
      </w:pPr>
      <w:bookmarkStart w:id="0" w:name="_Hlk225778954"/>
      <w:bookmarkStart w:id="1" w:name="LW_BM_COVERPAGE"/>
      <w:r>
        <w:rPr>
          <w:noProof/>
        </w:rPr>
        <w:pict w14:anchorId="2BF797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C8BFAA0-6BB0-4E5F-860A-534A0A110D55" style="width:455.25pt;height:327.75pt">
            <v:imagedata r:id="rId8" o:title=""/>
          </v:shape>
        </w:pict>
      </w:r>
    </w:p>
    <w:bookmarkEnd w:id="1"/>
    <w:p w14:paraId="0D6F5B1F" w14:textId="77777777" w:rsidR="00F754F8" w:rsidRDefault="00F754F8">
      <w:pPr>
        <w:rPr>
          <w:noProof/>
        </w:rPr>
        <w:sectPr w:rsidR="00F754F8" w:rsidSect="002A44A2">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60"/>
        </w:sectPr>
      </w:pPr>
    </w:p>
    <w:p w14:paraId="040762F2" w14:textId="77777777" w:rsidR="00F754F8" w:rsidRDefault="00522279">
      <w:pPr>
        <w:spacing w:after="240" w:line="240" w:lineRule="auto"/>
        <w:jc w:val="both"/>
        <w:rPr>
          <w:rFonts w:eastAsiaTheme="minorEastAsia" w:cs="Times New Roman"/>
          <w:noProof/>
        </w:rPr>
      </w:pPr>
      <w:bookmarkStart w:id="2" w:name="_GoBack"/>
      <w:bookmarkEnd w:id="2"/>
      <w:r>
        <w:rPr>
          <w:noProof/>
        </w:rPr>
        <w:lastRenderedPageBreak/>
        <w:t>Uniunea Europeană se află într-un moment de răscruce. Aceasta se confruntă cu un mediu geopolitic tensionat, cu presiuni economice și cu amenințări la adresa securității și a democrației. În același timp, UE este angajată într-un efort urgent de a elimina barierele structurale care îi frânează evoluția și de a îmbunătăți condițiile pentru sprijinirea unei economii sociale de piață extrem de competitive, inovatoare și durabile. Ca parte a acestui efort, trebuie să asigurăm un cadru de reglementare simplu, eficient, transparent și ușor de aplicat, ferm ancorat în statul de drept și care să sprijine o piață unică pe deplin integrată. Este esențială o Europă unită, care să își valorifice punctele forte și să mențină un avantaj competitiv. Asigurarea respectării legislației UE într-un mod strategic este esențială pentru acest efort, acordându-se o atenție deosebită domeniilor în care acest lucru contează cel mai mult pentru cetățenii și întreprinderile noastre. Calitatea și ușurința aplicării normelor UE modelează, de asemenea, capacitatea Uniunii de a acționa pe plan extern și de a-și proiecta standardele, contribuind astfel la securitatea economică și la influența globală a UE.</w:t>
      </w:r>
    </w:p>
    <w:p w14:paraId="2A6B979C" w14:textId="77777777" w:rsidR="00F754F8" w:rsidRDefault="00522279">
      <w:pPr>
        <w:spacing w:after="240" w:line="240" w:lineRule="auto"/>
        <w:jc w:val="both"/>
        <w:rPr>
          <w:rFonts w:eastAsiaTheme="minorEastAsia" w:cs="Times New Roman"/>
          <w:noProof/>
        </w:rPr>
      </w:pPr>
      <w:r>
        <w:rPr>
          <w:noProof/>
        </w:rPr>
        <w:t>Comisia gestionează unul dintre cele mai avansate sisteme pentru o mai bună legiferare, astfel cum a fost recunoscut de OCDE</w:t>
      </w:r>
      <w:r>
        <w:rPr>
          <w:rStyle w:val="FootnoteReference"/>
          <w:rFonts w:cs="Times New Roman"/>
          <w:noProof/>
        </w:rPr>
        <w:footnoteReference w:id="2"/>
      </w:r>
      <w:r>
        <w:rPr>
          <w:noProof/>
        </w:rPr>
        <w:t>, combinând dovezi, analize de impact și consultări ample cu părțile interesate. În paralel, UE a adoptat măsuri ambițioase pentru a consolida piața unică, drepturile cetățenilor și libertățile fundamentale și pentru a proteja statul de drept. Cu toate acestea, cetățenii, întreprinderile și administrațiile publice se confruntă adesea cu o legislație complexă, densă sau ambiguă la nivelul UE sau la nivel național. Aceștia se confruntă, de asemenea, cu întârzieri excesive în transpunerea și punerea în aplicare a legislației UE, cu provocări în materie de asigurare a respectării legii, cu obstacole birocratice și cu o reglementare națională excesivă inutilă.</w:t>
      </w:r>
    </w:p>
    <w:p w14:paraId="7CA41043" w14:textId="77777777" w:rsidR="00F754F8" w:rsidRDefault="00522279">
      <w:pPr>
        <w:spacing w:before="120" w:after="120" w:line="240" w:lineRule="auto"/>
        <w:jc w:val="both"/>
        <w:rPr>
          <w:rFonts w:cs="Times New Roman"/>
          <w:noProof/>
          <w:szCs w:val="24"/>
        </w:rPr>
      </w:pPr>
      <w:r>
        <w:rPr>
          <w:noProof/>
        </w:rPr>
        <w:t>Punerea în aplicare fragmentată, tardivă sau șovăielnică a legislației UE împiedică realizarea obiectivelor de politică ale UE, slăbește piața unică și subminează competitivitatea și reziliența UE. Încălcările semnificative și de lungă durată ale dreptului UE pot submina, de asemenea, statul de drept, care rămâne sub presiune în contextul mondial actual. Garantarea statului de drept nu este doar o chestiune de protejare a valorilor UE. Aceasta este fundamentală pentru securitatea juridică, previzibilitate și un mediu de investiții și de afaceri favorabil.</w:t>
      </w:r>
    </w:p>
    <w:p w14:paraId="3D10DD51" w14:textId="77777777" w:rsidR="00F754F8" w:rsidRDefault="00522279">
      <w:pPr>
        <w:spacing w:after="240" w:line="240" w:lineRule="auto"/>
        <w:jc w:val="both"/>
        <w:rPr>
          <w:rFonts w:eastAsiaTheme="minorEastAsia" w:cs="Times New Roman"/>
          <w:noProof/>
        </w:rPr>
      </w:pPr>
      <w:bookmarkStart w:id="3" w:name="_Hlk228186467"/>
      <w:r>
        <w:rPr>
          <w:noProof/>
        </w:rPr>
        <w:t>Prezenta comunicare urmărește să modernizeze modul în care sunt concepute, puse în aplicare și respectate actele legislative ale UE, asigurându-se, în același timp, că acestea sunt clare, flexibile și adecvate scopului, sprijinind astfel realizarea obiectivului „O singură Europă, o singură piață”</w:t>
      </w:r>
      <w:r>
        <w:rPr>
          <w:rStyle w:val="FootnoteReference"/>
          <w:rFonts w:eastAsiaTheme="minorEastAsia" w:cs="Times New Roman"/>
          <w:noProof/>
        </w:rPr>
        <w:footnoteReference w:id="3"/>
      </w:r>
      <w:r>
        <w:rPr>
          <w:noProof/>
        </w:rPr>
        <w:t>. Prin simplificarea procedurilor, prin consolidarea bazei de dovezi a propunerilor noastre și prin asigurarea aplicării stricte a principiului proporționalității, UE poate sprijini atingerea obiectivelor sale de politică, stimulând competitivitatea, consolidând securitatea juridică și oferind răspunsuri mai rapide și mai eficace la nevoile urgente. Având în vedere aceste obiective, comunicarea introduce măsuri pentru o mai bună punere în aplicare și o asigurare mai rapidă a respectării legislației UE în toate domeniile de politică. Se va pune un accent deosebit de strategic pe asigurarea respectării cadrului de reglementare privind piața unică.</w:t>
      </w:r>
    </w:p>
    <w:bookmarkEnd w:id="3"/>
    <w:p w14:paraId="4B073362" w14:textId="77777777" w:rsidR="00F754F8" w:rsidRDefault="00522279">
      <w:pPr>
        <w:spacing w:after="240" w:line="240" w:lineRule="auto"/>
        <w:jc w:val="both"/>
        <w:rPr>
          <w:rFonts w:eastAsia="Times New Roman" w:cs="Times New Roman"/>
          <w:noProof/>
        </w:rPr>
      </w:pPr>
      <w:r>
        <w:rPr>
          <w:noProof/>
        </w:rPr>
        <w:t xml:space="preserve">Noile inițiative ale UE ar trebui să fie în concordanță cu principiile unei mai bune legiferări, inclusiv cu principiul „simplității din momentul conceperii”. Acestea ar trebui să fie însoțite de evaluări ale impactului de înaltă calitate și să contribuie la obiectivele de politică ale Uniunii în modul cel mai eficient. Măsurile și principiile stabilite în prezenta comunicare se vor reflecta în orientările și setul de instrumente pentru o mai bună legiferare și vor fi puse în aplicare treptat, cu o prioritizare atentă a acțiunilor sale. La rândul său, legislația existentă ar trebui reexaminată acolo unde este necesar, pentru a se asigura că rămâne relevantă și pentru a promova coerența între actele legislative conexe. În acest scop, prezenta comunicare este însoțită de un plan de acțiune pentru revizuirea în profunzime a reglementărilor, menit să abordeze </w:t>
      </w:r>
      <w:r w:rsidRPr="00DD1E6E">
        <w:rPr>
          <w:noProof/>
        </w:rPr>
        <w:t>12</w:t>
      </w:r>
      <w:r>
        <w:rPr>
          <w:noProof/>
        </w:rPr>
        <w:t xml:space="preserve"> domenii prioritare.</w:t>
      </w:r>
    </w:p>
    <w:p w14:paraId="6E4B10F6" w14:textId="77777777" w:rsidR="00F754F8" w:rsidRDefault="00522279">
      <w:pPr>
        <w:spacing w:after="240" w:line="240" w:lineRule="auto"/>
        <w:jc w:val="both"/>
        <w:rPr>
          <w:rFonts w:eastAsia="Times New Roman" w:cs="Times New Roman"/>
          <w:noProof/>
        </w:rPr>
      </w:pPr>
      <w:r>
        <w:rPr>
          <w:noProof/>
        </w:rPr>
        <w:t>Comisia a solicitat opiniile părților interesate cu privire la o mai bună legiferare prin intermediul unei cereri de contribuții</w:t>
      </w:r>
      <w:r>
        <w:rPr>
          <w:rStyle w:val="FootnoteReference"/>
          <w:noProof/>
        </w:rPr>
        <w:footnoteReference w:id="4"/>
      </w:r>
      <w:r>
        <w:rPr>
          <w:noProof/>
        </w:rPr>
        <w:t xml:space="preserve">. S-au primit aproximativ </w:t>
      </w:r>
      <w:r w:rsidRPr="00DD1E6E">
        <w:rPr>
          <w:noProof/>
        </w:rPr>
        <w:t>288</w:t>
      </w:r>
      <w:r>
        <w:rPr>
          <w:noProof/>
        </w:rPr>
        <w:t xml:space="preserve"> de contribuții din </w:t>
      </w:r>
      <w:r w:rsidRPr="00DD1E6E">
        <w:rPr>
          <w:noProof/>
        </w:rPr>
        <w:t>27</w:t>
      </w:r>
      <w:r>
        <w:rPr>
          <w:noProof/>
        </w:rPr>
        <w:t xml:space="preserve"> de țări</w:t>
      </w:r>
      <w:r>
        <w:rPr>
          <w:rStyle w:val="FootnoteReference"/>
          <w:noProof/>
        </w:rPr>
        <w:footnoteReference w:id="5"/>
      </w:r>
      <w:r>
        <w:rPr>
          <w:noProof/>
        </w:rPr>
        <w:t>. În general, părțile interesate consideră că instrumentele pentru o mai bună legiferare sunt esențiale pentru calitatea procesului legislativ al UE. Ele solicită ca aceste instrumente să fie consolidate și modernizate, cu mai multă transparență, responsabilitate și robustețe juridică.</w:t>
      </w:r>
    </w:p>
    <w:p w14:paraId="50D6AFD1" w14:textId="77777777" w:rsidR="00F754F8" w:rsidRDefault="00522279">
      <w:pPr>
        <w:pStyle w:val="Heading1"/>
        <w:numPr>
          <w:ilvl w:val="0"/>
          <w:numId w:val="19"/>
        </w:numPr>
        <w:spacing w:before="240" w:after="240" w:line="240" w:lineRule="auto"/>
        <w:ind w:left="714" w:hanging="357"/>
        <w:jc w:val="both"/>
        <w:rPr>
          <w:rFonts w:ascii="Times New Roman" w:hAnsi="Times New Roman" w:cs="Times New Roman"/>
          <w:b/>
          <w:smallCaps/>
          <w:noProof/>
          <w:color w:val="auto"/>
          <w:sz w:val="24"/>
          <w:szCs w:val="24"/>
        </w:rPr>
      </w:pPr>
      <w:r>
        <w:rPr>
          <w:rFonts w:ascii="Times New Roman" w:hAnsi="Times New Roman"/>
          <w:b/>
          <w:smallCaps/>
          <w:noProof/>
          <w:color w:val="auto"/>
          <w:sz w:val="24"/>
        </w:rPr>
        <w:t>Simplitatea din momentul conceperii</w:t>
      </w:r>
    </w:p>
    <w:p w14:paraId="5723C7E8" w14:textId="77777777" w:rsidR="00F754F8" w:rsidRDefault="00522279">
      <w:pPr>
        <w:spacing w:after="240" w:line="240" w:lineRule="auto"/>
        <w:jc w:val="both"/>
        <w:rPr>
          <w:rFonts w:eastAsiaTheme="minorEastAsia" w:cs="Times New Roman"/>
          <w:noProof/>
          <w:szCs w:val="24"/>
        </w:rPr>
      </w:pPr>
      <w:r>
        <w:rPr>
          <w:noProof/>
        </w:rPr>
        <w:t>Pentru a crea o piață unică mai coerentă și mai eficientă, Comisia dorește să se asigure că noile propuneri legislative evită complexitatea și fragmentarea reglementărilor. Simplitatea și claritatea reglementărilor se numără printre principalele preocupări exprimate de părțile interesate în cererea de contribuții, care susțin că simplitatea trebuie integrată în legislație într-un stadiu cât mai timpuriu al conceperii.</w:t>
      </w:r>
    </w:p>
    <w:p w14:paraId="12B8E71A" w14:textId="77777777" w:rsidR="00F754F8" w:rsidRDefault="00522279">
      <w:pPr>
        <w:spacing w:after="240" w:line="240" w:lineRule="auto"/>
        <w:jc w:val="both"/>
        <w:rPr>
          <w:rFonts w:eastAsiaTheme="minorEastAsia" w:cs="Times New Roman"/>
          <w:noProof/>
        </w:rPr>
      </w:pPr>
      <w:r>
        <w:rPr>
          <w:noProof/>
        </w:rPr>
        <w:t xml:space="preserve">O propunere este „simplă din momentul conceperii” atunci când persoanele afectate de aceasta pot înțelege cu ușurință: </w:t>
      </w:r>
    </w:p>
    <w:p w14:paraId="5A867F6D" w14:textId="77777777" w:rsidR="00F754F8" w:rsidRDefault="00522279">
      <w:pPr>
        <w:pStyle w:val="ListParagraph"/>
        <w:numPr>
          <w:ilvl w:val="0"/>
          <w:numId w:val="24"/>
        </w:numPr>
        <w:spacing w:after="240" w:line="240" w:lineRule="auto"/>
        <w:jc w:val="both"/>
        <w:rPr>
          <w:rFonts w:eastAsiaTheme="minorEastAsia" w:cs="Times New Roman"/>
          <w:noProof/>
        </w:rPr>
      </w:pPr>
      <w:r>
        <w:rPr>
          <w:noProof/>
        </w:rPr>
        <w:t>ce obiectiv are;</w:t>
      </w:r>
    </w:p>
    <w:p w14:paraId="74D34E2A" w14:textId="77777777" w:rsidR="00F754F8" w:rsidRDefault="00522279">
      <w:pPr>
        <w:pStyle w:val="ListParagraph"/>
        <w:numPr>
          <w:ilvl w:val="0"/>
          <w:numId w:val="24"/>
        </w:numPr>
        <w:spacing w:after="240" w:line="240" w:lineRule="auto"/>
        <w:jc w:val="both"/>
        <w:rPr>
          <w:rFonts w:eastAsiaTheme="minorEastAsia" w:cs="Times New Roman"/>
          <w:noProof/>
        </w:rPr>
      </w:pPr>
      <w:r>
        <w:rPr>
          <w:noProof/>
        </w:rPr>
        <w:t xml:space="preserve">cine, ce și când trebuie să ia măsuri; </w:t>
      </w:r>
    </w:p>
    <w:p w14:paraId="696A8BBB" w14:textId="77777777" w:rsidR="00F754F8" w:rsidRDefault="00522279">
      <w:pPr>
        <w:pStyle w:val="ListParagraph"/>
        <w:numPr>
          <w:ilvl w:val="0"/>
          <w:numId w:val="24"/>
        </w:numPr>
        <w:spacing w:after="240" w:line="240" w:lineRule="auto"/>
        <w:jc w:val="both"/>
        <w:rPr>
          <w:rFonts w:eastAsiaTheme="minorEastAsia" w:cs="Times New Roman"/>
          <w:noProof/>
        </w:rPr>
      </w:pPr>
      <w:r>
        <w:rPr>
          <w:noProof/>
        </w:rPr>
        <w:t>cum interacționează noile drepturi și obligații cu cele existente;</w:t>
      </w:r>
    </w:p>
    <w:p w14:paraId="377F631F" w14:textId="77777777" w:rsidR="00F754F8" w:rsidRDefault="00522279">
      <w:pPr>
        <w:pStyle w:val="ListParagraph"/>
        <w:numPr>
          <w:ilvl w:val="0"/>
          <w:numId w:val="24"/>
        </w:numPr>
        <w:spacing w:after="240" w:line="240" w:lineRule="auto"/>
        <w:jc w:val="both"/>
        <w:rPr>
          <w:rFonts w:eastAsiaTheme="minorEastAsia" w:cs="Times New Roman"/>
          <w:noProof/>
        </w:rPr>
      </w:pPr>
      <w:r>
        <w:rPr>
          <w:noProof/>
        </w:rPr>
        <w:t xml:space="preserve">cum se realizează conformitatea și </w:t>
      </w:r>
    </w:p>
    <w:p w14:paraId="2D0A5C1A" w14:textId="77777777" w:rsidR="00F754F8" w:rsidRDefault="00522279">
      <w:pPr>
        <w:pStyle w:val="ListParagraph"/>
        <w:numPr>
          <w:ilvl w:val="0"/>
          <w:numId w:val="24"/>
        </w:numPr>
        <w:spacing w:after="240" w:line="240" w:lineRule="auto"/>
        <w:jc w:val="both"/>
        <w:rPr>
          <w:rFonts w:eastAsiaTheme="minorEastAsia" w:cs="Times New Roman"/>
          <w:noProof/>
        </w:rPr>
      </w:pPr>
      <w:r>
        <w:rPr>
          <w:noProof/>
        </w:rPr>
        <w:t xml:space="preserve">ce se întâmplă dacă obligațiile nu sunt îndeplinite. </w:t>
      </w:r>
    </w:p>
    <w:p w14:paraId="017C21FF" w14:textId="77777777" w:rsidR="00F754F8" w:rsidRDefault="00522279">
      <w:pPr>
        <w:spacing w:after="240" w:line="240" w:lineRule="auto"/>
        <w:jc w:val="both"/>
        <w:rPr>
          <w:rFonts w:eastAsiaTheme="minorEastAsia" w:cs="Times New Roman"/>
          <w:noProof/>
        </w:rPr>
      </w:pPr>
      <w:r>
        <w:rPr>
          <w:noProof/>
        </w:rPr>
        <w:t>Legile ar trebui să fie clare pentru a se asigura că pot fi puse în aplicare fără probleme și aplicate în mod consecvent și previzibil, inclusiv de către autoritățile publice și de către instanțe. Comisia va încerca să aplice principiul „simplității din momentul conceperii” viitoarelor sale propuneri legislative și invită Parlamentul European, Consiliul și statele membre să adere la acesta și atunci când își exercită responsabilitățile.</w:t>
      </w:r>
    </w:p>
    <w:p w14:paraId="1230F13B" w14:textId="77777777" w:rsidR="00F754F8" w:rsidRDefault="00522279">
      <w:pPr>
        <w:spacing w:after="240" w:line="240" w:lineRule="auto"/>
        <w:jc w:val="both"/>
        <w:rPr>
          <w:rFonts w:eastAsiaTheme="minorEastAsia" w:cs="Times New Roman"/>
          <w:noProof/>
        </w:rPr>
      </w:pPr>
      <w:r>
        <w:rPr>
          <w:noProof/>
        </w:rPr>
        <w:t>„Simplitatea din momentul conceperii” are mai multe dimensiuni:</w:t>
      </w:r>
    </w:p>
    <w:p w14:paraId="7AA323BF" w14:textId="77777777" w:rsidR="00F754F8" w:rsidRDefault="00522279">
      <w:pPr>
        <w:pStyle w:val="ListParagraph"/>
        <w:spacing w:after="240" w:line="240" w:lineRule="auto"/>
        <w:ind w:left="425" w:hanging="425"/>
        <w:contextualSpacing w:val="0"/>
        <w:jc w:val="both"/>
        <w:rPr>
          <w:rFonts w:eastAsiaTheme="minorEastAsia" w:cs="Times New Roman"/>
          <w:b/>
          <w:bCs/>
          <w:noProof/>
        </w:rPr>
      </w:pPr>
      <w:r>
        <w:rPr>
          <w:b/>
          <w:noProof/>
        </w:rPr>
        <w:t>Disciplina în materie de reglementare</w:t>
      </w:r>
    </w:p>
    <w:p w14:paraId="5F9F4E62" w14:textId="77777777" w:rsidR="00F754F8" w:rsidRDefault="00522279">
      <w:pPr>
        <w:spacing w:after="240" w:line="240" w:lineRule="auto"/>
        <w:jc w:val="both"/>
        <w:rPr>
          <w:rFonts w:eastAsiaTheme="minorEastAsia" w:cs="Times New Roman"/>
          <w:noProof/>
        </w:rPr>
      </w:pPr>
      <w:r>
        <w:rPr>
          <w:noProof/>
        </w:rPr>
        <w:t>Pentru a crea un cadru de reglementare mai eficace și mai eficient, este esențial ca Europa să fie în măsură să acorde prioritate celor mai importante provocări și riscuri și să se concentreze asupra acestora. Disciplina în materie de reglementare este un mijloc de a se asigura că principiile subsidiarității și proporționalității sunt aplicate în mod consecvent în legislația UE. Astfel, Uniunea își poate concentra eforturile și resursele asupra domeniilor în care acțiunea la nivelul UE este necesară, aduce cea mai mare valoare adăugată și respectă principiul proporționalității.</w:t>
      </w:r>
    </w:p>
    <w:p w14:paraId="7D8EEEB9" w14:textId="77777777" w:rsidR="00F754F8" w:rsidRDefault="00522279">
      <w:pPr>
        <w:spacing w:after="240" w:line="240" w:lineRule="auto"/>
        <w:jc w:val="both"/>
        <w:rPr>
          <w:rFonts w:eastAsiaTheme="minorEastAsia" w:cs="Times New Roman"/>
          <w:noProof/>
        </w:rPr>
      </w:pPr>
      <w:r>
        <w:rPr>
          <w:noProof/>
        </w:rPr>
        <w:t>De asemenea, trebuie să dăm dovadă de disciplină și să ne concentrăm asupra stabilirii normelor de punere în aplicare, pentru a evita ca legislația UE să devină excesiv de voluminoasă, de complexă și de costisitoare. În viitoarele propuneri legislative, Comisia va încerca să propună doar delegările de competențe pentru adoptarea de acte delegate și de punere în aplicare care sunt strict necesare pentru a pune în aplicare și a asigura în mod eficace respectarea normelor UE sau a obligațiilor internaționale. De asemenea, solicităm Parlamentului European și Consiliului să aplice aceeași disciplină în acest sens, pe tot parcursul procesului legislativ.</w:t>
      </w:r>
    </w:p>
    <w:p w14:paraId="6F692956" w14:textId="77777777" w:rsidR="00F754F8" w:rsidRDefault="00522279">
      <w:pPr>
        <w:spacing w:after="240" w:line="240" w:lineRule="auto"/>
        <w:jc w:val="both"/>
        <w:rPr>
          <w:rFonts w:eastAsiaTheme="minorEastAsia" w:cs="Times New Roman"/>
          <w:noProof/>
        </w:rPr>
      </w:pPr>
      <w:r>
        <w:rPr>
          <w:noProof/>
        </w:rPr>
        <w:t>Pentru a aprofunda piața unică și a consolida atractivitatea UE în economia mondială, alegerea instrumentului juridic adecvat și a gradului adecvat de armonizare este esențială. Alegerea actului juridic trebuie să fie bine fundamentată, să se bazeze pe tratate, precum și pe scopul și conținutul acestuia</w:t>
      </w:r>
      <w:r>
        <w:rPr>
          <w:rStyle w:val="FootnoteReference"/>
          <w:rFonts w:eastAsiaTheme="minorEastAsia" w:cs="Times New Roman"/>
          <w:noProof/>
        </w:rPr>
        <w:footnoteReference w:id="6"/>
      </w:r>
      <w:r>
        <w:rPr>
          <w:noProof/>
        </w:rPr>
        <w:t>. În ceea ce privește aspectele cu o dimensiune puternică privind piața unică și în cazul în care competența UE permite acest lucru, o utilizare mai sistematică a unor reglementări exhaustive</w:t>
      </w:r>
      <w:r>
        <w:rPr>
          <w:rStyle w:val="FootnoteReference"/>
          <w:noProof/>
        </w:rPr>
        <w:footnoteReference w:id="7"/>
      </w:r>
      <w:r>
        <w:rPr>
          <w:noProof/>
        </w:rPr>
        <w:t xml:space="preserve"> poate limita obligațiile suplimentare și fragmentarea reglementărilor, inclusiv prin suprareglementare. În aceste cazuri, ar trebui să se acorde prioritate armonizării complete, asigurând o justificare temeinică a excepțiilor.</w:t>
      </w:r>
    </w:p>
    <w:p w14:paraId="3063CB71" w14:textId="77777777" w:rsidR="00F754F8" w:rsidRDefault="00522279">
      <w:pPr>
        <w:keepNext/>
        <w:spacing w:after="240" w:line="240" w:lineRule="auto"/>
        <w:jc w:val="both"/>
        <w:rPr>
          <w:rFonts w:eastAsiaTheme="minorEastAsia" w:cs="Times New Roman"/>
          <w:b/>
          <w:bCs/>
          <w:noProof/>
          <w:szCs w:val="24"/>
        </w:rPr>
      </w:pPr>
      <w:r>
        <w:rPr>
          <w:b/>
          <w:noProof/>
        </w:rPr>
        <w:t>O reglementare adaptivă și care răspunde exigențelor viitorului</w:t>
      </w:r>
    </w:p>
    <w:p w14:paraId="7F8089FC" w14:textId="77777777" w:rsidR="00F754F8" w:rsidRDefault="00522279">
      <w:pPr>
        <w:spacing w:after="240" w:line="240" w:lineRule="auto"/>
        <w:jc w:val="both"/>
        <w:rPr>
          <w:rFonts w:eastAsiaTheme="minorEastAsia" w:cs="Times New Roman"/>
          <w:noProof/>
        </w:rPr>
      </w:pPr>
      <w:r>
        <w:rPr>
          <w:noProof/>
        </w:rPr>
        <w:t xml:space="preserve">Pentru a sprijini inovarea și creșterea, normele UE și cele naționale trebuie să ofere suficient spațiu de manevră pentru adaptarea la evoluțiile viitoare, în contextul unor schimbări tehnologice și geopolitice tot mai rapide. Acest lucru necesită elaborarea unor norme care să fie favorabile inovării, să integreze considerații anticipative și pe termen lung și să ofere securitatea juridică și încrederea necesare pentru a investi și a funcționa pe piața unică. În același timp, Comisia se va asigura că normele sunt reexaminate și actualizate, dacă este necesar, pentru a se adapta la circumstanțele în schimbare și la schimbările tehnologice. </w:t>
      </w:r>
    </w:p>
    <w:p w14:paraId="013A83E2" w14:textId="77777777" w:rsidR="00F754F8" w:rsidRDefault="00522279">
      <w:pPr>
        <w:spacing w:after="240" w:line="240" w:lineRule="auto"/>
        <w:jc w:val="both"/>
        <w:rPr>
          <w:rFonts w:eastAsiaTheme="minorEastAsia" w:cs="Times New Roman"/>
          <w:noProof/>
        </w:rPr>
      </w:pPr>
      <w:r>
        <w:rPr>
          <w:noProof/>
        </w:rPr>
        <w:t>De asemenea, vom utiliza clauze de încetare a efectelor, după caz, pentru ca legile să devină caduce la o dată ulterioară specificată. Utilizate împreună cu clauze de monitorizare și evaluare bine programate, clauzele de încetare a efectelor pot contribui la prevenirea proliferării inutile a normelor și a cerințelor de raportare</w:t>
      </w:r>
      <w:r>
        <w:rPr>
          <w:rStyle w:val="CommentReference"/>
          <w:noProof/>
        </w:rPr>
        <w:t xml:space="preserve">. </w:t>
      </w:r>
      <w:r>
        <w:rPr>
          <w:noProof/>
        </w:rPr>
        <w:t xml:space="preserve">Acestea se pot asigura că legile care nu mai sunt relevante nu sunt incluse în caietele de sarcini. Limbajul utilizat pentru clauzele de încetare a efectelor, de monitorizare și de evaluare va fi standardizat și armonizat. </w:t>
      </w:r>
    </w:p>
    <w:p w14:paraId="3CE227FA" w14:textId="77777777" w:rsidR="00F754F8" w:rsidRDefault="00522279">
      <w:pPr>
        <w:spacing w:after="240" w:line="240" w:lineRule="auto"/>
        <w:jc w:val="both"/>
        <w:rPr>
          <w:rFonts w:eastAsiaTheme="minorEastAsia" w:cs="Times New Roman"/>
          <w:b/>
          <w:bCs/>
          <w:noProof/>
          <w:szCs w:val="24"/>
        </w:rPr>
      </w:pPr>
      <w:r>
        <w:rPr>
          <w:b/>
          <w:noProof/>
        </w:rPr>
        <w:t>O legislație mai flexibilă și mai accesibilă</w:t>
      </w:r>
    </w:p>
    <w:p w14:paraId="4B248879" w14:textId="77777777" w:rsidR="00F754F8" w:rsidRDefault="00522279">
      <w:pPr>
        <w:spacing w:after="240" w:line="240" w:lineRule="auto"/>
        <w:jc w:val="both"/>
        <w:rPr>
          <w:rFonts w:eastAsiaTheme="minorEastAsia" w:cs="Times New Roman"/>
          <w:noProof/>
        </w:rPr>
      </w:pPr>
      <w:r>
        <w:rPr>
          <w:noProof/>
        </w:rPr>
        <w:t>În plus, este esențial ca toată lumea să își poată identifica mai ușor drepturile și obligațiile legale, precum și calendarul aferent de punere în aplicare. Prin urmare, Comisia va îmbunătăți rezumatele legislației disponibile pe EUR-Lex</w:t>
      </w:r>
      <w:r>
        <w:rPr>
          <w:rStyle w:val="FootnoteReference"/>
          <w:rFonts w:eastAsiaTheme="minorEastAsia" w:cs="Times New Roman"/>
          <w:noProof/>
        </w:rPr>
        <w:footnoteReference w:id="8"/>
      </w:r>
      <w:r>
        <w:rPr>
          <w:noProof/>
        </w:rPr>
        <w:t xml:space="preserve"> pentru a prezenta în mod clar drepturile și obligațiile și pentru a semnala obligațiile naționale de punere în aplicare. De asemenea: (i) vom colabora cu celelalte instituții pentru a facilita accesul la legislația UE, inclusiv prin facilitarea citirii automate a acesteia; (ii) vom pune la dispoziție versiuni cu un grad mai mare de consolidare ale legislației și vom face acest lucru mai rapid, astfel încât actul juridic principal și toate modificările sale ulterioare să se regăsească într-un document unic și (iii) vom dezvolta în continuare spațiul european al datelor juridice pentru a asigura accesul online facil la legislația aplicabilă actualizată și la jurisprudență, atât la nivelul UE, cât și al statelor membre</w:t>
      </w:r>
      <w:r>
        <w:rPr>
          <w:rStyle w:val="FootnoteReference"/>
          <w:rFonts w:eastAsiaTheme="minorEastAsia" w:cs="Times New Roman"/>
          <w:noProof/>
        </w:rPr>
        <w:footnoteReference w:id="9"/>
      </w:r>
      <w:r>
        <w:rPr>
          <w:noProof/>
        </w:rPr>
        <w:t>. La elaborarea cerințelor de raportare, Comisia va pune în aplicare principiul înregistrării unice și se va asigura că sursele de informații sunt ușor de identificat.</w:t>
      </w:r>
    </w:p>
    <w:p w14:paraId="5394696A" w14:textId="77777777" w:rsidR="00F754F8" w:rsidRDefault="00522279">
      <w:pPr>
        <w:spacing w:after="240" w:line="240" w:lineRule="auto"/>
        <w:jc w:val="both"/>
        <w:rPr>
          <w:rFonts w:eastAsia="Times New Roman" w:cs="Times New Roman"/>
          <w:noProof/>
        </w:rPr>
      </w:pPr>
      <w:r>
        <w:rPr>
          <w:noProof/>
        </w:rPr>
        <w:t xml:space="preserve">Comisia va aplica standarde îmbunătățite pentru elaborarea considerentelor prezentate la începutul fiecărei propuneri legislative. Acestea se vor concentra mai mult pe stabilirea raționamentului care stă la baza actului juridic și a modului în care acesta trebuie interpretat, în loc să parafrazeze pur și simplu dispozițiile actului sau să facă trimitere la inițiative sau obiective de politică care nu au legătură cu acesta. Parlamentul European și Consiliul pot contribui, de asemenea, la raționalizarea considerentelor în cursul procesului legislativ. </w:t>
      </w:r>
    </w:p>
    <w:p w14:paraId="7F9CF114" w14:textId="77777777" w:rsidR="00F754F8" w:rsidRDefault="00522279">
      <w:pPr>
        <w:spacing w:after="240" w:line="240" w:lineRule="auto"/>
        <w:jc w:val="both"/>
        <w:rPr>
          <w:rFonts w:eastAsiaTheme="minorEastAsia" w:cs="Times New Roman"/>
          <w:noProof/>
        </w:rPr>
      </w:pPr>
      <w:r>
        <w:rPr>
          <w:noProof/>
        </w:rPr>
        <w:t>Pentru a îmbunătăți consecvența și coerența cadrului de reglementare, Comisia va recurge la tehnicile consacrate, cum ar fi codificarea</w:t>
      </w:r>
      <w:r>
        <w:rPr>
          <w:rStyle w:val="FootnoteReference"/>
          <w:noProof/>
        </w:rPr>
        <w:footnoteReference w:id="10"/>
      </w:r>
      <w:r>
        <w:rPr>
          <w:noProof/>
        </w:rPr>
        <w:t xml:space="preserve"> și reformarea</w:t>
      </w:r>
      <w:r>
        <w:rPr>
          <w:rStyle w:val="FootnoteReference"/>
          <w:noProof/>
        </w:rPr>
        <w:footnoteReference w:id="11"/>
      </w:r>
      <w:r>
        <w:rPr>
          <w:noProof/>
        </w:rPr>
        <w:t>. Ambele conduc la înlocuirea și abrogarea actelor preexistente și a modificărilor acestora</w:t>
      </w:r>
      <w:r>
        <w:rPr>
          <w:rStyle w:val="FootnoteReference"/>
          <w:rFonts w:eastAsiaTheme="minorEastAsia" w:cs="Times New Roman"/>
          <w:noProof/>
        </w:rPr>
        <w:footnoteReference w:id="12"/>
      </w:r>
      <w:r>
        <w:rPr>
          <w:noProof/>
        </w:rPr>
        <w:t xml:space="preserve">, contribuind la un cadru juridic mai coerent și mai ușor inteligibil, care să fie mai simplu de înțeles și de aplicat de către toate părțile interesate. Cu toate acestea, pentru a facilita adoptarea tehnicilor respective, este esențial ca colegiuitorii să își respecte angajamentul de a nu redeschide alte elemente ale legislației. </w:t>
      </w:r>
    </w:p>
    <w:p w14:paraId="42D989D8" w14:textId="77777777" w:rsidR="00F754F8" w:rsidRDefault="00522279">
      <w:pPr>
        <w:spacing w:after="240" w:line="240" w:lineRule="auto"/>
        <w:jc w:val="both"/>
        <w:rPr>
          <w:rFonts w:eastAsiaTheme="minorEastAsia" w:cs="Times New Roman"/>
          <w:noProof/>
        </w:rPr>
      </w:pPr>
      <w:r>
        <w:rPr>
          <w:noProof/>
        </w:rPr>
        <w:t>Un cadru juridic coerent și mai flexibil necesită, de asemenea, o relație clară între legi și eliminarea suprapunerilor și a dispozițiilor redundante. Legile sau dispozițiile care se aplică unor sectoare sau activități specifice ar trebui mai degrabă să completeze sau să înlocuiască și nu să reproducă legi sau dispoziții care se aplică la un nivel mai general. În mod similar, noile norme ar trebui să abordeze lacunele reale de reglementare și nu să reitereze legislația existentă. Ar trebui să se asigure consecvența, claritatea și coerența depline între dispozițiile noi și cele existente.</w:t>
      </w:r>
    </w:p>
    <w:p w14:paraId="2E8A0DCB" w14:textId="77777777" w:rsidR="00F754F8" w:rsidRDefault="00522279">
      <w:pPr>
        <w:spacing w:after="240" w:line="240" w:lineRule="auto"/>
        <w:jc w:val="both"/>
        <w:rPr>
          <w:rFonts w:eastAsiaTheme="minorEastAsia" w:cs="Times New Roman"/>
          <w:noProof/>
        </w:rPr>
      </w:pPr>
      <w:r>
        <w:rPr>
          <w:noProof/>
        </w:rPr>
        <w:t>Comisia se va asigura că aceste principii sunt aplicate atunci când elaborează noi propuneri de politici și va depune, de asemenea, eforturi pentru a revizui actele juridice existente în domenii-cheie în care fragmentarea reglementărilor a devenit deosebit de răspândită, începând cu domeniile prezentate în Planul de acțiune pentru revizuirea în profunzime a reglementărilor, care însoțește prezenta comunicare.</w:t>
      </w:r>
    </w:p>
    <w:p w14:paraId="013FF4EC" w14:textId="77777777" w:rsidR="00F754F8" w:rsidRDefault="00522279" w:rsidP="00034282">
      <w:pPr>
        <w:pStyle w:val="ListParagraph"/>
        <w:keepNext/>
        <w:spacing w:after="240" w:line="240" w:lineRule="auto"/>
        <w:ind w:left="425" w:hanging="425"/>
        <w:contextualSpacing w:val="0"/>
        <w:jc w:val="both"/>
        <w:rPr>
          <w:rFonts w:eastAsiaTheme="minorEastAsia" w:cs="Times New Roman"/>
          <w:b/>
          <w:bCs/>
          <w:noProof/>
        </w:rPr>
      </w:pPr>
      <w:r>
        <w:rPr>
          <w:b/>
          <w:noProof/>
        </w:rPr>
        <w:t>Termene realiste de transpunere și de punere în aplicare</w:t>
      </w:r>
    </w:p>
    <w:p w14:paraId="0DA3C2DA" w14:textId="77777777" w:rsidR="00F754F8" w:rsidRDefault="00522279">
      <w:pPr>
        <w:spacing w:after="240" w:line="240" w:lineRule="auto"/>
        <w:jc w:val="both"/>
        <w:rPr>
          <w:rFonts w:eastAsiaTheme="minorEastAsia" w:cs="Times New Roman"/>
          <w:noProof/>
        </w:rPr>
      </w:pPr>
      <w:r>
        <w:rPr>
          <w:noProof/>
        </w:rPr>
        <w:t>Cetățenii, întreprinderile și guvernele au nevoie de timp să se pregătească pentru noile norme și să înțeleagă cum să le respecte. În cererea de contribuții, părțile interesate au susținut că legile ar trebui concepute de la bun început ținând seama de punerea în aplicare. O preocupare majoră ridicată în acest context a fost problema perioadelor de tranziție și de punere în aplicare care nu permit o pregătire suficientă.</w:t>
      </w:r>
    </w:p>
    <w:p w14:paraId="5E76D2C0" w14:textId="77777777" w:rsidR="00F754F8" w:rsidRDefault="00522279">
      <w:pPr>
        <w:spacing w:after="240" w:line="240" w:lineRule="auto"/>
        <w:jc w:val="both"/>
        <w:rPr>
          <w:rFonts w:eastAsia="Times New Roman" w:cs="Times New Roman"/>
          <w:noProof/>
          <w:szCs w:val="24"/>
        </w:rPr>
      </w:pPr>
      <w:r>
        <w:rPr>
          <w:noProof/>
        </w:rPr>
        <w:t>Comisia va acorda o atenție deosebită asigurării faptului că legislația este concepută ținând seama de punerea în aplicare încă de la început. Aceasta va aplica principiul „a gândi mai întâi la scară mică”, ținând seama de nevoile și capacitățile întreprinderilor mici și mijlocii</w:t>
      </w:r>
      <w:r>
        <w:rPr>
          <w:rStyle w:val="FootnoteReference"/>
          <w:rFonts w:cs="Times New Roman"/>
          <w:noProof/>
        </w:rPr>
        <w:footnoteReference w:id="13"/>
      </w:r>
      <w:r>
        <w:rPr>
          <w:noProof/>
        </w:rPr>
        <w:t xml:space="preserve">. </w:t>
      </w:r>
    </w:p>
    <w:p w14:paraId="0F8005E1" w14:textId="77777777" w:rsidR="00F754F8" w:rsidRDefault="00522279">
      <w:pPr>
        <w:spacing w:after="240" w:line="240" w:lineRule="auto"/>
        <w:jc w:val="both"/>
        <w:rPr>
          <w:rFonts w:eastAsiaTheme="minorEastAsia" w:cs="Times New Roman"/>
          <w:noProof/>
        </w:rPr>
      </w:pPr>
      <w:r>
        <w:rPr>
          <w:noProof/>
        </w:rPr>
        <w:t xml:space="preserve">De asemenea, Comisia își va intensifica eforturile pentru a se asigura că termenele de transpunere și de punere în aplicare sunt fezabile și credibile, pe baza unor estimări realiste ale timpului necesar pentru elaborarea măsurilor de punere în aplicare și a instrumentelor digitale, și pentru a acorda întreprinderilor și autorităților naționale suficient timp pentru a se adapta. Clauzele de neretroactivitate, perioadele de grație și dispozițiile care prevăd testarea și introducerea treptată a obligațiilor majore vor fi luate în considerare în mod sistemic atunci când se vor propune noi acte legislative. Comisia invită Parlamentul European și Consiliul să acorde o atenție deosebită acestei chestiuni, în egală măsură, pe tot parcursul procesului legislativ. </w:t>
      </w:r>
    </w:p>
    <w:p w14:paraId="3D6E36BF" w14:textId="77777777" w:rsidR="00F754F8" w:rsidRDefault="00522279">
      <w:pPr>
        <w:keepNext/>
        <w:spacing w:after="240" w:line="240" w:lineRule="auto"/>
        <w:jc w:val="both"/>
        <w:rPr>
          <w:rFonts w:eastAsiaTheme="minorEastAsia" w:cs="Times New Roman"/>
          <w:b/>
          <w:bCs/>
          <w:noProof/>
          <w:szCs w:val="24"/>
        </w:rPr>
      </w:pPr>
      <w:r>
        <w:rPr>
          <w:b/>
          <w:noProof/>
        </w:rPr>
        <w:t xml:space="preserve">Valorificarea progresului tehnologic </w:t>
      </w:r>
    </w:p>
    <w:p w14:paraId="48370518" w14:textId="77777777" w:rsidR="00F754F8" w:rsidRDefault="00522279">
      <w:pPr>
        <w:spacing w:after="240" w:line="240" w:lineRule="auto"/>
        <w:jc w:val="both"/>
        <w:rPr>
          <w:rFonts w:eastAsiaTheme="minorEastAsia" w:cs="Times New Roman"/>
          <w:noProof/>
        </w:rPr>
      </w:pPr>
      <w:r>
        <w:rPr>
          <w:noProof/>
        </w:rPr>
        <w:t>Elaborarea de politici adaptate erei digitale contribuie la identificarea aspectelor digitale ale unei inițiative legislative încă din primele etape de planificare și integrează luarea lor sistematică în considerare în conceperea politicilor. Această abordare structurată contribuie la un acquis mai coerent, la o punere în aplicare mai ușoară a politicilor pe plan digital și la realizarea de progrese în ceea ce privește reducerea sarcinilor administrative</w:t>
      </w:r>
      <w:r>
        <w:rPr>
          <w:rStyle w:val="FootnoteReference"/>
          <w:rFonts w:eastAsiaTheme="minorEastAsia" w:cs="Times New Roman"/>
          <w:noProof/>
        </w:rPr>
        <w:footnoteReference w:id="14"/>
      </w:r>
      <w:r>
        <w:rPr>
          <w:noProof/>
        </w:rPr>
        <w:t>. În plus, tehnologiile de vârf, inclusiv inteligența artificială, pot contribui la îmbunătățirea calității legislației și la reducerea diferențelor de reglementare între textele juridice.</w:t>
      </w:r>
    </w:p>
    <w:p w14:paraId="01CB3D0B" w14:textId="77777777" w:rsidR="00F754F8" w:rsidRDefault="00522279">
      <w:pPr>
        <w:spacing w:after="240" w:line="240" w:lineRule="auto"/>
        <w:jc w:val="both"/>
        <w:rPr>
          <w:noProof/>
        </w:rPr>
      </w:pPr>
      <w:r>
        <w:rPr>
          <w:noProof/>
        </w:rPr>
        <w:t>În acest context, Comisia dezvoltă în prezent un nou instrument informatic care va contribui la gestionarea mai ușoară a legislației UE, inclusiv a normelor de punere în aplicare, și la identificarea suprapunerilor, a lacunelor și a complexității inutile. În paralel, instrumentul electronic de redactare a textelor juridice al UE – EdiT – va fi îmbunătățit în continuare pentru a asigura claritatea și coerența propunerilor noastre legislative. Aceste acțiuni vor facilita elaborarea legilor, vor spori accesibilitatea și previzibilitatea, sprijinind astfel priorități precum reducerea sarcinii administrative. Clauzele standard, inclusiv dispozițiile favorabile întreprinderilor mici și mijlocii, vor facilita redactarea textelor juridice și coerența acestora.</w:t>
      </w:r>
    </w:p>
    <w:p w14:paraId="6CF181DF" w14:textId="77777777" w:rsidR="00F754F8" w:rsidRDefault="00522279">
      <w:pPr>
        <w:spacing w:after="240" w:line="240" w:lineRule="auto"/>
        <w:jc w:val="both"/>
        <w:rPr>
          <w:rFonts w:eastAsiaTheme="minorEastAsia" w:cs="Times New Roman"/>
          <w:noProof/>
        </w:rPr>
      </w:pPr>
      <w:r>
        <w:rPr>
          <w:noProof/>
        </w:rPr>
        <w:t>Formarea și îndrumarea reprezintă o altă modalitate de a asigura calitatea juridică a propunerilor noastre și faptul că principiul „simplității din momentul conceperii” este bine ancorat în ciclul de elaborare a politicilor. În acest scop, Comisia va investi în promovarea expertizei interne specializate în redactarea textelor juridice, prin programe de formare obligatorii și orientări actualizate pentru redactarea textelor juridice. Cele mai bune practici și aplicarea acestor principii vor fi promovate de o rețea de corespondenți în domeniul calității juridice.</w:t>
      </w:r>
      <w:r>
        <w:rPr>
          <w:noProof/>
          <w:color w:val="008080"/>
          <w:u w:val="single"/>
        </w:rPr>
        <w:t xml:space="preserve"> </w:t>
      </w:r>
    </w:p>
    <w:p w14:paraId="08102EAB" w14:textId="77777777" w:rsidR="00F754F8" w:rsidRDefault="00522279">
      <w:pPr>
        <w:pStyle w:val="ListParagraph"/>
        <w:spacing w:after="240" w:line="240" w:lineRule="auto"/>
        <w:ind w:left="425" w:hanging="425"/>
        <w:contextualSpacing w:val="0"/>
        <w:jc w:val="both"/>
        <w:rPr>
          <w:rFonts w:eastAsiaTheme="minorEastAsia" w:cs="Times New Roman"/>
          <w:b/>
          <w:noProof/>
        </w:rPr>
      </w:pPr>
      <w:r>
        <w:rPr>
          <w:b/>
          <w:noProof/>
        </w:rPr>
        <w:t>Asigurarea respectării normelor din momentul conceperii</w:t>
      </w:r>
    </w:p>
    <w:p w14:paraId="6FDB1AD4" w14:textId="77777777" w:rsidR="00F754F8" w:rsidRDefault="00522279">
      <w:pPr>
        <w:spacing w:after="240" w:line="240" w:lineRule="auto"/>
        <w:jc w:val="both"/>
        <w:rPr>
          <w:noProof/>
        </w:rPr>
      </w:pPr>
      <w:r>
        <w:rPr>
          <w:noProof/>
        </w:rPr>
        <w:t>„Simplitatea din momentul conceperii” va conduce la obligații mai clare și mai accesibile pentru statele membre și întreprinderi, facilitând conformitatea încă de la început. Punerea în aplicare, monitorizarea și asigurarea respectării normelor UE ar trebui să fie ușor de realizat, îngreunând abuzarea sau eludarea lor. Aceasta înseamnă că trebuie să se ia în considerare mecanismele de asigurare a respectării legii încă de la început, atunci când se elaborează legislația UE. Instrumentele integrate de monitorizare și de asigurare a respectării legii pot fi valoroase pentru toate tipurile de acte juridice, dar sunt deosebit de relevante pentru regulamente, care se aplică direct. Mecanismele care trebuie luate în considerare vor varia, dar următoarele dispoziții sunt opțiuni care s-au dovedit utile în contextul lor dat:</w:t>
      </w:r>
    </w:p>
    <w:p w14:paraId="43A12682" w14:textId="77777777" w:rsidR="00F754F8" w:rsidRDefault="00522279">
      <w:pPr>
        <w:pStyle w:val="ListParagraph"/>
        <w:numPr>
          <w:ilvl w:val="0"/>
          <w:numId w:val="17"/>
        </w:numPr>
        <w:spacing w:after="240" w:line="240" w:lineRule="auto"/>
        <w:jc w:val="both"/>
        <w:rPr>
          <w:noProof/>
        </w:rPr>
      </w:pPr>
      <w:r>
        <w:rPr>
          <w:noProof/>
        </w:rPr>
        <w:t xml:space="preserve">desemnarea autorităților naționale de aplicare a legii și stabilirea competențelor lor de asigurare a aplicării legii, eventual în combinație cu un grad suficient de armonizare a sancțiunilor; </w:t>
      </w:r>
    </w:p>
    <w:p w14:paraId="184F2DDC" w14:textId="77777777" w:rsidR="00F754F8" w:rsidRDefault="00522279">
      <w:pPr>
        <w:pStyle w:val="ListParagraph"/>
        <w:numPr>
          <w:ilvl w:val="0"/>
          <w:numId w:val="17"/>
        </w:numPr>
        <w:spacing w:after="240" w:line="240" w:lineRule="auto"/>
        <w:jc w:val="both"/>
        <w:rPr>
          <w:noProof/>
        </w:rPr>
      </w:pPr>
      <w:r>
        <w:rPr>
          <w:noProof/>
        </w:rPr>
        <w:t>competențe solide de stabilire a faptelor pentru Comisie în anumite domenii;</w:t>
      </w:r>
    </w:p>
    <w:p w14:paraId="309F023A" w14:textId="77777777" w:rsidR="00F754F8" w:rsidRDefault="00522279">
      <w:pPr>
        <w:pStyle w:val="ListParagraph"/>
        <w:numPr>
          <w:ilvl w:val="0"/>
          <w:numId w:val="17"/>
        </w:numPr>
        <w:spacing w:after="240" w:line="240" w:lineRule="auto"/>
        <w:jc w:val="both"/>
        <w:rPr>
          <w:noProof/>
        </w:rPr>
      </w:pPr>
      <w:r>
        <w:rPr>
          <w:noProof/>
        </w:rPr>
        <w:t>mecanisme solide de notificare prealabilă</w:t>
      </w:r>
      <w:r>
        <w:rPr>
          <w:rStyle w:val="FootnoteReference"/>
          <w:noProof/>
        </w:rPr>
        <w:footnoteReference w:id="15"/>
      </w:r>
      <w:r>
        <w:rPr>
          <w:noProof/>
        </w:rPr>
        <w:t xml:space="preserve"> pentru proiectele de acte legislative naționale, cu o evaluare obligatorie a compatibilității de către Comisie, astfel încât problemele identificate să fie eliminate înainte de adoptarea măsurilor naționale.</w:t>
      </w:r>
    </w:p>
    <w:p w14:paraId="5F25327A" w14:textId="77777777" w:rsidR="00F754F8" w:rsidRDefault="00522279">
      <w:pPr>
        <w:spacing w:after="240" w:line="240" w:lineRule="auto"/>
        <w:jc w:val="both"/>
        <w:rPr>
          <w:rFonts w:eastAsiaTheme="minorEastAsia" w:cs="Times New Roman"/>
          <w:noProof/>
          <w:szCs w:val="24"/>
        </w:rPr>
      </w:pPr>
      <w:r>
        <w:rPr>
          <w:noProof/>
        </w:rPr>
        <w:t>În funcție de circumstanțele fiecărei propuneri, Comisia va analiza dacă aceste tipuri de dispoziții de „asigurare a respectării normelor din momentul conceperii” ar putea aduce valoare adăugată și le va utiliza, după caz. În același timp, Comisia va încerca să reducă la minimum orice sarcină care rezultă din astfel de măsuri pentru statele membre și pentru ea însăși, în limitele actualelor constrângeri bugetare.</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16"/>
      </w:tblGrid>
      <w:tr w:rsidR="00F754F8" w14:paraId="39634020" w14:textId="77777777">
        <w:tc>
          <w:tcPr>
            <w:tcW w:w="9026" w:type="dxa"/>
          </w:tcPr>
          <w:p w14:paraId="310E5022" w14:textId="77777777" w:rsidR="00F754F8" w:rsidRDefault="00522279">
            <w:pPr>
              <w:spacing w:before="120" w:after="240"/>
              <w:jc w:val="both"/>
              <w:rPr>
                <w:b/>
                <w:noProof/>
                <w:u w:val="single"/>
              </w:rPr>
            </w:pPr>
            <w:bookmarkStart w:id="4" w:name="_Hlk222929525"/>
            <w:r>
              <w:rPr>
                <w:b/>
                <w:noProof/>
                <w:u w:val="single"/>
              </w:rPr>
              <w:t>Acțiuni-cheie</w:t>
            </w:r>
          </w:p>
          <w:p w14:paraId="0D24EBB7" w14:textId="77777777" w:rsidR="00F754F8" w:rsidRDefault="00522279">
            <w:pPr>
              <w:pStyle w:val="ListParagraph"/>
              <w:numPr>
                <w:ilvl w:val="0"/>
                <w:numId w:val="4"/>
              </w:numPr>
              <w:spacing w:after="240"/>
              <w:contextualSpacing w:val="0"/>
              <w:jc w:val="both"/>
              <w:rPr>
                <w:rFonts w:eastAsiaTheme="minorEastAsia" w:cs="Times New Roman"/>
                <w:noProof/>
              </w:rPr>
            </w:pPr>
            <w:r>
              <w:rPr>
                <w:noProof/>
              </w:rPr>
              <w:t xml:space="preserve">Punerea unui accent mai puternic asupra principiilor subsidiarității și proporționalității ca parte a </w:t>
            </w:r>
            <w:r>
              <w:rPr>
                <w:b/>
                <w:noProof/>
              </w:rPr>
              <w:t>disciplinei în materie de reglementare</w:t>
            </w:r>
            <w:r>
              <w:rPr>
                <w:noProof/>
              </w:rPr>
              <w:t>, inclusiv asupra delegărilor de competențe pentru adoptarea de acte delegate și de punere în aplicare.</w:t>
            </w:r>
          </w:p>
          <w:p w14:paraId="5C738A45" w14:textId="77777777" w:rsidR="00F754F8" w:rsidRDefault="00522279">
            <w:pPr>
              <w:pStyle w:val="ListParagraph"/>
              <w:numPr>
                <w:ilvl w:val="0"/>
                <w:numId w:val="4"/>
              </w:numPr>
              <w:spacing w:after="240"/>
              <w:contextualSpacing w:val="0"/>
              <w:jc w:val="both"/>
              <w:rPr>
                <w:rFonts w:eastAsiaTheme="minorEastAsia" w:cs="Times New Roman"/>
                <w:noProof/>
              </w:rPr>
            </w:pPr>
            <w:r>
              <w:rPr>
                <w:noProof/>
              </w:rPr>
              <w:t xml:space="preserve">Acordarea de prioritate </w:t>
            </w:r>
            <w:r>
              <w:rPr>
                <w:b/>
                <w:noProof/>
              </w:rPr>
              <w:t>reglementărilor exhaustive și armonizării complete</w:t>
            </w:r>
            <w:r>
              <w:rPr>
                <w:noProof/>
              </w:rPr>
              <w:t xml:space="preserve"> la reglementarea aspectelor legate de piața unică, atunci când acest lucru este fezabil din punct de vedere juridic și adecvat.</w:t>
            </w:r>
          </w:p>
          <w:p w14:paraId="578C5B25" w14:textId="77777777" w:rsidR="00F754F8" w:rsidRDefault="00522279">
            <w:pPr>
              <w:pStyle w:val="ListParagraph"/>
              <w:numPr>
                <w:ilvl w:val="0"/>
                <w:numId w:val="4"/>
              </w:numPr>
              <w:spacing w:after="240"/>
              <w:contextualSpacing w:val="0"/>
              <w:jc w:val="both"/>
              <w:rPr>
                <w:rFonts w:eastAsiaTheme="minorEastAsia" w:cs="Times New Roman"/>
                <w:noProof/>
              </w:rPr>
            </w:pPr>
            <w:r>
              <w:rPr>
                <w:noProof/>
              </w:rPr>
              <w:t xml:space="preserve">Elaborarea unor clauze de monitorizare și de evaluare periodice și bine sincronizate, precum și utilizarea </w:t>
            </w:r>
            <w:r>
              <w:rPr>
                <w:b/>
                <w:noProof/>
              </w:rPr>
              <w:t>clauzelor de încetare a efectelor</w:t>
            </w:r>
            <w:r>
              <w:rPr>
                <w:noProof/>
              </w:rPr>
              <w:t>, după caz, pentru a menține capacitatea de reacție a legislației la noile evoluții.</w:t>
            </w:r>
          </w:p>
          <w:p w14:paraId="3E9191BA" w14:textId="77777777" w:rsidR="00F754F8" w:rsidRDefault="00522279">
            <w:pPr>
              <w:pStyle w:val="ListParagraph"/>
              <w:numPr>
                <w:ilvl w:val="0"/>
                <w:numId w:val="4"/>
              </w:numPr>
              <w:spacing w:after="240"/>
              <w:contextualSpacing w:val="0"/>
              <w:jc w:val="both"/>
              <w:rPr>
                <w:rFonts w:eastAsiaTheme="minorEastAsia" w:cs="Times New Roman"/>
                <w:noProof/>
              </w:rPr>
            </w:pPr>
            <w:r>
              <w:rPr>
                <w:noProof/>
              </w:rPr>
              <w:t xml:space="preserve">Utilizarea pe scară mai largă a tehnicilor de </w:t>
            </w:r>
            <w:r>
              <w:rPr>
                <w:b/>
                <w:noProof/>
              </w:rPr>
              <w:t>reformare și codificare</w:t>
            </w:r>
            <w:r>
              <w:rPr>
                <w:noProof/>
              </w:rPr>
              <w:t xml:space="preserve"> și asigurarea </w:t>
            </w:r>
            <w:r>
              <w:rPr>
                <w:b/>
                <w:noProof/>
              </w:rPr>
              <w:t>coerenței între legislația sectorială și cea generală</w:t>
            </w:r>
            <w:r>
              <w:rPr>
                <w:noProof/>
              </w:rPr>
              <w:t xml:space="preserve">, precum și între </w:t>
            </w:r>
            <w:r>
              <w:rPr>
                <w:b/>
                <w:noProof/>
              </w:rPr>
              <w:t>actele juridice existente și cele noi</w:t>
            </w:r>
            <w:r>
              <w:rPr>
                <w:noProof/>
              </w:rPr>
              <w:t>.</w:t>
            </w:r>
          </w:p>
          <w:p w14:paraId="71906D00" w14:textId="77777777" w:rsidR="00F754F8" w:rsidRDefault="00522279">
            <w:pPr>
              <w:pStyle w:val="ListParagraph"/>
              <w:numPr>
                <w:ilvl w:val="0"/>
                <w:numId w:val="4"/>
              </w:numPr>
              <w:spacing w:after="240"/>
              <w:contextualSpacing w:val="0"/>
              <w:jc w:val="both"/>
              <w:rPr>
                <w:rFonts w:eastAsiaTheme="minorEastAsia" w:cs="Times New Roman"/>
                <w:noProof/>
                <w:szCs w:val="24"/>
              </w:rPr>
            </w:pPr>
            <w:r>
              <w:rPr>
                <w:noProof/>
              </w:rPr>
              <w:t xml:space="preserve">Identificarea </w:t>
            </w:r>
            <w:r>
              <w:rPr>
                <w:b/>
                <w:noProof/>
              </w:rPr>
              <w:t>condițiilor și dispozițiilor standard</w:t>
            </w:r>
            <w:r>
              <w:rPr>
                <w:noProof/>
              </w:rPr>
              <w:t xml:space="preserve"> privind cele mai bune practici, cu formulări standard convenite între instituții, acolo unde este posibil, și </w:t>
            </w:r>
            <w:r>
              <w:rPr>
                <w:b/>
                <w:noProof/>
              </w:rPr>
              <w:t>considerente</w:t>
            </w:r>
            <w:r>
              <w:rPr>
                <w:noProof/>
              </w:rPr>
              <w:t xml:space="preserve"> mai </w:t>
            </w:r>
            <w:r>
              <w:rPr>
                <w:b/>
                <w:noProof/>
              </w:rPr>
              <w:t>specifice</w:t>
            </w:r>
            <w:r>
              <w:rPr>
                <w:noProof/>
              </w:rPr>
              <w:t>.</w:t>
            </w:r>
            <w:r>
              <w:rPr>
                <w:b/>
                <w:noProof/>
              </w:rPr>
              <w:t xml:space="preserve"> </w:t>
            </w:r>
          </w:p>
          <w:p w14:paraId="4CB2906F" w14:textId="77777777" w:rsidR="00F754F8" w:rsidRDefault="00522279">
            <w:pPr>
              <w:pStyle w:val="ListParagraph"/>
              <w:numPr>
                <w:ilvl w:val="0"/>
                <w:numId w:val="4"/>
              </w:numPr>
              <w:spacing w:after="240"/>
              <w:contextualSpacing w:val="0"/>
              <w:jc w:val="both"/>
              <w:rPr>
                <w:rFonts w:eastAsiaTheme="minorEastAsia" w:cs="Times New Roman"/>
                <w:noProof/>
              </w:rPr>
            </w:pPr>
            <w:r>
              <w:rPr>
                <w:noProof/>
              </w:rPr>
              <w:t xml:space="preserve">Stabilirea unor </w:t>
            </w:r>
            <w:r>
              <w:rPr>
                <w:b/>
                <w:noProof/>
              </w:rPr>
              <w:t>termene</w:t>
            </w:r>
            <w:r>
              <w:rPr>
                <w:noProof/>
              </w:rPr>
              <w:t xml:space="preserve"> realiste </w:t>
            </w:r>
            <w:r>
              <w:rPr>
                <w:b/>
                <w:noProof/>
              </w:rPr>
              <w:t>de transpunere și punere în aplicare și luarea în considerare în mod sistematic a unor măsuri</w:t>
            </w:r>
            <w:r>
              <w:rPr>
                <w:noProof/>
              </w:rPr>
              <w:t xml:space="preserve"> precum clauzele de neretroactivitate sau introducerea treptată pentru a facilita punerea în aplicare.</w:t>
            </w:r>
          </w:p>
          <w:p w14:paraId="795BE0D7" w14:textId="77777777" w:rsidR="00F754F8" w:rsidRDefault="00522279">
            <w:pPr>
              <w:pStyle w:val="ListParagraph"/>
              <w:numPr>
                <w:ilvl w:val="0"/>
                <w:numId w:val="4"/>
              </w:numPr>
              <w:spacing w:after="240"/>
              <w:contextualSpacing w:val="0"/>
              <w:jc w:val="both"/>
              <w:rPr>
                <w:rFonts w:eastAsiaTheme="minorEastAsia" w:cs="Times New Roman"/>
                <w:noProof/>
              </w:rPr>
            </w:pPr>
            <w:r>
              <w:rPr>
                <w:noProof/>
              </w:rPr>
              <w:t xml:space="preserve">Dezvoltarea și utilizarea în continuare a </w:t>
            </w:r>
            <w:r>
              <w:rPr>
                <w:b/>
                <w:noProof/>
              </w:rPr>
              <w:t>instrumentelor digitale</w:t>
            </w:r>
            <w:r>
              <w:rPr>
                <w:noProof/>
              </w:rPr>
              <w:t>, cum ar fi instrumentul electronic de redactare EdiT, un nou instrument de gestionare a acquis-ului, consolidând în același timp și mai mult punctul de acces la legislația UE prin intermediul platformei EUR-Lex și dezvoltarea în continuare a spațiului european al datelor juridice.</w:t>
            </w:r>
          </w:p>
          <w:p w14:paraId="54CD953C" w14:textId="77777777" w:rsidR="00F754F8" w:rsidRDefault="00522279">
            <w:pPr>
              <w:pStyle w:val="ListParagraph"/>
              <w:numPr>
                <w:ilvl w:val="0"/>
                <w:numId w:val="4"/>
              </w:numPr>
              <w:spacing w:after="240"/>
              <w:contextualSpacing w:val="0"/>
              <w:jc w:val="both"/>
              <w:rPr>
                <w:b/>
                <w:bCs/>
                <w:noProof/>
                <w:u w:val="single"/>
              </w:rPr>
            </w:pPr>
            <w:r>
              <w:rPr>
                <w:noProof/>
              </w:rPr>
              <w:t xml:space="preserve">Crearea unei rețele de </w:t>
            </w:r>
            <w:r>
              <w:rPr>
                <w:b/>
                <w:noProof/>
              </w:rPr>
              <w:t>corespondenți pe probleme de calitate juridică</w:t>
            </w:r>
            <w:r>
              <w:rPr>
                <w:noProof/>
              </w:rPr>
              <w:t xml:space="preserve"> în cadrul Comisiei și introducerea </w:t>
            </w:r>
            <w:r>
              <w:rPr>
                <w:b/>
                <w:noProof/>
              </w:rPr>
              <w:t>formării obligatorii pentru autorii de texte juridice</w:t>
            </w:r>
            <w:r>
              <w:rPr>
                <w:noProof/>
              </w:rPr>
              <w:t xml:space="preserve">, pe baza unor </w:t>
            </w:r>
            <w:r>
              <w:rPr>
                <w:b/>
                <w:noProof/>
              </w:rPr>
              <w:t>orientări</w:t>
            </w:r>
            <w:r>
              <w:rPr>
                <w:noProof/>
              </w:rPr>
              <w:t xml:space="preserve"> actualizate.</w:t>
            </w:r>
          </w:p>
          <w:p w14:paraId="6DE305D2" w14:textId="77777777" w:rsidR="00F754F8" w:rsidRDefault="00522279">
            <w:pPr>
              <w:pStyle w:val="ListParagraph"/>
              <w:numPr>
                <w:ilvl w:val="0"/>
                <w:numId w:val="4"/>
              </w:numPr>
              <w:spacing w:after="240"/>
              <w:contextualSpacing w:val="0"/>
              <w:jc w:val="both"/>
              <w:rPr>
                <w:b/>
                <w:bCs/>
                <w:noProof/>
                <w:u w:val="single"/>
              </w:rPr>
            </w:pPr>
            <w:r>
              <w:rPr>
                <w:b/>
                <w:noProof/>
              </w:rPr>
              <w:t>Mecanisme</w:t>
            </w:r>
            <w:r>
              <w:rPr>
                <w:noProof/>
              </w:rPr>
              <w:t xml:space="preserve"> mai solide </w:t>
            </w:r>
            <w:r>
              <w:rPr>
                <w:b/>
                <w:noProof/>
              </w:rPr>
              <w:t>de monitorizare și de asigurare a respectării legii</w:t>
            </w:r>
            <w:r>
              <w:rPr>
                <w:noProof/>
              </w:rPr>
              <w:t xml:space="preserve"> în actele juridice ale UE pentru a garanta </w:t>
            </w:r>
            <w:r>
              <w:rPr>
                <w:b/>
                <w:noProof/>
              </w:rPr>
              <w:t>asigurarea respectării normelor din momentul conceperii</w:t>
            </w:r>
            <w:r>
              <w:rPr>
                <w:noProof/>
              </w:rPr>
              <w:t>, inclusiv prevenirea incompatibilităților cu legislația UE într-un stadiu incipient, prin mecanisme de notificare prealabilă.</w:t>
            </w:r>
          </w:p>
        </w:tc>
      </w:tr>
      <w:bookmarkEnd w:id="4"/>
    </w:tbl>
    <w:p w14:paraId="2F9FE8C3" w14:textId="77777777" w:rsidR="00F754F8" w:rsidRDefault="00F754F8">
      <w:pPr>
        <w:spacing w:after="240" w:line="240" w:lineRule="auto"/>
        <w:jc w:val="both"/>
        <w:rPr>
          <w:rFonts w:eastAsia="Times New Roman" w:cs="Times New Roman"/>
          <w:noProof/>
          <w:szCs w:val="24"/>
        </w:rPr>
      </w:pPr>
    </w:p>
    <w:p w14:paraId="24B15237" w14:textId="77777777" w:rsidR="00F754F8" w:rsidRDefault="00522279">
      <w:pPr>
        <w:pStyle w:val="Heading1"/>
        <w:numPr>
          <w:ilvl w:val="0"/>
          <w:numId w:val="19"/>
        </w:numPr>
        <w:spacing w:before="240" w:after="240" w:line="240" w:lineRule="auto"/>
        <w:ind w:left="714" w:hanging="357"/>
        <w:jc w:val="both"/>
        <w:rPr>
          <w:rFonts w:ascii="Times New Roman" w:hAnsi="Times New Roman" w:cs="Times New Roman"/>
          <w:b/>
          <w:smallCaps/>
          <w:noProof/>
          <w:color w:val="auto"/>
          <w:sz w:val="24"/>
          <w:szCs w:val="24"/>
        </w:rPr>
      </w:pPr>
      <w:r>
        <w:rPr>
          <w:rFonts w:ascii="Times New Roman" w:hAnsi="Times New Roman"/>
          <w:b/>
          <w:smallCaps/>
          <w:noProof/>
          <w:color w:val="auto"/>
          <w:sz w:val="24"/>
        </w:rPr>
        <w:t>Îmbunătățirea în continuare a cadrului nostru pentru o mai bună legiferare</w:t>
      </w:r>
    </w:p>
    <w:p w14:paraId="41ABC57F" w14:textId="77777777" w:rsidR="00F754F8" w:rsidRDefault="00522279">
      <w:pPr>
        <w:spacing w:after="240" w:line="240" w:lineRule="auto"/>
        <w:jc w:val="both"/>
        <w:rPr>
          <w:noProof/>
        </w:rPr>
      </w:pPr>
      <w:r>
        <w:rPr>
          <w:noProof/>
        </w:rPr>
        <w:t xml:space="preserve">Cadrul de reglementare al UE trebuie să răspundă rapid provocărilor actuale, inclusiv stimulării prosperității și competitivității sau abordării aspectelor sociale, de mediu și geopolitice. Acest lucru necesită o atenție sporită, precum și mai multă agilitate, rigoare, claritate și previzibilitate. </w:t>
      </w:r>
    </w:p>
    <w:p w14:paraId="75C477D8" w14:textId="77777777" w:rsidR="00F754F8" w:rsidRDefault="00522279">
      <w:pPr>
        <w:spacing w:after="240" w:line="240" w:lineRule="auto"/>
        <w:jc w:val="both"/>
        <w:rPr>
          <w:rFonts w:eastAsia="Times New Roman" w:cs="Times New Roman"/>
          <w:noProof/>
        </w:rPr>
      </w:pPr>
      <w:r>
        <w:rPr>
          <w:noProof/>
        </w:rPr>
        <w:t>Sistemul Comisiei pentru o mai bună legiferare – care reglementează evaluările impactului, consultările și evaluările – este recunoscut pe scară largă drept un criteriu de referință internațional pentru calitatea sa ridicată. Prezenta comunicare introduce îmbunătățiri specifice pentru a se asigura că acesta poate răspunde mai eficient unei game mai largi de situații. Aceste modificări vizează creșterea atât a numărului, cât și a relevanței evaluărilor impactului, asigurarea celei mai solide baze de date posibile în situațiile în care acțiunea legislativă este urgentă și raționalizarea succesiunii consultărilor. Această nouă abordare va fi eficace imediat, dar va fi pusă în aplicare treptat până la revizuirea orientărilor și a setului de instrumente.</w:t>
      </w:r>
    </w:p>
    <w:p w14:paraId="0D368A17" w14:textId="77777777" w:rsidR="00F754F8" w:rsidRDefault="00522279">
      <w:pPr>
        <w:keepNext/>
        <w:spacing w:after="240" w:line="240" w:lineRule="auto"/>
        <w:jc w:val="both"/>
        <w:rPr>
          <w:rFonts w:cs="Times New Roman"/>
          <w:b/>
          <w:noProof/>
        </w:rPr>
      </w:pPr>
      <w:r>
        <w:rPr>
          <w:b/>
          <w:noProof/>
        </w:rPr>
        <w:t xml:space="preserve">Evaluări ale impactului mai numeroase și mai bine orientate </w:t>
      </w:r>
    </w:p>
    <w:p w14:paraId="005C4823" w14:textId="77777777" w:rsidR="00F754F8" w:rsidRDefault="00522279">
      <w:pPr>
        <w:spacing w:after="240" w:line="240" w:lineRule="auto"/>
        <w:jc w:val="both"/>
        <w:rPr>
          <w:rFonts w:cs="Times New Roman"/>
          <w:noProof/>
        </w:rPr>
      </w:pPr>
      <w:r>
        <w:rPr>
          <w:noProof/>
        </w:rPr>
        <w:t>În primul an al mandatului său, Comisia a acționat rapid și hotărât pentru a aborda unele dintre cele mai solicitante provocări geopolitice și economice din ultimele decenii. Acțiunile Comisiei au implicat adoptarea de inițiative legislative prin proceduri de urgență, inclusiv mai multe propuneri de simplificare</w:t>
      </w:r>
      <w:r>
        <w:rPr>
          <w:rStyle w:val="FootnoteReference"/>
          <w:rFonts w:cs="Times New Roman"/>
          <w:noProof/>
        </w:rPr>
        <w:footnoteReference w:id="16"/>
      </w:r>
      <w:r>
        <w:rPr>
          <w:noProof/>
        </w:rPr>
        <w:t>. Deși în cazuri de extremă urgență ar putea fi încă necesare derogări de la anumite standarde pentru o mai bună legiferare, modificările descrise în prezenta comunicare vor permite Comisiei să aibă mai multe inițiative însoțite de o evaluare a impactului</w:t>
      </w:r>
      <w:r>
        <w:rPr>
          <w:rStyle w:val="FootnoteReference"/>
          <w:noProof/>
        </w:rPr>
        <w:footnoteReference w:id="17"/>
      </w:r>
      <w:r>
        <w:rPr>
          <w:noProof/>
        </w:rPr>
        <w:t>.</w:t>
      </w:r>
      <w:r>
        <w:rPr>
          <w:rStyle w:val="FootnoteReference"/>
          <w:noProof/>
        </w:rPr>
        <w:t xml:space="preserve"> </w:t>
      </w:r>
    </w:p>
    <w:p w14:paraId="6F480788" w14:textId="77777777" w:rsidR="00F754F8" w:rsidRDefault="00522279">
      <w:pPr>
        <w:spacing w:after="240" w:line="240" w:lineRule="auto"/>
        <w:jc w:val="both"/>
        <w:rPr>
          <w:rFonts w:cs="Times New Roman"/>
          <w:noProof/>
        </w:rPr>
      </w:pPr>
      <w:r>
        <w:rPr>
          <w:noProof/>
        </w:rPr>
        <w:t>Pentru ca acest lucru să fie posibil, va fi necesară o aplicare mai riguroasă și mai structurată a considerațiilor legate de proporționalitate. Evaluările impactului se vor concentra asupra a ceea ce contează cu adevărat, și anume asupra evaluării principalelor efecte economice, sociale și de mediu ale propunerii respective. În plus, o abordare mai adaptată va face distincție între noile inițiative legislative sau revizuirile majore, pe de o parte, și inițiativele mai specifice</w:t>
      </w:r>
      <w:r>
        <w:rPr>
          <w:rStyle w:val="FootnoteReference"/>
          <w:rFonts w:cs="Times New Roman"/>
          <w:noProof/>
        </w:rPr>
        <w:footnoteReference w:id="18"/>
      </w:r>
      <w:r>
        <w:rPr>
          <w:noProof/>
        </w:rPr>
        <w:t>, pe de altă parte. O astfel de abordare va stabili dovezile și analizele necesare în funcție de natura inițiativelor și de efectele preconizate ale acestora, inclusiv de efectele externe potențiale, după caz.</w:t>
      </w:r>
    </w:p>
    <w:p w14:paraId="3955DBAD" w14:textId="77777777" w:rsidR="00F754F8" w:rsidRDefault="00522279">
      <w:pPr>
        <w:spacing w:after="240" w:line="240" w:lineRule="auto"/>
        <w:jc w:val="both"/>
        <w:rPr>
          <w:rFonts w:cs="Times New Roman"/>
          <w:noProof/>
        </w:rPr>
      </w:pPr>
      <w:r>
        <w:rPr>
          <w:noProof/>
        </w:rPr>
        <w:t>Această abordare se va reflecta în modelele revizuite pentru evaluările impactului și evaluările ulterioare. Evaluările vor include elaborarea unei „matrici a principalelor efecte” încă de la început, în vederea unei concentrări mai bune pe efectele care sunt semnificative și relevante pentru fiecare propunere în parte. Astfel, vom fi în măsură să identificăm principalele efecte și aspectele esențiale care trebuie analizate, definind astfel obiectul evaluării impactului și determinând domeniul de aplicare și profunzimea analizei. Luarea în considerare a costurilor și a beneficiilor va rămâne o parte esențială a acestei analize mai concentrate și mai concise, cifrele, datele și statisticile îndeplinind un rol important, atunci când sunt disponibile. În măsura posibilului, Comisia se va strădui să atingă aceste obiective utilizându-și în mod optim resursele, capacitățile și expertiza de pe plan intern.</w:t>
      </w:r>
    </w:p>
    <w:p w14:paraId="2DD95A09" w14:textId="77777777" w:rsidR="00F754F8" w:rsidRDefault="00522279">
      <w:pPr>
        <w:spacing w:after="240" w:line="240" w:lineRule="auto"/>
        <w:jc w:val="both"/>
        <w:rPr>
          <w:rFonts w:cs="Times New Roman"/>
          <w:noProof/>
        </w:rPr>
      </w:pPr>
      <w:r>
        <w:rPr>
          <w:noProof/>
        </w:rPr>
        <w:t>Abordarea mai riguroasă va avea ca rezultat efectuarea controlului calității de către Comitetul de control normativ cu privire la o gamă mai largă de evaluări care sprijină propunerile de politici. Un astfel de control extins, care este susținut pe scară largă de părțile interesate, va lua în considerare, de asemenea, natura și importanța efectelor fiecărei propuneri. Pentru propunerile majore, comitetul va continua să emită avize cu rezerve</w:t>
      </w:r>
      <w:r>
        <w:rPr>
          <w:rStyle w:val="FootnoteReference"/>
          <w:rFonts w:cs="Times New Roman"/>
          <w:noProof/>
        </w:rPr>
        <w:footnoteReference w:id="19"/>
      </w:r>
      <w:r>
        <w:rPr>
          <w:noProof/>
        </w:rPr>
        <w:t>, în timp ce, pentru alte inițiative mai specifice, va emite recomandări de îmbunătățire care vor fi comunicate în mod transparent și de care se va ține seama. Acest lucru va duce la îmbunătățirea calității dovezilor pentru propunerile care nu sunt examinate în prezent de comitet.</w:t>
      </w:r>
    </w:p>
    <w:p w14:paraId="065FCB1D" w14:textId="77777777" w:rsidR="00F754F8" w:rsidRDefault="00522279">
      <w:pPr>
        <w:keepNext/>
        <w:spacing w:after="240" w:line="240" w:lineRule="auto"/>
        <w:jc w:val="both"/>
        <w:rPr>
          <w:rFonts w:cs="Times New Roman"/>
          <w:b/>
          <w:noProof/>
          <w:szCs w:val="24"/>
        </w:rPr>
      </w:pPr>
      <w:r>
        <w:rPr>
          <w:b/>
          <w:noProof/>
        </w:rPr>
        <w:t xml:space="preserve">Cerințe minime pentru căile accelerate </w:t>
      </w:r>
    </w:p>
    <w:p w14:paraId="23FFC1B9" w14:textId="77777777" w:rsidR="00F754F8" w:rsidRDefault="00522279">
      <w:pPr>
        <w:spacing w:after="240" w:line="240" w:lineRule="auto"/>
        <w:jc w:val="both"/>
        <w:rPr>
          <w:rFonts w:cs="Times New Roman"/>
          <w:noProof/>
          <w:szCs w:val="24"/>
        </w:rPr>
      </w:pPr>
      <w:r>
        <w:rPr>
          <w:noProof/>
        </w:rPr>
        <w:t>O situație de urgență apare atunci când este necesară o acțiune rapidă a UE pentru a preveni prejudiciile semnificative, pentru a îndeplini obligațiile legale sau pentru a valorifica o oportunitate decisivă. Ombudsmanul European a emis recomandări</w:t>
      </w:r>
      <w:r>
        <w:rPr>
          <w:rStyle w:val="FootnoteReference"/>
          <w:rFonts w:cs="Times New Roman"/>
          <w:noProof/>
        </w:rPr>
        <w:footnoteReference w:id="20"/>
      </w:r>
      <w:r>
        <w:rPr>
          <w:noProof/>
        </w:rPr>
        <w:t xml:space="preserve"> cu privire la modul în care Comisia sprijină propunerile urgente cu dovezi. Utilizarea procedurilor de urgență a fost, de asemenea, menționată de respondenții la cererea de contribuții. Deși respondenții recunosc că situațiile de urgență reale pot necesita proceduri accelerate, ar trebui să aibă loc în continuare consultarea și evaluarea, în măsura posibilului. </w:t>
      </w:r>
    </w:p>
    <w:p w14:paraId="25B793CD" w14:textId="77777777" w:rsidR="00F754F8" w:rsidRDefault="00522279">
      <w:pPr>
        <w:spacing w:after="240" w:line="240" w:lineRule="auto"/>
        <w:jc w:val="both"/>
        <w:rPr>
          <w:rFonts w:cs="Times New Roman"/>
          <w:noProof/>
        </w:rPr>
      </w:pPr>
      <w:r>
        <w:rPr>
          <w:noProof/>
        </w:rPr>
        <w:t xml:space="preserve">Ca răspuns la recomandările Ombudsmanului European și la preocupările părților interesate, Comisia va evalua cerința de rapiditate a fiecărei situații și posibilele consecințe negative ale acțiunilor întârziate pentru a distinge caracterul urgent de celeritatea de rutină. În acest sens, Comisia va lua în considerare parametri precum: </w:t>
      </w:r>
    </w:p>
    <w:p w14:paraId="0EADDECA" w14:textId="77777777" w:rsidR="00F754F8" w:rsidRDefault="00522279">
      <w:pPr>
        <w:pStyle w:val="ListParagraph"/>
        <w:numPr>
          <w:ilvl w:val="0"/>
          <w:numId w:val="22"/>
        </w:numPr>
        <w:spacing w:after="240" w:line="240" w:lineRule="auto"/>
        <w:jc w:val="both"/>
        <w:rPr>
          <w:rFonts w:cs="Times New Roman"/>
          <w:noProof/>
        </w:rPr>
      </w:pPr>
      <w:r>
        <w:rPr>
          <w:noProof/>
        </w:rPr>
        <w:t xml:space="preserve">existența sau anticiparea șocurilor sau a crizelor, inclusiv în relațiile externe ale Uniunii; </w:t>
      </w:r>
    </w:p>
    <w:p w14:paraId="3F48B184" w14:textId="77777777" w:rsidR="00F754F8" w:rsidRDefault="00522279">
      <w:pPr>
        <w:pStyle w:val="ListParagraph"/>
        <w:numPr>
          <w:ilvl w:val="0"/>
          <w:numId w:val="22"/>
        </w:numPr>
        <w:spacing w:after="240" w:line="240" w:lineRule="auto"/>
        <w:jc w:val="both"/>
        <w:rPr>
          <w:rFonts w:cs="Times New Roman"/>
          <w:noProof/>
        </w:rPr>
      </w:pPr>
      <w:r>
        <w:rPr>
          <w:noProof/>
        </w:rPr>
        <w:t xml:space="preserve">consecințele potențiale în absența unei acțiuni imediate; </w:t>
      </w:r>
    </w:p>
    <w:p w14:paraId="62CEEF64" w14:textId="77777777" w:rsidR="00F754F8" w:rsidRDefault="00522279">
      <w:pPr>
        <w:pStyle w:val="ListParagraph"/>
        <w:numPr>
          <w:ilvl w:val="0"/>
          <w:numId w:val="22"/>
        </w:numPr>
        <w:spacing w:after="240" w:line="240" w:lineRule="auto"/>
        <w:jc w:val="both"/>
        <w:rPr>
          <w:rFonts w:cs="Times New Roman"/>
          <w:noProof/>
        </w:rPr>
      </w:pPr>
      <w:r>
        <w:rPr>
          <w:noProof/>
        </w:rPr>
        <w:t>termenele legale și</w:t>
      </w:r>
    </w:p>
    <w:p w14:paraId="37C2B262" w14:textId="77777777" w:rsidR="00F754F8" w:rsidRDefault="00522279">
      <w:pPr>
        <w:pStyle w:val="ListParagraph"/>
        <w:numPr>
          <w:ilvl w:val="0"/>
          <w:numId w:val="22"/>
        </w:numPr>
        <w:spacing w:after="240" w:line="240" w:lineRule="auto"/>
        <w:jc w:val="both"/>
        <w:rPr>
          <w:rFonts w:cs="Times New Roman"/>
          <w:noProof/>
        </w:rPr>
      </w:pPr>
      <w:r>
        <w:rPr>
          <w:noProof/>
        </w:rPr>
        <w:t>contextul politic care impune o acțiune urgentă.</w:t>
      </w:r>
    </w:p>
    <w:p w14:paraId="43423863" w14:textId="77777777" w:rsidR="00F754F8" w:rsidRDefault="00522279">
      <w:pPr>
        <w:spacing w:after="240" w:line="240" w:lineRule="auto"/>
        <w:jc w:val="both"/>
        <w:rPr>
          <w:rFonts w:cs="Times New Roman"/>
          <w:noProof/>
        </w:rPr>
      </w:pPr>
      <w:r>
        <w:rPr>
          <w:noProof/>
        </w:rPr>
        <w:t xml:space="preserve">Chiar și în cazuri de urgență, Comisia va depune eforturi pentru a obține cea mai bună bază de date fundamentate științific posibilă. Atunci când este fezabil, Comisia va elabora o evaluare a impactului pentru inițiativele urgente cu impact semnificativ preconizat. Această evaluare va face apoi obiectul unei revizuiri de către Comitetul de control normativ. Comitetul va ține seama de termenele necesare și va emite recomandări care să stea la baza procesului decizional, asigurându-se că propunerea beneficiază de controlul său, recunoscând în același timp constrângerile impuse de necesitatea de a acționa rapid. </w:t>
      </w:r>
    </w:p>
    <w:p w14:paraId="5E79FF30" w14:textId="77777777" w:rsidR="00F754F8" w:rsidRDefault="00522279">
      <w:pPr>
        <w:spacing w:after="240" w:line="240" w:lineRule="auto"/>
        <w:jc w:val="both"/>
        <w:rPr>
          <w:rFonts w:cs="Times New Roman"/>
          <w:noProof/>
        </w:rPr>
      </w:pPr>
      <w:r>
        <w:rPr>
          <w:noProof/>
        </w:rPr>
        <w:t>Pentru a menține o implicare semnificativă a părților interesate în cadrul procedurii accelerate, Comisia va consulta, în principiu, publicul sub forma unei cereri de contribuții. Acest lucru va oferi întreprinderilor, cetățenilor, societății civile, autorităților publice și altor părți interesate posibilitatea de a contribui la elaborarea inițiativei. De asemenea, pot fi efectuate consultări specifice cu diverse părți interesate, care să includă, eventual, dialoguri privind punerea în aplicare sau verificări ale situației reale, pentru a colecta informații practice și pentru a se asigura că măsurile propuse sunt eficace, eficiente și pot fi puse în aplicare.</w:t>
      </w:r>
    </w:p>
    <w:p w14:paraId="093FAA62" w14:textId="77777777" w:rsidR="00F754F8" w:rsidRDefault="00522279">
      <w:pPr>
        <w:spacing w:after="240" w:line="240" w:lineRule="auto"/>
        <w:jc w:val="both"/>
        <w:rPr>
          <w:rFonts w:eastAsia="Times New Roman" w:cs="Times New Roman"/>
          <w:noProof/>
          <w:szCs w:val="24"/>
        </w:rPr>
      </w:pPr>
      <w:r>
        <w:rPr>
          <w:noProof/>
        </w:rPr>
        <w:t>În circumstanțe excepționale, atunci când necesitatea unei acțiuni urgente este atât de acută încât propunerile trebuie adoptate într-un interval de timp extrem de comprimat, comisarul responsabil pentru o mai bună legiferare poate acorda derogări de la standardele procedurale obișnuite indicate mai sus. Acestea vor fi luate în considerare numai în cazul în care situația deosebit de urgentă este demonstrată în mod clar.</w:t>
      </w:r>
    </w:p>
    <w:p w14:paraId="6A783230" w14:textId="77777777" w:rsidR="00F754F8" w:rsidRDefault="00522279">
      <w:pPr>
        <w:spacing w:after="240" w:line="240" w:lineRule="auto"/>
        <w:jc w:val="both"/>
        <w:rPr>
          <w:rFonts w:eastAsia="Times New Roman" w:cs="Times New Roman"/>
          <w:noProof/>
          <w:szCs w:val="24"/>
        </w:rPr>
      </w:pPr>
      <w:r>
        <w:rPr>
          <w:noProof/>
        </w:rPr>
        <w:t xml:space="preserve">În astfel de circumstanțe excepționale, Comisia se va asigura că se elaborează un document de lucru analitic al serviciilor Comisiei care să însoțească propunerea sau că acesta este publicat cât mai curând posibil, în termen de cel mult trei luni de la adoptarea propunerii. Acest document va include cel puțin: </w:t>
      </w:r>
    </w:p>
    <w:p w14:paraId="202A4B4F" w14:textId="77777777" w:rsidR="00F754F8" w:rsidRDefault="00522279">
      <w:pPr>
        <w:pStyle w:val="ListParagraph"/>
        <w:numPr>
          <w:ilvl w:val="0"/>
          <w:numId w:val="23"/>
        </w:numPr>
        <w:spacing w:after="240" w:line="240" w:lineRule="auto"/>
        <w:jc w:val="both"/>
        <w:rPr>
          <w:rFonts w:eastAsia="Times New Roman" w:cs="Times New Roman"/>
          <w:noProof/>
          <w:szCs w:val="24"/>
        </w:rPr>
      </w:pPr>
      <w:r>
        <w:rPr>
          <w:noProof/>
        </w:rPr>
        <w:t xml:space="preserve">definirea problemei; </w:t>
      </w:r>
    </w:p>
    <w:p w14:paraId="1197D072" w14:textId="77777777" w:rsidR="00F754F8" w:rsidRDefault="00522279">
      <w:pPr>
        <w:pStyle w:val="ListParagraph"/>
        <w:numPr>
          <w:ilvl w:val="0"/>
          <w:numId w:val="23"/>
        </w:numPr>
        <w:spacing w:after="240" w:line="240" w:lineRule="auto"/>
        <w:jc w:val="both"/>
        <w:rPr>
          <w:rFonts w:eastAsia="Times New Roman" w:cs="Times New Roman"/>
          <w:noProof/>
          <w:szCs w:val="24"/>
        </w:rPr>
      </w:pPr>
      <w:r>
        <w:rPr>
          <w:noProof/>
        </w:rPr>
        <w:t xml:space="preserve">abordarea identificată pentru soluționarea problemei; </w:t>
      </w:r>
    </w:p>
    <w:p w14:paraId="0824687B" w14:textId="77777777" w:rsidR="00F754F8" w:rsidRDefault="00522279">
      <w:pPr>
        <w:pStyle w:val="ListParagraph"/>
        <w:numPr>
          <w:ilvl w:val="0"/>
          <w:numId w:val="23"/>
        </w:numPr>
        <w:spacing w:after="240" w:line="240" w:lineRule="auto"/>
        <w:jc w:val="both"/>
        <w:rPr>
          <w:rFonts w:eastAsia="Times New Roman" w:cs="Times New Roman"/>
          <w:noProof/>
          <w:szCs w:val="24"/>
        </w:rPr>
      </w:pPr>
      <w:r>
        <w:rPr>
          <w:noProof/>
        </w:rPr>
        <w:t>o evaluare a principalelor efecte ale propunerii, inclusiv o analiză cost-beneficiu și o evaluare a coerenței climatice.</w:t>
      </w:r>
    </w:p>
    <w:p w14:paraId="77C8D999" w14:textId="77777777" w:rsidR="00F754F8" w:rsidRDefault="00522279">
      <w:pPr>
        <w:spacing w:after="240" w:line="240" w:lineRule="auto"/>
        <w:jc w:val="both"/>
        <w:rPr>
          <w:rFonts w:cs="Times New Roman"/>
          <w:noProof/>
          <w:szCs w:val="24"/>
        </w:rPr>
      </w:pPr>
      <w:r>
        <w:rPr>
          <w:noProof/>
        </w:rPr>
        <w:t>Evaluarea caracterului urgent și toate derogările vor fi documentate în mod corespunzător, înregistrate în mod transparent și raportate în expunerile de motive ale propunerilor. Această abordare asigură un echilibru atent între necesitatea unei acțiuni urgente și imperativul de a se asigura că standardele pentru o mai bună legiferare sunt cât mai ridicate posibil în toate circumstanțele.</w:t>
      </w:r>
    </w:p>
    <w:p w14:paraId="6F50B525" w14:textId="77777777" w:rsidR="00F754F8" w:rsidRDefault="00522279">
      <w:pPr>
        <w:keepNext/>
        <w:spacing w:after="240" w:line="240" w:lineRule="auto"/>
        <w:jc w:val="both"/>
        <w:rPr>
          <w:rFonts w:cs="Times New Roman"/>
          <w:b/>
          <w:bCs/>
          <w:noProof/>
          <w:szCs w:val="24"/>
        </w:rPr>
      </w:pPr>
      <w:r>
        <w:rPr>
          <w:b/>
          <w:noProof/>
        </w:rPr>
        <w:t>Un sistem de consultare mai inteligent și mai flexibil</w:t>
      </w:r>
    </w:p>
    <w:p w14:paraId="0642424F" w14:textId="77777777" w:rsidR="00F754F8" w:rsidRDefault="00522279">
      <w:pPr>
        <w:spacing w:after="240" w:line="240" w:lineRule="auto"/>
        <w:jc w:val="both"/>
        <w:rPr>
          <w:rFonts w:cs="Times New Roman"/>
          <w:noProof/>
        </w:rPr>
      </w:pPr>
      <w:r>
        <w:rPr>
          <w:noProof/>
        </w:rPr>
        <w:t>Sistemul de consultare al Comisiei este cuprinzător și apreciat pe scară largă – acesta obține în mod sistematic cel mai mare punctaj în clasamentele OCDE</w:t>
      </w:r>
      <w:r>
        <w:rPr>
          <w:rStyle w:val="FootnoteReference"/>
          <w:rFonts w:cs="Times New Roman"/>
          <w:noProof/>
        </w:rPr>
        <w:footnoteReference w:id="21"/>
      </w:r>
      <w:r>
        <w:rPr>
          <w:noProof/>
        </w:rPr>
        <w:t>. Gama de instrumente de consultare s-a extins recent prin adăugarea dialogurilor privind punerea în aplicare sau a verificărilor situației reale</w:t>
      </w:r>
      <w:r>
        <w:rPr>
          <w:rStyle w:val="FootnoteReference"/>
          <w:rFonts w:cs="Times New Roman"/>
          <w:noProof/>
        </w:rPr>
        <w:footnoteReference w:id="22"/>
      </w:r>
      <w:r>
        <w:rPr>
          <w:noProof/>
        </w:rPr>
        <w:t xml:space="preserve">. Deși sistemul de consultare al Comisiei este foarte performant, părțile interesate și-au exprimat îngrijorarea cu privire la durata consultărilor, la suprapunerea consultărilor, la solicitările repetate de informații și la feedbackul insuficient. </w:t>
      </w:r>
    </w:p>
    <w:p w14:paraId="36F67989" w14:textId="77777777" w:rsidR="00F754F8" w:rsidRDefault="00522279">
      <w:pPr>
        <w:spacing w:after="240" w:line="240" w:lineRule="auto"/>
        <w:jc w:val="both"/>
        <w:rPr>
          <w:rFonts w:cs="Times New Roman"/>
          <w:noProof/>
        </w:rPr>
      </w:pPr>
      <w:r>
        <w:rPr>
          <w:noProof/>
        </w:rPr>
        <w:t xml:space="preserve">Pentru a răspunde acestor preocupări, Comisia va integra mai bine diferitele instrumente de consultare, evitând suprapunerile și continuând să asigure o accesibilitate maximă pentru toți cetățenii și toate părțile interesate. Deși fiecare instrument de consultare servește unui anumit scop și se poate adresa unui public oarecum diferit, gama de instrumente aflate la dispoziția Comisiei nu ar trebui să conducă la cereri repetate de contribuții identice din partea acelorași părți interesate. </w:t>
      </w:r>
    </w:p>
    <w:p w14:paraId="28A15663" w14:textId="77777777" w:rsidR="00F754F8" w:rsidRDefault="00522279">
      <w:pPr>
        <w:spacing w:after="240" w:line="240" w:lineRule="auto"/>
        <w:jc w:val="both"/>
        <w:rPr>
          <w:rFonts w:cs="Times New Roman"/>
          <w:noProof/>
        </w:rPr>
      </w:pPr>
      <w:r>
        <w:rPr>
          <w:noProof/>
        </w:rPr>
        <w:t>Vom face tot posibilul să consultăm publicul o singură dată cu privire la aceeași inițiativă, fie printr-o cerere de contribuții, fie prin utilizarea unui chestionar, completat prin consultări specifice, după caz, solicitând opinii și contribuții diverse și urmărind participarea unui set variat de părți interesate relevante. Un document simplificat privind cererea de contribuții va concentra informațiile solicitate asupra aspectelor-cheie, astfel încât părțile interesate să poată furniza mai ușor contribuții semnificative.</w:t>
      </w:r>
    </w:p>
    <w:p w14:paraId="507BD0BB" w14:textId="77777777" w:rsidR="00F754F8" w:rsidRDefault="00522279">
      <w:pPr>
        <w:spacing w:after="240" w:line="240" w:lineRule="auto"/>
        <w:jc w:val="both"/>
        <w:rPr>
          <w:rFonts w:cs="Times New Roman"/>
          <w:noProof/>
        </w:rPr>
      </w:pPr>
      <w:r>
        <w:rPr>
          <w:noProof/>
        </w:rPr>
        <w:t xml:space="preserve">Calendarul general al consultărilor va fi, de asemenea, optimizat. Astfel cum au solicitat multe părți interesate, Comisia va evita, ori de câte ori este posibil, includerea principalelor perioade de vacanță în termenul total de consultare. Atunci când se efectuează alte consultări publice și/sau specifice pentru aceeași inițiativă, termenul standard de </w:t>
      </w:r>
      <w:r w:rsidRPr="00DD1E6E">
        <w:rPr>
          <w:noProof/>
        </w:rPr>
        <w:t>12</w:t>
      </w:r>
      <w:r>
        <w:rPr>
          <w:noProof/>
        </w:rPr>
        <w:t xml:space="preserve"> săptămâni pentru chestionarele de consultare publică poate fi redus cu până la șase săptămâni.</w:t>
      </w:r>
    </w:p>
    <w:p w14:paraId="39037BB0" w14:textId="77777777" w:rsidR="00F754F8" w:rsidRDefault="00522279">
      <w:pPr>
        <w:spacing w:after="240" w:line="240" w:lineRule="auto"/>
        <w:jc w:val="both"/>
        <w:rPr>
          <w:rFonts w:eastAsiaTheme="minorEastAsia" w:cs="Times New Roman"/>
          <w:b/>
          <w:noProof/>
        </w:rPr>
      </w:pPr>
      <w:r>
        <w:rPr>
          <w:noProof/>
        </w:rPr>
        <w:t>De asemenea, Comisia va informa direct părțile interesate atunci când rezumatul răspunsurilor la consultări va fi disponibil pe portalul „Exprimați-vă părerea”. Un astfel de mecanism de notificare automată va spori transparența și va permite participanților accesul cu ușurință la rezultatele consultării.</w:t>
      </w:r>
      <w:r>
        <w:rPr>
          <w:b/>
          <w:noProof/>
        </w:rPr>
        <w:t xml:space="preserve"> </w:t>
      </w:r>
    </w:p>
    <w:p w14:paraId="55ACDC0A" w14:textId="77777777" w:rsidR="00F754F8" w:rsidRDefault="00522279">
      <w:pPr>
        <w:spacing w:after="240" w:line="240" w:lineRule="auto"/>
        <w:jc w:val="both"/>
        <w:rPr>
          <w:rFonts w:eastAsia="Times New Roman" w:cs="Times New Roman"/>
          <w:noProof/>
        </w:rPr>
      </w:pPr>
      <w:r>
        <w:rPr>
          <w:noProof/>
        </w:rPr>
        <w:t>În plus, vom implica mai mult comitetele consultative și rețelele acestora, cum ar fi Rețeaua de centre regionale, în activitățile de consultare, facilitându-le participarea și oferindu-le feedback cu privire la contribuțiile proprii.</w:t>
      </w:r>
    </w:p>
    <w:p w14:paraId="638241F3" w14:textId="77777777" w:rsidR="00F754F8" w:rsidRDefault="00522279">
      <w:pPr>
        <w:spacing w:after="240" w:line="240" w:lineRule="auto"/>
        <w:jc w:val="both"/>
        <w:rPr>
          <w:rFonts w:eastAsiaTheme="minorEastAsia" w:cs="Times New Roman"/>
          <w:b/>
          <w:bCs/>
          <w:noProof/>
          <w:szCs w:val="24"/>
        </w:rPr>
      </w:pPr>
      <w:r>
        <w:rPr>
          <w:b/>
          <w:noProof/>
        </w:rPr>
        <w:t>Evaluarea modificărilor semnificative</w:t>
      </w:r>
    </w:p>
    <w:p w14:paraId="1728EAB6" w14:textId="77777777" w:rsidR="00F754F8" w:rsidRDefault="00522279">
      <w:pPr>
        <w:spacing w:after="240" w:line="240" w:lineRule="auto"/>
        <w:jc w:val="both"/>
        <w:rPr>
          <w:noProof/>
        </w:rPr>
      </w:pPr>
      <w:r>
        <w:rPr>
          <w:noProof/>
        </w:rPr>
        <w:t>În cursul procesului legislativ, Parlamentul European și Consiliul pot aduce modificări substanțiale propunerilor inițiale ale Comisiei. În practică, instituțiile care propun aceste modificări nu evaluează impactul lor, în pofida angajamentului lor de a face acest lucru „atunci când consideră că este adecvat și necesar pentru procesul legislativ”</w:t>
      </w:r>
      <w:r>
        <w:rPr>
          <w:rStyle w:val="FootnoteReference"/>
          <w:noProof/>
        </w:rPr>
        <w:footnoteReference w:id="23"/>
      </w:r>
      <w:r>
        <w:rPr>
          <w:noProof/>
        </w:rPr>
        <w:t>. Fără astfel de evaluări, analiza efectelor preconizate ale unei legi devine incompletă și potențial înșelătoare, ceea ce ar putea duce la sarcini mai mari sau la dificultăți neprevăzute în punerea în aplicare a legislației.</w:t>
      </w:r>
    </w:p>
    <w:p w14:paraId="17C0FD05" w14:textId="77777777" w:rsidR="00F754F8" w:rsidRDefault="00522279">
      <w:pPr>
        <w:spacing w:after="240" w:line="240" w:lineRule="auto"/>
        <w:jc w:val="both"/>
        <w:rPr>
          <w:rFonts w:eastAsiaTheme="minorEastAsia" w:cs="Times New Roman"/>
          <w:noProof/>
        </w:rPr>
      </w:pPr>
      <w:r>
        <w:rPr>
          <w:noProof/>
        </w:rPr>
        <w:t>Pentru a îmbunătăți această situație, Comisia propune o abordare coerentă, pragmatică și care pune accent pe colaborare, bazată pe trei direcții de lucru comune între instituții.</w:t>
      </w:r>
    </w:p>
    <w:p w14:paraId="61B7656F" w14:textId="77777777" w:rsidR="00F754F8" w:rsidRDefault="00522279">
      <w:pPr>
        <w:spacing w:after="240" w:line="240" w:lineRule="auto"/>
        <w:jc w:val="both"/>
        <w:rPr>
          <w:rFonts w:eastAsiaTheme="minorEastAsia" w:cs="Times New Roman"/>
          <w:noProof/>
        </w:rPr>
      </w:pPr>
      <w:r>
        <w:rPr>
          <w:noProof/>
        </w:rPr>
        <w:t>În primul rând, instituțiile ar trebui să depună eforturi pentru a ajunge la o înțelegere comună a ceea ce constituie o modificare substanțială. Printre exemplele de modificare substanțială s-ar putea număra extinderea domeniului de aplicare al unei propuneri pentru a include microîntreprinderile sau IMM-urile sau măsurile care ar putea genera costuri suplimentare de asigurare a conformității, noi cerințe de raportare pentru întreprinderi sau administrații sau cheltuieli publice suplimentare. Un set comun de parametri ar permite Parlamentului European și Consiliului să identifice și să își evalueze modificările substanțiale.</w:t>
      </w:r>
    </w:p>
    <w:p w14:paraId="53BB2B24" w14:textId="77777777" w:rsidR="00F754F8" w:rsidRDefault="00522279">
      <w:pPr>
        <w:spacing w:after="240" w:line="240" w:lineRule="auto"/>
        <w:jc w:val="both"/>
        <w:rPr>
          <w:rFonts w:eastAsiaTheme="minorEastAsia" w:cs="Times New Roman"/>
          <w:noProof/>
        </w:rPr>
      </w:pPr>
      <w:r>
        <w:rPr>
          <w:noProof/>
        </w:rPr>
        <w:t>În al doilea rând, după identificarea unei modificări substanțiale, instituția care o prezintă ar furniza o evaluare a impactului și ar cuantifica costurile sau economiile utilizând o metodă simplă de calcul al costurilor. În ceea ce privește costurile sau economiile administrative, „modelul costului standard” ar facilita calcularea și raportarea acestor costuri și economii.</w:t>
      </w:r>
    </w:p>
    <w:p w14:paraId="4E72D96C" w14:textId="77777777" w:rsidR="00F754F8" w:rsidRDefault="00522279">
      <w:pPr>
        <w:spacing w:after="240" w:line="240" w:lineRule="auto"/>
        <w:jc w:val="both"/>
        <w:rPr>
          <w:rFonts w:eastAsiaTheme="minorEastAsia" w:cs="Times New Roman"/>
          <w:noProof/>
        </w:rPr>
      </w:pPr>
      <w:r>
        <w:rPr>
          <w:noProof/>
        </w:rPr>
        <w:t>În cele din urmă, impactul unor astfel de modificări substanțiale ar putea fi prezentat într-un model concis. Aceasta ar include elemente precum o descriere generală, costurile și beneficiile suplimentare preconizate, părțile interesate afectate, impactul asupra competitivității și asupra inovării.</w:t>
      </w:r>
    </w:p>
    <w:tbl>
      <w:tblPr>
        <w:tblStyle w:val="TableGrid"/>
        <w:tblW w:w="8921" w:type="dxa"/>
        <w:tblLayout w:type="fixed"/>
        <w:tblLook w:val="04A0" w:firstRow="1" w:lastRow="0" w:firstColumn="1" w:lastColumn="0" w:noHBand="0" w:noVBand="1"/>
      </w:tblPr>
      <w:tblGrid>
        <w:gridCol w:w="8921"/>
      </w:tblGrid>
      <w:tr w:rsidR="00F754F8" w14:paraId="5A269847" w14:textId="77777777">
        <w:trPr>
          <w:trHeight w:val="43"/>
        </w:trPr>
        <w:tc>
          <w:tcPr>
            <w:tcW w:w="892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70BD9CE" w14:textId="77777777" w:rsidR="00F754F8" w:rsidRDefault="00522279">
            <w:pPr>
              <w:spacing w:before="120" w:after="240"/>
              <w:jc w:val="both"/>
              <w:rPr>
                <w:rFonts w:eastAsia="Calibri" w:cs="Times New Roman"/>
                <w:noProof/>
                <w:szCs w:val="24"/>
                <w:u w:val="single"/>
              </w:rPr>
            </w:pPr>
            <w:r>
              <w:rPr>
                <w:b/>
                <w:noProof/>
                <w:u w:val="single"/>
              </w:rPr>
              <w:t>Acțiuni-cheie</w:t>
            </w:r>
          </w:p>
          <w:p w14:paraId="0CAF77F3" w14:textId="77777777" w:rsidR="00F754F8" w:rsidRDefault="00522279">
            <w:pPr>
              <w:pStyle w:val="ListParagraph"/>
              <w:numPr>
                <w:ilvl w:val="0"/>
                <w:numId w:val="4"/>
              </w:numPr>
              <w:spacing w:after="240"/>
              <w:ind w:left="714" w:hanging="357"/>
              <w:contextualSpacing w:val="0"/>
              <w:jc w:val="both"/>
              <w:rPr>
                <w:rFonts w:eastAsia="Calibri" w:cs="Times New Roman"/>
                <w:bCs/>
                <w:noProof/>
                <w:szCs w:val="24"/>
              </w:rPr>
            </w:pPr>
            <w:r>
              <w:rPr>
                <w:noProof/>
              </w:rPr>
              <w:t xml:space="preserve">O </w:t>
            </w:r>
            <w:r>
              <w:rPr>
                <w:b/>
                <w:noProof/>
              </w:rPr>
              <w:t>gamă mai largă de inițiative</w:t>
            </w:r>
            <w:r>
              <w:rPr>
                <w:noProof/>
              </w:rPr>
              <w:t xml:space="preserve"> cu efecte semnificative, însoțite de o </w:t>
            </w:r>
            <w:r>
              <w:rPr>
                <w:b/>
                <w:noProof/>
              </w:rPr>
              <w:t>evaluare a impactului</w:t>
            </w:r>
            <w:r>
              <w:rPr>
                <w:noProof/>
              </w:rPr>
              <w:t xml:space="preserve"> și examinate de </w:t>
            </w:r>
            <w:r>
              <w:rPr>
                <w:b/>
                <w:noProof/>
              </w:rPr>
              <w:t>Comitetul de control normativ</w:t>
            </w:r>
            <w:r>
              <w:rPr>
                <w:noProof/>
              </w:rPr>
              <w:t>.</w:t>
            </w:r>
          </w:p>
          <w:p w14:paraId="42995D06" w14:textId="77777777" w:rsidR="00F754F8" w:rsidRDefault="00522279">
            <w:pPr>
              <w:pStyle w:val="ListParagraph"/>
              <w:numPr>
                <w:ilvl w:val="0"/>
                <w:numId w:val="4"/>
              </w:numPr>
              <w:spacing w:after="240"/>
              <w:ind w:left="714" w:hanging="357"/>
              <w:contextualSpacing w:val="0"/>
              <w:jc w:val="both"/>
              <w:rPr>
                <w:rFonts w:eastAsia="Calibri" w:cs="Times New Roman"/>
                <w:bCs/>
                <w:noProof/>
                <w:szCs w:val="24"/>
              </w:rPr>
            </w:pPr>
            <w:r>
              <w:rPr>
                <w:b/>
                <w:noProof/>
              </w:rPr>
              <w:t>Evaluări ale impactului</w:t>
            </w:r>
            <w:r>
              <w:rPr>
                <w:noProof/>
              </w:rPr>
              <w:t xml:space="preserve"> mai bine </w:t>
            </w:r>
            <w:r>
              <w:rPr>
                <w:b/>
                <w:noProof/>
              </w:rPr>
              <w:t>orientate</w:t>
            </w:r>
            <w:r>
              <w:rPr>
                <w:noProof/>
              </w:rPr>
              <w:t xml:space="preserve">, bazate pe o </w:t>
            </w:r>
            <w:r>
              <w:rPr>
                <w:b/>
                <w:noProof/>
              </w:rPr>
              <w:t>matrice</w:t>
            </w:r>
            <w:r>
              <w:rPr>
                <w:noProof/>
              </w:rPr>
              <w:t xml:space="preserve"> inițială </w:t>
            </w:r>
            <w:r>
              <w:rPr>
                <w:b/>
                <w:noProof/>
              </w:rPr>
              <w:t>a principalelor efecte</w:t>
            </w:r>
            <w:r>
              <w:rPr>
                <w:noProof/>
              </w:rPr>
              <w:t xml:space="preserve"> și pe o abordare mai </w:t>
            </w:r>
            <w:r>
              <w:rPr>
                <w:b/>
                <w:noProof/>
              </w:rPr>
              <w:t>proporțională</w:t>
            </w:r>
            <w:r>
              <w:rPr>
                <w:noProof/>
              </w:rPr>
              <w:t>.</w:t>
            </w:r>
          </w:p>
          <w:p w14:paraId="10928E6B" w14:textId="77777777" w:rsidR="00F754F8" w:rsidRDefault="00522279">
            <w:pPr>
              <w:pStyle w:val="ListParagraph"/>
              <w:numPr>
                <w:ilvl w:val="0"/>
                <w:numId w:val="4"/>
              </w:numPr>
              <w:spacing w:after="240"/>
              <w:ind w:left="714" w:hanging="357"/>
              <w:contextualSpacing w:val="0"/>
              <w:jc w:val="both"/>
              <w:rPr>
                <w:rFonts w:eastAsia="Calibri" w:cs="Times New Roman"/>
                <w:noProof/>
              </w:rPr>
            </w:pPr>
            <w:r>
              <w:rPr>
                <w:b/>
                <w:noProof/>
              </w:rPr>
              <w:t>Cerințe minime</w:t>
            </w:r>
            <w:r>
              <w:rPr>
                <w:noProof/>
              </w:rPr>
              <w:t xml:space="preserve"> pentru </w:t>
            </w:r>
            <w:r>
              <w:rPr>
                <w:b/>
                <w:noProof/>
              </w:rPr>
              <w:t>inițiativele urgente</w:t>
            </w:r>
            <w:r>
              <w:rPr>
                <w:noProof/>
              </w:rPr>
              <w:t xml:space="preserve"> în cadrul </w:t>
            </w:r>
            <w:r>
              <w:rPr>
                <w:b/>
                <w:noProof/>
              </w:rPr>
              <w:t>căilor accelerate</w:t>
            </w:r>
            <w:r>
              <w:rPr>
                <w:noProof/>
              </w:rPr>
              <w:t>.</w:t>
            </w:r>
          </w:p>
          <w:p w14:paraId="616E4D2D" w14:textId="77777777" w:rsidR="00F754F8" w:rsidRDefault="00522279">
            <w:pPr>
              <w:pStyle w:val="ListParagraph"/>
              <w:numPr>
                <w:ilvl w:val="0"/>
                <w:numId w:val="4"/>
              </w:numPr>
              <w:spacing w:after="240"/>
              <w:ind w:left="714" w:hanging="357"/>
              <w:contextualSpacing w:val="0"/>
              <w:jc w:val="both"/>
              <w:rPr>
                <w:rFonts w:eastAsia="Calibri" w:cs="Times New Roman"/>
                <w:noProof/>
              </w:rPr>
            </w:pPr>
            <w:r>
              <w:rPr>
                <w:noProof/>
              </w:rPr>
              <w:t xml:space="preserve">O </w:t>
            </w:r>
            <w:r>
              <w:rPr>
                <w:b/>
                <w:noProof/>
              </w:rPr>
              <w:t>cerere de contribuții</w:t>
            </w:r>
            <w:r>
              <w:rPr>
                <w:noProof/>
              </w:rPr>
              <w:t xml:space="preserve"> simplificată, care să se concentreze asupra informațiilor-cheie pentru părțile interesate.</w:t>
            </w:r>
          </w:p>
          <w:p w14:paraId="5F939AED" w14:textId="77777777" w:rsidR="00F754F8" w:rsidRDefault="00522279">
            <w:pPr>
              <w:pStyle w:val="ListParagraph"/>
              <w:numPr>
                <w:ilvl w:val="0"/>
                <w:numId w:val="4"/>
              </w:numPr>
              <w:spacing w:after="240"/>
              <w:ind w:left="714" w:hanging="357"/>
              <w:contextualSpacing w:val="0"/>
              <w:jc w:val="both"/>
              <w:rPr>
                <w:rFonts w:eastAsia="Calibri" w:cs="Times New Roman"/>
                <w:noProof/>
                <w:szCs w:val="24"/>
              </w:rPr>
            </w:pPr>
            <w:r>
              <w:rPr>
                <w:b/>
                <w:noProof/>
              </w:rPr>
              <w:t>Termene de consultare</w:t>
            </w:r>
            <w:r>
              <w:rPr>
                <w:noProof/>
              </w:rPr>
              <w:t xml:space="preserve"> optimizate și mai flexibile, care să țină seama de </w:t>
            </w:r>
            <w:r>
              <w:rPr>
                <w:b/>
                <w:noProof/>
              </w:rPr>
              <w:t>perioadele de vacanță</w:t>
            </w:r>
            <w:r>
              <w:rPr>
                <w:noProof/>
              </w:rPr>
              <w:t>.</w:t>
            </w:r>
          </w:p>
          <w:p w14:paraId="3CAB5F4C" w14:textId="77777777" w:rsidR="00F754F8" w:rsidRDefault="00522279">
            <w:pPr>
              <w:pStyle w:val="ListParagraph"/>
              <w:numPr>
                <w:ilvl w:val="0"/>
                <w:numId w:val="4"/>
              </w:numPr>
              <w:spacing w:after="240"/>
              <w:ind w:left="714" w:hanging="357"/>
              <w:contextualSpacing w:val="0"/>
              <w:jc w:val="both"/>
              <w:rPr>
                <w:rFonts w:eastAsia="Calibri" w:cs="Times New Roman"/>
                <w:noProof/>
                <w:szCs w:val="24"/>
              </w:rPr>
            </w:pPr>
            <w:r>
              <w:rPr>
                <w:noProof/>
              </w:rPr>
              <w:t xml:space="preserve">Implementarea mai </w:t>
            </w:r>
            <w:r>
              <w:rPr>
                <w:b/>
                <w:noProof/>
              </w:rPr>
              <w:t>integrată</w:t>
            </w:r>
            <w:r>
              <w:rPr>
                <w:noProof/>
              </w:rPr>
              <w:t xml:space="preserve"> și mai </w:t>
            </w:r>
            <w:r>
              <w:rPr>
                <w:b/>
                <w:noProof/>
              </w:rPr>
              <w:t>flexibilă</w:t>
            </w:r>
            <w:r>
              <w:rPr>
                <w:noProof/>
              </w:rPr>
              <w:t xml:space="preserve"> a diferitelor </w:t>
            </w:r>
            <w:r>
              <w:rPr>
                <w:b/>
                <w:noProof/>
              </w:rPr>
              <w:t>instrumente de consultare</w:t>
            </w:r>
            <w:r>
              <w:rPr>
                <w:noProof/>
              </w:rPr>
              <w:t xml:space="preserve"> pentru a evita starea de saturație în procesul de consultare și pentru a avea acces la o gamă largă de opinii și contribuții.</w:t>
            </w:r>
          </w:p>
          <w:p w14:paraId="1573C15A" w14:textId="77777777" w:rsidR="00F754F8" w:rsidRDefault="00522279">
            <w:pPr>
              <w:pStyle w:val="ListParagraph"/>
              <w:numPr>
                <w:ilvl w:val="0"/>
                <w:numId w:val="4"/>
              </w:numPr>
              <w:spacing w:after="240"/>
              <w:ind w:left="714" w:hanging="357"/>
              <w:contextualSpacing w:val="0"/>
              <w:jc w:val="both"/>
              <w:rPr>
                <w:rFonts w:eastAsia="Calibri" w:cs="Times New Roman"/>
                <w:noProof/>
                <w:szCs w:val="24"/>
              </w:rPr>
            </w:pPr>
            <w:r>
              <w:rPr>
                <w:b/>
                <w:noProof/>
              </w:rPr>
              <w:t>Notificarea</w:t>
            </w:r>
            <w:r>
              <w:rPr>
                <w:noProof/>
              </w:rPr>
              <w:t xml:space="preserve"> automată directă a respondenților cu privire la rezumatele consultărilor.</w:t>
            </w:r>
          </w:p>
          <w:p w14:paraId="14CD4BE6" w14:textId="77777777" w:rsidR="00F754F8" w:rsidRDefault="00522279">
            <w:pPr>
              <w:pStyle w:val="ListParagraph"/>
              <w:numPr>
                <w:ilvl w:val="0"/>
                <w:numId w:val="4"/>
              </w:numPr>
              <w:spacing w:after="240"/>
              <w:ind w:left="714" w:hanging="357"/>
              <w:contextualSpacing w:val="0"/>
              <w:jc w:val="both"/>
              <w:rPr>
                <w:rFonts w:eastAsia="Calibri" w:cs="Times New Roman"/>
                <w:noProof/>
              </w:rPr>
            </w:pPr>
            <w:r>
              <w:rPr>
                <w:noProof/>
              </w:rPr>
              <w:t xml:space="preserve">Actualizarea </w:t>
            </w:r>
            <w:r>
              <w:rPr>
                <w:b/>
                <w:noProof/>
              </w:rPr>
              <w:t>orientărilor privind o mai bună legiferare</w:t>
            </w:r>
            <w:r>
              <w:rPr>
                <w:noProof/>
              </w:rPr>
              <w:t xml:space="preserve"> și a modelelor de </w:t>
            </w:r>
            <w:r>
              <w:rPr>
                <w:b/>
                <w:noProof/>
              </w:rPr>
              <w:t>evaluare a impactului și de evaluare</w:t>
            </w:r>
            <w:r>
              <w:rPr>
                <w:noProof/>
              </w:rPr>
              <w:t xml:space="preserve"> pentru a reflecta aceste îmbunătățiri.</w:t>
            </w:r>
          </w:p>
          <w:p w14:paraId="22E584DB" w14:textId="77777777" w:rsidR="00F754F8" w:rsidRDefault="00522279">
            <w:pPr>
              <w:pStyle w:val="ListParagraph"/>
              <w:numPr>
                <w:ilvl w:val="0"/>
                <w:numId w:val="4"/>
              </w:numPr>
              <w:spacing w:after="240"/>
              <w:contextualSpacing w:val="0"/>
              <w:jc w:val="both"/>
              <w:rPr>
                <w:rFonts w:eastAsia="Calibri" w:cs="Times New Roman"/>
                <w:noProof/>
              </w:rPr>
            </w:pPr>
            <w:r>
              <w:rPr>
                <w:noProof/>
              </w:rPr>
              <w:t xml:space="preserve">Continuarea colaborării cu colegiuitorii pentru a elabora și a pune în aplicare o </w:t>
            </w:r>
            <w:r>
              <w:rPr>
                <w:b/>
                <w:noProof/>
              </w:rPr>
              <w:t>metodologie comună</w:t>
            </w:r>
            <w:r>
              <w:rPr>
                <w:noProof/>
              </w:rPr>
              <w:t xml:space="preserve">, astfel încât </w:t>
            </w:r>
            <w:r>
              <w:rPr>
                <w:b/>
                <w:noProof/>
              </w:rPr>
              <w:t>fiecare instituție să își evalueze modificările substanțiale</w:t>
            </w:r>
            <w:r>
              <w:rPr>
                <w:noProof/>
              </w:rPr>
              <w:t xml:space="preserve">. </w:t>
            </w:r>
          </w:p>
        </w:tc>
      </w:tr>
    </w:tbl>
    <w:p w14:paraId="15ACCA04" w14:textId="77777777" w:rsidR="00F754F8" w:rsidRDefault="00F754F8">
      <w:pPr>
        <w:spacing w:after="240" w:line="240" w:lineRule="auto"/>
        <w:jc w:val="both"/>
        <w:rPr>
          <w:rFonts w:eastAsiaTheme="minorEastAsia" w:cs="Times New Roman"/>
          <w:noProof/>
          <w:szCs w:val="24"/>
        </w:rPr>
      </w:pPr>
    </w:p>
    <w:p w14:paraId="20CEB659" w14:textId="77777777" w:rsidR="00F754F8" w:rsidRDefault="00522279">
      <w:pPr>
        <w:pStyle w:val="Heading1"/>
        <w:numPr>
          <w:ilvl w:val="0"/>
          <w:numId w:val="19"/>
        </w:numPr>
        <w:spacing w:before="240" w:after="240" w:line="240" w:lineRule="auto"/>
        <w:ind w:left="714" w:hanging="357"/>
        <w:jc w:val="both"/>
        <w:rPr>
          <w:rStyle w:val="Strong"/>
          <w:rFonts w:ascii="Times New Roman" w:eastAsiaTheme="minorHAnsi" w:hAnsi="Times New Roman" w:cs="Times New Roman"/>
          <w:bCs w:val="0"/>
          <w:smallCaps/>
          <w:noProof/>
          <w:szCs w:val="24"/>
        </w:rPr>
      </w:pPr>
      <w:r>
        <w:rPr>
          <w:rFonts w:ascii="Times New Roman" w:hAnsi="Times New Roman"/>
          <w:b/>
          <w:smallCaps/>
          <w:noProof/>
          <w:color w:val="auto"/>
          <w:sz w:val="24"/>
        </w:rPr>
        <w:t>Revizuirea în profunzime a reglementărilor</w:t>
      </w:r>
    </w:p>
    <w:p w14:paraId="35364555" w14:textId="77777777" w:rsidR="00F754F8" w:rsidRDefault="00522279">
      <w:pPr>
        <w:spacing w:after="240" w:line="240" w:lineRule="auto"/>
        <w:jc w:val="both"/>
        <w:rPr>
          <w:rStyle w:val="Strong"/>
          <w:rFonts w:cs="Times New Roman"/>
          <w:b w:val="0"/>
          <w:bCs w:val="0"/>
          <w:noProof/>
        </w:rPr>
      </w:pPr>
      <w:r>
        <w:rPr>
          <w:rStyle w:val="Strong"/>
          <w:b w:val="0"/>
          <w:noProof/>
        </w:rPr>
        <w:t xml:space="preserve">Corpusul legislativ al UE a crescut de-a lungul timpului. Acest lucru reflectă responsabilitățile tot mai mari ale UE, rolul său în promovarea pieței unice și problemele tot mai solicitante și mai complexe pe care trebuie să le abordeze. În multe cazuri, legislația UE înlocuiește </w:t>
      </w:r>
      <w:r w:rsidRPr="00DD1E6E">
        <w:rPr>
          <w:rStyle w:val="Strong"/>
          <w:b w:val="0"/>
          <w:noProof/>
        </w:rPr>
        <w:t>27</w:t>
      </w:r>
      <w:r>
        <w:rPr>
          <w:rStyle w:val="Strong"/>
          <w:b w:val="0"/>
          <w:noProof/>
        </w:rPr>
        <w:t xml:space="preserve"> de seturi diferite de norme naționale. Cu toate acestea, dimensiunea și densitatea dreptului UE, precum și interacțiunea dintre legislația UE și dreptul național pot conduce la o complexitate inutilă, la sarcini repetitive de asigurare a conformității și la potențiale inconsecvențe. Acumularea de norme a devenit o problemă în majoritatea jurisdicțiilor dezvoltate</w:t>
      </w:r>
      <w:r>
        <w:rPr>
          <w:rStyle w:val="FootnoteReference"/>
          <w:rFonts w:cs="Times New Roman"/>
          <w:bCs/>
          <w:noProof/>
          <w:szCs w:val="24"/>
        </w:rPr>
        <w:footnoteReference w:id="24"/>
      </w:r>
      <w:r>
        <w:rPr>
          <w:rStyle w:val="Strong"/>
          <w:b w:val="0"/>
          <w:noProof/>
        </w:rPr>
        <w:t>.</w:t>
      </w:r>
    </w:p>
    <w:p w14:paraId="7E0E8EEA" w14:textId="77777777" w:rsidR="00F754F8" w:rsidRDefault="00522279">
      <w:pPr>
        <w:spacing w:after="240" w:line="240" w:lineRule="auto"/>
        <w:jc w:val="both"/>
        <w:rPr>
          <w:rStyle w:val="Strong"/>
          <w:rFonts w:cs="Times New Roman"/>
          <w:b w:val="0"/>
          <w:noProof/>
          <w:szCs w:val="24"/>
        </w:rPr>
      </w:pPr>
      <w:r>
        <w:rPr>
          <w:rStyle w:val="Strong"/>
          <w:b w:val="0"/>
          <w:noProof/>
        </w:rPr>
        <w:t>Părțile interesate au susținut în mod constant, inclusiv în cererea de contribuții, că eforturile de simplificare trebuie să se extindă la revizuirea și consolidarea măsurilor existente. Deși noua legislație rămâne esențială pentru a aborda provocările emergente și pentru a ne actualiza normele, este la fel de important să gestionăm setul existent de norme pentru a îmbunătăți claritatea, consecvența și coerența acestuia.</w:t>
      </w:r>
    </w:p>
    <w:p w14:paraId="0F8D9A53" w14:textId="77777777" w:rsidR="00F754F8" w:rsidRDefault="00522279">
      <w:pPr>
        <w:spacing w:after="240" w:line="240" w:lineRule="auto"/>
        <w:jc w:val="both"/>
        <w:rPr>
          <w:rStyle w:val="Strong"/>
          <w:rFonts w:cs="Times New Roman"/>
          <w:b w:val="0"/>
          <w:noProof/>
        </w:rPr>
      </w:pPr>
      <w:r>
        <w:rPr>
          <w:rStyle w:val="Strong"/>
          <w:b w:val="0"/>
          <w:noProof/>
        </w:rPr>
        <w:t xml:space="preserve">În </w:t>
      </w:r>
      <w:r w:rsidRPr="00DD1E6E">
        <w:rPr>
          <w:rStyle w:val="Strong"/>
          <w:b w:val="0"/>
          <w:noProof/>
        </w:rPr>
        <w:t>2025</w:t>
      </w:r>
      <w:r>
        <w:rPr>
          <w:rStyle w:val="Strong"/>
          <w:b w:val="0"/>
          <w:noProof/>
        </w:rPr>
        <w:t>, Comisia a propus măsuri ambițioase de simplificare, pe baza comunicării sale intitulate „O Europă mai simplă și mai rapidă”</w:t>
      </w:r>
      <w:r>
        <w:rPr>
          <w:rStyle w:val="FootnoteReference"/>
          <w:rFonts w:cs="Times New Roman"/>
          <w:noProof/>
        </w:rPr>
        <w:footnoteReference w:id="25"/>
      </w:r>
      <w:r>
        <w:rPr>
          <w:rStyle w:val="Strong"/>
          <w:b w:val="0"/>
          <w:noProof/>
        </w:rPr>
        <w:t xml:space="preserve">. Odată adoptate de colegiuitori, zece pachete omnibus și alte propuneri de simplificare ar trebui să conducă la economii de costuri recurente de cel puțin </w:t>
      </w:r>
      <w:r w:rsidRPr="00DD1E6E">
        <w:rPr>
          <w:rStyle w:val="Strong"/>
          <w:b w:val="0"/>
          <w:noProof/>
        </w:rPr>
        <w:t>15</w:t>
      </w:r>
      <w:r>
        <w:rPr>
          <w:rStyle w:val="Strong"/>
          <w:b w:val="0"/>
          <w:noProof/>
        </w:rPr>
        <w:t xml:space="preserve"> miliarde EUR pentru întreprinderi și administrații. Această dinamică se menține, fiind în curs de elaborare mai multe noi propuneri de pachete omnibus și măsuri suplimentare de simplificare. M</w:t>
      </w:r>
      <w:r>
        <w:rPr>
          <w:noProof/>
        </w:rPr>
        <w:t xml:space="preserve">ai mult de jumătate dintre inițiativele legislative din programul de lucru al Comisiei pentru </w:t>
      </w:r>
      <w:r w:rsidRPr="00DD1E6E">
        <w:rPr>
          <w:noProof/>
        </w:rPr>
        <w:t>2026</w:t>
      </w:r>
      <w:r>
        <w:rPr>
          <w:noProof/>
        </w:rPr>
        <w:t xml:space="preserve"> vor contribui la simplificarea, clarificarea și facilitarea punerii în aplicare a dreptului UE</w:t>
      </w:r>
      <w:r>
        <w:rPr>
          <w:rStyle w:val="FootnoteReference"/>
          <w:rFonts w:cs="Times New Roman"/>
          <w:noProof/>
        </w:rPr>
        <w:footnoteReference w:id="26"/>
      </w:r>
      <w:r>
        <w:rPr>
          <w:rStyle w:val="Strong"/>
          <w:b w:val="0"/>
          <w:noProof/>
        </w:rPr>
        <w:t>.</w:t>
      </w:r>
    </w:p>
    <w:p w14:paraId="46662A9C" w14:textId="77777777" w:rsidR="00F754F8" w:rsidRDefault="00522279">
      <w:pPr>
        <w:keepNext/>
        <w:spacing w:after="240" w:line="240" w:lineRule="auto"/>
        <w:jc w:val="both"/>
        <w:rPr>
          <w:rStyle w:val="Strong"/>
          <w:rFonts w:cs="Times New Roman"/>
          <w:b w:val="0"/>
          <w:noProof/>
        </w:rPr>
      </w:pPr>
      <w:r>
        <w:rPr>
          <w:rStyle w:val="Strong"/>
          <w:b w:val="0"/>
          <w:noProof/>
        </w:rPr>
        <w:t xml:space="preserve">În plus, o revizuire a actelor delegate și a actelor de punere în aplicare a dus la reducerea priorității acordate unui procent de aproximativ </w:t>
      </w:r>
      <w:r w:rsidRPr="00DD1E6E">
        <w:rPr>
          <w:rStyle w:val="Strong"/>
          <w:b w:val="0"/>
          <w:noProof/>
        </w:rPr>
        <w:t>30</w:t>
      </w:r>
      <w:r>
        <w:rPr>
          <w:rStyle w:val="Strong"/>
          <w:b w:val="0"/>
          <w:noProof/>
        </w:rPr>
        <w:t xml:space="preserve"> % din actele planificate pentru </w:t>
      </w:r>
      <w:r w:rsidRPr="00DD1E6E">
        <w:rPr>
          <w:rStyle w:val="Strong"/>
          <w:b w:val="0"/>
          <w:noProof/>
        </w:rPr>
        <w:t>2026</w:t>
      </w:r>
      <w:r>
        <w:rPr>
          <w:rStyle w:val="Strong"/>
          <w:b w:val="0"/>
          <w:noProof/>
        </w:rPr>
        <w:t xml:space="preserve">. Acest lucru va contribui la asigurarea faptului că legislația secundară își atinge obiectivele, rămâne proporțională și se axează pe domeniile în care acțiunea UE oferă cea mai mare valoare adăugată. </w:t>
      </w:r>
    </w:p>
    <w:p w14:paraId="587D6EF3" w14:textId="77777777" w:rsidR="00F754F8" w:rsidRDefault="00522279">
      <w:pPr>
        <w:keepNext/>
        <w:spacing w:after="240" w:line="240" w:lineRule="auto"/>
        <w:jc w:val="both"/>
        <w:rPr>
          <w:rFonts w:cs="Times New Roman"/>
          <w:b/>
          <w:bCs/>
          <w:noProof/>
          <w:szCs w:val="24"/>
        </w:rPr>
      </w:pPr>
      <w:r>
        <w:rPr>
          <w:b/>
          <w:noProof/>
        </w:rPr>
        <w:t>Un plan de acțiune pentru revizuirea în profunzime a reglementărilor</w:t>
      </w:r>
    </w:p>
    <w:p w14:paraId="5F1636AB" w14:textId="77777777" w:rsidR="00F754F8" w:rsidRDefault="00522279">
      <w:pPr>
        <w:spacing w:after="240" w:line="240" w:lineRule="auto"/>
        <w:jc w:val="both"/>
        <w:rPr>
          <w:rStyle w:val="Strong"/>
          <w:rFonts w:cs="Times New Roman"/>
          <w:b w:val="0"/>
          <w:bCs w:val="0"/>
          <w:noProof/>
        </w:rPr>
      </w:pPr>
      <w:r>
        <w:rPr>
          <w:rStyle w:val="Strong"/>
          <w:b w:val="0"/>
          <w:noProof/>
        </w:rPr>
        <w:t>Fiecare membru al colegiului este responsabil de efectuarea unei examinări cuprinzătoare a corpusului legislativ aflat în responsabilitatea sa, pentru a evalua dacă acesta rămâne relevant și adecvat scopului. Aceasta face parte integrantă din testele de rezistență prevăzute în Orientările politice ale Comisiei și în scrisorile de misiune ale comisarilor</w:t>
      </w:r>
      <w:r>
        <w:rPr>
          <w:rStyle w:val="FootnoteReference"/>
          <w:rFonts w:cs="Times New Roman"/>
          <w:noProof/>
        </w:rPr>
        <w:footnoteReference w:id="27"/>
      </w:r>
      <w:r>
        <w:rPr>
          <w:rStyle w:val="Strong"/>
          <w:b w:val="0"/>
          <w:noProof/>
        </w:rPr>
        <w:t>. Examinarea legislației vizează toate domeniile de politică și include, de asemenea, acte delegate și acte de punere în aplicare.</w:t>
      </w:r>
    </w:p>
    <w:p w14:paraId="723C2884" w14:textId="77777777" w:rsidR="00F754F8" w:rsidRDefault="00522279">
      <w:pPr>
        <w:spacing w:after="240" w:line="240" w:lineRule="auto"/>
        <w:jc w:val="both"/>
        <w:rPr>
          <w:rFonts w:cs="Times New Roman"/>
          <w:noProof/>
          <w:szCs w:val="24"/>
        </w:rPr>
      </w:pPr>
      <w:r>
        <w:rPr>
          <w:rStyle w:val="Strong"/>
          <w:b w:val="0"/>
          <w:noProof/>
        </w:rPr>
        <w:t xml:space="preserve">Pentru a intensifica aceste eforturi și pentru a le acorda o prioritate crescută, Comisia lansează un plan de acțiune pentru revizuirea în profunzime a reglementărilor. Planul de acțiune se axează pe </w:t>
      </w:r>
      <w:r w:rsidRPr="00DD1E6E">
        <w:rPr>
          <w:rStyle w:val="Strong"/>
          <w:b w:val="0"/>
          <w:noProof/>
        </w:rPr>
        <w:t>12</w:t>
      </w:r>
      <w:r>
        <w:rPr>
          <w:rStyle w:val="Strong"/>
          <w:b w:val="0"/>
          <w:noProof/>
        </w:rPr>
        <w:t xml:space="preserve"> domenii, prevăzute în anexa </w:t>
      </w:r>
      <w:r w:rsidRPr="00DD1E6E">
        <w:rPr>
          <w:rStyle w:val="Strong"/>
          <w:b w:val="0"/>
          <w:noProof/>
        </w:rPr>
        <w:t>1</w:t>
      </w:r>
      <w:r>
        <w:rPr>
          <w:rStyle w:val="Strong"/>
          <w:b w:val="0"/>
          <w:noProof/>
        </w:rPr>
        <w:t>. Acestea</w:t>
      </w:r>
      <w:r>
        <w:rPr>
          <w:noProof/>
        </w:rPr>
        <w:t xml:space="preserve"> vor fi examinate cu prioritate în </w:t>
      </w:r>
      <w:r w:rsidRPr="00DD1E6E">
        <w:rPr>
          <w:noProof/>
        </w:rPr>
        <w:t>2026</w:t>
      </w:r>
      <w:r>
        <w:rPr>
          <w:noProof/>
        </w:rPr>
        <w:t xml:space="preserve"> și </w:t>
      </w:r>
      <w:r w:rsidRPr="00DD1E6E">
        <w:rPr>
          <w:noProof/>
        </w:rPr>
        <w:t>2027</w:t>
      </w:r>
      <w:r>
        <w:rPr>
          <w:noProof/>
        </w:rPr>
        <w:t xml:space="preserve">, cu scopul de a reduce complexitatea și fragmentarea pentru a le îmbunătăți eficacitatea și eficiența. </w:t>
      </w:r>
    </w:p>
    <w:p w14:paraId="08EB4D76" w14:textId="77777777" w:rsidR="00F754F8" w:rsidRDefault="00522279">
      <w:pPr>
        <w:spacing w:after="240" w:line="240" w:lineRule="auto"/>
        <w:jc w:val="both"/>
        <w:rPr>
          <w:rFonts w:cs="Times New Roman"/>
          <w:noProof/>
          <w:szCs w:val="24"/>
        </w:rPr>
      </w:pPr>
      <w:r>
        <w:rPr>
          <w:rStyle w:val="Strong"/>
          <w:b w:val="0"/>
          <w:noProof/>
        </w:rPr>
        <w:t xml:space="preserve">Cele </w:t>
      </w:r>
      <w:r w:rsidRPr="00DD1E6E">
        <w:rPr>
          <w:rStyle w:val="Strong"/>
          <w:b w:val="0"/>
          <w:noProof/>
        </w:rPr>
        <w:t>12</w:t>
      </w:r>
      <w:r>
        <w:rPr>
          <w:rStyle w:val="Strong"/>
          <w:b w:val="0"/>
          <w:noProof/>
        </w:rPr>
        <w:t xml:space="preserve"> domenii prioritare – libera circulație a mărfurilor și serviciilor, serviciile financiare, Uniunea vamală, fiscalitatea, sănătatea și siguranța alimentară, agricultura, transporturile, energia, clima, mediul, sectorul digital, locuințele și acordarea de permise – au fost selectate pe baza analizei interne a provocărilor legate de punerea în aplicare și pe baza contribuțiilor părților interesate, inclusiv în cadrul dialogurilor privind punerea în aplicare și al verificărilor situației reale. </w:t>
      </w:r>
    </w:p>
    <w:p w14:paraId="460764EF" w14:textId="77777777" w:rsidR="00F754F8" w:rsidRDefault="00522279">
      <w:pPr>
        <w:spacing w:after="240" w:line="240" w:lineRule="auto"/>
        <w:jc w:val="both"/>
        <w:rPr>
          <w:rStyle w:val="Strong"/>
          <w:rFonts w:cs="Times New Roman"/>
          <w:b w:val="0"/>
          <w:bCs w:val="0"/>
          <w:noProof/>
        </w:rPr>
      </w:pPr>
      <w:r>
        <w:rPr>
          <w:rStyle w:val="Strong"/>
          <w:b w:val="0"/>
          <w:noProof/>
        </w:rPr>
        <w:t xml:space="preserve">Se preconizează că revizuirea în profunzime va avea ca rezultat </w:t>
      </w:r>
      <w:r>
        <w:rPr>
          <w:noProof/>
        </w:rPr>
        <w:t xml:space="preserve">măsuri legislative </w:t>
      </w:r>
      <w:r>
        <w:rPr>
          <w:rStyle w:val="Strong"/>
          <w:b w:val="0"/>
          <w:noProof/>
        </w:rPr>
        <w:t xml:space="preserve">sau de altă natură care abordează dispoziții perimate, suprapuneri, inconsecvențe sau cerințe redundante care creează o sarcină inutilă. Aceasta va promova, de asemenea, consolidarea în domenii caracterizate de un nivel ridicat de fragmentare a reglementărilor și poate </w:t>
      </w:r>
      <w:r>
        <w:rPr>
          <w:noProof/>
        </w:rPr>
        <w:t>duce la retragerea propunerilor individuale ale Comisiei, în cazurile în care acestea ar putea să nu mai reflecte realitățile actuale sau în cazul în care progresele în rândul colegiuitorilor au stagnat.</w:t>
      </w:r>
    </w:p>
    <w:p w14:paraId="24B80017" w14:textId="77777777" w:rsidR="00F754F8" w:rsidRDefault="00522279">
      <w:pPr>
        <w:spacing w:after="240" w:line="240" w:lineRule="auto"/>
        <w:jc w:val="both"/>
        <w:rPr>
          <w:rStyle w:val="Strong"/>
          <w:rFonts w:cs="Times New Roman"/>
          <w:b w:val="0"/>
          <w:bCs w:val="0"/>
          <w:noProof/>
        </w:rPr>
      </w:pPr>
      <w:r>
        <w:rPr>
          <w:noProof/>
        </w:rPr>
        <w:t>Printre exemplele de măsuri posibile se numără armonizarea, digitalizarea proceselor, raționalizarea normelor fragmentate, reducerea obligațiilor de raportare și mobilizarea instrumentelor digitale pentru a reduce birocrația. Planul de acțiune urmărește să promoveze transparența și previzibilitatea, asigurându-se că legislația UE este adecvată scopului, reducând în același timp costurile de asigurare a conformității pentru întreprinderi, administrațiile publice și cetățeni.</w:t>
      </w:r>
    </w:p>
    <w:p w14:paraId="41E82EF9" w14:textId="77777777" w:rsidR="00F754F8" w:rsidRDefault="00522279">
      <w:pPr>
        <w:spacing w:after="240" w:line="240" w:lineRule="auto"/>
        <w:jc w:val="both"/>
        <w:rPr>
          <w:rStyle w:val="Strong"/>
          <w:rFonts w:cs="Times New Roman"/>
          <w:b w:val="0"/>
          <w:bCs w:val="0"/>
          <w:noProof/>
        </w:rPr>
      </w:pPr>
      <w:r>
        <w:rPr>
          <w:rStyle w:val="Strong"/>
          <w:b w:val="0"/>
          <w:noProof/>
        </w:rPr>
        <w:t xml:space="preserve">Pentru a da imboldul necesar acestei revizuiri în profunzime a reglementărilor, colegiul comisarilor va examina periodic progresele înregistrate în ceea ce privește punerea în aplicare a planului de acțiune. </w:t>
      </w:r>
      <w:r>
        <w:rPr>
          <w:noProof/>
        </w:rPr>
        <w:t>Progresele vor face parte din raportarea anuală a Comisiei privind simplificarea, punerea în aplicare și asigurarea respectării legii.</w:t>
      </w:r>
      <w:r>
        <w:rPr>
          <w:rStyle w:val="CommentReference"/>
          <w:noProof/>
          <w:sz w:val="24"/>
        </w:rPr>
        <w:t xml:space="preserve"> </w:t>
      </w:r>
    </w:p>
    <w:p w14:paraId="035EDE47" w14:textId="77777777" w:rsidR="00F754F8" w:rsidRDefault="00522279">
      <w:pPr>
        <w:keepNext/>
        <w:spacing w:after="240" w:line="240" w:lineRule="auto"/>
        <w:jc w:val="both"/>
        <w:rPr>
          <w:rFonts w:cs="Times New Roman"/>
          <w:b/>
          <w:bCs/>
          <w:noProof/>
          <w:szCs w:val="24"/>
        </w:rPr>
      </w:pPr>
      <w:r>
        <w:rPr>
          <w:b/>
          <w:noProof/>
        </w:rPr>
        <w:t>Platforma de simplificare – un nou grup de experți la nivel înalt</w:t>
      </w:r>
    </w:p>
    <w:p w14:paraId="6981F8C5" w14:textId="77777777" w:rsidR="00F754F8" w:rsidRDefault="00522279">
      <w:pPr>
        <w:spacing w:after="240" w:line="240" w:lineRule="auto"/>
        <w:jc w:val="both"/>
        <w:rPr>
          <w:rStyle w:val="Strong"/>
          <w:rFonts w:cs="Times New Roman"/>
          <w:b w:val="0"/>
          <w:bCs w:val="0"/>
          <w:noProof/>
          <w:szCs w:val="24"/>
        </w:rPr>
      </w:pPr>
      <w:r>
        <w:rPr>
          <w:rStyle w:val="Strong"/>
          <w:b w:val="0"/>
          <w:noProof/>
        </w:rPr>
        <w:t>Aceste eforturi de revizuire în profunzime a reglementărilor vor fi sprijinite de un grup la nivel înalt al părților interesate, denumit Platforma de simplificare</w:t>
      </w:r>
      <w:r>
        <w:rPr>
          <w:rStyle w:val="FootnoteReference"/>
          <w:rFonts w:cs="Times New Roman"/>
          <w:noProof/>
          <w:szCs w:val="24"/>
        </w:rPr>
        <w:footnoteReference w:id="28"/>
      </w:r>
      <w:r>
        <w:rPr>
          <w:rStyle w:val="Strong"/>
          <w:b w:val="0"/>
          <w:noProof/>
        </w:rPr>
        <w:t>. Noul grup</w:t>
      </w:r>
      <w:r>
        <w:rPr>
          <w:rStyle w:val="FootnoteReference"/>
          <w:rFonts w:cs="Times New Roman"/>
          <w:noProof/>
        </w:rPr>
        <w:footnoteReference w:id="29"/>
      </w:r>
      <w:r>
        <w:rPr>
          <w:rStyle w:val="Strong"/>
          <w:b w:val="0"/>
          <w:noProof/>
        </w:rPr>
        <w:t xml:space="preserve"> va reuni autoritățile naționale, regionale și locale, Comitetul Regiunilor – sprijinit de Rețeaua de centre regionale –, Comitetul Economic și Social, partenerii sociali, întreprinderile și organizațiile societății civile. Participanții vor face sugestii cu privire la modul în care normele UE și punerea lor în aplicare pot deveni mai simple și mai ușor de aplicat pentru public, întreprinderi și administrații, urmărind progresele înregistrate și nevoile emergente.</w:t>
      </w:r>
    </w:p>
    <w:tbl>
      <w:tblPr>
        <w:tblStyle w:val="TableGrid"/>
        <w:tblW w:w="8921" w:type="dxa"/>
        <w:tblLayout w:type="fixed"/>
        <w:tblLook w:val="04A0" w:firstRow="1" w:lastRow="0" w:firstColumn="1" w:lastColumn="0" w:noHBand="0" w:noVBand="1"/>
      </w:tblPr>
      <w:tblGrid>
        <w:gridCol w:w="8921"/>
      </w:tblGrid>
      <w:tr w:rsidR="00F754F8" w14:paraId="32A06B80" w14:textId="77777777">
        <w:trPr>
          <w:trHeight w:val="43"/>
        </w:trPr>
        <w:tc>
          <w:tcPr>
            <w:tcW w:w="892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A319980" w14:textId="77777777" w:rsidR="00F754F8" w:rsidRDefault="00522279">
            <w:pPr>
              <w:spacing w:before="120" w:after="240"/>
              <w:jc w:val="both"/>
              <w:rPr>
                <w:rFonts w:eastAsia="Calibri" w:cs="Times New Roman"/>
                <w:noProof/>
                <w:szCs w:val="24"/>
                <w:u w:val="single"/>
              </w:rPr>
            </w:pPr>
            <w:r>
              <w:rPr>
                <w:b/>
                <w:noProof/>
                <w:u w:val="single"/>
              </w:rPr>
              <w:t>Acțiuni-cheie</w:t>
            </w:r>
          </w:p>
          <w:p w14:paraId="1BDA879D" w14:textId="77777777" w:rsidR="00F754F8" w:rsidRDefault="00522279">
            <w:pPr>
              <w:pStyle w:val="ListParagraph"/>
              <w:numPr>
                <w:ilvl w:val="0"/>
                <w:numId w:val="4"/>
              </w:numPr>
              <w:spacing w:after="240"/>
              <w:ind w:left="714" w:hanging="357"/>
              <w:contextualSpacing w:val="0"/>
              <w:jc w:val="both"/>
              <w:rPr>
                <w:rFonts w:eastAsia="Calibri" w:cs="Times New Roman"/>
                <w:noProof/>
                <w:szCs w:val="24"/>
              </w:rPr>
            </w:pPr>
            <w:r>
              <w:rPr>
                <w:noProof/>
              </w:rPr>
              <w:t xml:space="preserve">Efectuarea unei </w:t>
            </w:r>
            <w:r>
              <w:rPr>
                <w:b/>
                <w:noProof/>
              </w:rPr>
              <w:t>revizuiri în profunzime a reglementărilor</w:t>
            </w:r>
            <w:r>
              <w:rPr>
                <w:noProof/>
              </w:rPr>
              <w:t xml:space="preserve">, astfel cum se prevede în planul de acțiune anexat. </w:t>
            </w:r>
          </w:p>
          <w:p w14:paraId="299149C9" w14:textId="77777777" w:rsidR="00F754F8" w:rsidRDefault="00522279">
            <w:pPr>
              <w:pStyle w:val="ListParagraph"/>
              <w:numPr>
                <w:ilvl w:val="0"/>
                <w:numId w:val="4"/>
              </w:numPr>
              <w:spacing w:after="240"/>
              <w:ind w:left="714" w:hanging="357"/>
              <w:contextualSpacing w:val="0"/>
              <w:jc w:val="both"/>
              <w:rPr>
                <w:rFonts w:eastAsia="Calibri" w:cs="Times New Roman"/>
                <w:noProof/>
                <w:szCs w:val="24"/>
              </w:rPr>
            </w:pPr>
            <w:r>
              <w:rPr>
                <w:noProof/>
              </w:rPr>
              <w:t xml:space="preserve">Solicitarea de contribuții suplimentare din partea părților interesate pentru a identifica provocările legate de punerea în aplicare și potențialul de simplificare, inclusiv prin </w:t>
            </w:r>
            <w:r>
              <w:rPr>
                <w:b/>
                <w:noProof/>
              </w:rPr>
              <w:t>consultări</w:t>
            </w:r>
            <w:r>
              <w:rPr>
                <w:noProof/>
              </w:rPr>
              <w:t xml:space="preserve">, </w:t>
            </w:r>
            <w:r>
              <w:rPr>
                <w:b/>
                <w:noProof/>
              </w:rPr>
              <w:t>dialoguri privind punerea în aplicare</w:t>
            </w:r>
            <w:r>
              <w:rPr>
                <w:noProof/>
              </w:rPr>
              <w:t xml:space="preserve"> și </w:t>
            </w:r>
            <w:r>
              <w:rPr>
                <w:b/>
                <w:noProof/>
              </w:rPr>
              <w:t>verificări ale situației reale</w:t>
            </w:r>
            <w:r>
              <w:rPr>
                <w:noProof/>
              </w:rPr>
              <w:t>.</w:t>
            </w:r>
          </w:p>
          <w:p w14:paraId="45C85CE4" w14:textId="77777777" w:rsidR="00F754F8" w:rsidRDefault="00522279">
            <w:pPr>
              <w:pStyle w:val="ListParagraph"/>
              <w:numPr>
                <w:ilvl w:val="0"/>
                <w:numId w:val="4"/>
              </w:numPr>
              <w:spacing w:after="240"/>
              <w:ind w:left="714" w:hanging="357"/>
              <w:contextualSpacing w:val="0"/>
              <w:jc w:val="both"/>
              <w:rPr>
                <w:rFonts w:eastAsia="Calibri" w:cs="Times New Roman"/>
                <w:noProof/>
                <w:szCs w:val="24"/>
              </w:rPr>
            </w:pPr>
            <w:r>
              <w:rPr>
                <w:noProof/>
              </w:rPr>
              <w:t xml:space="preserve">Instituirea unui nou grup de experți la nivel înalt – </w:t>
            </w:r>
            <w:r>
              <w:rPr>
                <w:b/>
                <w:noProof/>
              </w:rPr>
              <w:t>Platforma de simplificare</w:t>
            </w:r>
            <w:r>
              <w:rPr>
                <w:noProof/>
              </w:rPr>
              <w:t xml:space="preserve"> – pentru a sprijini eforturile de simplificare și de reducere a sarcinii administrative.</w:t>
            </w:r>
          </w:p>
        </w:tc>
      </w:tr>
    </w:tbl>
    <w:p w14:paraId="4F48CAB7" w14:textId="77777777" w:rsidR="00F754F8" w:rsidRDefault="00F754F8">
      <w:pPr>
        <w:spacing w:after="240" w:line="240" w:lineRule="auto"/>
        <w:jc w:val="both"/>
        <w:rPr>
          <w:noProof/>
        </w:rPr>
      </w:pPr>
    </w:p>
    <w:p w14:paraId="3695B7AE" w14:textId="77777777" w:rsidR="00F754F8" w:rsidRDefault="00522279">
      <w:pPr>
        <w:pStyle w:val="Heading1"/>
        <w:numPr>
          <w:ilvl w:val="0"/>
          <w:numId w:val="19"/>
        </w:numPr>
        <w:spacing w:before="240" w:after="240" w:line="240" w:lineRule="auto"/>
        <w:ind w:left="714" w:hanging="357"/>
        <w:jc w:val="both"/>
        <w:rPr>
          <w:rFonts w:ascii="Times New Roman" w:hAnsi="Times New Roman" w:cs="Times New Roman"/>
          <w:b/>
          <w:smallCaps/>
          <w:noProof/>
          <w:color w:val="auto"/>
          <w:sz w:val="24"/>
          <w:szCs w:val="24"/>
        </w:rPr>
      </w:pPr>
      <w:r>
        <w:rPr>
          <w:rFonts w:ascii="Times New Roman" w:hAnsi="Times New Roman"/>
          <w:b/>
          <w:smallCaps/>
          <w:noProof/>
          <w:color w:val="auto"/>
          <w:sz w:val="24"/>
        </w:rPr>
        <w:t xml:space="preserve">Combaterea suprareglementării </w:t>
      </w:r>
    </w:p>
    <w:p w14:paraId="28B468F3" w14:textId="77777777" w:rsidR="00F754F8" w:rsidRDefault="00522279">
      <w:pPr>
        <w:spacing w:after="240" w:line="240" w:lineRule="auto"/>
        <w:jc w:val="both"/>
        <w:rPr>
          <w:rFonts w:cs="Times New Roman"/>
          <w:noProof/>
        </w:rPr>
      </w:pPr>
      <w:r>
        <w:rPr>
          <w:noProof/>
        </w:rPr>
        <w:t>Barierele din calea pieței unice pot rezulta din opțiunile de politică naționale, din procedurile administrative divergente, din lipsa capacității administrative sau din digitalizarea inegală. Deși nu contravin întotdeauna legislației UE, astfel de bariere împiedică buna funcționare a pieței unice, uneori în mod neintenționat. La rândul lor, barierele din calea pieței unice subminează prosperitatea și reziliența.</w:t>
      </w:r>
    </w:p>
    <w:p w14:paraId="2C2B0AD8" w14:textId="77777777" w:rsidR="00F754F8" w:rsidRDefault="00522279">
      <w:pPr>
        <w:spacing w:after="240" w:line="240" w:lineRule="auto"/>
        <w:jc w:val="both"/>
        <w:rPr>
          <w:rFonts w:cs="Times New Roman"/>
          <w:noProof/>
        </w:rPr>
      </w:pPr>
      <w:r>
        <w:rPr>
          <w:noProof/>
        </w:rPr>
        <w:t>O barieră semnificativă de acest tip este suprareglementarea</w:t>
      </w:r>
      <w:r>
        <w:rPr>
          <w:rStyle w:val="FootnoteReference"/>
          <w:rFonts w:cs="Times New Roman"/>
          <w:noProof/>
        </w:rPr>
        <w:footnoteReference w:id="30"/>
      </w:r>
      <w:r>
        <w:rPr>
          <w:noProof/>
        </w:rPr>
        <w:t>. Acesta este cazul în care un stat membru, atunci când transpune sau pune în aplicare dreptul UE într-un anumit domeniu de politică, introduce un domeniu de aplicare mai larg, norme sau obligații mai stricte care depășesc cerințele stabilite de actul juridic al UE</w:t>
      </w:r>
      <w:r>
        <w:rPr>
          <w:rStyle w:val="FootnoteReference"/>
          <w:rFonts w:cs="Times New Roman"/>
          <w:noProof/>
        </w:rPr>
        <w:footnoteReference w:id="31"/>
      </w:r>
      <w:r>
        <w:rPr>
          <w:noProof/>
        </w:rPr>
        <w:t>. Crearea unor proceduri mai împovărătoare decât cele necesare pentru punerea în aplicare a legislației UE poate fi, de asemenea, considerată suprareglementare.</w:t>
      </w:r>
    </w:p>
    <w:p w14:paraId="0A4BCEC6" w14:textId="77777777" w:rsidR="00F754F8" w:rsidRDefault="00522279">
      <w:pPr>
        <w:spacing w:after="240" w:line="240" w:lineRule="auto"/>
        <w:jc w:val="both"/>
        <w:rPr>
          <w:rFonts w:cs="Times New Roman"/>
          <w:noProof/>
        </w:rPr>
      </w:pPr>
      <w:r>
        <w:rPr>
          <w:noProof/>
        </w:rPr>
        <w:t xml:space="preserve">Chiar și în cazul în care aceste practici nu constituie o încălcare a legislației UE, ele tind să aibă un efect negativ asupra pieței unice și să împiedice operațiunile comerciale, inclusiv la nivel național, sau să afecteze în mod nejustificat drepturile persoanelor fizice. Acestea pot duce, de asemenea, la condiții inegale pentru întreprinderi și la costuri de conformare mai mari, subminând antreprenoriatul, inovarea și, în cele din urmă, competitivitatea Europei. În plus, suprareglementarea riscă să conducă la neclarități în delimitarea responsabilităților, întrucât actorii economici pot trage la răspundere UE pentru sarcinile de reglementare care decurg efectiv din opțiunile de politică naționale, afectând reputația UE. </w:t>
      </w:r>
    </w:p>
    <w:p w14:paraId="19482E4A" w14:textId="77777777" w:rsidR="00F754F8" w:rsidRDefault="00522279">
      <w:pPr>
        <w:spacing w:after="240" w:line="240" w:lineRule="auto"/>
        <w:jc w:val="both"/>
        <w:rPr>
          <w:rFonts w:cs="Times New Roman"/>
          <w:noProof/>
        </w:rPr>
      </w:pPr>
      <w:r>
        <w:rPr>
          <w:noProof/>
        </w:rPr>
        <w:t xml:space="preserve">Înlăturarea acestor bariere și reducerea suprareglementării sunt posibile numai în parteneriat cu statele membre. Având în vedere acest lucru, Comisia va lucra la un set de bune practici și de criterii pentru a ajuta statele membre să identifice și să evite suprareglementarea în transpunerea și punerea în aplicare la nivel național a legislației UE. Aceasta măsură se bazează pe angajamentul colectiv de a evita suprareglementarea, exprimat în concluziile Consiliului European din </w:t>
      </w:r>
      <w:r w:rsidRPr="00DD1E6E">
        <w:rPr>
          <w:noProof/>
        </w:rPr>
        <w:t>19</w:t>
      </w:r>
      <w:r>
        <w:rPr>
          <w:noProof/>
        </w:rPr>
        <w:t xml:space="preserve"> martie </w:t>
      </w:r>
      <w:r w:rsidRPr="00DD1E6E">
        <w:rPr>
          <w:noProof/>
        </w:rPr>
        <w:t>2026</w:t>
      </w:r>
      <w:r>
        <w:rPr>
          <w:noProof/>
        </w:rPr>
        <w:t xml:space="preserve">. De asemenea, Comisia va sprijini statele membre pe parcursul procesului de transpunere a directivelor, ajutându-le să identifice din timp potențialele riscuri de suprareglementare. </w:t>
      </w:r>
    </w:p>
    <w:p w14:paraId="012494BE" w14:textId="77777777" w:rsidR="00F754F8" w:rsidRDefault="00522279">
      <w:pPr>
        <w:spacing w:after="240" w:line="240" w:lineRule="auto"/>
        <w:jc w:val="both"/>
        <w:rPr>
          <w:rFonts w:cs="Times New Roman"/>
          <w:noProof/>
        </w:rPr>
      </w:pPr>
      <w:r>
        <w:rPr>
          <w:noProof/>
        </w:rPr>
        <w:t>Consultările, dialogurile privind punerea în aplicare organizate de comisari și verificările situației reale vor fi utilizate de Comisie pentru a identifica și a examina provocările în materie de punere în aplicare sub forma suprareglementării. Investigațiile din cadrul „domeniilor prioritare pentru asigurarea respectării normelor” ale Comisiei (a se vedea secțiunea dedicată de mai jos) vor contribui, de asemenea, la depistarea cazurilor de suprareglementare.</w:t>
      </w:r>
    </w:p>
    <w:p w14:paraId="736AF7EA" w14:textId="77777777" w:rsidR="00F754F8" w:rsidRDefault="00522279">
      <w:pPr>
        <w:spacing w:after="240" w:line="240" w:lineRule="auto"/>
        <w:jc w:val="both"/>
        <w:rPr>
          <w:rFonts w:cs="Times New Roman"/>
          <w:noProof/>
          <w:szCs w:val="24"/>
        </w:rPr>
      </w:pPr>
      <w:r>
        <w:rPr>
          <w:noProof/>
        </w:rPr>
        <w:t>Statele membre ar trebui, de asemenea, să contribuie la acest proces de colectare de probe. Deja în prezent, acestea pot semnala într-o bază de date</w:t>
      </w:r>
      <w:r>
        <w:rPr>
          <w:rStyle w:val="FootnoteReference"/>
          <w:rFonts w:cs="Times New Roman"/>
          <w:noProof/>
          <w:szCs w:val="24"/>
        </w:rPr>
        <w:footnoteReference w:id="32"/>
      </w:r>
      <w:r>
        <w:rPr>
          <w:noProof/>
        </w:rPr>
        <w:t xml:space="preserve">, în timpul sau după transpunerea directivelor, dacă măsurile lor naționale sunt mai stricte decât legislația UE. Această opțiune nu este însă utilizată în practică. </w:t>
      </w:r>
    </w:p>
    <w:p w14:paraId="69B5C35E" w14:textId="77777777" w:rsidR="00F754F8" w:rsidRDefault="00522279">
      <w:pPr>
        <w:spacing w:after="240" w:line="240" w:lineRule="auto"/>
        <w:jc w:val="both"/>
        <w:rPr>
          <w:rFonts w:cs="Times New Roman"/>
          <w:noProof/>
        </w:rPr>
      </w:pPr>
      <w:r>
        <w:rPr>
          <w:noProof/>
        </w:rPr>
        <w:t>Comisia va stimula utilizarea mecanismelor și forumurilor existente pentru a elimina barierele dăunătoare și suprareglementarea pe piața unică. Semestrul european</w:t>
      </w:r>
      <w:r>
        <w:rPr>
          <w:rStyle w:val="FootnoteReference"/>
          <w:rFonts w:cs="Times New Roman"/>
          <w:noProof/>
        </w:rPr>
        <w:footnoteReference w:id="33"/>
      </w:r>
      <w:r>
        <w:rPr>
          <w:noProof/>
        </w:rPr>
        <w:t xml:space="preserve"> își va îndeplini rolul, identificând principalele bariere și problemele legate de suprareglementare din fiecare stat membru și indicând situațiile care ar trebui abordate cu prioritate. Comisia se va baza, printre altele, pe activitatea Grupului operativ pentru asigurarea respectării normelor privind piața unică, care a elaborat o abordare bazată pe colaborare, împreună cu statele membre, pentru a elimina barierele dăunătoare de pe piața unică.</w:t>
      </w:r>
    </w:p>
    <w:p w14:paraId="7D14E029" w14:textId="77777777" w:rsidR="00F754F8" w:rsidRDefault="00522279">
      <w:pPr>
        <w:spacing w:after="240" w:line="240" w:lineRule="auto"/>
        <w:jc w:val="both"/>
        <w:rPr>
          <w:rFonts w:cs="Times New Roman"/>
          <w:noProof/>
          <w:szCs w:val="24"/>
        </w:rPr>
      </w:pPr>
      <w:r>
        <w:rPr>
          <w:noProof/>
        </w:rPr>
        <w:t>În cele din urmă, Comisia va lua în considerare, de asemenea, riscul de suprareglementare atunci când face propuneri legislative și le va formula într-un mod care să reducă la minimum acest risc (de exemplu, după caz, acordând prioritate regulamentelor exhaustive în detrimentul directivelor în domeniile pieței unice, asigurându-se că normele UE reglementează în mod exhaustiv chestiunea reglementată de actul respectiv).</w:t>
      </w:r>
    </w:p>
    <w:tbl>
      <w:tblPr>
        <w:tblStyle w:val="TableGrid"/>
        <w:tblW w:w="0" w:type="auto"/>
        <w:tblInd w:w="-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21"/>
      </w:tblGrid>
      <w:tr w:rsidR="00F754F8" w14:paraId="75806A32" w14:textId="77777777">
        <w:tc>
          <w:tcPr>
            <w:tcW w:w="9021" w:type="dxa"/>
          </w:tcPr>
          <w:p w14:paraId="24E87E21" w14:textId="77777777" w:rsidR="00F754F8" w:rsidRDefault="00522279">
            <w:pPr>
              <w:keepNext/>
              <w:spacing w:before="120" w:after="240"/>
              <w:jc w:val="both"/>
              <w:rPr>
                <w:rFonts w:eastAsia="Calibri" w:cs="Times New Roman"/>
                <w:noProof/>
                <w:szCs w:val="24"/>
                <w:u w:val="single"/>
              </w:rPr>
            </w:pPr>
            <w:r>
              <w:rPr>
                <w:b/>
                <w:noProof/>
                <w:u w:val="single"/>
              </w:rPr>
              <w:t>Acțiuni-cheie</w:t>
            </w:r>
          </w:p>
          <w:p w14:paraId="063B8DEF" w14:textId="77777777" w:rsidR="00F754F8" w:rsidRDefault="00522279">
            <w:pPr>
              <w:pStyle w:val="ListParagraph"/>
              <w:numPr>
                <w:ilvl w:val="0"/>
                <w:numId w:val="4"/>
              </w:numPr>
              <w:spacing w:after="240"/>
              <w:ind w:left="714" w:hanging="357"/>
              <w:contextualSpacing w:val="0"/>
              <w:jc w:val="both"/>
              <w:rPr>
                <w:noProof/>
              </w:rPr>
            </w:pPr>
            <w:r>
              <w:rPr>
                <w:noProof/>
              </w:rPr>
              <w:t>Sprijinirea statelor membre în angajamentul lor de a evita suprareglementarea printr-</w:t>
            </w:r>
            <w:r>
              <w:rPr>
                <w:b/>
                <w:noProof/>
              </w:rPr>
              <w:t>un</w:t>
            </w:r>
            <w:r>
              <w:rPr>
                <w:noProof/>
              </w:rPr>
              <w:t xml:space="preserve"> </w:t>
            </w:r>
            <w:r>
              <w:rPr>
                <w:b/>
                <w:noProof/>
              </w:rPr>
              <w:t>set de bune practici</w:t>
            </w:r>
            <w:r>
              <w:rPr>
                <w:noProof/>
              </w:rPr>
              <w:t xml:space="preserve"> și </w:t>
            </w:r>
            <w:r>
              <w:rPr>
                <w:b/>
                <w:noProof/>
              </w:rPr>
              <w:t>orientări în materie de transpunere</w:t>
            </w:r>
            <w:r>
              <w:rPr>
                <w:noProof/>
              </w:rPr>
              <w:t>.</w:t>
            </w:r>
          </w:p>
          <w:p w14:paraId="35C0CA6A" w14:textId="77777777" w:rsidR="00F754F8" w:rsidRDefault="00522279">
            <w:pPr>
              <w:pStyle w:val="ListParagraph"/>
              <w:numPr>
                <w:ilvl w:val="0"/>
                <w:numId w:val="4"/>
              </w:numPr>
              <w:spacing w:after="240"/>
              <w:ind w:left="714" w:hanging="357"/>
              <w:contextualSpacing w:val="0"/>
              <w:jc w:val="both"/>
              <w:rPr>
                <w:noProof/>
              </w:rPr>
            </w:pPr>
            <w:r>
              <w:rPr>
                <w:b/>
                <w:noProof/>
              </w:rPr>
              <w:t>Depistarea mai precisă și mai rapidă</w:t>
            </w:r>
            <w:r>
              <w:rPr>
                <w:noProof/>
              </w:rPr>
              <w:t xml:space="preserve"> a cazurilor de suprareglementare, prin intermediul instrumentelor Comisiei și împreună cu statele membre.</w:t>
            </w:r>
          </w:p>
          <w:p w14:paraId="40220E03" w14:textId="77777777" w:rsidR="00F754F8" w:rsidRDefault="00522279">
            <w:pPr>
              <w:pStyle w:val="ListParagraph"/>
              <w:numPr>
                <w:ilvl w:val="0"/>
                <w:numId w:val="26"/>
              </w:numPr>
              <w:spacing w:after="240"/>
              <w:contextualSpacing w:val="0"/>
              <w:jc w:val="both"/>
              <w:rPr>
                <w:noProof/>
              </w:rPr>
            </w:pPr>
            <w:r>
              <w:rPr>
                <w:noProof/>
              </w:rPr>
              <w:t xml:space="preserve">Identificarea principalelor bariere și monitorizarea problemelor legate de suprareglementare pentru fiecare stat membru prin intermediul </w:t>
            </w:r>
            <w:r>
              <w:rPr>
                <w:b/>
                <w:noProof/>
              </w:rPr>
              <w:t>semestrului european</w:t>
            </w:r>
            <w:r>
              <w:rPr>
                <w:noProof/>
              </w:rPr>
              <w:t xml:space="preserve"> și al </w:t>
            </w:r>
            <w:r>
              <w:rPr>
                <w:b/>
                <w:noProof/>
              </w:rPr>
              <w:t>Grupului operativ pentru asigurarea respectării normelor privind piața unică</w:t>
            </w:r>
            <w:r>
              <w:rPr>
                <w:noProof/>
              </w:rPr>
              <w:t>.</w:t>
            </w:r>
          </w:p>
        </w:tc>
      </w:tr>
    </w:tbl>
    <w:p w14:paraId="5A76E996" w14:textId="77777777" w:rsidR="00F754F8" w:rsidRDefault="00522279">
      <w:pPr>
        <w:pStyle w:val="Heading1"/>
        <w:numPr>
          <w:ilvl w:val="0"/>
          <w:numId w:val="19"/>
        </w:numPr>
        <w:spacing w:before="240" w:after="240" w:line="240" w:lineRule="auto"/>
        <w:ind w:left="714" w:hanging="357"/>
        <w:jc w:val="both"/>
        <w:rPr>
          <w:rFonts w:ascii="Times New Roman" w:hAnsi="Times New Roman" w:cs="Times New Roman"/>
          <w:b/>
          <w:smallCaps/>
          <w:noProof/>
          <w:color w:val="auto"/>
          <w:sz w:val="24"/>
          <w:szCs w:val="24"/>
        </w:rPr>
      </w:pPr>
      <w:r>
        <w:rPr>
          <w:rFonts w:ascii="Times New Roman" w:hAnsi="Times New Roman"/>
          <w:b/>
          <w:smallCaps/>
          <w:noProof/>
          <w:color w:val="auto"/>
          <w:sz w:val="24"/>
        </w:rPr>
        <w:t>O mai bună punere în aplicare și o asigurare riguroasă a respectării legii</w:t>
      </w:r>
    </w:p>
    <w:p w14:paraId="1EEC0F36" w14:textId="77777777" w:rsidR="00F754F8" w:rsidRDefault="00522279">
      <w:pPr>
        <w:spacing w:after="240" w:line="240" w:lineRule="auto"/>
        <w:jc w:val="both"/>
        <w:rPr>
          <w:noProof/>
        </w:rPr>
      </w:pPr>
      <w:bookmarkStart w:id="5" w:name="_Hlk207805279"/>
      <w:r>
        <w:rPr>
          <w:noProof/>
        </w:rPr>
        <w:t>Chiar și cele mai bune norme nu reușesc să își atingă impactul scontat atunci când punerea în aplicare este fragmentată, întârziată sau inconsecventă între diferitele state membre. Astfel de deficiențe nu numai că slăbesc integritatea pieței unice și subminează competitivitatea, ci erodează și încrederea în statul de drept, un fundament al legitimității UE. Acest lucru are un cost semnificativ pentru cetățeni și întreprinderi.</w:t>
      </w:r>
      <w:bookmarkEnd w:id="5"/>
      <w:r>
        <w:rPr>
          <w:noProof/>
        </w:rPr>
        <w:t xml:space="preserve"> Asigurarea fermă și previzibilă a respectării normelor stă, de asemenea, la baza credibilității Uniunii în cadrul parteneriatelor internaționale și a capacității sale de a promova cooperarea bazată pe norme.</w:t>
      </w:r>
    </w:p>
    <w:p w14:paraId="61105DC9" w14:textId="77777777" w:rsidR="00F754F8" w:rsidRDefault="00522279">
      <w:pPr>
        <w:spacing w:after="240" w:line="240" w:lineRule="auto"/>
        <w:jc w:val="both"/>
        <w:rPr>
          <w:rFonts w:cs="Times New Roman"/>
          <w:noProof/>
        </w:rPr>
      </w:pPr>
      <w:r>
        <w:rPr>
          <w:noProof/>
        </w:rPr>
        <w:t>Actuala Comisie a adoptat inițiative-cheie pentru a consolida piața unică</w:t>
      </w:r>
      <w:r>
        <w:rPr>
          <w:rFonts w:cs="Times New Roman"/>
          <w:noProof/>
          <w:vertAlign w:val="superscript"/>
        </w:rPr>
        <w:footnoteReference w:id="34"/>
      </w:r>
      <w:r>
        <w:rPr>
          <w:noProof/>
        </w:rPr>
        <w:t xml:space="preserve"> și a proteja statul de drept</w:t>
      </w:r>
      <w:r>
        <w:rPr>
          <w:rFonts w:cs="Times New Roman"/>
          <w:noProof/>
          <w:vertAlign w:val="superscript"/>
        </w:rPr>
        <w:footnoteReference w:id="35"/>
      </w:r>
      <w:r>
        <w:rPr>
          <w:noProof/>
        </w:rPr>
        <w:t>. Comisia a sporit sprijinul pentru punerea în aplicare acordat statelor membre, oferindu-le instrumentele necesare pentru a pune în aplicare legislația UE în timp util și în mod corect încă de la început</w:t>
      </w:r>
      <w:r>
        <w:rPr>
          <w:rFonts w:cs="Times New Roman"/>
          <w:noProof/>
          <w:vertAlign w:val="superscript"/>
        </w:rPr>
        <w:footnoteReference w:id="36"/>
      </w:r>
      <w:r>
        <w:rPr>
          <w:noProof/>
        </w:rPr>
        <w:t>. Cu toate acestea, asigurarea credibilă și eficientă a respectării normelor este soluția de protecție necesară pentru a asigura conformitatea în timp util cu normele UE în cazul în care măsurile preventive nu sunt încununate de succes.</w:t>
      </w:r>
    </w:p>
    <w:p w14:paraId="4BEAD9AF" w14:textId="77777777" w:rsidR="00F754F8" w:rsidRDefault="00522279">
      <w:pPr>
        <w:spacing w:after="240" w:line="240" w:lineRule="auto"/>
        <w:jc w:val="both"/>
        <w:rPr>
          <w:rFonts w:cs="Times New Roman"/>
          <w:noProof/>
          <w:szCs w:val="24"/>
        </w:rPr>
      </w:pPr>
      <w:r>
        <w:rPr>
          <w:noProof/>
        </w:rPr>
        <w:t>Răspunzând amplorii provocărilor cu care se confruntă Europa și consolidând reziliența pentru viitor, Comisia va intensifica asigurarea respectării dreptului UE. Vom lua măsuri pentru o aplicare mai rapidă și mai riguroasă a dreptului UE în toate domeniile de politică și pentru asigurarea egalității de tratament</w:t>
      </w:r>
      <w:r>
        <w:rPr>
          <w:rStyle w:val="FootnoteReference"/>
          <w:rFonts w:cs="Times New Roman"/>
          <w:noProof/>
        </w:rPr>
        <w:footnoteReference w:id="37"/>
      </w:r>
      <w:r>
        <w:rPr>
          <w:noProof/>
        </w:rPr>
        <w:t xml:space="preserve">. </w:t>
      </w:r>
    </w:p>
    <w:p w14:paraId="0BADFD79" w14:textId="77777777" w:rsidR="00F754F8" w:rsidRDefault="00522279">
      <w:pPr>
        <w:keepNext/>
        <w:spacing w:after="240" w:line="240" w:lineRule="auto"/>
        <w:jc w:val="both"/>
        <w:rPr>
          <w:rFonts w:cs="Times New Roman"/>
          <w:b/>
          <w:bCs/>
          <w:noProof/>
          <w:szCs w:val="24"/>
        </w:rPr>
      </w:pPr>
      <w:r>
        <w:rPr>
          <w:b/>
          <w:noProof/>
        </w:rPr>
        <w:t>Domenii ale pieței unice prioritare pentru asigurarea respectării normelor</w:t>
      </w:r>
    </w:p>
    <w:p w14:paraId="2CE1B7D7" w14:textId="77777777" w:rsidR="00F754F8" w:rsidRDefault="00522279">
      <w:pPr>
        <w:spacing w:after="240" w:line="240" w:lineRule="auto"/>
        <w:jc w:val="both"/>
        <w:rPr>
          <w:rFonts w:cs="Times New Roman"/>
          <w:noProof/>
          <w:szCs w:val="24"/>
        </w:rPr>
      </w:pPr>
      <w:r>
        <w:rPr>
          <w:noProof/>
        </w:rPr>
        <w:t>Piața unică este motorul inovării, al creșterii și al competitivității europene</w:t>
      </w:r>
      <w:r>
        <w:rPr>
          <w:rFonts w:cs="Times New Roman"/>
          <w:noProof/>
          <w:szCs w:val="24"/>
          <w:vertAlign w:val="superscript"/>
          <w:lang w:val="en-IE"/>
        </w:rPr>
        <w:footnoteReference w:id="38"/>
      </w:r>
      <w:r>
        <w:rPr>
          <w:noProof/>
        </w:rPr>
        <w:t xml:space="preserve">. Confruntate cu obstacole nejustificate, cu norme naționale divergente și cu condiții comerciale divergente, întreprinderile nu își valorifică la maximum potențialul. Aceste bariere denaturează concurența și limitează activitatea și investițiile transfrontaliere. </w:t>
      </w:r>
    </w:p>
    <w:p w14:paraId="6A568560" w14:textId="77777777" w:rsidR="00F754F8" w:rsidRDefault="00522279">
      <w:pPr>
        <w:spacing w:after="240" w:line="240" w:lineRule="auto"/>
        <w:jc w:val="both"/>
        <w:rPr>
          <w:rFonts w:cs="Times New Roman"/>
          <w:noProof/>
          <w:szCs w:val="24"/>
        </w:rPr>
      </w:pPr>
      <w:r>
        <w:rPr>
          <w:noProof/>
        </w:rPr>
        <w:t xml:space="preserve">Acesta este motivul pentru care Comisia își intensifică activitatea de asigurare a respectării cadrului de reglementare privind piața unică. În anexa </w:t>
      </w:r>
      <w:r w:rsidRPr="00DD1E6E">
        <w:rPr>
          <w:noProof/>
        </w:rPr>
        <w:t>2</w:t>
      </w:r>
      <w:r>
        <w:rPr>
          <w:noProof/>
        </w:rPr>
        <w:t>, am identificat unsprezece domenii ale pieței unice prioritare pentru asigurarea respectării normelor, pe baza relevanței lor sistemice și economice. În aceste domenii, Comisia va investiga mai proactiv toate statele membre și va urmări problemele identificate, dacă este necesar, prin proceduri rapide de constatare a neîndeplinirii obligațiilor. Domeniile de interes enumerate se referă la aspecte care au un impact grav asupra funcționării pieței unice și un efect negativ asupra întreprinderilor europene. Comisia a identificat aceste domenii pe baza informațiilor colectate din surse precum dialoguri privind punerea în aplicare, reclamații depuse de cetățeni și părțile interesate, precum și probleme sistemice raportate de centrele SOLVIT care își desfășoară activitatea în întreaga UE pentru a aborda probleme transfrontaliere individuale. Abordarea suprareglementării ilegale va face parte, de asemenea, din măsurile de asigurare a respectării normelor în aceste domenii de interes</w:t>
      </w:r>
      <w:r>
        <w:rPr>
          <w:rStyle w:val="FootnoteReference"/>
          <w:rFonts w:cs="Times New Roman"/>
          <w:noProof/>
        </w:rPr>
        <w:footnoteReference w:id="39"/>
      </w:r>
      <w:r>
        <w:rPr>
          <w:noProof/>
        </w:rPr>
        <w:t>.</w:t>
      </w:r>
    </w:p>
    <w:p w14:paraId="14479EA7" w14:textId="77777777" w:rsidR="00F754F8" w:rsidRDefault="00522279">
      <w:pPr>
        <w:spacing w:after="240" w:line="240" w:lineRule="auto"/>
        <w:jc w:val="both"/>
        <w:rPr>
          <w:rFonts w:cs="Times New Roman"/>
          <w:noProof/>
          <w:szCs w:val="24"/>
        </w:rPr>
      </w:pPr>
      <w:r>
        <w:rPr>
          <w:noProof/>
        </w:rPr>
        <w:t>Obiectivul este de a asigura conformitatea cu normele privind piața unică cât mai curând posibil, utilizând instrumentul adecvat pentru fiecare caz în parte. Investigațiile se vor baza pe instrumentele existente și pe schimburile cu statele membre în cadrul grupurilor de experți, al atelierelor de transpunere și, dacă este necesar, al reuniunilor specifice. Dialogurile privind punerea în aplicare purtate de comisari și verificările situației reale pot aduce, de asemenea, contribuții valoroase din partea celor care sunt afectați în practică de normele UE. Comisia va intensifica utilizarea dialogurilor prealabile lansării procedurii de constatare a neîndeplinirii obligațiilor cu statele membre pentru a investiga eventualele încălcări ale legislației privind piața unică și în cazul în care există o perspectivă realistă de soluționare rapidă în cooperare cu statele membre în cauză.</w:t>
      </w:r>
    </w:p>
    <w:p w14:paraId="1A9E19ED" w14:textId="77777777" w:rsidR="00F754F8" w:rsidRDefault="00522279">
      <w:pPr>
        <w:spacing w:after="240" w:line="240" w:lineRule="auto"/>
        <w:jc w:val="both"/>
        <w:rPr>
          <w:rFonts w:cs="Times New Roman"/>
          <w:noProof/>
          <w:szCs w:val="24"/>
        </w:rPr>
      </w:pPr>
      <w:r>
        <w:rPr>
          <w:noProof/>
        </w:rPr>
        <w:t>După caz, Comisia va iniția proceduri de constatare a neîndeplinirii obligațiilor. Acest lucru se va întâmpla fie după un dialog nereușit prealabil lansării procedurii de constatare a neîndeplinirii obligațiilor, fie de la început în cazul unor încălcări grave și susținute de probe. Atunci când se lansează o procedură de constatare a neîndeplinirii obligațiilor, obiectivul este asigurarea rapidă a conformității, ceea ce se reflectă în rata de succes a Comisiei într-un stadiu incipient al procedurii</w:t>
      </w:r>
      <w:r>
        <w:rPr>
          <w:rStyle w:val="FootnoteReference"/>
          <w:rFonts w:cs="Times New Roman"/>
          <w:noProof/>
          <w:szCs w:val="24"/>
        </w:rPr>
        <w:footnoteReference w:id="40"/>
      </w:r>
      <w:r>
        <w:rPr>
          <w:noProof/>
        </w:rPr>
        <w:t>.</w:t>
      </w:r>
    </w:p>
    <w:p w14:paraId="3E5567D9" w14:textId="77777777" w:rsidR="00F754F8" w:rsidRDefault="00522279">
      <w:pPr>
        <w:spacing w:after="240" w:line="240" w:lineRule="auto"/>
        <w:jc w:val="both"/>
        <w:rPr>
          <w:rFonts w:cs="Times New Roman"/>
          <w:noProof/>
        </w:rPr>
      </w:pPr>
      <w:r>
        <w:rPr>
          <w:noProof/>
        </w:rPr>
        <w:t>În cazul în care nu poate ajunge la un rezultat pozitiv cu statul membru în cauză, nici în cadrul dialogului, nici în etapa precontencioasă a procedurii de constatare a neîndeplinirii obligațiilor, Comisia nu va ezita să sesizeze Curtea de Justiție ori de câte ori este cazul. Progresele și rezultatele acțiunilor Comisiei de asigurare a respectării normelor pentru aceste domenii prioritare ale pieței unice vor face parte din raportarea anuală a Comisiei privind simplificarea, punerea în aplicare și asigurarea respectării legii.</w:t>
      </w:r>
    </w:p>
    <w:p w14:paraId="6D7DC5FF" w14:textId="77777777" w:rsidR="00F754F8" w:rsidRDefault="00522279">
      <w:pPr>
        <w:keepNext/>
        <w:spacing w:after="240" w:line="240" w:lineRule="auto"/>
        <w:jc w:val="both"/>
        <w:rPr>
          <w:rFonts w:cs="Times New Roman"/>
          <w:b/>
          <w:bCs/>
          <w:noProof/>
          <w:szCs w:val="24"/>
        </w:rPr>
      </w:pPr>
      <w:r>
        <w:rPr>
          <w:b/>
          <w:noProof/>
        </w:rPr>
        <w:t>Accelerarea punerii în aplicare a dreptului UE</w:t>
      </w:r>
    </w:p>
    <w:p w14:paraId="0D21C37F" w14:textId="77777777" w:rsidR="00F754F8" w:rsidRDefault="00522279">
      <w:pPr>
        <w:spacing w:after="240" w:line="240" w:lineRule="auto"/>
        <w:jc w:val="both"/>
        <w:rPr>
          <w:rFonts w:cs="Times New Roman"/>
          <w:noProof/>
          <w:szCs w:val="24"/>
        </w:rPr>
      </w:pPr>
      <w:r>
        <w:rPr>
          <w:noProof/>
        </w:rPr>
        <w:t>Asigurarea respectării dreptului UE este esențială – nu numai pentru funcționarea eficace a pieței unice, ci și pentru susținerea UE ca o comunitate bazată pe statul de drept. Normele UE aduc beneficiile scontate cetățenilor și întreprinderilor numai atunci când statele membre le pun în aplicare în mod corect și la timp. Acest lucru este deosebit de important într-o perioadă în care statul de drept a fost supus unor presiuni în întreaga lume, iar comerțul internațional este denaturat.</w:t>
      </w:r>
    </w:p>
    <w:p w14:paraId="63559C5A" w14:textId="77777777" w:rsidR="00F754F8" w:rsidRDefault="00522279">
      <w:pPr>
        <w:spacing w:after="240" w:line="240" w:lineRule="auto"/>
        <w:jc w:val="both"/>
        <w:rPr>
          <w:rFonts w:cs="Times New Roman"/>
          <w:noProof/>
          <w:szCs w:val="24"/>
        </w:rPr>
      </w:pPr>
      <w:r>
        <w:rPr>
          <w:noProof/>
        </w:rPr>
        <w:t xml:space="preserve">Cu toate acestea, prea multe directive nu sunt încă transpuse la timp. În </w:t>
      </w:r>
      <w:r w:rsidRPr="00DD1E6E">
        <w:rPr>
          <w:noProof/>
        </w:rPr>
        <w:t>2025</w:t>
      </w:r>
      <w:r>
        <w:rPr>
          <w:noProof/>
        </w:rPr>
        <w:t xml:space="preserve">, aproape </w:t>
      </w:r>
      <w:r w:rsidRPr="00DD1E6E">
        <w:rPr>
          <w:noProof/>
        </w:rPr>
        <w:t>70</w:t>
      </w:r>
      <w:r>
        <w:rPr>
          <w:noProof/>
        </w:rPr>
        <w:t xml:space="preserve"> % din noile proceduri de constatare a neîndeplinirii obligațiilor au fost cauzate de transpunerea tardivă a directivelor de către statele membre, ceea ce a împiedicat cetățenii și întreprinderile să beneficieze pe deplin de dreptul UE. În anul respectiv, majoritatea statelor membre au depășit în mod sistematic termenele de transpunere, obligând Comisia să lanseze </w:t>
      </w:r>
      <w:r w:rsidRPr="00DD1E6E">
        <w:rPr>
          <w:noProof/>
        </w:rPr>
        <w:t>370</w:t>
      </w:r>
      <w:r>
        <w:rPr>
          <w:noProof/>
        </w:rPr>
        <w:t xml:space="preserve"> de proceduri de constatare a neîndeplinirii obligațiilor aferente celor </w:t>
      </w:r>
      <w:r w:rsidRPr="00DD1E6E">
        <w:rPr>
          <w:noProof/>
        </w:rPr>
        <w:t>36</w:t>
      </w:r>
      <w:r>
        <w:rPr>
          <w:noProof/>
        </w:rPr>
        <w:t xml:space="preserve"> de directive de transpus.</w:t>
      </w:r>
    </w:p>
    <w:p w14:paraId="665C11E5" w14:textId="77777777" w:rsidR="00F754F8" w:rsidRDefault="00522279">
      <w:pPr>
        <w:spacing w:after="240" w:line="240" w:lineRule="auto"/>
        <w:jc w:val="both"/>
        <w:rPr>
          <w:rFonts w:cs="Times New Roman"/>
          <w:noProof/>
        </w:rPr>
      </w:pPr>
      <w:r>
        <w:rPr>
          <w:noProof/>
        </w:rPr>
        <w:t xml:space="preserve">Deși Comisia acționează rapid la deschiderea procedurilor de constatare a neîndeplinirii obligațiilor din cauza transpunerii tardive, evoluția și închiderea acestora durează adesea ani de zile. Cazurile care implică transpunerea incorectă a unor directive și aplicarea necorespunzătoare a unor directive sau regulamente durează și mai mult. În </w:t>
      </w:r>
      <w:r w:rsidRPr="00DD1E6E">
        <w:rPr>
          <w:noProof/>
        </w:rPr>
        <w:t>2025</w:t>
      </w:r>
      <w:r>
        <w:rPr>
          <w:noProof/>
        </w:rPr>
        <w:t>, durata medie a unei proceduri de constatare a neîndeplinirii obligațiilor închise în anul respectiv a fost de aproape trei ani, iar aproape o cincime dintre proceduri au durat mai mult de cinci ani</w:t>
      </w:r>
      <w:r>
        <w:rPr>
          <w:rStyle w:val="FootnoteReference"/>
          <w:rFonts w:cs="Times New Roman"/>
          <w:noProof/>
        </w:rPr>
        <w:footnoteReference w:id="41"/>
      </w:r>
      <w:r>
        <w:rPr>
          <w:noProof/>
        </w:rPr>
        <w:t>. Între timp, normele UE sunt aplicate în mod inconsecvent de la un stat membru la altul, ceea ce creează realități inegale și insecuritate juridică pentru cetățeni și întreprinderi.</w:t>
      </w:r>
    </w:p>
    <w:p w14:paraId="752758ED" w14:textId="77777777" w:rsidR="00F754F8" w:rsidRDefault="00522279">
      <w:pPr>
        <w:spacing w:after="240" w:line="240" w:lineRule="auto"/>
        <w:jc w:val="both"/>
        <w:rPr>
          <w:rFonts w:cs="Times New Roman"/>
          <w:noProof/>
          <w:szCs w:val="24"/>
        </w:rPr>
      </w:pPr>
      <w:r>
        <w:rPr>
          <w:noProof/>
        </w:rPr>
        <w:t>În acest context, Comisia va încerca să își accelereze acțiunile de asigurare a respectării legii în cazurile care nu implică transpunerea unor directive. În situațiile în care statele membre nu notifică Comisiei măsurile de transpunere, aceasta va simplifica și va accelera adoptarea</w:t>
      </w:r>
      <w:r>
        <w:rPr>
          <w:rStyle w:val="FootnoteReference"/>
          <w:noProof/>
        </w:rPr>
        <w:footnoteReference w:id="42"/>
      </w:r>
      <w:r>
        <w:rPr>
          <w:noProof/>
        </w:rPr>
        <w:t xml:space="preserve"> avizelor motivate, care constituie a doua etapă a unei proceduri de constatare a neîndeplinirii obligațiilor în urma scrisorii de punere în întârziere adresate statului membru. Atunci când un stat membru nu notifică nicio măsură de transpunere (lipsă totală a transpunerii) sau nu transmite nicio notificare suplimentară după lansarea procedurii de constatare a neîndeplinirii obligațiilor (lipsă parțială a transpunerii), Comisia va emite, de regulă, un aviz motivat în termen de șase luni de la adoptarea scrisorii de punere în întârziere.</w:t>
      </w:r>
    </w:p>
    <w:p w14:paraId="018B7B08" w14:textId="77777777" w:rsidR="00F754F8" w:rsidRDefault="00522279">
      <w:pPr>
        <w:spacing w:after="240" w:line="240" w:lineRule="auto"/>
        <w:jc w:val="both"/>
        <w:rPr>
          <w:rFonts w:cs="Times New Roman"/>
          <w:noProof/>
          <w:szCs w:val="24"/>
        </w:rPr>
      </w:pPr>
      <w:r>
        <w:rPr>
          <w:noProof/>
        </w:rPr>
        <w:t>Obligația statelor membre de a furniza informații suficient de clare și de precise cu privire la conținutul normelor naționale de transpunere a unei directive a fost amintită de Curtea de Justiție într-o orientare constantă a jurisprudenței</w:t>
      </w:r>
      <w:r>
        <w:rPr>
          <w:rStyle w:val="FootnoteReference"/>
          <w:rFonts w:cs="Times New Roman"/>
          <w:noProof/>
        </w:rPr>
        <w:footnoteReference w:id="43"/>
      </w:r>
      <w:r>
        <w:rPr>
          <w:noProof/>
        </w:rPr>
        <w:t>. Curtea a subliniat că astfel de informații sunt necesare Comisiei pentru a stabili dacă un stat membru a transpus integral o directivă. În ultimii ani, Comisia a ajutat statele membre să standardizeze și să raționalizeze prezentarea unor astfel de explicații</w:t>
      </w:r>
      <w:r>
        <w:rPr>
          <w:rStyle w:val="FootnoteReference"/>
          <w:rFonts w:cs="Times New Roman"/>
          <w:noProof/>
        </w:rPr>
        <w:footnoteReference w:id="44"/>
      </w:r>
      <w:r>
        <w:rPr>
          <w:noProof/>
        </w:rPr>
        <w:t xml:space="preserve"> și va continua să ofere sprijin. Cu toate acestea, în cazul în care un stat membru nu furnizează explicațiile necesare, se va aplica aceeași procedură simplificată ca în cazul necomunicării măsurilor de transpunere menționate mai sus.</w:t>
      </w:r>
    </w:p>
    <w:p w14:paraId="5EFB89FE" w14:textId="77777777" w:rsidR="00F754F8" w:rsidRDefault="00522279">
      <w:pPr>
        <w:spacing w:after="240" w:line="240" w:lineRule="auto"/>
        <w:jc w:val="both"/>
        <w:rPr>
          <w:rFonts w:cs="Times New Roman"/>
          <w:noProof/>
          <w:szCs w:val="24"/>
        </w:rPr>
      </w:pPr>
      <w:r>
        <w:rPr>
          <w:noProof/>
        </w:rPr>
        <w:t>În mod similar, Comisia va adopta o abordare mai strictă în ceea ce privește cererile statelor membre de prelungire a termenului de două luni pentru a răspunde la o scrisoare de punere în întârziere</w:t>
      </w:r>
      <w:r>
        <w:rPr>
          <w:rStyle w:val="FootnoteReference"/>
          <w:noProof/>
        </w:rPr>
        <w:footnoteReference w:id="45"/>
      </w:r>
      <w:r>
        <w:rPr>
          <w:noProof/>
        </w:rPr>
        <w:t xml:space="preserve"> (în toate tipurile de proceduri de constatare a neîndeplinirii obligațiilor). În viitor, prelungirile vor fi acordate, în general, numai în etapa avizului motivat, cu condiția ca statele membre să recunoască încălcarea și să îndeplinească condițiile cumulative stabilite</w:t>
      </w:r>
      <w:r>
        <w:rPr>
          <w:rStyle w:val="FootnoteReference"/>
          <w:rFonts w:cs="Times New Roman"/>
          <w:noProof/>
          <w:szCs w:val="24"/>
        </w:rPr>
        <w:footnoteReference w:id="46"/>
      </w:r>
      <w:r>
        <w:rPr>
          <w:noProof/>
        </w:rPr>
        <w:t>, care vor fi evaluate cu strictețe. În etapa scrisorii de punere în întârziere, prelungirile limitate ale termenului de răspuns vor fi acordate numai în circumstanțe excepționale, cum ar fi cazurile de forță majoră, în care evenimente imprevizibile împiedică statul membru să răspundă la timp.</w:t>
      </w:r>
    </w:p>
    <w:p w14:paraId="72E9B5EE" w14:textId="77777777" w:rsidR="00F754F8" w:rsidRDefault="00522279">
      <w:pPr>
        <w:spacing w:after="240" w:line="240" w:lineRule="auto"/>
        <w:jc w:val="both"/>
        <w:rPr>
          <w:rFonts w:cs="Times New Roman"/>
          <w:noProof/>
          <w:szCs w:val="24"/>
        </w:rPr>
      </w:pPr>
      <w:r>
        <w:rPr>
          <w:noProof/>
        </w:rPr>
        <w:t>Până la sfârșitul mandatului Comisiei, aceasta urmărește să reducă numărul de proceduri de constatare a neîndeplinirii obligațiilor aflate în curs de soluționare de o perioadă îndelungată. În vederea realizării acestui obiectiv, Comisia se va concentra asupra procedurilor deschise de peste cinci ani care nu au fost încă înaintate Curții de Justiție. Eforturile statelor membre și atitudinea lor de colaborare vor fi esențiale pentru soluționarea unor astfel de cazuri.</w:t>
      </w:r>
    </w:p>
    <w:p w14:paraId="0AF55CE8" w14:textId="77777777" w:rsidR="00F754F8" w:rsidRDefault="00522279">
      <w:pPr>
        <w:spacing w:after="240" w:line="240" w:lineRule="auto"/>
        <w:jc w:val="both"/>
        <w:rPr>
          <w:rFonts w:cs="Times New Roman"/>
          <w:b/>
          <w:noProof/>
          <w:szCs w:val="24"/>
        </w:rPr>
      </w:pPr>
      <w:r>
        <w:rPr>
          <w:b/>
          <w:noProof/>
        </w:rPr>
        <w:t>Valorificarea inteligenței artificiale</w:t>
      </w:r>
    </w:p>
    <w:p w14:paraId="01F9E410" w14:textId="77777777" w:rsidR="00F754F8" w:rsidRDefault="00522279">
      <w:pPr>
        <w:spacing w:after="240" w:line="240" w:lineRule="auto"/>
        <w:jc w:val="both"/>
        <w:rPr>
          <w:rFonts w:cs="Times New Roman"/>
          <w:noProof/>
          <w:szCs w:val="24"/>
        </w:rPr>
      </w:pPr>
      <w:r>
        <w:rPr>
          <w:noProof/>
        </w:rPr>
        <w:t xml:space="preserve">O altă modalitate de a accelera asigurarea respectării normelor este accelerarea verificărilor conformității măsurilor naționale de transpunere. Legislația națională reflectă sistemul constituțional, procedural și administrativ unic al fiecărui stat membru, iar verificarea acestor măsuri necesită timp și resurse. În acest context, Comisia va introduce utilizarea unor instrumente de IA specifice pentru a contribui la verificarea modului în care statele membre transpun legislația UE. Aceste instrumente vor ajuta, de asemenea, Comisia să identifice potențialele cazuri de suprareglementare, contribuind la o evaluare mai sistematică în toate statele membre. În </w:t>
      </w:r>
      <w:r w:rsidRPr="00DD1E6E">
        <w:rPr>
          <w:noProof/>
        </w:rPr>
        <w:t>2026</w:t>
      </w:r>
      <w:r>
        <w:rPr>
          <w:noProof/>
        </w:rPr>
        <w:t>, Comisia va lansa un proiect-pilot pentru verificarea conformității măsurilor naționale de transpunere. IA va sprijini – nu va înlocui – evaluarea umană și va face obiectul unor garanții stricte</w:t>
      </w:r>
      <w:r>
        <w:rPr>
          <w:rStyle w:val="FootnoteReference"/>
          <w:rFonts w:cs="Times New Roman"/>
          <w:noProof/>
          <w:szCs w:val="24"/>
        </w:rPr>
        <w:footnoteReference w:id="47"/>
      </w:r>
      <w:r>
        <w:rPr>
          <w:noProof/>
        </w:rPr>
        <w:t xml:space="preserve">. Statele membre sunt încurajate, de asemenea, să utilizeze IA pentru a-și accelera activitatea de transpunere și monitorizare. </w:t>
      </w:r>
    </w:p>
    <w:p w14:paraId="6AAEDAA1" w14:textId="77777777" w:rsidR="00F754F8" w:rsidRDefault="00522279">
      <w:pPr>
        <w:keepNext/>
        <w:spacing w:after="240" w:line="240" w:lineRule="auto"/>
        <w:jc w:val="both"/>
        <w:rPr>
          <w:rFonts w:cs="Times New Roman"/>
          <w:b/>
          <w:noProof/>
        </w:rPr>
      </w:pPr>
      <w:r>
        <w:rPr>
          <w:b/>
          <w:noProof/>
        </w:rPr>
        <w:t>Consolidarea măsurilor cu efect de descurajare</w:t>
      </w:r>
    </w:p>
    <w:p w14:paraId="510641C2" w14:textId="77777777" w:rsidR="00F754F8" w:rsidRDefault="00522279">
      <w:pPr>
        <w:spacing w:after="240" w:line="240" w:lineRule="auto"/>
        <w:jc w:val="both"/>
        <w:rPr>
          <w:rFonts w:cs="Times New Roman"/>
          <w:noProof/>
          <w:szCs w:val="24"/>
        </w:rPr>
      </w:pPr>
      <w:r>
        <w:rPr>
          <w:noProof/>
        </w:rPr>
        <w:t>O aplicare riguroasă necesită măsuri cu efect de descurajare credibile. După identificarea și investigarea unei încălcări a legislației UE, toate părțile trebuie să colaboreze pentru a o soluționa. În cazul în care acest lucru eșuează și statul membru tot nu se conformează, Comisia poate, în două situații</w:t>
      </w:r>
      <w:r>
        <w:rPr>
          <w:rStyle w:val="FootnoteReference"/>
          <w:rFonts w:cs="Times New Roman"/>
          <w:noProof/>
          <w:szCs w:val="24"/>
        </w:rPr>
        <w:footnoteReference w:id="48"/>
      </w:r>
      <w:r>
        <w:rPr>
          <w:noProof/>
        </w:rPr>
        <w:t xml:space="preserve">, să introducă o procedură în fața Curții de Justiție, solicitând impunerea de sancțiuni financiare. </w:t>
      </w:r>
    </w:p>
    <w:p w14:paraId="78159633" w14:textId="77777777" w:rsidR="00F754F8" w:rsidRDefault="00522279">
      <w:pPr>
        <w:spacing w:after="240" w:line="240" w:lineRule="auto"/>
        <w:jc w:val="both"/>
        <w:rPr>
          <w:rFonts w:eastAsia="Times New Roman" w:cs="Times New Roman"/>
          <w:noProof/>
          <w:szCs w:val="24"/>
        </w:rPr>
      </w:pPr>
      <w:r>
        <w:rPr>
          <w:noProof/>
        </w:rPr>
        <w:t>În cazurile în care transpunerea unei directive este incompletă, tratatele prevăd sancțiuni financiare încă din momentul în care Comisia sesizează pentru prima dată Curtea de Justiție cu privire la un stat membru. În acest caz, în hotărârea sa, Curtea nu poate depăși suma propusă de Comisie. În cazul în care un stat membru nu se conformează primei hotărâri și trebuie să fie trimis pentru a doua oară în fața Curții de Justiție, Curtea dispune de o largă putere de apreciere pentru a decide cu privire la un cuantum mai mare decât cel propus de Comisie (și a procedat în acest mod în ultimii ani). Netranspunerea împiedică aplicarea directivei în ordinea juridică națională, ceea ce înseamnă că cetățenii și întreprinderile sunt privați de drepturile și avantajele conferite de o directivă</w:t>
      </w:r>
      <w:r>
        <w:rPr>
          <w:rStyle w:val="FootnoteReference"/>
          <w:rFonts w:eastAsia="Times New Roman" w:cs="Times New Roman"/>
          <w:noProof/>
          <w:szCs w:val="24"/>
          <w:lang w:eastAsia="en-IE"/>
        </w:rPr>
        <w:footnoteReference w:id="49"/>
      </w:r>
      <w:r>
        <w:rPr>
          <w:noProof/>
        </w:rPr>
        <w:t>.</w:t>
      </w:r>
    </w:p>
    <w:p w14:paraId="6F3023DA" w14:textId="77777777" w:rsidR="00F754F8" w:rsidRDefault="00522279">
      <w:pPr>
        <w:spacing w:after="240" w:line="240" w:lineRule="auto"/>
        <w:jc w:val="both"/>
        <w:rPr>
          <w:rFonts w:cs="Times New Roman"/>
          <w:noProof/>
          <w:szCs w:val="24"/>
        </w:rPr>
      </w:pPr>
      <w:r>
        <w:rPr>
          <w:noProof/>
        </w:rPr>
        <w:t xml:space="preserve">Având în vedere cele de mai sus și necesitatea de a asigura sancțiuni financiare cu efecte suficient de descurajatoare împotriva statelor membre, Comisia va fi sistematic mai strictă atunci când va calcula sancțiunile care urmează să fie propuse Curții, ceea ce va duce la sume mai mari. </w:t>
      </w:r>
    </w:p>
    <w:p w14:paraId="24DC4FD1" w14:textId="77777777" w:rsidR="00F754F8" w:rsidRDefault="00522279">
      <w:pPr>
        <w:keepNext/>
        <w:spacing w:after="240" w:line="240" w:lineRule="auto"/>
        <w:jc w:val="both"/>
        <w:rPr>
          <w:rFonts w:cs="Times New Roman"/>
          <w:b/>
          <w:bCs/>
          <w:noProof/>
        </w:rPr>
      </w:pPr>
      <w:r>
        <w:rPr>
          <w:b/>
          <w:noProof/>
        </w:rPr>
        <w:t>Colaborarea cu statele membre în vederea realizării unui nivel de conformitate mai ridicat</w:t>
      </w:r>
    </w:p>
    <w:p w14:paraId="32EED4E0" w14:textId="77777777" w:rsidR="00F754F8" w:rsidRDefault="00522279">
      <w:pPr>
        <w:spacing w:after="240" w:line="240" w:lineRule="auto"/>
        <w:jc w:val="both"/>
        <w:rPr>
          <w:rFonts w:cs="Times New Roman"/>
          <w:bCs/>
          <w:noProof/>
          <w:szCs w:val="24"/>
        </w:rPr>
      </w:pPr>
      <w:r>
        <w:rPr>
          <w:noProof/>
        </w:rPr>
        <w:t>Eliminarea barierelor existente reprezintă doar jumătate din provocare – prevenirea apariției altora noi este la fel de importantă. Având în vedere evoluția rapidă a legislației, resursele limitate și necesitatea unui răspuns rapid la crize, este esențial ca noile norme să fie puse în aplicare în mod corect încă de la început.</w:t>
      </w:r>
    </w:p>
    <w:p w14:paraId="0F6967F3" w14:textId="77777777" w:rsidR="00F754F8" w:rsidRDefault="00522279">
      <w:pPr>
        <w:spacing w:after="240" w:line="240" w:lineRule="auto"/>
        <w:jc w:val="both"/>
        <w:rPr>
          <w:rFonts w:cs="Times New Roman"/>
          <w:bCs/>
          <w:noProof/>
          <w:szCs w:val="24"/>
        </w:rPr>
      </w:pPr>
      <w:r>
        <w:rPr>
          <w:noProof/>
        </w:rPr>
        <w:t>Comisia crede cu tărie că asigurarea respectării deplină a dreptului UE este o responsabilitate pe care o partajează cu statele membre. În cursul punerii în aplicare, Comisia oferă un sprijin puternic statelor membre sub formă de strategii de punere în aplicare, foi de parcurs privind transpunerea, orientări adaptate și grupuri de lucru specifice. La rândul lor, statele membre ar trebui să colaboreze proactiv cu Comisia, împărtășind din timp provocările legate de punerea în aplicare. Astfel, se poate evita punerea în aplicare fragmentată a legislației UE.</w:t>
      </w:r>
    </w:p>
    <w:p w14:paraId="59C58F32" w14:textId="77777777" w:rsidR="00F754F8" w:rsidRDefault="00522279">
      <w:pPr>
        <w:spacing w:after="240" w:line="240" w:lineRule="auto"/>
        <w:jc w:val="both"/>
        <w:rPr>
          <w:rFonts w:cs="Times New Roman"/>
          <w:bCs/>
          <w:noProof/>
        </w:rPr>
      </w:pPr>
      <w:r>
        <w:rPr>
          <w:noProof/>
        </w:rPr>
        <w:t xml:space="preserve">De-a lungul timpului, numărul noilor directive noi a scăzut, în vreme ce regulamentele utilizate ca instrument legislativ devin tot mai importante și necesită abordări diferite în materie de monitorizare. În acest context, Comisia și statele membre vor trebui să își consolideze monitorizarea punerii în aplicare și a aplicării regulamentelor UE. În </w:t>
      </w:r>
      <w:r w:rsidRPr="00DD1E6E">
        <w:rPr>
          <w:noProof/>
        </w:rPr>
        <w:t>2026</w:t>
      </w:r>
      <w:r>
        <w:rPr>
          <w:noProof/>
        </w:rPr>
        <w:t>, Comisia va dezvolta un nou instrument informatic pentru a oferi un ghișeu unic prin care statele membre să comunice cu Comisia și să notifice măsurile naționale de punere în aplicare în termenele stabilite în regulamente (de exemplu, atunci când desemnează autorități competente). Instrumentul va ajuta, de asemenea, Comisia să ofere statelor membre orientări sistematice privind punerea în aplicare și să efectueze o supraveghere sistematică a punerii în aplicare și a aplicării regulamentelor.</w:t>
      </w:r>
    </w:p>
    <w:p w14:paraId="0B135AAB" w14:textId="77777777" w:rsidR="00F754F8" w:rsidRDefault="00522279">
      <w:pPr>
        <w:spacing w:after="240" w:line="240" w:lineRule="auto"/>
        <w:jc w:val="both"/>
        <w:rPr>
          <w:rFonts w:cs="Times New Roman"/>
          <w:noProof/>
        </w:rPr>
      </w:pPr>
      <w:r>
        <w:rPr>
          <w:noProof/>
        </w:rPr>
        <w:t>Cu toate acestea, nu toate barierele provin din punerea în aplicare deficitară a dreptului UE. Multe dintre acestea decurg din norme naționale unilaterale. Cooperarea eficace înseamnă, de asemenea, că statele membre ar trebui să se abțină de la introducerea unor norme naționale care ar putea deveni problematice pentru buna funcționare a pieței unice și pentru o punere în aplicare coerentă a normelor UE.</w:t>
      </w:r>
    </w:p>
    <w:p w14:paraId="0089FC03" w14:textId="77777777" w:rsidR="00F754F8" w:rsidRDefault="00522279">
      <w:pPr>
        <w:spacing w:after="240" w:line="240" w:lineRule="auto"/>
        <w:jc w:val="both"/>
        <w:rPr>
          <w:rFonts w:cs="Times New Roman"/>
          <w:bCs/>
          <w:noProof/>
        </w:rPr>
      </w:pPr>
      <w:r>
        <w:rPr>
          <w:noProof/>
        </w:rPr>
        <w:t>Pentru a reduce fragmentarea juridică, Comisia va spori utilizarea instrumentelor existente, cum ar fi Directiva privind transparența pieței unice</w:t>
      </w:r>
      <w:r>
        <w:rPr>
          <w:rStyle w:val="FootnoteReference"/>
          <w:noProof/>
        </w:rPr>
        <w:footnoteReference w:id="50"/>
      </w:r>
      <w:r>
        <w:rPr>
          <w:noProof/>
        </w:rPr>
        <w:t xml:space="preserve"> și Directiva privind serviciile</w:t>
      </w:r>
      <w:r>
        <w:rPr>
          <w:rStyle w:val="FootnoteReference"/>
          <w:noProof/>
        </w:rPr>
        <w:footnoteReference w:id="51"/>
      </w:r>
      <w:r>
        <w:rPr>
          <w:noProof/>
        </w:rPr>
        <w:t xml:space="preserve">, care impun statelor membre să notifice proiectele de măsuri naționale și să analizeze posibilitățile existente pentru a îmbunătăți și mai mult aceste proceduri. Dispozițiile respective sunt mecanisme puternice de prevenire a incompatibilităților cu dreptul UE într-un stadiu incipient, înainte de adoptarea măsurilor naționale, eliminând astfel necesitatea unor activități viitoare de asigurare a respectării legii și generând câștiguri de eficiență atât pentru Comisie, cât și pentru statele membre. </w:t>
      </w:r>
    </w:p>
    <w:p w14:paraId="4895A0CF" w14:textId="77777777" w:rsidR="00F754F8" w:rsidRDefault="00522279">
      <w:pPr>
        <w:spacing w:after="240" w:line="240" w:lineRule="auto"/>
        <w:jc w:val="both"/>
        <w:rPr>
          <w:rFonts w:cs="Times New Roman"/>
          <w:bCs/>
          <w:noProof/>
          <w:szCs w:val="24"/>
        </w:rPr>
      </w:pPr>
      <w:r>
        <w:rPr>
          <w:noProof/>
        </w:rPr>
        <w:t>În cadrul sistemului de transparență creat prin Directiva privind transparența pieței unice, statele membre trebuie să notifice proiectele de măsuri privind anumite produse și servicii înainte de a le adopta. Comisia examinează aceste proiecte în raport cu dreptul UE, cu participarea egală a tuturor statelor membre, care își pot prezenta propriile evaluări. După notificare se aplică o „perioadă de așteptare” de trei luni, în cursul căreia statul membru notificator nu poate adopta măsura. Această perioadă permite obținerea de feedback și efectuarea de ajustări. Părțile interesate sunt pe deplin informate prin intermediul platformei „TRIS” și pot oferi feedback semnificativ pentru a preveni barierele la nivel național.</w:t>
      </w:r>
    </w:p>
    <w:p w14:paraId="2F46F500" w14:textId="77777777" w:rsidR="00F754F8" w:rsidRDefault="00522279">
      <w:pPr>
        <w:spacing w:after="240" w:line="240" w:lineRule="auto"/>
        <w:jc w:val="both"/>
        <w:rPr>
          <w:rFonts w:cs="Times New Roman"/>
          <w:noProof/>
          <w:szCs w:val="24"/>
        </w:rPr>
      </w:pPr>
      <w:r>
        <w:rPr>
          <w:noProof/>
        </w:rPr>
        <w:t xml:space="preserve">În ceea ce privește măsurile naționale care intră sub incidența obligației de notificare prevăzute în Directiva privind serviciile, nu se aplică nicio perioadă de așteptare, dar Comisia angajează statele membre să notifice în mod voluntar măsurile cât mai mult posibil în etapa de proiect, pentru a spori impactul preventiv al notificărilor. </w:t>
      </w:r>
    </w:p>
    <w:p w14:paraId="5031D119" w14:textId="77777777" w:rsidR="00F754F8" w:rsidRDefault="00522279">
      <w:pPr>
        <w:spacing w:after="240" w:line="240" w:lineRule="auto"/>
        <w:jc w:val="both"/>
        <w:rPr>
          <w:rFonts w:cs="Times New Roman"/>
          <w:noProof/>
        </w:rPr>
      </w:pPr>
      <w:r>
        <w:rPr>
          <w:noProof/>
        </w:rPr>
        <w:t>În ultimii ani, Comisia a semnalat preocupări legate de conformitate în proiectele de măsuri, în special în sectoare precum cel agroalimentar, al serviciilor digitale și al mediului. Cu toate acestea, nu toate statele membre au abordat aceste aspecte.</w:t>
      </w:r>
    </w:p>
    <w:p w14:paraId="222F8C98" w14:textId="77777777" w:rsidR="00F754F8" w:rsidRDefault="00522279">
      <w:pPr>
        <w:spacing w:after="240" w:line="240" w:lineRule="auto"/>
        <w:jc w:val="both"/>
        <w:rPr>
          <w:rFonts w:cs="Times New Roman"/>
          <w:bCs/>
          <w:noProof/>
          <w:szCs w:val="24"/>
        </w:rPr>
      </w:pPr>
      <w:r>
        <w:rPr>
          <w:noProof/>
        </w:rPr>
        <w:t>Profitând pe deplin de acest instrument preventiv, Comisia va lansa în mod sistematic proceduri de constatare a neîndeplinirii obligațiilor în cazul în care încălcările identificate rămân nesoluționate. Aceasta va asigura, de asemenea, respectarea deplină a Directivei privind transparența pieței unice prin luarea de măsuri de asigurare a respectării normelor atunci când statele membre ignoră cerințele de procedură (de exemplu, dacă nu respectă perioada de așteptare) sau nu notifică proiectele lor de acte. Comisia va proceda în același mod în ceea ce privește dispozițiile similare care ar putea fi introduse în legislația viitoare, ca parte a eforturilor de asigurare a respectării normelor din momentul conceperii.</w:t>
      </w:r>
    </w:p>
    <w:p w14:paraId="153154E6" w14:textId="77777777" w:rsidR="00F754F8" w:rsidRDefault="00522279">
      <w:pPr>
        <w:spacing w:after="240" w:line="240" w:lineRule="auto"/>
        <w:jc w:val="both"/>
        <w:rPr>
          <w:rFonts w:cs="Times New Roman"/>
          <w:bCs/>
          <w:noProof/>
          <w:szCs w:val="24"/>
        </w:rPr>
      </w:pPr>
      <w:r>
        <w:rPr>
          <w:noProof/>
        </w:rPr>
        <w:t>În cele din urmă, pe lângă măsurile de mai sus, în următorul cadru financiar și, în special, în ceea ce privește măsurile din contextul planurilor de parteneriat naționale și regionale, Comisia va acorda o atenție deosebită respectării obligațiilor care decurg din dreptul UE, în special în ceea ce privește buna funcționare a pieței unice.</w:t>
      </w:r>
    </w:p>
    <w:tbl>
      <w:tblPr>
        <w:tblStyle w:val="TableGrid"/>
        <w:tblW w:w="8921" w:type="dxa"/>
        <w:tblLayout w:type="fixed"/>
        <w:tblLook w:val="04A0" w:firstRow="1" w:lastRow="0" w:firstColumn="1" w:lastColumn="0" w:noHBand="0" w:noVBand="1"/>
      </w:tblPr>
      <w:tblGrid>
        <w:gridCol w:w="8921"/>
      </w:tblGrid>
      <w:tr w:rsidR="00F754F8" w14:paraId="6E0A77B2" w14:textId="77777777">
        <w:trPr>
          <w:trHeight w:val="43"/>
        </w:trPr>
        <w:tc>
          <w:tcPr>
            <w:tcW w:w="892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092BF71" w14:textId="77777777" w:rsidR="00F754F8" w:rsidRDefault="00522279">
            <w:pPr>
              <w:keepNext/>
              <w:spacing w:before="120" w:after="240"/>
              <w:jc w:val="both"/>
              <w:rPr>
                <w:b/>
                <w:noProof/>
                <w:u w:val="single"/>
              </w:rPr>
            </w:pPr>
            <w:r>
              <w:rPr>
                <w:b/>
                <w:noProof/>
                <w:u w:val="single"/>
              </w:rPr>
              <w:t>Acțiuni-cheie</w:t>
            </w:r>
          </w:p>
          <w:p w14:paraId="38C71B42" w14:textId="77777777" w:rsidR="00F754F8" w:rsidRDefault="00522279">
            <w:pPr>
              <w:pStyle w:val="ListParagraph"/>
              <w:numPr>
                <w:ilvl w:val="0"/>
                <w:numId w:val="16"/>
              </w:numPr>
              <w:spacing w:after="240"/>
              <w:ind w:left="714" w:hanging="357"/>
              <w:contextualSpacing w:val="0"/>
              <w:jc w:val="both"/>
              <w:rPr>
                <w:rFonts w:cs="Times New Roman"/>
                <w:noProof/>
                <w:szCs w:val="24"/>
              </w:rPr>
            </w:pPr>
            <w:r>
              <w:rPr>
                <w:noProof/>
              </w:rPr>
              <w:t xml:space="preserve">Soluționarea rapidă a problemelor identificate în </w:t>
            </w:r>
            <w:r>
              <w:rPr>
                <w:b/>
                <w:noProof/>
              </w:rPr>
              <w:t>domeniile prioritare ale pieței unice pentru asigurarea respectării normelor</w:t>
            </w:r>
            <w:r>
              <w:rPr>
                <w:noProof/>
              </w:rPr>
              <w:t xml:space="preserve"> și sesizarea Curții de Justiție cu privire la problemele persistente, după caz.</w:t>
            </w:r>
          </w:p>
          <w:p w14:paraId="496D7836" w14:textId="77777777" w:rsidR="00F754F8" w:rsidRDefault="00522279">
            <w:pPr>
              <w:pStyle w:val="ListParagraph"/>
              <w:numPr>
                <w:ilvl w:val="0"/>
                <w:numId w:val="16"/>
              </w:numPr>
              <w:spacing w:after="240"/>
              <w:ind w:left="714" w:hanging="357"/>
              <w:contextualSpacing w:val="0"/>
              <w:jc w:val="both"/>
              <w:rPr>
                <w:rFonts w:cs="Times New Roman"/>
                <w:noProof/>
                <w:szCs w:val="24"/>
              </w:rPr>
            </w:pPr>
            <w:r>
              <w:rPr>
                <w:b/>
                <w:noProof/>
              </w:rPr>
              <w:t>Accelerarea procedurilor de constatare a neîndeplinirii obligațiilor</w:t>
            </w:r>
            <w:r>
              <w:rPr>
                <w:noProof/>
              </w:rPr>
              <w:t xml:space="preserve"> pentru transpunerea incompletă a directivelor, prin avize motivate mai rapide și o monitorizare sistematică în cazul în care statele membre nu au furnizat documente explicative.</w:t>
            </w:r>
          </w:p>
          <w:p w14:paraId="07A9832A" w14:textId="77777777" w:rsidR="00F754F8" w:rsidRDefault="00522279">
            <w:pPr>
              <w:pStyle w:val="ListParagraph"/>
              <w:numPr>
                <w:ilvl w:val="0"/>
                <w:numId w:val="16"/>
              </w:numPr>
              <w:spacing w:after="240"/>
              <w:ind w:left="714" w:hanging="357"/>
              <w:contextualSpacing w:val="0"/>
              <w:jc w:val="both"/>
              <w:rPr>
                <w:rFonts w:cs="Times New Roman"/>
                <w:noProof/>
                <w:szCs w:val="24"/>
              </w:rPr>
            </w:pPr>
            <w:r>
              <w:rPr>
                <w:b/>
                <w:noProof/>
              </w:rPr>
              <w:t>Reducerea numărului de prelungiri ale termenelor</w:t>
            </w:r>
            <w:r>
              <w:rPr>
                <w:noProof/>
              </w:rPr>
              <w:t xml:space="preserve"> în care statele membre trebuie să răspundă Comisiei în cadrul procedurilor de constatare a neîndeplinirii obligațiilor.</w:t>
            </w:r>
          </w:p>
          <w:p w14:paraId="0D19AA0B" w14:textId="77777777" w:rsidR="00F754F8" w:rsidRDefault="00522279">
            <w:pPr>
              <w:pStyle w:val="ListParagraph"/>
              <w:numPr>
                <w:ilvl w:val="0"/>
                <w:numId w:val="16"/>
              </w:numPr>
              <w:spacing w:after="240"/>
              <w:ind w:left="714" w:hanging="357"/>
              <w:contextualSpacing w:val="0"/>
              <w:jc w:val="both"/>
              <w:rPr>
                <w:rFonts w:cs="Times New Roman"/>
                <w:noProof/>
              </w:rPr>
            </w:pPr>
            <w:r>
              <w:rPr>
                <w:noProof/>
              </w:rPr>
              <w:t xml:space="preserve">Introducerea utilizării unor </w:t>
            </w:r>
            <w:r>
              <w:rPr>
                <w:b/>
                <w:noProof/>
              </w:rPr>
              <w:t>instrumente</w:t>
            </w:r>
            <w:r>
              <w:rPr>
                <w:noProof/>
              </w:rPr>
              <w:t xml:space="preserve"> specifice </w:t>
            </w:r>
            <w:r>
              <w:rPr>
                <w:b/>
                <w:noProof/>
              </w:rPr>
              <w:t>de inteligență artificială</w:t>
            </w:r>
            <w:r>
              <w:rPr>
                <w:noProof/>
              </w:rPr>
              <w:t xml:space="preserve"> pentru a contribui la accelerarea evaluărilor transpunerii, reducând astfel sarcinile administrative fără a compromite acuratețea și asigurând garanții stricte.</w:t>
            </w:r>
          </w:p>
          <w:p w14:paraId="2C9D1BEC" w14:textId="77777777" w:rsidR="00F754F8" w:rsidRDefault="00522279">
            <w:pPr>
              <w:pStyle w:val="ListParagraph"/>
              <w:numPr>
                <w:ilvl w:val="0"/>
                <w:numId w:val="16"/>
              </w:numPr>
              <w:spacing w:after="240"/>
              <w:ind w:left="714" w:hanging="357"/>
              <w:contextualSpacing w:val="0"/>
              <w:jc w:val="both"/>
              <w:rPr>
                <w:rFonts w:cs="Times New Roman"/>
                <w:noProof/>
                <w:szCs w:val="24"/>
              </w:rPr>
            </w:pPr>
            <w:r>
              <w:rPr>
                <w:b/>
                <w:noProof/>
              </w:rPr>
              <w:t>Reducerea numărului de cazuri de constatare a neîndeplinirii obligațiilor aflate în curs de soluționare de o perioadă îndelungată</w:t>
            </w:r>
            <w:r>
              <w:rPr>
                <w:noProof/>
              </w:rPr>
              <w:t xml:space="preserve"> până la sfârșitul mandatului actualei Comisii, cu un accent deosebit pe cazurile deschise de peste cinci ani care nu au fost înaintate Curții de Justiție.</w:t>
            </w:r>
          </w:p>
          <w:p w14:paraId="224501DB" w14:textId="77777777" w:rsidR="00F754F8" w:rsidRDefault="00522279">
            <w:pPr>
              <w:pStyle w:val="ListParagraph"/>
              <w:numPr>
                <w:ilvl w:val="0"/>
                <w:numId w:val="16"/>
              </w:numPr>
              <w:spacing w:after="240"/>
              <w:ind w:left="714" w:hanging="357"/>
              <w:contextualSpacing w:val="0"/>
              <w:jc w:val="both"/>
              <w:rPr>
                <w:rFonts w:eastAsia="Calibri"/>
                <w:noProof/>
              </w:rPr>
            </w:pPr>
            <w:r>
              <w:rPr>
                <w:noProof/>
              </w:rPr>
              <w:t xml:space="preserve">Aplicarea unor </w:t>
            </w:r>
            <w:r>
              <w:rPr>
                <w:b/>
                <w:noProof/>
              </w:rPr>
              <w:t>sancțiuni financiare cu un efect descurajator mai ridicat</w:t>
            </w:r>
            <w:r>
              <w:rPr>
                <w:noProof/>
              </w:rPr>
              <w:t xml:space="preserve"> împotriva statelor membre în cazurile care au fost înaintate Curții de Justiție.</w:t>
            </w:r>
          </w:p>
          <w:p w14:paraId="4C64EF39" w14:textId="77777777" w:rsidR="00F754F8" w:rsidRDefault="00522279">
            <w:pPr>
              <w:pStyle w:val="ListParagraph"/>
              <w:numPr>
                <w:ilvl w:val="0"/>
                <w:numId w:val="16"/>
              </w:numPr>
              <w:spacing w:after="240" w:line="259" w:lineRule="auto"/>
              <w:contextualSpacing w:val="0"/>
              <w:jc w:val="both"/>
              <w:rPr>
                <w:rFonts w:eastAsia="Calibri"/>
                <w:noProof/>
              </w:rPr>
            </w:pPr>
            <w:r>
              <w:rPr>
                <w:noProof/>
              </w:rPr>
              <w:t xml:space="preserve">Pe lângă controlul existent al transpunerii directivelor, </w:t>
            </w:r>
            <w:r>
              <w:rPr>
                <w:b/>
                <w:noProof/>
              </w:rPr>
              <w:t>o mai bună monitorizare a regulamentelor UE</w:t>
            </w:r>
            <w:r>
              <w:rPr>
                <w:noProof/>
              </w:rPr>
              <w:t xml:space="preserve"> prin intermediul unui nou instrument informatic pentru centralizarea notificărilor statelor membre, după caz, și pentru sistematizarea orientărilor privind punerea în aplicare și consolidarea supravegherii de către Comisie.</w:t>
            </w:r>
          </w:p>
          <w:p w14:paraId="573A2E2E" w14:textId="77777777" w:rsidR="00F754F8" w:rsidRDefault="00522279">
            <w:pPr>
              <w:pStyle w:val="ListParagraph"/>
              <w:numPr>
                <w:ilvl w:val="0"/>
                <w:numId w:val="16"/>
              </w:numPr>
              <w:spacing w:after="240"/>
              <w:contextualSpacing w:val="0"/>
              <w:jc w:val="both"/>
              <w:rPr>
                <w:rFonts w:eastAsia="Calibri"/>
                <w:noProof/>
              </w:rPr>
            </w:pPr>
            <w:r>
              <w:rPr>
                <w:b/>
                <w:noProof/>
              </w:rPr>
              <w:t>O mai bună prevenire a încălcărilor normelor privind piața unică</w:t>
            </w:r>
            <w:r>
              <w:rPr>
                <w:noProof/>
              </w:rPr>
              <w:t>, utilizând cerințele de notificare prevăzute în Directiva privind transparența pieței unice și în Directiva privind serviciile.</w:t>
            </w:r>
          </w:p>
        </w:tc>
      </w:tr>
      <w:bookmarkEnd w:id="0"/>
    </w:tbl>
    <w:p w14:paraId="229ED177" w14:textId="77777777" w:rsidR="00F754F8" w:rsidRDefault="00F754F8">
      <w:pPr>
        <w:spacing w:after="240" w:line="240" w:lineRule="auto"/>
        <w:jc w:val="both"/>
        <w:rPr>
          <w:rFonts w:cs="Times New Roman"/>
          <w:noProof/>
          <w:szCs w:val="24"/>
        </w:rPr>
      </w:pPr>
    </w:p>
    <w:sectPr w:rsidR="00F754F8">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B389ED" w14:textId="77777777" w:rsidR="00F754F8" w:rsidRDefault="00522279">
      <w:pPr>
        <w:spacing w:after="0" w:line="240" w:lineRule="auto"/>
      </w:pPr>
      <w:r>
        <w:separator/>
      </w:r>
    </w:p>
  </w:endnote>
  <w:endnote w:type="continuationSeparator" w:id="0">
    <w:p w14:paraId="12BD3694" w14:textId="77777777" w:rsidR="00F754F8" w:rsidRDefault="00522279">
      <w:pPr>
        <w:spacing w:after="0" w:line="240" w:lineRule="auto"/>
      </w:pPr>
      <w:r>
        <w:continuationSeparator/>
      </w:r>
    </w:p>
  </w:endnote>
  <w:endnote w:type="continuationNotice" w:id="1">
    <w:p w14:paraId="54590D6C" w14:textId="77777777" w:rsidR="00F754F8" w:rsidRDefault="00F754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w:altName w:val="游ゴシック"/>
    <w:panose1 w:val="020B0400000000000000"/>
    <w:charset w:val="80"/>
    <w:family w:val="swiss"/>
    <w:pitch w:val="variable"/>
    <w:sig w:usb0="E00002FF" w:usb1="2AC7FDFF" w:usb2="00000016" w:usb3="00000000" w:csb0="0002009F" w:csb1="00000000"/>
  </w:font>
  <w:font w:name="Aptos">
    <w:altName w:val="Times New Roman"/>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D5120" w14:textId="592F8023" w:rsidR="002A44A2" w:rsidRPr="002A44A2" w:rsidRDefault="002A44A2" w:rsidP="002A44A2">
    <w:pPr>
      <w:pStyle w:val="FooterCoverPage"/>
      <w:rPr>
        <w:rFonts w:ascii="Arial" w:hAnsi="Arial" w:cs="Arial"/>
        <w:b/>
        <w:sz w:val="48"/>
      </w:rPr>
    </w:pPr>
    <w:r w:rsidRPr="002A44A2">
      <w:rPr>
        <w:rFonts w:ascii="Arial" w:hAnsi="Arial" w:cs="Arial"/>
        <w:b/>
        <w:sz w:val="48"/>
      </w:rPr>
      <w:t>RO</w:t>
    </w:r>
    <w:r w:rsidRPr="002A44A2">
      <w:rPr>
        <w:rFonts w:ascii="Arial" w:hAnsi="Arial" w:cs="Arial"/>
        <w:b/>
        <w:sz w:val="48"/>
      </w:rPr>
      <w:tab/>
    </w:r>
    <w:r w:rsidRPr="002A44A2">
      <w:rPr>
        <w:rFonts w:ascii="Arial" w:hAnsi="Arial" w:cs="Arial"/>
        <w:b/>
        <w:sz w:val="48"/>
      </w:rPr>
      <w:tab/>
    </w:r>
    <w:r w:rsidRPr="002A44A2">
      <w:tab/>
    </w:r>
    <w:r w:rsidRPr="002A44A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E7215" w14:textId="6957B7A9" w:rsidR="002A44A2" w:rsidRPr="002A44A2" w:rsidRDefault="002A44A2" w:rsidP="002A44A2">
    <w:pPr>
      <w:pStyle w:val="FooterCoverPage"/>
      <w:rPr>
        <w:rFonts w:ascii="Arial" w:hAnsi="Arial" w:cs="Arial"/>
        <w:b/>
        <w:sz w:val="48"/>
      </w:rPr>
    </w:pPr>
    <w:r w:rsidRPr="002A44A2">
      <w:rPr>
        <w:rFonts w:ascii="Arial" w:hAnsi="Arial" w:cs="Arial"/>
        <w:b/>
        <w:sz w:val="48"/>
      </w:rPr>
      <w:t>RO</w:t>
    </w:r>
    <w:r w:rsidRPr="002A44A2">
      <w:rPr>
        <w:rFonts w:ascii="Arial" w:hAnsi="Arial" w:cs="Arial"/>
        <w:b/>
        <w:sz w:val="48"/>
      </w:rPr>
      <w:tab/>
    </w:r>
    <w:r w:rsidRPr="002A44A2">
      <w:rPr>
        <w:rFonts w:ascii="Arial" w:hAnsi="Arial" w:cs="Arial"/>
        <w:b/>
        <w:sz w:val="48"/>
      </w:rPr>
      <w:tab/>
    </w:r>
    <w:r w:rsidRPr="002A44A2">
      <w:tab/>
    </w:r>
    <w:r w:rsidRPr="002A44A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0B853" w14:textId="77777777" w:rsidR="002A44A2" w:rsidRPr="002A44A2" w:rsidRDefault="002A44A2" w:rsidP="002A44A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245AF" w14:textId="77777777" w:rsidR="00F754F8" w:rsidRDefault="00F754F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270130"/>
      <w:docPartObj>
        <w:docPartGallery w:val="Page Numbers (Bottom of Page)"/>
        <w:docPartUnique/>
      </w:docPartObj>
    </w:sdtPr>
    <w:sdtEndPr>
      <w:rPr>
        <w:sz w:val="20"/>
        <w:szCs w:val="20"/>
      </w:rPr>
    </w:sdtEndPr>
    <w:sdtContent>
      <w:p w14:paraId="21150D80" w14:textId="78EDF8EC" w:rsidR="00F754F8" w:rsidRDefault="00522279">
        <w:pPr>
          <w:pStyle w:val="Footer"/>
          <w:jc w:val="right"/>
          <w:rPr>
            <w:sz w:val="20"/>
          </w:rPr>
        </w:pPr>
        <w:r>
          <w:rPr>
            <w:sz w:val="20"/>
          </w:rPr>
          <w:fldChar w:fldCharType="begin"/>
        </w:r>
        <w:r>
          <w:rPr>
            <w:sz w:val="20"/>
          </w:rPr>
          <w:instrText xml:space="preserve"> PAGE   \* MERGEFORMAT </w:instrText>
        </w:r>
        <w:r>
          <w:rPr>
            <w:sz w:val="20"/>
          </w:rPr>
          <w:fldChar w:fldCharType="separate"/>
        </w:r>
        <w:r w:rsidR="002A44A2">
          <w:rPr>
            <w:noProof/>
            <w:sz w:val="20"/>
          </w:rPr>
          <w:t>1</w:t>
        </w:r>
        <w:r>
          <w:rPr>
            <w:sz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36D5D" w14:textId="77777777" w:rsidR="00F754F8" w:rsidRDefault="00F754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45864F" w14:textId="77777777" w:rsidR="00F754F8" w:rsidRDefault="00522279">
      <w:pPr>
        <w:spacing w:after="0" w:line="240" w:lineRule="auto"/>
      </w:pPr>
      <w:r>
        <w:separator/>
      </w:r>
    </w:p>
  </w:footnote>
  <w:footnote w:type="continuationSeparator" w:id="0">
    <w:p w14:paraId="04338082" w14:textId="77777777" w:rsidR="00F754F8" w:rsidRDefault="00522279">
      <w:pPr>
        <w:spacing w:after="0" w:line="240" w:lineRule="auto"/>
      </w:pPr>
      <w:r>
        <w:continuationSeparator/>
      </w:r>
    </w:p>
  </w:footnote>
  <w:footnote w:type="continuationNotice" w:id="1">
    <w:p w14:paraId="0C37BC9D" w14:textId="77777777" w:rsidR="00F754F8" w:rsidRDefault="00F754F8">
      <w:pPr>
        <w:spacing w:after="0" w:line="240" w:lineRule="auto"/>
      </w:pPr>
    </w:p>
  </w:footnote>
  <w:footnote w:id="2">
    <w:p w14:paraId="7EF847A7" w14:textId="77777777" w:rsidR="00F754F8" w:rsidRDefault="00522279">
      <w:pPr>
        <w:spacing w:after="0" w:line="240" w:lineRule="auto"/>
        <w:rPr>
          <w:sz w:val="20"/>
          <w:szCs w:val="20"/>
        </w:rPr>
      </w:pPr>
      <w:r>
        <w:rPr>
          <w:rStyle w:val="FootnoteReference"/>
          <w:sz w:val="20"/>
          <w:szCs w:val="20"/>
        </w:rPr>
        <w:footnoteRef/>
      </w:r>
      <w:r>
        <w:rPr>
          <w:sz w:val="20"/>
        </w:rPr>
        <w:t xml:space="preserve"> </w:t>
      </w:r>
      <w:r>
        <w:rPr>
          <w:i/>
          <w:sz w:val="20"/>
        </w:rPr>
        <w:t xml:space="preserve">OECD Regulatory Policy Outlook </w:t>
      </w:r>
      <w:r w:rsidRPr="00DD1E6E">
        <w:rPr>
          <w:i/>
          <w:sz w:val="20"/>
        </w:rPr>
        <w:t>2025</w:t>
      </w:r>
      <w:r>
        <w:t xml:space="preserve"> (Perspectivele OCDE privind politica de reglementare </w:t>
      </w:r>
      <w:r w:rsidRPr="00DD1E6E">
        <w:t>2025</w:t>
      </w:r>
      <w:r>
        <w:t xml:space="preserve">), </w:t>
      </w:r>
      <w:r>
        <w:rPr>
          <w:rStyle w:val="Hyperlink"/>
          <w:sz w:val="20"/>
        </w:rPr>
        <w:t>https://www.oecd.org/content/dam/oecd/en/publications/reports/</w:t>
      </w:r>
      <w:r w:rsidRPr="00DD1E6E">
        <w:rPr>
          <w:rStyle w:val="Hyperlink"/>
          <w:sz w:val="20"/>
        </w:rPr>
        <w:t>2025</w:t>
      </w:r>
      <w:r>
        <w:rPr>
          <w:rStyle w:val="Hyperlink"/>
          <w:sz w:val="20"/>
        </w:rPr>
        <w:t>/</w:t>
      </w:r>
      <w:r w:rsidRPr="00DD1E6E">
        <w:rPr>
          <w:rStyle w:val="Hyperlink"/>
          <w:sz w:val="20"/>
        </w:rPr>
        <w:t>04</w:t>
      </w:r>
      <w:r>
        <w:rPr>
          <w:rStyle w:val="Hyperlink"/>
          <w:sz w:val="20"/>
        </w:rPr>
        <w:t>/oecd-regulatory-policy-outlook-</w:t>
      </w:r>
      <w:r w:rsidRPr="00DD1E6E">
        <w:rPr>
          <w:rStyle w:val="Hyperlink"/>
          <w:sz w:val="20"/>
        </w:rPr>
        <w:t>2025</w:t>
      </w:r>
      <w:r>
        <w:rPr>
          <w:rStyle w:val="Hyperlink"/>
          <w:sz w:val="20"/>
        </w:rPr>
        <w:t>_a</w:t>
      </w:r>
      <w:r w:rsidRPr="00DD1E6E">
        <w:rPr>
          <w:rStyle w:val="Hyperlink"/>
          <w:sz w:val="20"/>
        </w:rPr>
        <w:t>754</w:t>
      </w:r>
      <w:r>
        <w:rPr>
          <w:rStyle w:val="Hyperlink"/>
          <w:sz w:val="20"/>
        </w:rPr>
        <w:t>bf</w:t>
      </w:r>
      <w:r w:rsidRPr="00DD1E6E">
        <w:rPr>
          <w:rStyle w:val="Hyperlink"/>
          <w:sz w:val="20"/>
        </w:rPr>
        <w:t>4</w:t>
      </w:r>
      <w:r>
        <w:rPr>
          <w:rStyle w:val="Hyperlink"/>
          <w:sz w:val="20"/>
        </w:rPr>
        <w:t>c/</w:t>
      </w:r>
      <w:r w:rsidRPr="00DD1E6E">
        <w:rPr>
          <w:rStyle w:val="Hyperlink"/>
          <w:sz w:val="20"/>
        </w:rPr>
        <w:t>56</w:t>
      </w:r>
      <w:r>
        <w:rPr>
          <w:rStyle w:val="Hyperlink"/>
          <w:sz w:val="20"/>
        </w:rPr>
        <w:t>b</w:t>
      </w:r>
      <w:r w:rsidRPr="00DD1E6E">
        <w:rPr>
          <w:rStyle w:val="Hyperlink"/>
          <w:sz w:val="20"/>
        </w:rPr>
        <w:t>60</w:t>
      </w:r>
      <w:r>
        <w:rPr>
          <w:rStyle w:val="Hyperlink"/>
          <w:sz w:val="20"/>
        </w:rPr>
        <w:t>e</w:t>
      </w:r>
      <w:r w:rsidRPr="00DD1E6E">
        <w:rPr>
          <w:rStyle w:val="Hyperlink"/>
          <w:sz w:val="20"/>
        </w:rPr>
        <w:t>39</w:t>
      </w:r>
      <w:r>
        <w:rPr>
          <w:rStyle w:val="Hyperlink"/>
          <w:sz w:val="20"/>
        </w:rPr>
        <w:t>-en.pdf</w:t>
      </w:r>
      <w:r>
        <w:t>.</w:t>
      </w:r>
    </w:p>
  </w:footnote>
  <w:footnote w:id="3">
    <w:p w14:paraId="15E1C4FC" w14:textId="77777777" w:rsidR="00F754F8" w:rsidRDefault="00522279">
      <w:pPr>
        <w:pStyle w:val="FootnoteText"/>
      </w:pPr>
      <w:r>
        <w:rPr>
          <w:rStyle w:val="FootnoteReference"/>
        </w:rPr>
        <w:footnoteRef/>
      </w:r>
      <w:r>
        <w:t xml:space="preserve"> </w:t>
      </w:r>
      <w:hyperlink r:id="rId1" w:history="1">
        <w:r>
          <w:rPr>
            <w:rStyle w:val="Hyperlink"/>
          </w:rPr>
          <w:t>https://commission.europa.eu/document/</w:t>
        </w:r>
        <w:r w:rsidRPr="00DD1E6E">
          <w:rPr>
            <w:rStyle w:val="Hyperlink"/>
          </w:rPr>
          <w:t>5445</w:t>
        </w:r>
        <w:r>
          <w:rPr>
            <w:rStyle w:val="Hyperlink"/>
          </w:rPr>
          <w:t>de</w:t>
        </w:r>
        <w:r w:rsidRPr="00DD1E6E">
          <w:rPr>
            <w:rStyle w:val="Hyperlink"/>
          </w:rPr>
          <w:t>81</w:t>
        </w:r>
        <w:r>
          <w:rPr>
            <w:rStyle w:val="Hyperlink"/>
          </w:rPr>
          <w:t>-</w:t>
        </w:r>
        <w:r w:rsidRPr="00DD1E6E">
          <w:rPr>
            <w:rStyle w:val="Hyperlink"/>
          </w:rPr>
          <w:t>9481</w:t>
        </w:r>
        <w:r>
          <w:rPr>
            <w:rStyle w:val="Hyperlink"/>
          </w:rPr>
          <w:t>-</w:t>
        </w:r>
        <w:r w:rsidRPr="00DD1E6E">
          <w:rPr>
            <w:rStyle w:val="Hyperlink"/>
          </w:rPr>
          <w:t>4335</w:t>
        </w:r>
        <w:r>
          <w:rPr>
            <w:rStyle w:val="Hyperlink"/>
          </w:rPr>
          <w:t>-</w:t>
        </w:r>
        <w:r w:rsidRPr="00DD1E6E">
          <w:rPr>
            <w:rStyle w:val="Hyperlink"/>
          </w:rPr>
          <w:t>9902</w:t>
        </w:r>
        <w:r>
          <w:rPr>
            <w:rStyle w:val="Hyperlink"/>
          </w:rPr>
          <w:t>-</w:t>
        </w:r>
        <w:r w:rsidRPr="00DD1E6E">
          <w:rPr>
            <w:rStyle w:val="Hyperlink"/>
          </w:rPr>
          <w:t>9756159</w:t>
        </w:r>
        <w:r>
          <w:rPr>
            <w:rStyle w:val="Hyperlink"/>
          </w:rPr>
          <w:t>ba</w:t>
        </w:r>
        <w:r w:rsidRPr="00DD1E6E">
          <w:rPr>
            <w:rStyle w:val="Hyperlink"/>
          </w:rPr>
          <w:t>614</w:t>
        </w:r>
        <w:r>
          <w:rPr>
            <w:rStyle w:val="Hyperlink"/>
          </w:rPr>
          <w:t>_en</w:t>
        </w:r>
      </w:hyperlink>
      <w:r>
        <w:t xml:space="preserve">. </w:t>
      </w:r>
    </w:p>
  </w:footnote>
  <w:footnote w:id="4">
    <w:p w14:paraId="114EC001" w14:textId="77777777" w:rsidR="00F754F8" w:rsidRDefault="00522279">
      <w:pPr>
        <w:spacing w:after="0" w:line="240" w:lineRule="auto"/>
        <w:ind w:left="227" w:hanging="227"/>
      </w:pPr>
      <w:r>
        <w:rPr>
          <w:rStyle w:val="FootnoteReference"/>
          <w:sz w:val="20"/>
          <w:szCs w:val="20"/>
        </w:rPr>
        <w:footnoteRef/>
      </w:r>
      <w:r>
        <w:rPr>
          <w:rStyle w:val="FootnoteReference"/>
          <w:sz w:val="20"/>
        </w:rPr>
        <w:t xml:space="preserve"> </w:t>
      </w:r>
      <w:r>
        <w:tab/>
      </w:r>
      <w:r>
        <w:rPr>
          <w:rStyle w:val="FootnoteReference"/>
          <w:sz w:val="20"/>
          <w:vertAlign w:val="baseline"/>
        </w:rPr>
        <w:t>Cerere de contribuții,</w:t>
      </w:r>
      <w:r>
        <w:rPr>
          <w:rStyle w:val="FootnoteReference"/>
          <w:sz w:val="20"/>
        </w:rPr>
        <w:t xml:space="preserve">, </w:t>
      </w:r>
      <w:hyperlink r:id="rId2" w:history="1">
        <w:r>
          <w:rPr>
            <w:rStyle w:val="Hyperlink"/>
            <w:sz w:val="20"/>
          </w:rPr>
          <w:t>https://ec.europa.eu/info/law/better-regulation/have-your-say/initiatives/</w:t>
        </w:r>
        <w:r w:rsidRPr="00DD1E6E">
          <w:rPr>
            <w:rStyle w:val="Hyperlink"/>
            <w:sz w:val="20"/>
          </w:rPr>
          <w:t>16232</w:t>
        </w:r>
        <w:r>
          <w:rPr>
            <w:rStyle w:val="Hyperlink"/>
            <w:sz w:val="20"/>
          </w:rPr>
          <w:t>-Comunicarea-privind-o-mai-buna-legiferare_ro</w:t>
        </w:r>
      </w:hyperlink>
      <w:r>
        <w:t>.</w:t>
      </w:r>
    </w:p>
  </w:footnote>
  <w:footnote w:id="5">
    <w:p w14:paraId="1528B2A5" w14:textId="10B6403C" w:rsidR="00F754F8" w:rsidRDefault="00522279">
      <w:pPr>
        <w:spacing w:after="0" w:line="240" w:lineRule="auto"/>
        <w:ind w:left="227" w:hanging="227"/>
        <w:jc w:val="both"/>
        <w:rPr>
          <w:sz w:val="20"/>
          <w:szCs w:val="20"/>
        </w:rPr>
      </w:pPr>
      <w:r>
        <w:rPr>
          <w:rStyle w:val="FootnoteReference"/>
          <w:sz w:val="20"/>
          <w:szCs w:val="20"/>
        </w:rPr>
        <w:footnoteRef/>
      </w:r>
      <w:r>
        <w:rPr>
          <w:sz w:val="20"/>
        </w:rPr>
        <w:t xml:space="preserve"> </w:t>
      </w:r>
      <w:r>
        <w:tab/>
      </w:r>
      <w:r>
        <w:rPr>
          <w:sz w:val="20"/>
        </w:rPr>
        <w:t>Printre respondenți se numără asociații de întreprinderi (</w:t>
      </w:r>
      <w:r w:rsidRPr="00DD1E6E">
        <w:rPr>
          <w:sz w:val="20"/>
        </w:rPr>
        <w:t>100</w:t>
      </w:r>
      <w:r>
        <w:rPr>
          <w:sz w:val="20"/>
        </w:rPr>
        <w:t>), ONG-uri (</w:t>
      </w:r>
      <w:r w:rsidRPr="00DD1E6E">
        <w:rPr>
          <w:sz w:val="20"/>
        </w:rPr>
        <w:t>65</w:t>
      </w:r>
      <w:r>
        <w:rPr>
          <w:sz w:val="20"/>
        </w:rPr>
        <w:t>), cetățeni ai UE (</w:t>
      </w:r>
      <w:r w:rsidRPr="00DD1E6E">
        <w:rPr>
          <w:sz w:val="20"/>
        </w:rPr>
        <w:t>29</w:t>
      </w:r>
      <w:r>
        <w:rPr>
          <w:sz w:val="20"/>
        </w:rPr>
        <w:t>), întreprinderi</w:t>
      </w:r>
      <w:r w:rsidR="00034282">
        <w:rPr>
          <w:sz w:val="20"/>
        </w:rPr>
        <w:t> </w:t>
      </w:r>
      <w:r>
        <w:rPr>
          <w:sz w:val="20"/>
        </w:rPr>
        <w:t>(</w:t>
      </w:r>
      <w:r w:rsidRPr="00DD1E6E">
        <w:rPr>
          <w:sz w:val="20"/>
        </w:rPr>
        <w:t>22</w:t>
      </w:r>
      <w:r>
        <w:rPr>
          <w:sz w:val="20"/>
        </w:rPr>
        <w:t>), autorități publice (</w:t>
      </w:r>
      <w:r w:rsidRPr="00DD1E6E">
        <w:rPr>
          <w:sz w:val="20"/>
        </w:rPr>
        <w:t>22</w:t>
      </w:r>
      <w:r>
        <w:rPr>
          <w:sz w:val="20"/>
        </w:rPr>
        <w:t>), „alții” (</w:t>
      </w:r>
      <w:r w:rsidRPr="00DD1E6E">
        <w:rPr>
          <w:sz w:val="20"/>
        </w:rPr>
        <w:t>16</w:t>
      </w:r>
      <w:r>
        <w:rPr>
          <w:sz w:val="20"/>
        </w:rPr>
        <w:t>), „sindicate” (</w:t>
      </w:r>
      <w:r w:rsidRPr="00DD1E6E">
        <w:rPr>
          <w:sz w:val="20"/>
        </w:rPr>
        <w:t>12</w:t>
      </w:r>
      <w:r>
        <w:rPr>
          <w:sz w:val="20"/>
        </w:rPr>
        <w:t>), „instituții academice/de cercetare” (</w:t>
      </w:r>
      <w:r w:rsidRPr="00DD1E6E">
        <w:rPr>
          <w:sz w:val="20"/>
        </w:rPr>
        <w:t>11</w:t>
      </w:r>
      <w:r>
        <w:rPr>
          <w:sz w:val="20"/>
        </w:rPr>
        <w:t>), „organizații de mediu” (</w:t>
      </w:r>
      <w:r w:rsidRPr="00DD1E6E">
        <w:rPr>
          <w:sz w:val="20"/>
        </w:rPr>
        <w:t>5</w:t>
      </w:r>
      <w:r>
        <w:rPr>
          <w:sz w:val="20"/>
        </w:rPr>
        <w:t>), „organizații ale consumatorilor” (</w:t>
      </w:r>
      <w:r w:rsidRPr="00DD1E6E">
        <w:rPr>
          <w:sz w:val="20"/>
        </w:rPr>
        <w:t>4</w:t>
      </w:r>
      <w:r>
        <w:rPr>
          <w:sz w:val="20"/>
        </w:rPr>
        <w:t>) și „cetățeni din afara UE” (</w:t>
      </w:r>
      <w:r w:rsidRPr="00DD1E6E">
        <w:rPr>
          <w:sz w:val="20"/>
        </w:rPr>
        <w:t>2</w:t>
      </w:r>
      <w:r>
        <w:rPr>
          <w:sz w:val="20"/>
        </w:rPr>
        <w:t>).</w:t>
      </w:r>
    </w:p>
  </w:footnote>
  <w:footnote w:id="6">
    <w:p w14:paraId="555A13F8" w14:textId="77777777" w:rsidR="00F754F8" w:rsidRDefault="00522279">
      <w:pPr>
        <w:pStyle w:val="FootnoteText"/>
      </w:pPr>
      <w:r>
        <w:rPr>
          <w:rStyle w:val="FootnoteReference"/>
        </w:rPr>
        <w:footnoteRef/>
      </w:r>
      <w:r>
        <w:t xml:space="preserve"> </w:t>
      </w:r>
      <w:r>
        <w:tab/>
        <w:t>Deși directivele impun măsuri de transpunere și permit statelor membre o mai mare flexibilitate în ceea ce privește punerea în aplicare, regulamentele sunt direct aplicabile și reglementează domeniul de politică fără a necesita dispoziții normative suplimentare de amploare în statele membre.</w:t>
      </w:r>
    </w:p>
  </w:footnote>
  <w:footnote w:id="7">
    <w:p w14:paraId="7BBCFB7D" w14:textId="77777777" w:rsidR="00F754F8" w:rsidRDefault="00522279">
      <w:pPr>
        <w:pStyle w:val="FootnoteText"/>
      </w:pPr>
      <w:r>
        <w:rPr>
          <w:rStyle w:val="FootnoteReference"/>
        </w:rPr>
        <w:footnoteRef/>
      </w:r>
      <w:r>
        <w:t xml:space="preserve"> </w:t>
      </w:r>
      <w:r>
        <w:tab/>
        <w:t xml:space="preserve">Acest lucru este valabil în cazul în care normele UE reglementează în mod exhaustiv chestiunea reglementată de act și conțin un set complet de dispoziții care reglementează în mod autonom. </w:t>
      </w:r>
    </w:p>
  </w:footnote>
  <w:footnote w:id="8">
    <w:p w14:paraId="1C08E7EB" w14:textId="77777777" w:rsidR="00F754F8" w:rsidRDefault="00522279">
      <w:pPr>
        <w:pStyle w:val="FootnoteText"/>
      </w:pPr>
      <w:r>
        <w:rPr>
          <w:rStyle w:val="FootnoteReference"/>
        </w:rPr>
        <w:footnoteRef/>
      </w:r>
      <w:r>
        <w:t xml:space="preserve"> </w:t>
      </w:r>
      <w:r>
        <w:tab/>
        <w:t>EUR-Lex oferă acces la legislația UE, inclusiv la versiunea autentică a Jurnalului Oficial al UE, la versiunile consolidate ale actelor juridice ale UE (texte fără efecte juridice), la rezumate ale legislației și la jurisprudență. Acesta este un fond online cuprinzător de legislație UE și documente conexe, care le permite utilizatorilor să caute, să consulte și să descarce documente și să urmărească progresele înregistrate în ceea ce privește propunerile legislative.</w:t>
      </w:r>
    </w:p>
  </w:footnote>
  <w:footnote w:id="9">
    <w:p w14:paraId="1CB5DF71" w14:textId="77777777" w:rsidR="00F754F8" w:rsidRDefault="00522279">
      <w:pPr>
        <w:pStyle w:val="FootnoteText"/>
      </w:pPr>
      <w:r>
        <w:rPr>
          <w:rStyle w:val="FootnoteReference"/>
        </w:rPr>
        <w:footnoteRef/>
      </w:r>
      <w:r>
        <w:t xml:space="preserve"> </w:t>
      </w:r>
      <w:r>
        <w:tab/>
        <w:t>Comunicarea Comisiei „DigitalJustice@</w:t>
      </w:r>
      <w:r w:rsidRPr="00DD1E6E">
        <w:t>2030</w:t>
      </w:r>
      <w:r>
        <w:t>”, COM(</w:t>
      </w:r>
      <w:r w:rsidRPr="00DD1E6E">
        <w:t>2025</w:t>
      </w:r>
      <w:r>
        <w:t xml:space="preserve">) </w:t>
      </w:r>
      <w:r w:rsidRPr="00DD1E6E">
        <w:t>802</w:t>
      </w:r>
      <w:r>
        <w:t>.</w:t>
      </w:r>
    </w:p>
  </w:footnote>
  <w:footnote w:id="10">
    <w:p w14:paraId="0849A6F4" w14:textId="77777777" w:rsidR="00F754F8" w:rsidRDefault="00522279">
      <w:pPr>
        <w:pStyle w:val="FootnoteText"/>
      </w:pPr>
      <w:r>
        <w:rPr>
          <w:rStyle w:val="FootnoteReference"/>
        </w:rPr>
        <w:footnoteRef/>
      </w:r>
      <w:r>
        <w:t xml:space="preserve"> </w:t>
      </w:r>
      <w:r>
        <w:tab/>
        <w:t xml:space="preserve">Acordul interinstituțional din </w:t>
      </w:r>
      <w:r w:rsidRPr="00DD1E6E">
        <w:t>20</w:t>
      </w:r>
      <w:r>
        <w:t xml:space="preserve"> decembrie </w:t>
      </w:r>
      <w:r w:rsidRPr="00DD1E6E">
        <w:t>1994</w:t>
      </w:r>
      <w:r>
        <w:t xml:space="preserve"> privind metoda de lucru accelerată pentru codificarea oficială a textelor legislative, JO C </w:t>
      </w:r>
      <w:r w:rsidRPr="00DD1E6E">
        <w:t>102</w:t>
      </w:r>
      <w:r>
        <w:t>, p. </w:t>
      </w:r>
      <w:r w:rsidRPr="00DD1E6E">
        <w:t>2</w:t>
      </w:r>
      <w:r>
        <w:t xml:space="preserve">, </w:t>
      </w:r>
      <w:hyperlink r:id="rId3" w:history="1">
        <w:r>
          <w:rPr>
            <w:rStyle w:val="Hyperlink"/>
          </w:rPr>
          <w:t xml:space="preserve">EUR-Lex - </w:t>
        </w:r>
        <w:r w:rsidRPr="00DD1E6E">
          <w:rPr>
            <w:rStyle w:val="Hyperlink"/>
          </w:rPr>
          <w:t>31996</w:t>
        </w:r>
        <w:r>
          <w:rPr>
            <w:rStyle w:val="Hyperlink"/>
          </w:rPr>
          <w:t>Y</w:t>
        </w:r>
        <w:r w:rsidRPr="00DD1E6E">
          <w:rPr>
            <w:rStyle w:val="Hyperlink"/>
          </w:rPr>
          <w:t>0404</w:t>
        </w:r>
        <w:r>
          <w:rPr>
            <w:rStyle w:val="Hyperlink"/>
          </w:rPr>
          <w:t>(</w:t>
        </w:r>
        <w:r w:rsidRPr="00DD1E6E">
          <w:rPr>
            <w:rStyle w:val="Hyperlink"/>
          </w:rPr>
          <w:t>02</w:t>
        </w:r>
        <w:r>
          <w:rPr>
            <w:rStyle w:val="Hyperlink"/>
          </w:rPr>
          <w:t>) - RO - EUR-Lex</w:t>
        </w:r>
      </w:hyperlink>
      <w:r>
        <w:t>.</w:t>
      </w:r>
    </w:p>
  </w:footnote>
  <w:footnote w:id="11">
    <w:p w14:paraId="0C969B43" w14:textId="77777777" w:rsidR="00F754F8" w:rsidRDefault="00522279">
      <w:pPr>
        <w:pStyle w:val="FootnoteText"/>
      </w:pPr>
      <w:r>
        <w:rPr>
          <w:rStyle w:val="FootnoteReference"/>
        </w:rPr>
        <w:footnoteRef/>
      </w:r>
      <w:r>
        <w:t xml:space="preserve"> </w:t>
      </w:r>
      <w:r>
        <w:tab/>
        <w:t xml:space="preserve">Acordul interinstituțional din </w:t>
      </w:r>
      <w:r w:rsidRPr="00DD1E6E">
        <w:t>28</w:t>
      </w:r>
      <w:r>
        <w:t xml:space="preserve"> noiembrie </w:t>
      </w:r>
      <w:r w:rsidRPr="00DD1E6E">
        <w:t>2001</w:t>
      </w:r>
      <w:r>
        <w:t xml:space="preserve"> privind utilizarea mai structurată a tehnicii de reformare a actelor legislative, JO C </w:t>
      </w:r>
      <w:r w:rsidRPr="00DD1E6E">
        <w:t>77</w:t>
      </w:r>
      <w:r>
        <w:t>, p. </w:t>
      </w:r>
      <w:r w:rsidRPr="00DD1E6E">
        <w:t>1</w:t>
      </w:r>
      <w:r>
        <w:t xml:space="preserve">, </w:t>
      </w:r>
      <w:hyperlink r:id="rId4">
        <w:r>
          <w:rPr>
            <w:rStyle w:val="Hyperlink"/>
          </w:rPr>
          <w:t xml:space="preserve">EUR-Lex - </w:t>
        </w:r>
        <w:r w:rsidRPr="00DD1E6E">
          <w:rPr>
            <w:rStyle w:val="Hyperlink"/>
          </w:rPr>
          <w:t>32002</w:t>
        </w:r>
        <w:r>
          <w:rPr>
            <w:rStyle w:val="Hyperlink"/>
          </w:rPr>
          <w:t>Q</w:t>
        </w:r>
        <w:r w:rsidRPr="00DD1E6E">
          <w:rPr>
            <w:rStyle w:val="Hyperlink"/>
          </w:rPr>
          <w:t>0328</w:t>
        </w:r>
        <w:r>
          <w:rPr>
            <w:rStyle w:val="Hyperlink"/>
          </w:rPr>
          <w:t xml:space="preserve"> - RO - EUR-Lex</w:t>
        </w:r>
      </w:hyperlink>
      <w:r>
        <w:t>.</w:t>
      </w:r>
    </w:p>
  </w:footnote>
  <w:footnote w:id="12">
    <w:p w14:paraId="08CF0ACC" w14:textId="77777777" w:rsidR="00F754F8" w:rsidRDefault="00522279">
      <w:pPr>
        <w:pStyle w:val="FootnoteText"/>
      </w:pPr>
      <w:r>
        <w:rPr>
          <w:rStyle w:val="FootnoteReference"/>
        </w:rPr>
        <w:footnoteRef/>
      </w:r>
      <w:r>
        <w:t xml:space="preserve"> </w:t>
      </w:r>
      <w:r>
        <w:tab/>
        <w:t xml:space="preserve">În cazul codificării </w:t>
      </w:r>
      <w:r>
        <w:rPr>
          <w:i/>
        </w:rPr>
        <w:t>verticale</w:t>
      </w:r>
      <w:r>
        <w:t xml:space="preserve">, un act și modificările sale sunt reunite într-un nou act; în cazul codificării </w:t>
      </w:r>
      <w:r>
        <w:rPr>
          <w:i/>
        </w:rPr>
        <w:t>orizontale</w:t>
      </w:r>
      <w:r>
        <w:t xml:space="preserve">, actele de bază care acoperă aspecte conexe și modificările acestora sunt reunite într-un nou act. Niciunul dintre cazuri nu implică modificări de fond. În ceea ce privește </w:t>
      </w:r>
      <w:r>
        <w:rPr>
          <w:i/>
        </w:rPr>
        <w:t>reformările</w:t>
      </w:r>
      <w:r>
        <w:t>, un nou act legislativ include modificări de fond și dispoziții neschimbate într-un singur text.</w:t>
      </w:r>
    </w:p>
  </w:footnote>
  <w:footnote w:id="13">
    <w:p w14:paraId="09DDE318" w14:textId="77777777" w:rsidR="00F754F8" w:rsidRDefault="00522279">
      <w:pPr>
        <w:pStyle w:val="FootnoteText"/>
      </w:pPr>
      <w:r>
        <w:rPr>
          <w:rStyle w:val="FootnoteReference"/>
        </w:rPr>
        <w:footnoteRef/>
      </w:r>
      <w:r>
        <w:t xml:space="preserve"> IMM-urile ar trebui să beneficieze de derogări de la obligații în cazul în care prezintă un risc de reglementare redus și ar trebui să aibă acces la măsuri de sprijin în cazul în care trebuie să respecte norme costisitoare sau care necesită interpretare. Particularitățile întreprinderilor mici cu capitalizare medie ar trebui, de asemenea, să fie luate în considerare, după caz.</w:t>
      </w:r>
    </w:p>
  </w:footnote>
  <w:footnote w:id="14">
    <w:p w14:paraId="205DBEED" w14:textId="77777777" w:rsidR="00F754F8" w:rsidRDefault="00522279">
      <w:pPr>
        <w:pStyle w:val="FootnoteText"/>
      </w:pPr>
      <w:r>
        <w:rPr>
          <w:rStyle w:val="FootnoteReference"/>
        </w:rPr>
        <w:footnoteRef/>
      </w:r>
      <w:r>
        <w:t xml:space="preserve"> În temeiul cadrului de elaborare a politicilor adaptat mediului digital, propunerile legislative cu impact digital sunt însoțite de o fișă financiară legislativă și digitală, </w:t>
      </w:r>
      <w:hyperlink r:id="rId5" w:history="1">
        <w:r>
          <w:rPr>
            <w:rStyle w:val="Hyperlink"/>
          </w:rPr>
          <w:t>https://interoperable-europe.ec.europa.eu/collection/digital-ready-policymaking/digital-ready-policymaking-dprm-framework</w:t>
        </w:r>
      </w:hyperlink>
      <w:r>
        <w:t xml:space="preserve">. </w:t>
      </w:r>
    </w:p>
  </w:footnote>
  <w:footnote w:id="15">
    <w:p w14:paraId="47724E35" w14:textId="77777777" w:rsidR="00F754F8" w:rsidRDefault="00522279">
      <w:pPr>
        <w:pStyle w:val="FootnoteText"/>
      </w:pPr>
      <w:r>
        <w:rPr>
          <w:rStyle w:val="FootnoteReference"/>
        </w:rPr>
        <w:footnoteRef/>
      </w:r>
      <w:r>
        <w:t xml:space="preserve"> </w:t>
      </w:r>
      <w:r>
        <w:tab/>
        <w:t>Aceasta se referă la domenii și măsuri naționale care nu sunt acoperite de mecanismele de notificare existente, cum ar fi cele instituite prin Directiva privind transparența pieței unice și Directiva privind serviciile.</w:t>
      </w:r>
    </w:p>
  </w:footnote>
  <w:footnote w:id="16">
    <w:p w14:paraId="072F255E" w14:textId="77777777" w:rsidR="00F754F8" w:rsidRDefault="00522279">
      <w:pPr>
        <w:pStyle w:val="FootnoteText"/>
      </w:pPr>
      <w:r>
        <w:rPr>
          <w:rStyle w:val="FootnoteReference"/>
        </w:rPr>
        <w:footnoteRef/>
      </w:r>
      <w:r>
        <w:t xml:space="preserve"> </w:t>
      </w:r>
      <w:r>
        <w:tab/>
        <w:t>Acestea au inclus legislația aferentă pachetelor omnibus, care constituie un act legislativ unic de modificare a mai multor legi.</w:t>
      </w:r>
    </w:p>
  </w:footnote>
  <w:footnote w:id="17">
    <w:p w14:paraId="36B94005" w14:textId="77777777" w:rsidR="00F754F8" w:rsidRDefault="00522279">
      <w:pPr>
        <w:pStyle w:val="FootnoteText"/>
      </w:pPr>
      <w:r>
        <w:rPr>
          <w:rStyle w:val="FootnoteReference"/>
        </w:rPr>
        <w:footnoteRef/>
      </w:r>
      <w:r>
        <w:t xml:space="preserve"> </w:t>
      </w:r>
      <w:r>
        <w:tab/>
      </w:r>
      <w:r>
        <w:rPr>
          <w:i/>
        </w:rPr>
        <w:t>An impact assessment is not necessary for all legislative proposals, better regulation toolbox, TOOL #</w:t>
      </w:r>
      <w:r w:rsidRPr="00DD1E6E">
        <w:rPr>
          <w:i/>
        </w:rPr>
        <w:t>7</w:t>
      </w:r>
      <w:r>
        <w:rPr>
          <w:i/>
        </w:rPr>
        <w:t>.</w:t>
      </w:r>
      <w:r>
        <w:t xml:space="preserve"> </w:t>
      </w:r>
      <w:r>
        <w:rPr>
          <w:i/>
        </w:rPr>
        <w:t>What is an impact assessment and when it is necessary</w:t>
      </w:r>
      <w:r>
        <w:t xml:space="preserve"> (Nu este necesară o evaluare a impactului pentru toate propunerile legislative, setul de instrumente pentru o mai bună legiferare, instrumentul nr. </w:t>
      </w:r>
      <w:r w:rsidRPr="00DD1E6E">
        <w:t>7</w:t>
      </w:r>
      <w:r>
        <w:t xml:space="preserve">. Ce este o evaluare a impactului și când este necesară), </w:t>
      </w:r>
      <w:hyperlink r:id="rId6" w:history="1">
        <w:r>
          <w:rPr>
            <w:rStyle w:val="Hyperlink"/>
          </w:rPr>
          <w:t>https://commission.europa.eu/law/law-making-process/better-regulation/better-regulation-guidelines-and-toolbox/better-regulation-toolbox_en</w:t>
        </w:r>
      </w:hyperlink>
      <w:r>
        <w:t xml:space="preserve">. </w:t>
      </w:r>
    </w:p>
  </w:footnote>
  <w:footnote w:id="18">
    <w:p w14:paraId="7BD9D47B" w14:textId="77777777" w:rsidR="00F754F8" w:rsidRDefault="00522279">
      <w:pPr>
        <w:pStyle w:val="FootnoteText"/>
      </w:pPr>
      <w:r>
        <w:rPr>
          <w:rStyle w:val="FootnoteReference"/>
        </w:rPr>
        <w:footnoteRef/>
      </w:r>
      <w:r>
        <w:t xml:space="preserve"> </w:t>
      </w:r>
      <w:r>
        <w:tab/>
        <w:t>Inițiativele specifice sunt cele care nu modifică în mod semnificativ obiectivele de politică ale legislației existente și propun modificări care vizează optimizarea eficacității și a eficienței acesteia.</w:t>
      </w:r>
    </w:p>
  </w:footnote>
  <w:footnote w:id="19">
    <w:p w14:paraId="6EB97CA0" w14:textId="77777777" w:rsidR="00F754F8" w:rsidRDefault="00522279">
      <w:pPr>
        <w:pStyle w:val="FootnoteText"/>
      </w:pPr>
      <w:r>
        <w:rPr>
          <w:rStyle w:val="FootnoteReference"/>
        </w:rPr>
        <w:footnoteRef/>
      </w:r>
      <w:r>
        <w:t xml:space="preserve"> </w:t>
      </w:r>
      <w:r>
        <w:tab/>
        <w:t>Și anume aviz pozitiv, aviz pozitiv cu rezerve, aviz negativ.</w:t>
      </w:r>
    </w:p>
  </w:footnote>
  <w:footnote w:id="20">
    <w:p w14:paraId="5CEEEF66" w14:textId="77777777" w:rsidR="00F754F8" w:rsidRDefault="00522279">
      <w:pPr>
        <w:pStyle w:val="FootnoteText"/>
      </w:pPr>
      <w:r>
        <w:rPr>
          <w:rStyle w:val="FootnoteReference"/>
        </w:rPr>
        <w:footnoteRef/>
      </w:r>
      <w:r>
        <w:t xml:space="preserve"> </w:t>
      </w:r>
      <w:r>
        <w:tab/>
        <w:t xml:space="preserve">Recomandări comune pentru anchetele </w:t>
      </w:r>
      <w:r w:rsidRPr="00DD1E6E">
        <w:t>983</w:t>
      </w:r>
      <w:r>
        <w:t>/</w:t>
      </w:r>
      <w:r w:rsidRPr="00DD1E6E">
        <w:t>2025</w:t>
      </w:r>
      <w:r>
        <w:t xml:space="preserve">/MAS, </w:t>
      </w:r>
      <w:r w:rsidRPr="00DD1E6E">
        <w:t>2031</w:t>
      </w:r>
      <w:r>
        <w:t>/</w:t>
      </w:r>
      <w:r w:rsidRPr="00DD1E6E">
        <w:t>2024</w:t>
      </w:r>
      <w:r>
        <w:t xml:space="preserve">/VB și </w:t>
      </w:r>
      <w:r w:rsidRPr="00DD1E6E">
        <w:t>1379</w:t>
      </w:r>
      <w:r>
        <w:t>/</w:t>
      </w:r>
      <w:r w:rsidRPr="00DD1E6E">
        <w:t>2024</w:t>
      </w:r>
      <w:r>
        <w:t>/MIK.</w:t>
      </w:r>
    </w:p>
  </w:footnote>
  <w:footnote w:id="21">
    <w:p w14:paraId="5562FDD6" w14:textId="77777777" w:rsidR="00F754F8" w:rsidRDefault="00522279">
      <w:pPr>
        <w:spacing w:after="0" w:line="240" w:lineRule="auto"/>
        <w:ind w:left="227" w:hanging="227"/>
        <w:rPr>
          <w:sz w:val="20"/>
          <w:szCs w:val="20"/>
        </w:rPr>
      </w:pPr>
      <w:r>
        <w:rPr>
          <w:rStyle w:val="FootnoteReference"/>
          <w:sz w:val="20"/>
          <w:szCs w:val="20"/>
        </w:rPr>
        <w:footnoteRef/>
      </w:r>
      <w:r>
        <w:rPr>
          <w:sz w:val="20"/>
        </w:rPr>
        <w:t xml:space="preserve"> </w:t>
      </w:r>
      <w:r>
        <w:tab/>
      </w:r>
      <w:r>
        <w:rPr>
          <w:i/>
          <w:sz w:val="20"/>
        </w:rPr>
        <w:t xml:space="preserve">OECD Regulatory Policy Outlook </w:t>
      </w:r>
      <w:r w:rsidRPr="00DD1E6E">
        <w:rPr>
          <w:i/>
          <w:sz w:val="20"/>
        </w:rPr>
        <w:t>2025</w:t>
      </w:r>
      <w:r>
        <w:rPr>
          <w:sz w:val="20"/>
        </w:rPr>
        <w:t xml:space="preserve"> (Perspectivele OCDE privind politica de reglementare </w:t>
      </w:r>
      <w:r w:rsidRPr="00DD1E6E">
        <w:rPr>
          <w:sz w:val="20"/>
        </w:rPr>
        <w:t>2025</w:t>
      </w:r>
      <w:r>
        <w:rPr>
          <w:sz w:val="20"/>
        </w:rPr>
        <w:t xml:space="preserve">), a se vedea figurile </w:t>
      </w:r>
      <w:r w:rsidRPr="00DD1E6E">
        <w:rPr>
          <w:sz w:val="20"/>
        </w:rPr>
        <w:t>2</w:t>
      </w:r>
      <w:r>
        <w:rPr>
          <w:sz w:val="20"/>
        </w:rPr>
        <w:t>.</w:t>
      </w:r>
      <w:r w:rsidRPr="00DD1E6E">
        <w:rPr>
          <w:sz w:val="20"/>
        </w:rPr>
        <w:t>1</w:t>
      </w:r>
      <w:r>
        <w:rPr>
          <w:sz w:val="20"/>
        </w:rPr>
        <w:t xml:space="preserve"> și </w:t>
      </w:r>
      <w:r w:rsidRPr="00DD1E6E">
        <w:rPr>
          <w:sz w:val="20"/>
        </w:rPr>
        <w:t>2</w:t>
      </w:r>
      <w:r>
        <w:rPr>
          <w:sz w:val="20"/>
        </w:rPr>
        <w:t>.</w:t>
      </w:r>
      <w:r w:rsidRPr="00DD1E6E">
        <w:rPr>
          <w:sz w:val="20"/>
        </w:rPr>
        <w:t>2</w:t>
      </w:r>
      <w:r>
        <w:rPr>
          <w:sz w:val="20"/>
        </w:rPr>
        <w:t xml:space="preserve"> privind implicarea părților interesate în elaborarea legilor primare și a reglementărilor subordonate, </w:t>
      </w:r>
      <w:hyperlink r:id="rId7" w:history="1">
        <w:r>
          <w:rPr>
            <w:rStyle w:val="Hyperlink"/>
            <w:sz w:val="20"/>
          </w:rPr>
          <w:t>https://www.oecd.org/content/dam/oecd/en/publications/reports/</w:t>
        </w:r>
        <w:r w:rsidRPr="00DD1E6E">
          <w:rPr>
            <w:rStyle w:val="Hyperlink"/>
            <w:sz w:val="20"/>
          </w:rPr>
          <w:t>2025</w:t>
        </w:r>
        <w:r>
          <w:rPr>
            <w:rStyle w:val="Hyperlink"/>
            <w:sz w:val="20"/>
          </w:rPr>
          <w:t>/</w:t>
        </w:r>
        <w:r w:rsidRPr="00DD1E6E">
          <w:rPr>
            <w:rStyle w:val="Hyperlink"/>
            <w:sz w:val="20"/>
          </w:rPr>
          <w:t>04</w:t>
        </w:r>
        <w:r>
          <w:rPr>
            <w:rStyle w:val="Hyperlink"/>
            <w:sz w:val="20"/>
          </w:rPr>
          <w:t>/oecd-regulatory-policy-outlook-</w:t>
        </w:r>
        <w:r w:rsidRPr="00DD1E6E">
          <w:rPr>
            <w:rStyle w:val="Hyperlink"/>
            <w:sz w:val="20"/>
          </w:rPr>
          <w:t>2025</w:t>
        </w:r>
        <w:r>
          <w:rPr>
            <w:rStyle w:val="Hyperlink"/>
            <w:sz w:val="20"/>
          </w:rPr>
          <w:t>_a</w:t>
        </w:r>
        <w:r w:rsidRPr="00DD1E6E">
          <w:rPr>
            <w:rStyle w:val="Hyperlink"/>
            <w:sz w:val="20"/>
          </w:rPr>
          <w:t>754</w:t>
        </w:r>
        <w:r>
          <w:rPr>
            <w:rStyle w:val="Hyperlink"/>
            <w:sz w:val="20"/>
          </w:rPr>
          <w:t>bf</w:t>
        </w:r>
        <w:r w:rsidRPr="00DD1E6E">
          <w:rPr>
            <w:rStyle w:val="Hyperlink"/>
            <w:sz w:val="20"/>
          </w:rPr>
          <w:t>4</w:t>
        </w:r>
        <w:r>
          <w:rPr>
            <w:rStyle w:val="Hyperlink"/>
            <w:sz w:val="20"/>
          </w:rPr>
          <w:t>c/</w:t>
        </w:r>
        <w:r w:rsidRPr="00DD1E6E">
          <w:rPr>
            <w:rStyle w:val="Hyperlink"/>
            <w:sz w:val="20"/>
          </w:rPr>
          <w:t>56</w:t>
        </w:r>
        <w:r>
          <w:rPr>
            <w:rStyle w:val="Hyperlink"/>
            <w:sz w:val="20"/>
          </w:rPr>
          <w:t>b</w:t>
        </w:r>
        <w:r w:rsidRPr="00DD1E6E">
          <w:rPr>
            <w:rStyle w:val="Hyperlink"/>
            <w:sz w:val="20"/>
          </w:rPr>
          <w:t>60</w:t>
        </w:r>
        <w:r>
          <w:rPr>
            <w:rStyle w:val="Hyperlink"/>
            <w:sz w:val="20"/>
          </w:rPr>
          <w:t>e</w:t>
        </w:r>
        <w:r w:rsidRPr="00DD1E6E">
          <w:rPr>
            <w:rStyle w:val="Hyperlink"/>
            <w:sz w:val="20"/>
          </w:rPr>
          <w:t>39</w:t>
        </w:r>
        <w:r>
          <w:rPr>
            <w:rStyle w:val="Hyperlink"/>
            <w:sz w:val="20"/>
          </w:rPr>
          <w:t>-en.pdf</w:t>
        </w:r>
      </w:hyperlink>
      <w:r>
        <w:rPr>
          <w:sz w:val="20"/>
        </w:rPr>
        <w:t xml:space="preserve">. </w:t>
      </w:r>
    </w:p>
  </w:footnote>
  <w:footnote w:id="22">
    <w:p w14:paraId="51B0D627" w14:textId="77777777" w:rsidR="00F754F8" w:rsidRDefault="00522279">
      <w:pPr>
        <w:pStyle w:val="FootnoteText"/>
      </w:pPr>
      <w:r>
        <w:rPr>
          <w:rStyle w:val="FootnoteReference"/>
        </w:rPr>
        <w:footnoteRef/>
      </w:r>
      <w:r>
        <w:t xml:space="preserve"> </w:t>
      </w:r>
      <w:r>
        <w:tab/>
        <w:t>Aceste instrumente au avut un rol însemnat la asigurarea succesului agendei de simplificare a Comisiei, contribuind la testarea rezistenței legislației existente, precum și la elaborarea propunerilor omnibus și a altor propuneri de simplificare.</w:t>
      </w:r>
    </w:p>
  </w:footnote>
  <w:footnote w:id="23">
    <w:p w14:paraId="08148717" w14:textId="77777777" w:rsidR="00F754F8" w:rsidRDefault="00522279">
      <w:pPr>
        <w:pStyle w:val="FootnoteText"/>
      </w:pPr>
      <w:r>
        <w:rPr>
          <w:rStyle w:val="FootnoteReference"/>
        </w:rPr>
        <w:footnoteRef/>
      </w:r>
      <w:r>
        <w:t xml:space="preserve"> </w:t>
      </w:r>
      <w:r>
        <w:tab/>
        <w:t xml:space="preserve">Acordul interinstituțional din </w:t>
      </w:r>
      <w:r w:rsidRPr="00DD1E6E">
        <w:t>13</w:t>
      </w:r>
      <w:r>
        <w:t xml:space="preserve"> aprilie </w:t>
      </w:r>
      <w:r w:rsidRPr="00DD1E6E">
        <w:t>2016</w:t>
      </w:r>
      <w:r>
        <w:t xml:space="preserve"> privind o mai bună legiferare, JO L </w:t>
      </w:r>
      <w:r w:rsidRPr="00DD1E6E">
        <w:t>123</w:t>
      </w:r>
      <w:r>
        <w:t>, p. </w:t>
      </w:r>
      <w:r w:rsidRPr="00DD1E6E">
        <w:t>1</w:t>
      </w:r>
      <w:r>
        <w:t xml:space="preserve">, </w:t>
      </w:r>
      <w:hyperlink r:id="rId8">
        <w:r>
          <w:rPr>
            <w:rStyle w:val="Hyperlink"/>
          </w:rPr>
          <w:t xml:space="preserve">EUR-Lex - </w:t>
        </w:r>
        <w:r w:rsidRPr="00DD1E6E">
          <w:rPr>
            <w:rStyle w:val="Hyperlink"/>
          </w:rPr>
          <w:t>32016</w:t>
        </w:r>
        <w:r>
          <w:rPr>
            <w:rStyle w:val="Hyperlink"/>
          </w:rPr>
          <w:t>Q</w:t>
        </w:r>
        <w:r w:rsidRPr="00DD1E6E">
          <w:rPr>
            <w:rStyle w:val="Hyperlink"/>
          </w:rPr>
          <w:t>0512</w:t>
        </w:r>
        <w:r>
          <w:rPr>
            <w:rStyle w:val="Hyperlink"/>
          </w:rPr>
          <w:t>(</w:t>
        </w:r>
        <w:r w:rsidRPr="00DD1E6E">
          <w:rPr>
            <w:rStyle w:val="Hyperlink"/>
          </w:rPr>
          <w:t>01</w:t>
        </w:r>
        <w:r>
          <w:rPr>
            <w:rStyle w:val="Hyperlink"/>
          </w:rPr>
          <w:t>) - RO - EUR-Lex</w:t>
        </w:r>
      </w:hyperlink>
      <w:r>
        <w:t>. Deși în trecut Parlamentul European a efectuat o serie de astfel de evaluări, în prezent situația este diferită. Pe de altă parte, Consiliul nu a făcut niciodată acest lucru.</w:t>
      </w:r>
    </w:p>
  </w:footnote>
  <w:footnote w:id="24">
    <w:p w14:paraId="168F2692" w14:textId="77777777" w:rsidR="00F754F8" w:rsidRDefault="00522279">
      <w:pPr>
        <w:pStyle w:val="FootnoteText"/>
      </w:pPr>
      <w:r>
        <w:rPr>
          <w:rStyle w:val="FootnoteReference"/>
        </w:rPr>
        <w:footnoteRef/>
      </w:r>
      <w:r>
        <w:t xml:space="preserve"> OECD Economic Outlook (Perspectivele economice ale OCDE), </w:t>
      </w:r>
      <w:hyperlink r:id="rId9" w:history="1">
        <w:r>
          <w:rPr>
            <w:rStyle w:val="Hyperlink"/>
          </w:rPr>
          <w:t>https://www.oecd.org/en/publications/oecd-economic-outlook-volume-</w:t>
        </w:r>
        <w:r w:rsidRPr="00DD1E6E">
          <w:rPr>
            <w:rStyle w:val="Hyperlink"/>
          </w:rPr>
          <w:t>2025</w:t>
        </w:r>
        <w:r>
          <w:rPr>
            <w:rStyle w:val="Hyperlink"/>
          </w:rPr>
          <w:t>-issue-</w:t>
        </w:r>
        <w:r w:rsidRPr="00DD1E6E">
          <w:rPr>
            <w:rStyle w:val="Hyperlink"/>
          </w:rPr>
          <w:t>2</w:t>
        </w:r>
        <w:r>
          <w:rPr>
            <w:rStyle w:val="Hyperlink"/>
          </w:rPr>
          <w:t>_</w:t>
        </w:r>
        <w:r w:rsidRPr="00DD1E6E">
          <w:rPr>
            <w:rStyle w:val="Hyperlink"/>
          </w:rPr>
          <w:t>9</w:t>
        </w:r>
        <w:r>
          <w:rPr>
            <w:rStyle w:val="Hyperlink"/>
          </w:rPr>
          <w:t>f</w:t>
        </w:r>
        <w:r w:rsidRPr="00DD1E6E">
          <w:rPr>
            <w:rStyle w:val="Hyperlink"/>
          </w:rPr>
          <w:t>653</w:t>
        </w:r>
        <w:r>
          <w:rPr>
            <w:rStyle w:val="Hyperlink"/>
          </w:rPr>
          <w:t>ca</w:t>
        </w:r>
        <w:r w:rsidRPr="00DD1E6E">
          <w:rPr>
            <w:rStyle w:val="Hyperlink"/>
          </w:rPr>
          <w:t>1</w:t>
        </w:r>
        <w:r>
          <w:rPr>
            <w:rStyle w:val="Hyperlink"/>
          </w:rPr>
          <w:t>-en.html</w:t>
        </w:r>
      </w:hyperlink>
      <w:r>
        <w:t xml:space="preserve">. </w:t>
      </w:r>
    </w:p>
  </w:footnote>
  <w:footnote w:id="25">
    <w:p w14:paraId="0CC75EC6" w14:textId="77777777" w:rsidR="00F754F8" w:rsidRDefault="00522279">
      <w:pPr>
        <w:pStyle w:val="FootnoteText"/>
      </w:pPr>
      <w:r>
        <w:rPr>
          <w:rStyle w:val="FootnoteReference"/>
        </w:rPr>
        <w:footnoteRef/>
      </w:r>
      <w:r>
        <w:t xml:space="preserve"> </w:t>
      </w:r>
      <w:r>
        <w:tab/>
        <w:t>O Europă mai simplă și mai rapidă: comunicare privind punerea în aplicare și simplificarea, COM(</w:t>
      </w:r>
      <w:r w:rsidRPr="00DD1E6E">
        <w:t>2025</w:t>
      </w:r>
      <w:r>
        <w:t xml:space="preserve">) </w:t>
      </w:r>
      <w:r w:rsidRPr="00DD1E6E">
        <w:t>47</w:t>
      </w:r>
      <w:r>
        <w:t xml:space="preserve"> final. </w:t>
      </w:r>
    </w:p>
  </w:footnote>
  <w:footnote w:id="26">
    <w:p w14:paraId="578B7A17" w14:textId="77777777" w:rsidR="00F754F8" w:rsidRDefault="00522279">
      <w:pPr>
        <w:pStyle w:val="FootnoteText"/>
      </w:pPr>
      <w:r>
        <w:rPr>
          <w:rStyle w:val="FootnoteReference"/>
        </w:rPr>
        <w:footnoteRef/>
      </w:r>
      <w:r>
        <w:t xml:space="preserve"> </w:t>
      </w:r>
      <w:r>
        <w:tab/>
        <w:t xml:space="preserve">Programul de lucru al Comisiei </w:t>
      </w:r>
      <w:r w:rsidRPr="00DD1E6E">
        <w:t>2026</w:t>
      </w:r>
      <w:r>
        <w:t>, COM(</w:t>
      </w:r>
      <w:r w:rsidRPr="00DD1E6E">
        <w:t>2025</w:t>
      </w:r>
      <w:r>
        <w:t xml:space="preserve">) </w:t>
      </w:r>
      <w:r w:rsidRPr="00DD1E6E">
        <w:t>870</w:t>
      </w:r>
      <w:r>
        <w:t xml:space="preserve"> final.</w:t>
      </w:r>
    </w:p>
  </w:footnote>
  <w:footnote w:id="27">
    <w:p w14:paraId="1CD7ABFC" w14:textId="77777777" w:rsidR="00F754F8" w:rsidRDefault="00522279">
      <w:pPr>
        <w:pStyle w:val="FootnoteText"/>
      </w:pPr>
      <w:r>
        <w:rPr>
          <w:rStyle w:val="FootnoteReference"/>
        </w:rPr>
        <w:footnoteRef/>
      </w:r>
      <w:r>
        <w:t xml:space="preserve"> </w:t>
      </w:r>
      <w:r>
        <w:tab/>
        <w:t xml:space="preserve">Europa – În fața unei alegeri Orientări politice pentru următoarea Comisie Europeană </w:t>
      </w:r>
      <w:r w:rsidRPr="00DD1E6E">
        <w:t>2024</w:t>
      </w:r>
      <w:r>
        <w:t>-</w:t>
      </w:r>
      <w:r w:rsidRPr="00DD1E6E">
        <w:t>2029</w:t>
      </w:r>
      <w:r>
        <w:t>.</w:t>
      </w:r>
    </w:p>
  </w:footnote>
  <w:footnote w:id="28">
    <w:p w14:paraId="18ED9E0B" w14:textId="544A530D" w:rsidR="00F754F8" w:rsidRDefault="00522279">
      <w:pPr>
        <w:pStyle w:val="FootnoteText"/>
      </w:pPr>
      <w:r>
        <w:rPr>
          <w:rStyle w:val="FootnoteReference"/>
        </w:rPr>
        <w:footnoteRef/>
      </w:r>
      <w:r>
        <w:t xml:space="preserve"> </w:t>
      </w:r>
      <w:r>
        <w:tab/>
        <w:t>Acest nou grup se va baza pe activitatea platformei „Pregătiți pentru viitor”, care a funcționat în perioada</w:t>
      </w:r>
      <w:r w:rsidR="00DD1E6E">
        <w:t> </w:t>
      </w:r>
      <w:r w:rsidRPr="00DD1E6E">
        <w:t>2021</w:t>
      </w:r>
      <w:r w:rsidR="00DD1E6E">
        <w:t>­</w:t>
      </w:r>
      <w:r w:rsidRPr="00DD1E6E">
        <w:t>2024</w:t>
      </w:r>
      <w:r>
        <w:t>.</w:t>
      </w:r>
    </w:p>
  </w:footnote>
  <w:footnote w:id="29">
    <w:p w14:paraId="6ED4C803" w14:textId="77777777" w:rsidR="00F754F8" w:rsidRDefault="00522279">
      <w:pPr>
        <w:pStyle w:val="FootnoteText"/>
      </w:pPr>
      <w:r>
        <w:rPr>
          <w:rStyle w:val="FootnoteReference"/>
        </w:rPr>
        <w:footnoteRef/>
      </w:r>
      <w:r>
        <w:t xml:space="preserve"> </w:t>
      </w:r>
      <w:r>
        <w:tab/>
        <w:t>C(</w:t>
      </w:r>
      <w:r w:rsidRPr="00DD1E6E">
        <w:t>2026</w:t>
      </w:r>
      <w:r>
        <w:t xml:space="preserve">) </w:t>
      </w:r>
      <w:r w:rsidRPr="00DD1E6E">
        <w:t>8000</w:t>
      </w:r>
      <w:r>
        <w:t>.</w:t>
      </w:r>
    </w:p>
  </w:footnote>
  <w:footnote w:id="30">
    <w:p w14:paraId="740A07E2" w14:textId="286E2936" w:rsidR="00F754F8" w:rsidRDefault="00522279">
      <w:pPr>
        <w:pStyle w:val="FootnoteText"/>
      </w:pPr>
      <w:r>
        <w:rPr>
          <w:rStyle w:val="FootnoteReference"/>
        </w:rPr>
        <w:footnoteRef/>
      </w:r>
      <w:r>
        <w:t xml:space="preserve"> </w:t>
      </w:r>
      <w:r>
        <w:tab/>
        <w:t xml:space="preserve">Suprareglementarea a fost identificată ca o barieră în Strategia privind piața unică din </w:t>
      </w:r>
      <w:r w:rsidRPr="00DD1E6E">
        <w:t>2025</w:t>
      </w:r>
      <w:r>
        <w:t>, COM(</w:t>
      </w:r>
      <w:r w:rsidRPr="00DD1E6E">
        <w:t>2025</w:t>
      </w:r>
      <w:r>
        <w:t>)</w:t>
      </w:r>
      <w:r w:rsidR="00DD1E6E">
        <w:t> </w:t>
      </w:r>
      <w:r w:rsidRPr="00DD1E6E">
        <w:t>500</w:t>
      </w:r>
      <w:r w:rsidR="00DD1E6E">
        <w:t> </w:t>
      </w:r>
      <w:r>
        <w:t>final.</w:t>
      </w:r>
    </w:p>
  </w:footnote>
  <w:footnote w:id="31">
    <w:p w14:paraId="3FDD5F6A" w14:textId="77777777" w:rsidR="00F754F8" w:rsidRDefault="00522279">
      <w:pPr>
        <w:pStyle w:val="FootnoteText"/>
      </w:pPr>
      <w:r>
        <w:rPr>
          <w:rStyle w:val="FootnoteReference"/>
        </w:rPr>
        <w:footnoteRef/>
      </w:r>
      <w:r>
        <w:t xml:space="preserve"> </w:t>
      </w:r>
      <w:r>
        <w:tab/>
        <w:t>Acest lucru nu aduce atingere prerogativei statelor membre de a adopta măsuri mai stricte în anumite domenii de politică, dacă tratatele prevăd acest lucru.</w:t>
      </w:r>
    </w:p>
  </w:footnote>
  <w:footnote w:id="32">
    <w:p w14:paraId="2AA23828" w14:textId="77777777" w:rsidR="00F754F8" w:rsidRDefault="00522279">
      <w:pPr>
        <w:pStyle w:val="FootnoteText"/>
      </w:pPr>
      <w:r>
        <w:rPr>
          <w:rStyle w:val="FootnoteReference"/>
        </w:rPr>
        <w:footnoteRef/>
      </w:r>
      <w:r>
        <w:t xml:space="preserve"> </w:t>
      </w:r>
      <w:r>
        <w:tab/>
        <w:t>THEMIS este o bază de date comună între serviciile Comisiei și statele membre, în care autoritățile naționale notifică Comisiei măsurile lor naționale de transpunere.</w:t>
      </w:r>
    </w:p>
  </w:footnote>
  <w:footnote w:id="33">
    <w:p w14:paraId="2C51176C" w14:textId="77777777" w:rsidR="00F754F8" w:rsidRDefault="00522279">
      <w:pPr>
        <w:pStyle w:val="FootnoteText"/>
      </w:pPr>
      <w:r>
        <w:rPr>
          <w:rStyle w:val="FootnoteReference"/>
        </w:rPr>
        <w:footnoteRef/>
      </w:r>
      <w:r>
        <w:t xml:space="preserve"> </w:t>
      </w:r>
      <w:r>
        <w:tab/>
        <w:t>Semestrul european este cadrul Uniunii Europene pentru coordonarea și supravegherea politicilor economice și sociale.</w:t>
      </w:r>
    </w:p>
  </w:footnote>
  <w:footnote w:id="34">
    <w:p w14:paraId="3DFC4940" w14:textId="77777777" w:rsidR="00F754F8" w:rsidRDefault="00522279">
      <w:pPr>
        <w:pStyle w:val="FootnoteText"/>
      </w:pPr>
      <w:r>
        <w:rPr>
          <w:rStyle w:val="FootnoteReference"/>
        </w:rPr>
        <w:footnoteRef/>
      </w:r>
      <w:r>
        <w:t xml:space="preserve"> </w:t>
      </w:r>
      <w:r>
        <w:tab/>
        <w:t>Piața unică: piața internă europeană într-o lume nesigură O strategie pentru crearea unei piețe unice simple, solide și pe deplin integrate, COM(</w:t>
      </w:r>
      <w:r w:rsidRPr="00DD1E6E">
        <w:t>2025</w:t>
      </w:r>
      <w:r>
        <w:t xml:space="preserve">) </w:t>
      </w:r>
      <w:r w:rsidRPr="00DD1E6E">
        <w:t>500</w:t>
      </w:r>
      <w:r>
        <w:t xml:space="preserve"> final.</w:t>
      </w:r>
    </w:p>
  </w:footnote>
  <w:footnote w:id="35">
    <w:p w14:paraId="1292ECE0" w14:textId="77777777" w:rsidR="00F754F8" w:rsidRDefault="00522279">
      <w:pPr>
        <w:pStyle w:val="FootnoteText"/>
      </w:pPr>
      <w:r>
        <w:rPr>
          <w:rStyle w:val="FootnoteReference"/>
        </w:rPr>
        <w:footnoteRef/>
      </w:r>
      <w:r>
        <w:t xml:space="preserve"> </w:t>
      </w:r>
      <w:r>
        <w:tab/>
        <w:t xml:space="preserve">Ciclul anual privind statul de drept, </w:t>
      </w:r>
      <w:hyperlink r:id="rId10" w:history="1">
        <w:r>
          <w:rPr>
            <w:rStyle w:val="Hyperlink"/>
          </w:rPr>
          <w:t>https://commission.europa.eu/strategy-and-policy/policies/justice-and-fundamental-rights/upholding-rule-law/rule-law/annual-rule-law-cycle_ro</w:t>
        </w:r>
      </w:hyperlink>
      <w:r>
        <w:t xml:space="preserve">. </w:t>
      </w:r>
    </w:p>
  </w:footnote>
  <w:footnote w:id="36">
    <w:p w14:paraId="299611F0" w14:textId="64477F9B" w:rsidR="00F754F8" w:rsidRDefault="00522279">
      <w:pPr>
        <w:pStyle w:val="FootnoteText"/>
      </w:pPr>
      <w:r>
        <w:rPr>
          <w:rStyle w:val="FootnoteReference"/>
        </w:rPr>
        <w:footnoteRef/>
      </w:r>
      <w:r>
        <w:t xml:space="preserve"> </w:t>
      </w:r>
      <w:r>
        <w:tab/>
        <w:t>O Europă mai simplă și mai rapidă: comunicare privind punerea în aplicare și simplificarea, COM(</w:t>
      </w:r>
      <w:r w:rsidRPr="00DD1E6E">
        <w:t>2025</w:t>
      </w:r>
      <w:r>
        <w:t>)</w:t>
      </w:r>
      <w:r w:rsidR="00DD1E6E">
        <w:t> </w:t>
      </w:r>
      <w:r w:rsidRPr="00DD1E6E">
        <w:t>47</w:t>
      </w:r>
      <w:r w:rsidR="00DD1E6E">
        <w:t> </w:t>
      </w:r>
      <w:r>
        <w:t>final.</w:t>
      </w:r>
    </w:p>
  </w:footnote>
  <w:footnote w:id="37">
    <w:p w14:paraId="7D3ADF61" w14:textId="77777777" w:rsidR="00F754F8" w:rsidRDefault="00522279">
      <w:pPr>
        <w:pStyle w:val="FootnoteText"/>
      </w:pPr>
      <w:r>
        <w:rPr>
          <w:rStyle w:val="FootnoteReference"/>
        </w:rPr>
        <w:footnoteRef/>
      </w:r>
      <w:r>
        <w:rPr>
          <w:rStyle w:val="FootnoteReference"/>
        </w:rPr>
        <w:t xml:space="preserve"> </w:t>
      </w:r>
      <w:r>
        <w:tab/>
        <w:t>Prezenta comunicare completează, dar nu înlocuiește prioritățile în materie de asigurare a respectării legii stabilite în comunicările anterioare, în special în Comunicarea Comisiei intitulată „Legislația UE: o mai bună aplicare pentru obținerea unor rezultate mai bune” [C(</w:t>
      </w:r>
      <w:r w:rsidRPr="00DD1E6E">
        <w:t>2016</w:t>
      </w:r>
      <w:r>
        <w:t xml:space="preserve">) </w:t>
      </w:r>
      <w:r w:rsidRPr="00DD1E6E">
        <w:t>8600</w:t>
      </w:r>
      <w:r>
        <w:t>] și în cea intitulată „Asigurarea respectării dreptului Uniunii pentru o Europă care răspunde așteptărilor”, COM(</w:t>
      </w:r>
      <w:r w:rsidRPr="00DD1E6E">
        <w:t>2022</w:t>
      </w:r>
      <w:r>
        <w:t xml:space="preserve">) </w:t>
      </w:r>
      <w:r w:rsidRPr="00DD1E6E">
        <w:t>518</w:t>
      </w:r>
      <w:r>
        <w:t xml:space="preserve"> final.</w:t>
      </w:r>
    </w:p>
  </w:footnote>
  <w:footnote w:id="38">
    <w:p w14:paraId="5698791C" w14:textId="77777777" w:rsidR="00F754F8" w:rsidRDefault="00522279">
      <w:pPr>
        <w:spacing w:after="0"/>
        <w:ind w:left="227" w:hanging="227"/>
        <w:jc w:val="both"/>
        <w:rPr>
          <w:rFonts w:eastAsia="Times New Roman" w:cs="Times New Roman"/>
          <w:szCs w:val="24"/>
        </w:rPr>
      </w:pPr>
      <w:r>
        <w:rPr>
          <w:rStyle w:val="FootnoteReference"/>
          <w:rFonts w:eastAsia="Times New Roman" w:cs="Times New Roman"/>
          <w:kern w:val="2"/>
          <w:sz w:val="20"/>
          <w:szCs w:val="24"/>
          <w14:ligatures w14:val="standardContextual"/>
        </w:rPr>
        <w:footnoteRef/>
      </w:r>
      <w:r>
        <w:rPr>
          <w:rStyle w:val="FootnoteReference"/>
          <w:sz w:val="20"/>
        </w:rPr>
        <w:t xml:space="preserve"> </w:t>
      </w:r>
      <w:r>
        <w:tab/>
      </w:r>
      <w:r>
        <w:rPr>
          <w:sz w:val="20"/>
        </w:rPr>
        <w:t xml:space="preserve">Potrivit Băncii Centrale Europene, „[o] reducere a barierelor în calea mărfurilor ar conduce la o creștere a comerțului în interiorul UE de </w:t>
      </w:r>
      <w:r w:rsidRPr="00DD1E6E">
        <w:rPr>
          <w:sz w:val="20"/>
        </w:rPr>
        <w:t>4</w:t>
      </w:r>
      <w:r>
        <w:rPr>
          <w:sz w:val="20"/>
        </w:rPr>
        <w:t>,</w:t>
      </w:r>
      <w:r w:rsidRPr="00DD1E6E">
        <w:rPr>
          <w:sz w:val="20"/>
        </w:rPr>
        <w:t>4</w:t>
      </w:r>
      <w:r>
        <w:rPr>
          <w:sz w:val="20"/>
        </w:rPr>
        <w:t xml:space="preserve"> % și la creșteri estimate ale nivelului de bunăstare de </w:t>
      </w:r>
      <w:r w:rsidRPr="00DD1E6E">
        <w:rPr>
          <w:sz w:val="20"/>
        </w:rPr>
        <w:t>1</w:t>
      </w:r>
      <w:r>
        <w:rPr>
          <w:sz w:val="20"/>
        </w:rPr>
        <w:t>,</w:t>
      </w:r>
      <w:r w:rsidRPr="00DD1E6E">
        <w:rPr>
          <w:sz w:val="20"/>
        </w:rPr>
        <w:t>3</w:t>
      </w:r>
      <w:r>
        <w:rPr>
          <w:sz w:val="20"/>
        </w:rPr>
        <w:t> %. Cu toate acestea, reducerea barierelor în calea comerțului cu servicii ar duce la o creștere mai mare a comerțului (</w:t>
      </w:r>
      <w:r w:rsidRPr="00DD1E6E">
        <w:rPr>
          <w:sz w:val="20"/>
        </w:rPr>
        <w:t>14</w:t>
      </w:r>
      <w:r>
        <w:rPr>
          <w:sz w:val="20"/>
        </w:rPr>
        <w:t>,</w:t>
      </w:r>
      <w:r w:rsidRPr="00DD1E6E">
        <w:rPr>
          <w:sz w:val="20"/>
        </w:rPr>
        <w:t>5</w:t>
      </w:r>
      <w:r>
        <w:rPr>
          <w:sz w:val="20"/>
        </w:rPr>
        <w:t> %) și la o creștere mai mare a nivelului de bunăstare (</w:t>
      </w:r>
      <w:r w:rsidRPr="00DD1E6E">
        <w:rPr>
          <w:sz w:val="20"/>
        </w:rPr>
        <w:t>1</w:t>
      </w:r>
      <w:r>
        <w:rPr>
          <w:sz w:val="20"/>
        </w:rPr>
        <w:t>,</w:t>
      </w:r>
      <w:r w:rsidRPr="00DD1E6E">
        <w:rPr>
          <w:sz w:val="20"/>
        </w:rPr>
        <w:t>8</w:t>
      </w:r>
      <w:r>
        <w:rPr>
          <w:sz w:val="20"/>
        </w:rPr>
        <w:t xml:space="preserve"> %)”, </w:t>
      </w:r>
      <w:hyperlink r:id="rId11" w:history="1">
        <w:r>
          <w:rPr>
            <w:rStyle w:val="Hyperlink"/>
            <w:sz w:val="20"/>
          </w:rPr>
          <w:t>articol</w:t>
        </w:r>
      </w:hyperlink>
      <w:r>
        <w:rPr>
          <w:sz w:val="20"/>
        </w:rPr>
        <w:t xml:space="preserve"> publicat în </w:t>
      </w:r>
      <w:hyperlink r:id="rId12" w:history="1">
        <w:r>
          <w:rPr>
            <w:rStyle w:val="Hyperlink"/>
            <w:sz w:val="20"/>
          </w:rPr>
          <w:t xml:space="preserve">Buletinul economic al BCE, numărul </w:t>
        </w:r>
        <w:r w:rsidRPr="00DD1E6E">
          <w:rPr>
            <w:rStyle w:val="Hyperlink"/>
            <w:sz w:val="20"/>
          </w:rPr>
          <w:t>8</w:t>
        </w:r>
        <w:r>
          <w:rPr>
            <w:rStyle w:val="Hyperlink"/>
            <w:sz w:val="20"/>
          </w:rPr>
          <w:t>/</w:t>
        </w:r>
        <w:r w:rsidRPr="00DD1E6E">
          <w:rPr>
            <w:rStyle w:val="Hyperlink"/>
            <w:sz w:val="20"/>
          </w:rPr>
          <w:t>2025</w:t>
        </w:r>
      </w:hyperlink>
      <w:r>
        <w:rPr>
          <w:sz w:val="20"/>
        </w:rPr>
        <w:t>.</w:t>
      </w:r>
    </w:p>
  </w:footnote>
  <w:footnote w:id="39">
    <w:p w14:paraId="326AFE2A" w14:textId="3CC24638" w:rsidR="00F754F8" w:rsidRDefault="00522279">
      <w:pPr>
        <w:pStyle w:val="FootnoteText"/>
      </w:pPr>
      <w:r>
        <w:rPr>
          <w:rStyle w:val="FootnoteReference"/>
        </w:rPr>
        <w:footnoteRef/>
      </w:r>
      <w:r>
        <w:t xml:space="preserve"> </w:t>
      </w:r>
      <w:r>
        <w:tab/>
        <w:t xml:space="preserve">Raportul anual al Comisiei privind piața unică și competitivitatea din </w:t>
      </w:r>
      <w:r w:rsidRPr="00DD1E6E">
        <w:t>30</w:t>
      </w:r>
      <w:r>
        <w:t xml:space="preserve"> ianuarie </w:t>
      </w:r>
      <w:r w:rsidRPr="00DD1E6E">
        <w:t>2026</w:t>
      </w:r>
      <w:r>
        <w:t xml:space="preserve"> [COM(</w:t>
      </w:r>
      <w:r w:rsidRPr="00DD1E6E">
        <w:t>2026</w:t>
      </w:r>
      <w:r>
        <w:t xml:space="preserve">) </w:t>
      </w:r>
      <w:r w:rsidRPr="00DD1E6E">
        <w:t>46</w:t>
      </w:r>
      <w:r>
        <w:t xml:space="preserve"> final] a anunțat o agendă anuală de asigurare a respectării normelor privind piața unică, care va fi publicată în fiecare an. Prioritățile în materie de asigurare a respectării normelor pentru </w:t>
      </w:r>
      <w:r w:rsidRPr="00DD1E6E">
        <w:t>2026</w:t>
      </w:r>
      <w:r>
        <w:t xml:space="preserve"> fac parte din cele unsprezece domenii ale pieței unice prioritare pentru asigurarea respectării normelor incluse în prezenta comunicare. Domeniile de interes nu aduc atingere monitorizării stricte a punerii în aplicare a normelor UE în alte domenii prioritare, cum ar fi normele de accelerare a introducerii energiei curate, astfel cum se prevede în COM(</w:t>
      </w:r>
      <w:r w:rsidRPr="00DD1E6E">
        <w:t>2026</w:t>
      </w:r>
      <w:r>
        <w:t xml:space="preserve">) </w:t>
      </w:r>
      <w:r w:rsidRPr="00DD1E6E">
        <w:t>370</w:t>
      </w:r>
      <w:r>
        <w:t xml:space="preserve"> din </w:t>
      </w:r>
      <w:r w:rsidRPr="00DD1E6E">
        <w:t>22</w:t>
      </w:r>
      <w:r w:rsidR="00034282">
        <w:t> </w:t>
      </w:r>
      <w:r>
        <w:t xml:space="preserve">aprilie </w:t>
      </w:r>
      <w:r w:rsidRPr="00DD1E6E">
        <w:t>2026</w:t>
      </w:r>
      <w:r>
        <w:t xml:space="preserve"> (AccelerateEU). </w:t>
      </w:r>
    </w:p>
  </w:footnote>
  <w:footnote w:id="40">
    <w:p w14:paraId="4DA566AD" w14:textId="77777777" w:rsidR="00F754F8" w:rsidRDefault="00522279">
      <w:pPr>
        <w:pStyle w:val="FootnoteText"/>
      </w:pPr>
      <w:r>
        <w:rPr>
          <w:rStyle w:val="FootnoteReference"/>
        </w:rPr>
        <w:footnoteRef/>
      </w:r>
      <w:r>
        <w:t xml:space="preserve"> </w:t>
      </w:r>
      <w:r>
        <w:tab/>
        <w:t xml:space="preserve">Două treimi din procedurile de constatare a neîndeplinirii obligațiilor sunt soluționate în prima etapă (după scrisoarea de punere în întârziere), în timp ce aproximativ </w:t>
      </w:r>
      <w:r w:rsidRPr="00DD1E6E">
        <w:t>95</w:t>
      </w:r>
      <w:r>
        <w:t> % din cazuri sunt soluționate înainte de a fi necesară sesizarea Curții de Justiție.</w:t>
      </w:r>
    </w:p>
  </w:footnote>
  <w:footnote w:id="41">
    <w:p w14:paraId="5D60D762" w14:textId="77777777" w:rsidR="00F754F8" w:rsidRDefault="00522279">
      <w:pPr>
        <w:pStyle w:val="FootnoteText"/>
      </w:pPr>
      <w:r>
        <w:rPr>
          <w:rStyle w:val="FootnoteReference"/>
        </w:rPr>
        <w:footnoteRef/>
      </w:r>
      <w:r>
        <w:t xml:space="preserve"> </w:t>
      </w:r>
      <w:r>
        <w:rPr>
          <w:u w:val="single"/>
        </w:rPr>
        <w:tab/>
      </w:r>
      <w:hyperlink r:id="rId13" w:history="1">
        <w:r>
          <w:rPr>
            <w:rStyle w:val="Hyperlink"/>
          </w:rPr>
          <w:t>https://ec.europa.eu/implementing-eu-law/member-state-infringement-cases/ro#inline-nav-</w:t>
        </w:r>
        <w:r w:rsidRPr="00DD1E6E">
          <w:rPr>
            <w:rStyle w:val="Hyperlink"/>
          </w:rPr>
          <w:t>10</w:t>
        </w:r>
      </w:hyperlink>
      <w:r>
        <w:t>.</w:t>
      </w:r>
    </w:p>
  </w:footnote>
  <w:footnote w:id="42">
    <w:p w14:paraId="6733B0F4" w14:textId="77777777" w:rsidR="00F754F8" w:rsidRDefault="00522279">
      <w:pPr>
        <w:pStyle w:val="FootnoteText"/>
      </w:pPr>
      <w:r>
        <w:rPr>
          <w:rStyle w:val="FootnoteReference"/>
        </w:rPr>
        <w:footnoteRef/>
      </w:r>
      <w:r>
        <w:t xml:space="preserve"> </w:t>
      </w:r>
      <w:r>
        <w:tab/>
        <w:t>În special prin utilizarea mai frecventă a procedurii de abilitare pentru adoptarea deciziilor în cadrul unei proceduri de constatare a neîndeplinirii obligațiilor.</w:t>
      </w:r>
    </w:p>
  </w:footnote>
  <w:footnote w:id="43">
    <w:p w14:paraId="45185F20" w14:textId="77777777" w:rsidR="00F754F8" w:rsidRDefault="00522279">
      <w:pPr>
        <w:pStyle w:val="FootnoteText"/>
      </w:pPr>
      <w:r>
        <w:rPr>
          <w:rStyle w:val="FootnoteReference"/>
        </w:rPr>
        <w:footnoteRef/>
      </w:r>
      <w:r>
        <w:t xml:space="preserve"> </w:t>
      </w:r>
      <w:r>
        <w:tab/>
        <w:t xml:space="preserve">A se vedea Hotărârea Curții de Justiție din </w:t>
      </w:r>
      <w:r w:rsidRPr="00DD1E6E">
        <w:t>8</w:t>
      </w:r>
      <w:r>
        <w:t xml:space="preserve"> iulie </w:t>
      </w:r>
      <w:r w:rsidRPr="00DD1E6E">
        <w:t>2019</w:t>
      </w:r>
      <w:r>
        <w:t>, Comisia/Belgia, C-</w:t>
      </w:r>
      <w:r w:rsidRPr="00DD1E6E">
        <w:t>543</w:t>
      </w:r>
      <w:r>
        <w:t>/</w:t>
      </w:r>
      <w:r w:rsidRPr="00DD1E6E">
        <w:t>17</w:t>
      </w:r>
      <w:r>
        <w:t xml:space="preserve"> P, ECLI:EU:C:</w:t>
      </w:r>
      <w:r w:rsidRPr="00DD1E6E">
        <w:t>2019</w:t>
      </w:r>
      <w:r>
        <w:t>:</w:t>
      </w:r>
      <w:r w:rsidRPr="00DD1E6E">
        <w:t>573</w:t>
      </w:r>
      <w:r>
        <w:t xml:space="preserve">, punctul </w:t>
      </w:r>
      <w:r w:rsidRPr="00DD1E6E">
        <w:t>59</w:t>
      </w:r>
      <w:r>
        <w:t>, care a influențat puternic jurisprudența ulterioară.</w:t>
      </w:r>
    </w:p>
  </w:footnote>
  <w:footnote w:id="44">
    <w:p w14:paraId="53062A56" w14:textId="77777777" w:rsidR="00F754F8" w:rsidRDefault="00522279">
      <w:pPr>
        <w:pStyle w:val="FootnoteText"/>
      </w:pPr>
      <w:r>
        <w:rPr>
          <w:rStyle w:val="FootnoteReference"/>
        </w:rPr>
        <w:footnoteRef/>
      </w:r>
      <w:r>
        <w:t xml:space="preserve"> </w:t>
      </w:r>
      <w:r>
        <w:tab/>
        <w:t>De exemplu, prin punerea la dispoziția statelor membre a unui model pe care acestea îl pot utiliza pentru a prezenta explicația.</w:t>
      </w:r>
    </w:p>
  </w:footnote>
  <w:footnote w:id="45">
    <w:p w14:paraId="2E930BAC" w14:textId="77777777" w:rsidR="00F754F8" w:rsidRDefault="00522279">
      <w:pPr>
        <w:pStyle w:val="FootnoteText"/>
      </w:pPr>
      <w:r>
        <w:rPr>
          <w:rStyle w:val="FootnoteReference"/>
        </w:rPr>
        <w:footnoteRef/>
      </w:r>
      <w:r>
        <w:t xml:space="preserve"> Scopul scrisorii de punere în întârziere este de a solicita observațiile statului membru cu privire la constatările Comisiei, adesea în urma dialogurilor prealabile lansării procedurii de constatare a neîndeplinirii obligațiilor sau a schimburilor bilaterale. Întârzierile nejustificate împiedică evaluarea Comisiei și riscă să conducă la un tratament inegal între statele membre. </w:t>
      </w:r>
    </w:p>
  </w:footnote>
  <w:footnote w:id="46">
    <w:p w14:paraId="5A338493" w14:textId="77777777" w:rsidR="00F754F8" w:rsidRDefault="00522279">
      <w:pPr>
        <w:pStyle w:val="FootnoteText"/>
      </w:pPr>
      <w:r>
        <w:rPr>
          <w:rStyle w:val="FootnoteReference"/>
        </w:rPr>
        <w:footnoteRef/>
      </w:r>
      <w:r>
        <w:t xml:space="preserve"> Cererea trebuie să includă un calendar realist și suficient de clar al măsurilor care trebuie luate, scopul cererii trebuie să fie acela de a permite statului membru să adopte măsurile necesare pentru a se conforma avizului motivat, nu poate exista decât o singură cerere de prelungire a termenului de răspuns, cererea trebuie să parvină Secretariatului General înainte de expirarea termenului inițial și termenul suplimentar acordat nu poate depăși trei luni.</w:t>
      </w:r>
    </w:p>
  </w:footnote>
  <w:footnote w:id="47">
    <w:p w14:paraId="0571D2FF" w14:textId="77777777" w:rsidR="00F754F8" w:rsidRDefault="00522279">
      <w:pPr>
        <w:pStyle w:val="FootnoteText"/>
      </w:pPr>
      <w:r>
        <w:rPr>
          <w:rStyle w:val="FootnoteReference"/>
        </w:rPr>
        <w:footnoteRef/>
      </w:r>
      <w:r>
        <w:t xml:space="preserve"> </w:t>
      </w:r>
      <w:r>
        <w:tab/>
        <w:t>Excluderea oricăror riscuri legate de procesul decizional automatizat și asigurarea bunei administrări.</w:t>
      </w:r>
    </w:p>
  </w:footnote>
  <w:footnote w:id="48">
    <w:p w14:paraId="7AB84112" w14:textId="77777777" w:rsidR="00F754F8" w:rsidRDefault="00522279">
      <w:pPr>
        <w:pStyle w:val="FootnoteText"/>
      </w:pPr>
      <w:r>
        <w:rPr>
          <w:rStyle w:val="FootnoteReference"/>
        </w:rPr>
        <w:footnoteRef/>
      </w:r>
      <w:r>
        <w:t xml:space="preserve"> </w:t>
      </w:r>
      <w:r>
        <w:tab/>
        <w:t>În special (i) în cazul în care un stat membru nu a luat măsurile pe care le impune executarea hotărârii anterioare a Curții prin care se constată o încălcare a dreptului UE [articolul </w:t>
      </w:r>
      <w:r w:rsidRPr="00DD1E6E">
        <w:t>260</w:t>
      </w:r>
      <w:r>
        <w:t xml:space="preserve"> alineatul (</w:t>
      </w:r>
      <w:r w:rsidRPr="00DD1E6E">
        <w:t>2</w:t>
      </w:r>
      <w:r>
        <w:t>) din TFUE] și (ii) în cazul în care un stat membru nu și-a îndeplinit obligația de a comunica măsurile de transpunere a unei directive adoptate în conformitate cu o procedură legislativă [articolul </w:t>
      </w:r>
      <w:r w:rsidRPr="00DD1E6E">
        <w:t>260</w:t>
      </w:r>
      <w:r>
        <w:t xml:space="preserve"> alineatul (</w:t>
      </w:r>
      <w:r w:rsidRPr="00DD1E6E">
        <w:t>3</w:t>
      </w:r>
      <w:r>
        <w:t>) din TFUE].</w:t>
      </w:r>
    </w:p>
  </w:footnote>
  <w:footnote w:id="49">
    <w:p w14:paraId="09A557D6" w14:textId="77777777" w:rsidR="00F754F8" w:rsidRDefault="00522279">
      <w:pPr>
        <w:pStyle w:val="FootnoteText"/>
      </w:pPr>
      <w:r>
        <w:rPr>
          <w:rStyle w:val="FootnoteReference"/>
        </w:rPr>
        <w:footnoteRef/>
      </w:r>
      <w:r>
        <w:t xml:space="preserve"> </w:t>
      </w:r>
      <w:r>
        <w:tab/>
        <w:t xml:space="preserve">Jurisprudența Curții referitoare la cazurile de constatare a neîndeplinirii obligațiilor de comunicare amintește în mod constant că „obligația de a adopta măsuri pentru a asigura transpunerea completă a unei directive și cerința de a comunica aceste dispoziții Comisiei constituie obligații esențiale ale statelor membre pentru a asigura deplina efectivitate a dreptului Uniunii și că nerespectarea obligațiilor respective trebuie, prin urmare, să fie considerată ca fiind de o </w:t>
      </w:r>
      <w:r>
        <w:rPr>
          <w:u w:val="single"/>
        </w:rPr>
        <w:t>gravitate certă</w:t>
      </w:r>
      <w:r>
        <w:t xml:space="preserve">” (Hotărârea din </w:t>
      </w:r>
      <w:r w:rsidRPr="00DD1E6E">
        <w:t>25</w:t>
      </w:r>
      <w:r>
        <w:t xml:space="preserve"> aprilie </w:t>
      </w:r>
      <w:r w:rsidRPr="00DD1E6E">
        <w:t>2024</w:t>
      </w:r>
      <w:r>
        <w:t>, Comisia/Polonia, C-</w:t>
      </w:r>
      <w:r w:rsidRPr="00DD1E6E">
        <w:t>147</w:t>
      </w:r>
      <w:r>
        <w:t>/</w:t>
      </w:r>
      <w:r w:rsidRPr="00DD1E6E">
        <w:t>23</w:t>
      </w:r>
      <w:r>
        <w:t>, ECLI:EU:C:</w:t>
      </w:r>
      <w:r w:rsidRPr="00DD1E6E">
        <w:t>2024</w:t>
      </w:r>
      <w:r>
        <w:t>:</w:t>
      </w:r>
      <w:r w:rsidRPr="00DD1E6E">
        <w:t>346</w:t>
      </w:r>
      <w:r>
        <w:t xml:space="preserve">, punctul </w:t>
      </w:r>
      <w:r w:rsidRPr="00DD1E6E">
        <w:t>72</w:t>
      </w:r>
      <w:r>
        <w:t>).</w:t>
      </w:r>
    </w:p>
  </w:footnote>
  <w:footnote w:id="50">
    <w:p w14:paraId="27276FCE" w14:textId="77777777" w:rsidR="00F754F8" w:rsidRDefault="00522279">
      <w:pPr>
        <w:pStyle w:val="FootnoteText"/>
      </w:pPr>
      <w:r>
        <w:rPr>
          <w:rStyle w:val="FootnoteReference"/>
        </w:rPr>
        <w:footnoteRef/>
      </w:r>
      <w:r>
        <w:t xml:space="preserve"> </w:t>
      </w:r>
      <w:r>
        <w:tab/>
        <w:t xml:space="preserve">Directiva (UE) </w:t>
      </w:r>
      <w:r w:rsidRPr="00DD1E6E">
        <w:t>2015</w:t>
      </w:r>
      <w:r>
        <w:t>/</w:t>
      </w:r>
      <w:r w:rsidRPr="00DD1E6E">
        <w:t>1535</w:t>
      </w:r>
      <w:r>
        <w:t xml:space="preserve"> a Parlamentului European și a Consiliului din </w:t>
      </w:r>
      <w:r w:rsidRPr="00DD1E6E">
        <w:t>9</w:t>
      </w:r>
      <w:r>
        <w:t xml:space="preserve"> septembrie </w:t>
      </w:r>
      <w:r w:rsidRPr="00DD1E6E">
        <w:t>2015</w:t>
      </w:r>
      <w:r>
        <w:t xml:space="preserve"> referitoare la procedura de furnizare de informații în domeniul reglementărilor tehnice și al normelor privind serviciile societății informaționale (JO L </w:t>
      </w:r>
      <w:r w:rsidRPr="00DD1E6E">
        <w:t>241</w:t>
      </w:r>
      <w:r>
        <w:t xml:space="preserve">, </w:t>
      </w:r>
      <w:r w:rsidRPr="00DD1E6E">
        <w:t>17</w:t>
      </w:r>
      <w:r>
        <w:t>.</w:t>
      </w:r>
      <w:r w:rsidRPr="00DD1E6E">
        <w:t>9</w:t>
      </w:r>
      <w:r>
        <w:t>.</w:t>
      </w:r>
      <w:r w:rsidRPr="00DD1E6E">
        <w:t>2015</w:t>
      </w:r>
      <w:r>
        <w:t>, p. </w:t>
      </w:r>
      <w:r w:rsidRPr="00DD1E6E">
        <w:t>1</w:t>
      </w:r>
      <w:r>
        <w:t xml:space="preserve">). </w:t>
      </w:r>
    </w:p>
  </w:footnote>
  <w:footnote w:id="51">
    <w:p w14:paraId="2EF8FB1E" w14:textId="77777777" w:rsidR="00F754F8" w:rsidRDefault="00522279">
      <w:pPr>
        <w:pStyle w:val="FootnoteText"/>
      </w:pPr>
      <w:r>
        <w:rPr>
          <w:rStyle w:val="FootnoteReference"/>
        </w:rPr>
        <w:footnoteRef/>
      </w:r>
      <w:r>
        <w:t xml:space="preserve"> </w:t>
      </w:r>
      <w:r>
        <w:tab/>
        <w:t xml:space="preserve">Directiva </w:t>
      </w:r>
      <w:r w:rsidRPr="00DD1E6E">
        <w:t>2006</w:t>
      </w:r>
      <w:r>
        <w:t>/</w:t>
      </w:r>
      <w:r w:rsidRPr="00DD1E6E">
        <w:t>123</w:t>
      </w:r>
      <w:r>
        <w:t xml:space="preserve">/CE a Parlamentului European și a Consiliului din </w:t>
      </w:r>
      <w:r w:rsidRPr="00DD1E6E">
        <w:t>12</w:t>
      </w:r>
      <w:r>
        <w:t xml:space="preserve"> decembrie </w:t>
      </w:r>
      <w:r w:rsidRPr="00DD1E6E">
        <w:t>2006</w:t>
      </w:r>
      <w:r>
        <w:t xml:space="preserve"> privind serviciile în cadrul pieței interne (JO L </w:t>
      </w:r>
      <w:r w:rsidRPr="00DD1E6E">
        <w:t>376</w:t>
      </w:r>
      <w:r>
        <w:t xml:space="preserve">, </w:t>
      </w:r>
      <w:r w:rsidRPr="00DD1E6E">
        <w:t>27</w:t>
      </w:r>
      <w:r>
        <w:t>.</w:t>
      </w:r>
      <w:r w:rsidRPr="00DD1E6E">
        <w:t>12</w:t>
      </w:r>
      <w:r>
        <w:t>.</w:t>
      </w:r>
      <w:r w:rsidRPr="00DD1E6E">
        <w:t>2006</w:t>
      </w:r>
      <w:r>
        <w:t>, p. </w:t>
      </w:r>
      <w:r w:rsidRPr="00DD1E6E">
        <w:t>36</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362C7" w14:textId="77777777" w:rsidR="002A44A2" w:rsidRPr="002A44A2" w:rsidRDefault="002A44A2" w:rsidP="002A44A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A7E80F" w14:textId="77777777" w:rsidR="002A44A2" w:rsidRPr="002A44A2" w:rsidRDefault="002A44A2" w:rsidP="002A44A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7A9BB" w14:textId="77777777" w:rsidR="002A44A2" w:rsidRPr="002A44A2" w:rsidRDefault="002A44A2" w:rsidP="002A44A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338C2" w14:textId="77777777" w:rsidR="00F754F8" w:rsidRDefault="00F754F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5089F2" w14:textId="77777777" w:rsidR="00F754F8" w:rsidRDefault="00F754F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ED4FC" w14:textId="77777777" w:rsidR="00F754F8" w:rsidRDefault="00F754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70540"/>
    <w:multiLevelType w:val="hybridMultilevel"/>
    <w:tmpl w:val="ABBCFC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F43412D"/>
    <w:multiLevelType w:val="hybridMultilevel"/>
    <w:tmpl w:val="78689CF6"/>
    <w:lvl w:ilvl="0" w:tplc="C0AADF8C">
      <w:numFmt w:val="bullet"/>
      <w:lvlText w:val="-"/>
      <w:lvlJc w:val="left"/>
      <w:pPr>
        <w:ind w:left="720" w:hanging="360"/>
      </w:pPr>
      <w:rPr>
        <w:rFonts w:ascii="Times New Roman" w:eastAsiaTheme="minorEastAsia"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CF229F2"/>
    <w:multiLevelType w:val="hybridMultilevel"/>
    <w:tmpl w:val="F9D619A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DB97314"/>
    <w:multiLevelType w:val="multilevel"/>
    <w:tmpl w:val="377A92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DA09FF"/>
    <w:multiLevelType w:val="hybridMultilevel"/>
    <w:tmpl w:val="66AE9162"/>
    <w:lvl w:ilvl="0" w:tplc="7FD6A9D6">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63F7EA5"/>
    <w:multiLevelType w:val="hybridMultilevel"/>
    <w:tmpl w:val="C4A0D1AE"/>
    <w:lvl w:ilvl="0" w:tplc="9C70DA6E">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671ABE"/>
    <w:multiLevelType w:val="hybridMultilevel"/>
    <w:tmpl w:val="3DA20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716753"/>
    <w:multiLevelType w:val="hybridMultilevel"/>
    <w:tmpl w:val="354608A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DF53B09"/>
    <w:multiLevelType w:val="hybridMultilevel"/>
    <w:tmpl w:val="1D3E4C34"/>
    <w:lvl w:ilvl="0" w:tplc="B67657F4">
      <w:start w:val="1"/>
      <w:numFmt w:val="decimal"/>
      <w:lvlText w:val="%1."/>
      <w:lvlJc w:val="left"/>
      <w:pPr>
        <w:ind w:left="1020" w:hanging="360"/>
      </w:pPr>
    </w:lvl>
    <w:lvl w:ilvl="1" w:tplc="8E56FAB8">
      <w:start w:val="1"/>
      <w:numFmt w:val="decimal"/>
      <w:lvlText w:val="%2."/>
      <w:lvlJc w:val="left"/>
      <w:pPr>
        <w:ind w:left="1020" w:hanging="360"/>
      </w:pPr>
    </w:lvl>
    <w:lvl w:ilvl="2" w:tplc="FF82C364">
      <w:start w:val="1"/>
      <w:numFmt w:val="decimal"/>
      <w:lvlText w:val="%3."/>
      <w:lvlJc w:val="left"/>
      <w:pPr>
        <w:ind w:left="1020" w:hanging="360"/>
      </w:pPr>
    </w:lvl>
    <w:lvl w:ilvl="3" w:tplc="67A80736">
      <w:start w:val="1"/>
      <w:numFmt w:val="decimal"/>
      <w:lvlText w:val="%4."/>
      <w:lvlJc w:val="left"/>
      <w:pPr>
        <w:ind w:left="1020" w:hanging="360"/>
      </w:pPr>
    </w:lvl>
    <w:lvl w:ilvl="4" w:tplc="06B23D66">
      <w:start w:val="1"/>
      <w:numFmt w:val="decimal"/>
      <w:lvlText w:val="%5."/>
      <w:lvlJc w:val="left"/>
      <w:pPr>
        <w:ind w:left="1020" w:hanging="360"/>
      </w:pPr>
    </w:lvl>
    <w:lvl w:ilvl="5" w:tplc="C5060B6C">
      <w:start w:val="1"/>
      <w:numFmt w:val="decimal"/>
      <w:lvlText w:val="%6."/>
      <w:lvlJc w:val="left"/>
      <w:pPr>
        <w:ind w:left="1020" w:hanging="360"/>
      </w:pPr>
    </w:lvl>
    <w:lvl w:ilvl="6" w:tplc="ACA0152E">
      <w:start w:val="1"/>
      <w:numFmt w:val="decimal"/>
      <w:lvlText w:val="%7."/>
      <w:lvlJc w:val="left"/>
      <w:pPr>
        <w:ind w:left="1020" w:hanging="360"/>
      </w:pPr>
    </w:lvl>
    <w:lvl w:ilvl="7" w:tplc="D7FA2E32">
      <w:start w:val="1"/>
      <w:numFmt w:val="decimal"/>
      <w:lvlText w:val="%8."/>
      <w:lvlJc w:val="left"/>
      <w:pPr>
        <w:ind w:left="1020" w:hanging="360"/>
      </w:pPr>
    </w:lvl>
    <w:lvl w:ilvl="8" w:tplc="98380826">
      <w:start w:val="1"/>
      <w:numFmt w:val="decimal"/>
      <w:lvlText w:val="%9."/>
      <w:lvlJc w:val="left"/>
      <w:pPr>
        <w:ind w:left="1020" w:hanging="360"/>
      </w:pPr>
    </w:lvl>
  </w:abstractNum>
  <w:abstractNum w:abstractNumId="9" w15:restartNumberingAfterBreak="0">
    <w:nsid w:val="2E577641"/>
    <w:multiLevelType w:val="hybridMultilevel"/>
    <w:tmpl w:val="F9D619A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62D1385"/>
    <w:multiLevelType w:val="hybridMultilevel"/>
    <w:tmpl w:val="0526F0C8"/>
    <w:lvl w:ilvl="0" w:tplc="7FD6A9D6">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ADA60FD"/>
    <w:multiLevelType w:val="hybridMultilevel"/>
    <w:tmpl w:val="FFFFFFFF"/>
    <w:lvl w:ilvl="0" w:tplc="5C524C06">
      <w:start w:val="1"/>
      <w:numFmt w:val="bullet"/>
      <w:pStyle w:val="Para"/>
      <w:lvlText w:val=""/>
      <w:lvlJc w:val="left"/>
      <w:pPr>
        <w:ind w:left="720" w:hanging="360"/>
      </w:pPr>
      <w:rPr>
        <w:rFonts w:ascii="Symbol" w:hAnsi="Symbol" w:hint="default"/>
      </w:rPr>
    </w:lvl>
    <w:lvl w:ilvl="1" w:tplc="D6E46FA0">
      <w:start w:val="1"/>
      <w:numFmt w:val="bullet"/>
      <w:lvlText w:val="o"/>
      <w:lvlJc w:val="left"/>
      <w:pPr>
        <w:ind w:left="1440" w:hanging="360"/>
      </w:pPr>
      <w:rPr>
        <w:rFonts w:ascii="Courier New" w:hAnsi="Courier New" w:hint="default"/>
      </w:rPr>
    </w:lvl>
    <w:lvl w:ilvl="2" w:tplc="A7806ED6">
      <w:start w:val="1"/>
      <w:numFmt w:val="bullet"/>
      <w:lvlText w:val=""/>
      <w:lvlJc w:val="left"/>
      <w:pPr>
        <w:ind w:left="2160" w:hanging="360"/>
      </w:pPr>
      <w:rPr>
        <w:rFonts w:ascii="Wingdings" w:hAnsi="Wingdings" w:hint="default"/>
      </w:rPr>
    </w:lvl>
    <w:lvl w:ilvl="3" w:tplc="AB186C30">
      <w:start w:val="1"/>
      <w:numFmt w:val="bullet"/>
      <w:lvlText w:val=""/>
      <w:lvlJc w:val="left"/>
      <w:pPr>
        <w:ind w:left="2880" w:hanging="360"/>
      </w:pPr>
      <w:rPr>
        <w:rFonts w:ascii="Symbol" w:hAnsi="Symbol" w:hint="default"/>
      </w:rPr>
    </w:lvl>
    <w:lvl w:ilvl="4" w:tplc="EC8AF642">
      <w:start w:val="1"/>
      <w:numFmt w:val="bullet"/>
      <w:lvlText w:val="o"/>
      <w:lvlJc w:val="left"/>
      <w:pPr>
        <w:ind w:left="3600" w:hanging="360"/>
      </w:pPr>
      <w:rPr>
        <w:rFonts w:ascii="Courier New" w:hAnsi="Courier New" w:hint="default"/>
      </w:rPr>
    </w:lvl>
    <w:lvl w:ilvl="5" w:tplc="D63C6002">
      <w:start w:val="1"/>
      <w:numFmt w:val="bullet"/>
      <w:lvlText w:val=""/>
      <w:lvlJc w:val="left"/>
      <w:pPr>
        <w:ind w:left="4320" w:hanging="360"/>
      </w:pPr>
      <w:rPr>
        <w:rFonts w:ascii="Wingdings" w:hAnsi="Wingdings" w:hint="default"/>
      </w:rPr>
    </w:lvl>
    <w:lvl w:ilvl="6" w:tplc="84A07E5A">
      <w:start w:val="1"/>
      <w:numFmt w:val="bullet"/>
      <w:lvlText w:val=""/>
      <w:lvlJc w:val="left"/>
      <w:pPr>
        <w:ind w:left="5040" w:hanging="360"/>
      </w:pPr>
      <w:rPr>
        <w:rFonts w:ascii="Symbol" w:hAnsi="Symbol" w:hint="default"/>
      </w:rPr>
    </w:lvl>
    <w:lvl w:ilvl="7" w:tplc="C01C9F4E">
      <w:start w:val="1"/>
      <w:numFmt w:val="bullet"/>
      <w:lvlText w:val="o"/>
      <w:lvlJc w:val="left"/>
      <w:pPr>
        <w:ind w:left="5760" w:hanging="360"/>
      </w:pPr>
      <w:rPr>
        <w:rFonts w:ascii="Courier New" w:hAnsi="Courier New" w:hint="default"/>
      </w:rPr>
    </w:lvl>
    <w:lvl w:ilvl="8" w:tplc="E6CCBD3A">
      <w:start w:val="1"/>
      <w:numFmt w:val="bullet"/>
      <w:lvlText w:val=""/>
      <w:lvlJc w:val="left"/>
      <w:pPr>
        <w:ind w:left="6480" w:hanging="360"/>
      </w:pPr>
      <w:rPr>
        <w:rFonts w:ascii="Wingdings" w:hAnsi="Wingdings" w:hint="default"/>
      </w:rPr>
    </w:lvl>
  </w:abstractNum>
  <w:abstractNum w:abstractNumId="12" w15:restartNumberingAfterBreak="0">
    <w:nsid w:val="4BB40583"/>
    <w:multiLevelType w:val="multilevel"/>
    <w:tmpl w:val="5DC24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C6B794F"/>
    <w:multiLevelType w:val="multilevel"/>
    <w:tmpl w:val="339651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927105"/>
    <w:multiLevelType w:val="hybridMultilevel"/>
    <w:tmpl w:val="7542034A"/>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ED879D5"/>
    <w:multiLevelType w:val="hybridMultilevel"/>
    <w:tmpl w:val="25FA733C"/>
    <w:lvl w:ilvl="0" w:tplc="150E373A">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5176726A"/>
    <w:multiLevelType w:val="hybridMultilevel"/>
    <w:tmpl w:val="2496E552"/>
    <w:lvl w:ilvl="0" w:tplc="3FDC4480">
      <w:start w:val="1"/>
      <w:numFmt w:val="bullet"/>
      <w:pStyle w:val="BulletedList"/>
      <w:lvlText w:val=""/>
      <w:lvlJc w:val="left"/>
      <w:pPr>
        <w:ind w:left="680" w:hanging="340"/>
      </w:pPr>
      <w:rPr>
        <w:rFonts w:ascii="Symbol" w:hAnsi="Symbol" w:hint="default"/>
        <w:color w:val="156082" w:themeColor="accent1"/>
      </w:rPr>
    </w:lvl>
    <w:lvl w:ilvl="1" w:tplc="70DAC4A6">
      <w:start w:val="1"/>
      <w:numFmt w:val="bullet"/>
      <w:lvlText w:val="o"/>
      <w:lvlJc w:val="left"/>
      <w:pPr>
        <w:tabs>
          <w:tab w:val="num" w:pos="680"/>
        </w:tabs>
        <w:ind w:left="1021" w:hanging="341"/>
      </w:pPr>
      <w:rPr>
        <w:rFonts w:ascii="Courier New" w:hAnsi="Courier New" w:hint="default"/>
      </w:rPr>
    </w:lvl>
    <w:lvl w:ilvl="2" w:tplc="B314BC2A">
      <w:start w:val="1"/>
      <w:numFmt w:val="bullet"/>
      <w:lvlText w:val="‒"/>
      <w:lvlJc w:val="left"/>
      <w:pPr>
        <w:tabs>
          <w:tab w:val="num" w:pos="1021"/>
        </w:tabs>
        <w:ind w:left="1361" w:hanging="340"/>
      </w:pPr>
      <w:rPr>
        <w:rFonts w:ascii="Calibri" w:hAnsi="Calibri" w:hint="default"/>
      </w:rPr>
    </w:lvl>
    <w:lvl w:ilvl="3" w:tplc="3522BB54">
      <w:start w:val="1"/>
      <w:numFmt w:val="bullet"/>
      <w:lvlText w:val="‒"/>
      <w:lvlJc w:val="left"/>
      <w:pPr>
        <w:tabs>
          <w:tab w:val="num" w:pos="1361"/>
        </w:tabs>
        <w:ind w:left="1701" w:hanging="340"/>
      </w:pPr>
      <w:rPr>
        <w:rFonts w:ascii="Calibri" w:hAnsi="Calibri" w:hint="default"/>
      </w:rPr>
    </w:lvl>
    <w:lvl w:ilvl="4" w:tplc="2D28C6B4">
      <w:start w:val="1"/>
      <w:numFmt w:val="bullet"/>
      <w:lvlText w:val="‒"/>
      <w:lvlJc w:val="left"/>
      <w:pPr>
        <w:tabs>
          <w:tab w:val="num" w:pos="1701"/>
        </w:tabs>
        <w:ind w:left="2041" w:hanging="340"/>
      </w:pPr>
      <w:rPr>
        <w:rFonts w:ascii="Calibri" w:hAnsi="Calibri" w:hint="default"/>
      </w:rPr>
    </w:lvl>
    <w:lvl w:ilvl="5" w:tplc="8BE2FB6E" w:tentative="1">
      <w:start w:val="1"/>
      <w:numFmt w:val="bullet"/>
      <w:lvlText w:val=""/>
      <w:lvlJc w:val="left"/>
      <w:pPr>
        <w:ind w:left="4774" w:hanging="360"/>
      </w:pPr>
      <w:rPr>
        <w:rFonts w:ascii="Wingdings" w:hAnsi="Wingdings" w:hint="default"/>
      </w:rPr>
    </w:lvl>
    <w:lvl w:ilvl="6" w:tplc="63D08252" w:tentative="1">
      <w:start w:val="1"/>
      <w:numFmt w:val="bullet"/>
      <w:lvlText w:val=""/>
      <w:lvlJc w:val="left"/>
      <w:pPr>
        <w:ind w:left="5494" w:hanging="360"/>
      </w:pPr>
      <w:rPr>
        <w:rFonts w:ascii="Symbol" w:hAnsi="Symbol" w:hint="default"/>
      </w:rPr>
    </w:lvl>
    <w:lvl w:ilvl="7" w:tplc="005AB462" w:tentative="1">
      <w:start w:val="1"/>
      <w:numFmt w:val="bullet"/>
      <w:lvlText w:val="o"/>
      <w:lvlJc w:val="left"/>
      <w:pPr>
        <w:ind w:left="6214" w:hanging="360"/>
      </w:pPr>
      <w:rPr>
        <w:rFonts w:ascii="Courier New" w:hAnsi="Courier New" w:hint="default"/>
      </w:rPr>
    </w:lvl>
    <w:lvl w:ilvl="8" w:tplc="B8F65D3C" w:tentative="1">
      <w:start w:val="1"/>
      <w:numFmt w:val="bullet"/>
      <w:lvlText w:val=""/>
      <w:lvlJc w:val="left"/>
      <w:pPr>
        <w:ind w:left="6934" w:hanging="360"/>
      </w:pPr>
      <w:rPr>
        <w:rFonts w:ascii="Wingdings" w:hAnsi="Wingdings" w:hint="default"/>
      </w:rPr>
    </w:lvl>
  </w:abstractNum>
  <w:abstractNum w:abstractNumId="17" w15:restartNumberingAfterBreak="0">
    <w:nsid w:val="55707E7F"/>
    <w:multiLevelType w:val="hybridMultilevel"/>
    <w:tmpl w:val="38DCD204"/>
    <w:lvl w:ilvl="0" w:tplc="7FD6A9D6">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7B92C88"/>
    <w:multiLevelType w:val="multilevel"/>
    <w:tmpl w:val="112C25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42454D"/>
    <w:multiLevelType w:val="multilevel"/>
    <w:tmpl w:val="BC441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9547BA"/>
    <w:multiLevelType w:val="hybridMultilevel"/>
    <w:tmpl w:val="FE2C6C28"/>
    <w:lvl w:ilvl="0" w:tplc="04070001">
      <w:start w:val="1"/>
      <w:numFmt w:val="bullet"/>
      <w:lvlText w:val=""/>
      <w:lvlJc w:val="left"/>
      <w:pPr>
        <w:ind w:left="717" w:hanging="360"/>
      </w:pPr>
      <w:rPr>
        <w:rFonts w:ascii="Symbol" w:hAnsi="Symbol" w:hint="default"/>
      </w:rPr>
    </w:lvl>
    <w:lvl w:ilvl="1" w:tplc="04070003" w:tentative="1">
      <w:start w:val="1"/>
      <w:numFmt w:val="bullet"/>
      <w:lvlText w:val="o"/>
      <w:lvlJc w:val="left"/>
      <w:pPr>
        <w:ind w:left="1437" w:hanging="360"/>
      </w:pPr>
      <w:rPr>
        <w:rFonts w:ascii="Courier New" w:hAnsi="Courier New" w:cs="Courier New" w:hint="default"/>
      </w:rPr>
    </w:lvl>
    <w:lvl w:ilvl="2" w:tplc="04070005" w:tentative="1">
      <w:start w:val="1"/>
      <w:numFmt w:val="bullet"/>
      <w:lvlText w:val=""/>
      <w:lvlJc w:val="left"/>
      <w:pPr>
        <w:ind w:left="2157" w:hanging="360"/>
      </w:pPr>
      <w:rPr>
        <w:rFonts w:ascii="Wingdings" w:hAnsi="Wingdings" w:hint="default"/>
      </w:rPr>
    </w:lvl>
    <w:lvl w:ilvl="3" w:tplc="04070001" w:tentative="1">
      <w:start w:val="1"/>
      <w:numFmt w:val="bullet"/>
      <w:lvlText w:val=""/>
      <w:lvlJc w:val="left"/>
      <w:pPr>
        <w:ind w:left="2877" w:hanging="360"/>
      </w:pPr>
      <w:rPr>
        <w:rFonts w:ascii="Symbol" w:hAnsi="Symbol" w:hint="default"/>
      </w:rPr>
    </w:lvl>
    <w:lvl w:ilvl="4" w:tplc="04070003" w:tentative="1">
      <w:start w:val="1"/>
      <w:numFmt w:val="bullet"/>
      <w:lvlText w:val="o"/>
      <w:lvlJc w:val="left"/>
      <w:pPr>
        <w:ind w:left="3597" w:hanging="360"/>
      </w:pPr>
      <w:rPr>
        <w:rFonts w:ascii="Courier New" w:hAnsi="Courier New" w:cs="Courier New" w:hint="default"/>
      </w:rPr>
    </w:lvl>
    <w:lvl w:ilvl="5" w:tplc="04070005" w:tentative="1">
      <w:start w:val="1"/>
      <w:numFmt w:val="bullet"/>
      <w:lvlText w:val=""/>
      <w:lvlJc w:val="left"/>
      <w:pPr>
        <w:ind w:left="4317" w:hanging="360"/>
      </w:pPr>
      <w:rPr>
        <w:rFonts w:ascii="Wingdings" w:hAnsi="Wingdings" w:hint="default"/>
      </w:rPr>
    </w:lvl>
    <w:lvl w:ilvl="6" w:tplc="04070001" w:tentative="1">
      <w:start w:val="1"/>
      <w:numFmt w:val="bullet"/>
      <w:lvlText w:val=""/>
      <w:lvlJc w:val="left"/>
      <w:pPr>
        <w:ind w:left="5037" w:hanging="360"/>
      </w:pPr>
      <w:rPr>
        <w:rFonts w:ascii="Symbol" w:hAnsi="Symbol" w:hint="default"/>
      </w:rPr>
    </w:lvl>
    <w:lvl w:ilvl="7" w:tplc="04070003" w:tentative="1">
      <w:start w:val="1"/>
      <w:numFmt w:val="bullet"/>
      <w:lvlText w:val="o"/>
      <w:lvlJc w:val="left"/>
      <w:pPr>
        <w:ind w:left="5757" w:hanging="360"/>
      </w:pPr>
      <w:rPr>
        <w:rFonts w:ascii="Courier New" w:hAnsi="Courier New" w:cs="Courier New" w:hint="default"/>
      </w:rPr>
    </w:lvl>
    <w:lvl w:ilvl="8" w:tplc="04070005" w:tentative="1">
      <w:start w:val="1"/>
      <w:numFmt w:val="bullet"/>
      <w:lvlText w:val=""/>
      <w:lvlJc w:val="left"/>
      <w:pPr>
        <w:ind w:left="6477" w:hanging="360"/>
      </w:pPr>
      <w:rPr>
        <w:rFonts w:ascii="Wingdings" w:hAnsi="Wingdings" w:hint="default"/>
      </w:rPr>
    </w:lvl>
  </w:abstractNum>
  <w:abstractNum w:abstractNumId="21" w15:restartNumberingAfterBreak="0">
    <w:nsid w:val="64C64573"/>
    <w:multiLevelType w:val="hybridMultilevel"/>
    <w:tmpl w:val="BC4AD4CE"/>
    <w:lvl w:ilvl="0" w:tplc="FFFFFFFF">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2" w15:restartNumberingAfterBreak="0">
    <w:nsid w:val="67010F77"/>
    <w:multiLevelType w:val="hybridMultilevel"/>
    <w:tmpl w:val="FFFFFFFF"/>
    <w:lvl w:ilvl="0" w:tplc="4446B5BC">
      <w:start w:val="1"/>
      <w:numFmt w:val="bullet"/>
      <w:lvlText w:val=""/>
      <w:lvlJc w:val="left"/>
      <w:pPr>
        <w:ind w:left="720" w:hanging="360"/>
      </w:pPr>
      <w:rPr>
        <w:rFonts w:ascii="Symbol" w:hAnsi="Symbol" w:hint="default"/>
      </w:rPr>
    </w:lvl>
    <w:lvl w:ilvl="1" w:tplc="92544BF0">
      <w:start w:val="1"/>
      <w:numFmt w:val="bullet"/>
      <w:lvlText w:val="o"/>
      <w:lvlJc w:val="left"/>
      <w:pPr>
        <w:ind w:left="1440" w:hanging="360"/>
      </w:pPr>
      <w:rPr>
        <w:rFonts w:ascii="Courier New" w:hAnsi="Courier New" w:hint="default"/>
      </w:rPr>
    </w:lvl>
    <w:lvl w:ilvl="2" w:tplc="848A320A">
      <w:start w:val="1"/>
      <w:numFmt w:val="bullet"/>
      <w:lvlText w:val=""/>
      <w:lvlJc w:val="left"/>
      <w:pPr>
        <w:ind w:left="2160" w:hanging="360"/>
      </w:pPr>
      <w:rPr>
        <w:rFonts w:ascii="Wingdings" w:hAnsi="Wingdings" w:hint="default"/>
      </w:rPr>
    </w:lvl>
    <w:lvl w:ilvl="3" w:tplc="0E02B608">
      <w:start w:val="1"/>
      <w:numFmt w:val="bullet"/>
      <w:lvlText w:val=""/>
      <w:lvlJc w:val="left"/>
      <w:pPr>
        <w:ind w:left="2880" w:hanging="360"/>
      </w:pPr>
      <w:rPr>
        <w:rFonts w:ascii="Symbol" w:hAnsi="Symbol" w:hint="default"/>
      </w:rPr>
    </w:lvl>
    <w:lvl w:ilvl="4" w:tplc="DE1EE1D6">
      <w:start w:val="1"/>
      <w:numFmt w:val="bullet"/>
      <w:lvlText w:val="o"/>
      <w:lvlJc w:val="left"/>
      <w:pPr>
        <w:ind w:left="3600" w:hanging="360"/>
      </w:pPr>
      <w:rPr>
        <w:rFonts w:ascii="Courier New" w:hAnsi="Courier New" w:hint="default"/>
      </w:rPr>
    </w:lvl>
    <w:lvl w:ilvl="5" w:tplc="89B20B3E">
      <w:start w:val="1"/>
      <w:numFmt w:val="bullet"/>
      <w:lvlText w:val=""/>
      <w:lvlJc w:val="left"/>
      <w:pPr>
        <w:ind w:left="4320" w:hanging="360"/>
      </w:pPr>
      <w:rPr>
        <w:rFonts w:ascii="Wingdings" w:hAnsi="Wingdings" w:hint="default"/>
      </w:rPr>
    </w:lvl>
    <w:lvl w:ilvl="6" w:tplc="988EFED6">
      <w:start w:val="1"/>
      <w:numFmt w:val="bullet"/>
      <w:lvlText w:val=""/>
      <w:lvlJc w:val="left"/>
      <w:pPr>
        <w:ind w:left="5040" w:hanging="360"/>
      </w:pPr>
      <w:rPr>
        <w:rFonts w:ascii="Symbol" w:hAnsi="Symbol" w:hint="default"/>
      </w:rPr>
    </w:lvl>
    <w:lvl w:ilvl="7" w:tplc="22C41718">
      <w:start w:val="1"/>
      <w:numFmt w:val="bullet"/>
      <w:lvlText w:val="o"/>
      <w:lvlJc w:val="left"/>
      <w:pPr>
        <w:ind w:left="5760" w:hanging="360"/>
      </w:pPr>
      <w:rPr>
        <w:rFonts w:ascii="Courier New" w:hAnsi="Courier New" w:hint="default"/>
      </w:rPr>
    </w:lvl>
    <w:lvl w:ilvl="8" w:tplc="36DE31B2">
      <w:start w:val="1"/>
      <w:numFmt w:val="bullet"/>
      <w:lvlText w:val=""/>
      <w:lvlJc w:val="left"/>
      <w:pPr>
        <w:ind w:left="6480" w:hanging="360"/>
      </w:pPr>
      <w:rPr>
        <w:rFonts w:ascii="Wingdings" w:hAnsi="Wingdings" w:hint="default"/>
      </w:rPr>
    </w:lvl>
  </w:abstractNum>
  <w:abstractNum w:abstractNumId="23" w15:restartNumberingAfterBreak="0">
    <w:nsid w:val="6EF1491B"/>
    <w:multiLevelType w:val="hybridMultilevel"/>
    <w:tmpl w:val="FFFFFFFF"/>
    <w:lvl w:ilvl="0" w:tplc="780E2292">
      <w:start w:val="1"/>
      <w:numFmt w:val="bullet"/>
      <w:lvlText w:val=""/>
      <w:lvlJc w:val="left"/>
      <w:pPr>
        <w:ind w:left="720" w:hanging="360"/>
      </w:pPr>
      <w:rPr>
        <w:rFonts w:ascii="Symbol" w:hAnsi="Symbol" w:hint="default"/>
      </w:rPr>
    </w:lvl>
    <w:lvl w:ilvl="1" w:tplc="8DA44A20">
      <w:start w:val="1"/>
      <w:numFmt w:val="bullet"/>
      <w:lvlText w:val="o"/>
      <w:lvlJc w:val="left"/>
      <w:pPr>
        <w:ind w:left="1440" w:hanging="360"/>
      </w:pPr>
      <w:rPr>
        <w:rFonts w:ascii="Courier New" w:hAnsi="Courier New" w:hint="default"/>
      </w:rPr>
    </w:lvl>
    <w:lvl w:ilvl="2" w:tplc="063A43EE">
      <w:start w:val="1"/>
      <w:numFmt w:val="bullet"/>
      <w:lvlText w:val=""/>
      <w:lvlJc w:val="left"/>
      <w:pPr>
        <w:ind w:left="2160" w:hanging="360"/>
      </w:pPr>
      <w:rPr>
        <w:rFonts w:ascii="Wingdings" w:hAnsi="Wingdings" w:hint="default"/>
      </w:rPr>
    </w:lvl>
    <w:lvl w:ilvl="3" w:tplc="92E615BA">
      <w:start w:val="1"/>
      <w:numFmt w:val="bullet"/>
      <w:lvlText w:val=""/>
      <w:lvlJc w:val="left"/>
      <w:pPr>
        <w:ind w:left="2880" w:hanging="360"/>
      </w:pPr>
      <w:rPr>
        <w:rFonts w:ascii="Symbol" w:hAnsi="Symbol" w:hint="default"/>
      </w:rPr>
    </w:lvl>
    <w:lvl w:ilvl="4" w:tplc="D18A3E76">
      <w:start w:val="1"/>
      <w:numFmt w:val="bullet"/>
      <w:lvlText w:val="o"/>
      <w:lvlJc w:val="left"/>
      <w:pPr>
        <w:ind w:left="3600" w:hanging="360"/>
      </w:pPr>
      <w:rPr>
        <w:rFonts w:ascii="Courier New" w:hAnsi="Courier New" w:hint="default"/>
      </w:rPr>
    </w:lvl>
    <w:lvl w:ilvl="5" w:tplc="A1443A2C">
      <w:start w:val="1"/>
      <w:numFmt w:val="bullet"/>
      <w:lvlText w:val=""/>
      <w:lvlJc w:val="left"/>
      <w:pPr>
        <w:ind w:left="4320" w:hanging="360"/>
      </w:pPr>
      <w:rPr>
        <w:rFonts w:ascii="Wingdings" w:hAnsi="Wingdings" w:hint="default"/>
      </w:rPr>
    </w:lvl>
    <w:lvl w:ilvl="6" w:tplc="2CFE72AC">
      <w:start w:val="1"/>
      <w:numFmt w:val="bullet"/>
      <w:lvlText w:val=""/>
      <w:lvlJc w:val="left"/>
      <w:pPr>
        <w:ind w:left="5040" w:hanging="360"/>
      </w:pPr>
      <w:rPr>
        <w:rFonts w:ascii="Symbol" w:hAnsi="Symbol" w:hint="default"/>
      </w:rPr>
    </w:lvl>
    <w:lvl w:ilvl="7" w:tplc="92F6617A">
      <w:start w:val="1"/>
      <w:numFmt w:val="bullet"/>
      <w:lvlText w:val="o"/>
      <w:lvlJc w:val="left"/>
      <w:pPr>
        <w:ind w:left="5760" w:hanging="360"/>
      </w:pPr>
      <w:rPr>
        <w:rFonts w:ascii="Courier New" w:hAnsi="Courier New" w:hint="default"/>
      </w:rPr>
    </w:lvl>
    <w:lvl w:ilvl="8" w:tplc="02BC36D2">
      <w:start w:val="1"/>
      <w:numFmt w:val="bullet"/>
      <w:lvlText w:val=""/>
      <w:lvlJc w:val="left"/>
      <w:pPr>
        <w:ind w:left="6480" w:hanging="360"/>
      </w:pPr>
      <w:rPr>
        <w:rFonts w:ascii="Wingdings" w:hAnsi="Wingdings" w:hint="default"/>
      </w:rPr>
    </w:lvl>
  </w:abstractNum>
  <w:abstractNum w:abstractNumId="24" w15:restartNumberingAfterBreak="0">
    <w:nsid w:val="7412CFD9"/>
    <w:multiLevelType w:val="hybridMultilevel"/>
    <w:tmpl w:val="95AA173A"/>
    <w:lvl w:ilvl="0" w:tplc="93885DD8">
      <w:start w:val="1"/>
      <w:numFmt w:val="bullet"/>
      <w:lvlText w:val="-"/>
      <w:lvlJc w:val="left"/>
      <w:pPr>
        <w:ind w:left="720" w:hanging="360"/>
      </w:pPr>
      <w:rPr>
        <w:rFonts w:ascii="Aptos" w:hAnsi="Aptos" w:hint="default"/>
      </w:rPr>
    </w:lvl>
    <w:lvl w:ilvl="1" w:tplc="B0428B1A">
      <w:start w:val="1"/>
      <w:numFmt w:val="bullet"/>
      <w:lvlText w:val="o"/>
      <w:lvlJc w:val="left"/>
      <w:pPr>
        <w:ind w:left="1440" w:hanging="360"/>
      </w:pPr>
      <w:rPr>
        <w:rFonts w:ascii="Courier New" w:hAnsi="Courier New" w:hint="default"/>
      </w:rPr>
    </w:lvl>
    <w:lvl w:ilvl="2" w:tplc="CC7A1B12">
      <w:start w:val="1"/>
      <w:numFmt w:val="bullet"/>
      <w:lvlText w:val=""/>
      <w:lvlJc w:val="left"/>
      <w:pPr>
        <w:ind w:left="2160" w:hanging="360"/>
      </w:pPr>
      <w:rPr>
        <w:rFonts w:ascii="Wingdings" w:hAnsi="Wingdings" w:hint="default"/>
      </w:rPr>
    </w:lvl>
    <w:lvl w:ilvl="3" w:tplc="DE96CB56">
      <w:start w:val="1"/>
      <w:numFmt w:val="bullet"/>
      <w:lvlText w:val=""/>
      <w:lvlJc w:val="left"/>
      <w:pPr>
        <w:ind w:left="2880" w:hanging="360"/>
      </w:pPr>
      <w:rPr>
        <w:rFonts w:ascii="Symbol" w:hAnsi="Symbol" w:hint="default"/>
      </w:rPr>
    </w:lvl>
    <w:lvl w:ilvl="4" w:tplc="3A28629E">
      <w:start w:val="1"/>
      <w:numFmt w:val="bullet"/>
      <w:lvlText w:val="o"/>
      <w:lvlJc w:val="left"/>
      <w:pPr>
        <w:ind w:left="3600" w:hanging="360"/>
      </w:pPr>
      <w:rPr>
        <w:rFonts w:ascii="Courier New" w:hAnsi="Courier New" w:hint="default"/>
      </w:rPr>
    </w:lvl>
    <w:lvl w:ilvl="5" w:tplc="A58A144A">
      <w:start w:val="1"/>
      <w:numFmt w:val="bullet"/>
      <w:lvlText w:val=""/>
      <w:lvlJc w:val="left"/>
      <w:pPr>
        <w:ind w:left="4320" w:hanging="360"/>
      </w:pPr>
      <w:rPr>
        <w:rFonts w:ascii="Wingdings" w:hAnsi="Wingdings" w:hint="default"/>
      </w:rPr>
    </w:lvl>
    <w:lvl w:ilvl="6" w:tplc="A1BC3400">
      <w:start w:val="1"/>
      <w:numFmt w:val="bullet"/>
      <w:lvlText w:val=""/>
      <w:lvlJc w:val="left"/>
      <w:pPr>
        <w:ind w:left="5040" w:hanging="360"/>
      </w:pPr>
      <w:rPr>
        <w:rFonts w:ascii="Symbol" w:hAnsi="Symbol" w:hint="default"/>
      </w:rPr>
    </w:lvl>
    <w:lvl w:ilvl="7" w:tplc="4DF0613E">
      <w:start w:val="1"/>
      <w:numFmt w:val="bullet"/>
      <w:lvlText w:val="o"/>
      <w:lvlJc w:val="left"/>
      <w:pPr>
        <w:ind w:left="5760" w:hanging="360"/>
      </w:pPr>
      <w:rPr>
        <w:rFonts w:ascii="Courier New" w:hAnsi="Courier New" w:hint="default"/>
      </w:rPr>
    </w:lvl>
    <w:lvl w:ilvl="8" w:tplc="E8686D3C">
      <w:start w:val="1"/>
      <w:numFmt w:val="bullet"/>
      <w:lvlText w:val=""/>
      <w:lvlJc w:val="left"/>
      <w:pPr>
        <w:ind w:left="6480" w:hanging="360"/>
      </w:pPr>
      <w:rPr>
        <w:rFonts w:ascii="Wingdings" w:hAnsi="Wingdings" w:hint="default"/>
      </w:rPr>
    </w:lvl>
  </w:abstractNum>
  <w:abstractNum w:abstractNumId="25" w15:restartNumberingAfterBreak="0">
    <w:nsid w:val="79266E95"/>
    <w:multiLevelType w:val="hybridMultilevel"/>
    <w:tmpl w:val="12A83736"/>
    <w:lvl w:ilvl="0" w:tplc="1EAC02E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1"/>
  </w:num>
  <w:num w:numId="2">
    <w:abstractNumId w:val="16"/>
  </w:num>
  <w:num w:numId="3">
    <w:abstractNumId w:val="9"/>
  </w:num>
  <w:num w:numId="4">
    <w:abstractNumId w:val="0"/>
  </w:num>
  <w:num w:numId="5">
    <w:abstractNumId w:val="18"/>
  </w:num>
  <w:num w:numId="6">
    <w:abstractNumId w:val="3"/>
  </w:num>
  <w:num w:numId="7">
    <w:abstractNumId w:val="23"/>
  </w:num>
  <w:num w:numId="8">
    <w:abstractNumId w:val="22"/>
  </w:num>
  <w:num w:numId="9">
    <w:abstractNumId w:val="5"/>
  </w:num>
  <w:num w:numId="10">
    <w:abstractNumId w:val="15"/>
  </w:num>
  <w:num w:numId="11">
    <w:abstractNumId w:val="21"/>
  </w:num>
  <w:num w:numId="12">
    <w:abstractNumId w:val="13"/>
  </w:num>
  <w:num w:numId="13">
    <w:abstractNumId w:val="12"/>
  </w:num>
  <w:num w:numId="14">
    <w:abstractNumId w:val="14"/>
  </w:num>
  <w:num w:numId="15">
    <w:abstractNumId w:val="8"/>
  </w:num>
  <w:num w:numId="16">
    <w:abstractNumId w:val="6"/>
  </w:num>
  <w:num w:numId="17">
    <w:abstractNumId w:val="25"/>
  </w:num>
  <w:num w:numId="18">
    <w:abstractNumId w:val="19"/>
  </w:num>
  <w:num w:numId="19">
    <w:abstractNumId w:val="2"/>
  </w:num>
  <w:num w:numId="20">
    <w:abstractNumId w:val="7"/>
  </w:num>
  <w:num w:numId="21">
    <w:abstractNumId w:val="1"/>
  </w:num>
  <w:num w:numId="22">
    <w:abstractNumId w:val="10"/>
  </w:num>
  <w:num w:numId="23">
    <w:abstractNumId w:val="17"/>
  </w:num>
  <w:num w:numId="24">
    <w:abstractNumId w:val="4"/>
  </w:num>
  <w:num w:numId="25">
    <w:abstractNumId w:val="24"/>
  </w:num>
  <w:num w:numId="26">
    <w:abstractNumId w:val="2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227"/>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9C8BFAA0-6BB0-4E5F-860A-534A0A110D55"/>
    <w:docVar w:name="LW_COVERPAGE_TYPE" w:val="1"/>
    <w:docVar w:name="LW_CROSSREFERENCE" w:val="&lt;UNUSED&gt;"/>
    <w:docVar w:name="LW_DocType" w:val="NORMAL"/>
    <w:docVar w:name="LW_EMISSION" w:val="28.4.2026"/>
    <w:docVar w:name="LW_EMISSION_ISODATE" w:val="2026-04-28"/>
    <w:docVar w:name="LW_EMISSION_LOCATION" w:val="STR"/>
    <w:docVar w:name="LW_EMISSION_PREFIX" w:val="Strasbourg, "/>
    <w:docVar w:name="LW_EMISSION_SUFFIX" w:val=" "/>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38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Un cadru de reglementare al UE mai simplu, mai clar \u537?i mai bine aplicat&lt;/FMT&gt;_x000d__x000b_"/>
    <w:docVar w:name="LW_TYPE.DOC.CP" w:val="COMUNICARE A COMISIEI"/>
    <w:docVar w:name="LW_TYPE.DOC.CP.USERTEXT" w:val="C\u258?TRE PARLAMENTUL EUROPEAN, CONSILIUL EUROPEAN, CONSILIU, COMITETUL ECONOMIC \u536?I SOCIAL EUROPEAN \u536?I COMITETUL REGIUNILOR_x000b_"/>
    <w:docVar w:name="LwApiVersions" w:val="LW4CoDe 1.24.5.0; LW 9.2, Build 20251112"/>
    <w:docVar w:name="Stamp" w:val="\\dossiers.dgt.cec.eu.int\dossiers\SG\SG-2026-00883\SG-2026-00883-00-00-EN-EDT-00.2026032509094511585.DOCX"/>
  </w:docVars>
  <w:rsids>
    <w:rsidRoot w:val="00F754F8"/>
    <w:rsid w:val="00034282"/>
    <w:rsid w:val="000E163D"/>
    <w:rsid w:val="002A44A2"/>
    <w:rsid w:val="002B014F"/>
    <w:rsid w:val="004544F2"/>
    <w:rsid w:val="00522279"/>
    <w:rsid w:val="006042A8"/>
    <w:rsid w:val="00DD1E6E"/>
    <w:rsid w:val="00F754F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4DF612B"/>
  <w15:chartTrackingRefBased/>
  <w15:docId w15:val="{62CBEFE6-D391-47AD-AE1F-199B9ACF1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hAnsi="Times New Roman"/>
      <w:sz w:val="24"/>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Ha,L"/>
    <w:basedOn w:val="Normal"/>
    <w:link w:val="ListParagraphChar"/>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cs="Times New Roman"/>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style>
  <w:style w:type="character" w:customStyle="1" w:styleId="FooterCoverPageChar">
    <w:name w:val="Footer Cover Page Char"/>
    <w:basedOn w:val="DefaultParagraphFont"/>
    <w:link w:val="FooterCoverPage"/>
    <w:rPr>
      <w:rFonts w:ascii="Times New Roman" w:hAnsi="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Pr>
      <w:rFonts w:ascii="Times New Roman" w:hAnsi="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rFonts w:ascii="Times New Roman" w:hAnsi="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rFonts w:ascii="Times New Roman" w:hAnsi="Times New Roman"/>
      <w:b/>
      <w:sz w:val="32"/>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rFonts w:ascii="Times New Roman" w:hAnsi="Times New Roman"/>
      <w:sz w:val="28"/>
    </w:rPr>
  </w:style>
  <w:style w:type="paragraph" w:styleId="TOC1">
    <w:name w:val="toc 1"/>
    <w:basedOn w:val="Normal"/>
    <w:next w:val="Normal"/>
    <w:uiPriority w:val="39"/>
    <w:unhideWhenUsed/>
    <w:pPr>
      <w:spacing w:after="100"/>
      <w:jc w:val="both"/>
    </w:pPr>
  </w:style>
  <w:style w:type="character" w:styleId="Hyperlink">
    <w:name w:val="Hyperlink"/>
    <w:basedOn w:val="DefaultParagraphFont"/>
    <w:uiPriority w:val="99"/>
    <w:unhideWhenUsed/>
    <w:rPr>
      <w:color w:val="467886"/>
      <w:u w:val="single"/>
    </w:rPr>
  </w:style>
  <w:style w:type="paragraph" w:styleId="TOC2">
    <w:name w:val="toc 2"/>
    <w:basedOn w:val="Normal"/>
    <w:next w:val="Normal"/>
    <w:uiPriority w:val="39"/>
    <w:unhideWhenUsed/>
    <w:pPr>
      <w:spacing w:after="100"/>
      <w:ind w:left="220"/>
      <w:jc w:val="both"/>
    </w:pPr>
  </w:style>
  <w:style w:type="table" w:styleId="TableGrid">
    <w:name w:val="Table Grid"/>
    <w:basedOn w:val="TableNormal"/>
    <w:uiPriority w:val="39"/>
    <w:pPr>
      <w:spacing w:after="0" w:line="240" w:lineRule="auto"/>
    </w:pPr>
    <w:tblPr/>
  </w:style>
  <w:style w:type="paragraph" w:styleId="Caption">
    <w:name w:val="caption"/>
    <w:basedOn w:val="Normal"/>
    <w:next w:val="Normal"/>
    <w:uiPriority w:val="35"/>
    <w:semiHidden/>
    <w:unhideWhenUsed/>
    <w:qFormat/>
    <w:pPr>
      <w:spacing w:after="200" w:line="240" w:lineRule="auto"/>
      <w:jc w:val="both"/>
    </w:pPr>
    <w:rPr>
      <w:i/>
      <w:iCs/>
      <w:color w:val="0E2841" w:themeColor="text2"/>
      <w:kern w:val="2"/>
      <w:sz w:val="18"/>
      <w:szCs w:val="18"/>
      <w14:ligatures w14:val="standardContextual"/>
    </w:r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Ha Char"/>
    <w:basedOn w:val="DefaultParagraphFont"/>
    <w:link w:val="ListParagraph"/>
    <w:uiPriority w:val="34"/>
    <w:qFormat/>
    <w:locked/>
  </w:style>
  <w:style w:type="character" w:styleId="Strong">
    <w:name w:val="Strong"/>
    <w:basedOn w:val="DefaultParagraphFont"/>
    <w:uiPriority w:val="22"/>
    <w:qFormat/>
    <w:rPr>
      <w:b/>
      <w:bCs/>
      <w:color w:val="auto"/>
      <w:sz w:val="24"/>
    </w:rPr>
  </w:style>
  <w:style w:type="paragraph" w:styleId="FootnoteText">
    <w:name w:val="footnote text"/>
    <w:aliases w:val="Fußnotentext Char,fn,Footnote ak,FußnotentextE,Footnote ak Carattere,Note de bas de page Car Car,Note de bas de page Car Car Car Car Car,Note de bas de page Car Car Car Car,Note de bas de page Car Car Car,stile 1,o,f,Footnote text,Fußnote"/>
    <w:basedOn w:val="Normal"/>
    <w:autoRedefine/>
    <w:uiPriority w:val="99"/>
    <w:unhideWhenUsed/>
    <w:qFormat/>
    <w:pPr>
      <w:spacing w:after="0" w:line="240" w:lineRule="auto"/>
      <w:ind w:left="227" w:hanging="227"/>
      <w:jc w:val="both"/>
    </w:pPr>
    <w:rPr>
      <w:rFonts w:eastAsia="Times New Roman" w:cs="Times New Roman"/>
      <w:kern w:val="2"/>
      <w:sz w:val="20"/>
      <w:szCs w:val="24"/>
      <w14:ligatures w14:val="standardContextual"/>
    </w:rPr>
  </w:style>
  <w:style w:type="character" w:customStyle="1" w:styleId="FootnoteTextChar">
    <w:name w:val="Footnote Text Char"/>
    <w:aliases w:val="Fußnotentext Char Char,fn Char,Footnote ak Char,FußnotentextE Char,Footnote ak Carattere Char,Note de bas de page Car Car Char,Note de bas de page Car Car Car Car Car Char,Note de bas de page Car Car Car Car Char,stile 1 Char,o Char"/>
    <w:basedOn w:val="DefaultParagraphFont"/>
    <w:uiPriority w:val="99"/>
    <w:qFormat/>
    <w:rPr>
      <w:rFonts w:ascii="Times New Roman" w:eastAsia="Times New Roman" w:hAnsi="Times New Roman" w:cs="Times New Roman"/>
      <w:kern w:val="2"/>
      <w:sz w:val="20"/>
      <w:szCs w:val="24"/>
      <w:lang w:val="ro-RO"/>
      <w14:ligatures w14:val="standardContextual"/>
    </w:rPr>
  </w:style>
  <w:style w:type="character" w:styleId="FootnoteReference">
    <w:name w:val="footnote reference"/>
    <w:aliases w:val="Footnote symbol,Times 10 Point,Exposant 3 Point,Footnote reference number,SUPERS,EN Footnote Reference,note TESI,stylish,number,no...,Footnote,Footnote Reference/,Footnote Reference Superscript,(Footnote Reference),Footnote number,ftr"/>
    <w:basedOn w:val="DefaultParagraphFont"/>
    <w:link w:val="Appelnotedebasdep"/>
    <w:uiPriority w:val="99"/>
    <w:unhideWhenUsed/>
    <w:qFormat/>
    <w:rPr>
      <w:vertAlign w:val="superscript"/>
    </w:rPr>
  </w:style>
  <w:style w:type="paragraph" w:customStyle="1" w:styleId="Appelnotedebasdep">
    <w:name w:val="Appel note de bas de p."/>
    <w:aliases w:val="BVI fnr Car Car Car Car,footnote reference,BVI fnr Car Car,BVI fnr Car,BVI fnr Car Car Car Car Char,Appel note de bas de p..BVI fnr Car Car Car Car,Appel note de bas de p..BVI fnr Car Car Car Car1, BVI fnr Car Car"/>
    <w:basedOn w:val="Normal"/>
    <w:link w:val="FootnoteReference"/>
    <w:pPr>
      <w:spacing w:line="240" w:lineRule="exact"/>
      <w:jc w:val="both"/>
    </w:pPr>
    <w:rPr>
      <w:vertAlign w:val="superscript"/>
    </w:rPr>
  </w:style>
  <w:style w:type="paragraph" w:styleId="TOC3">
    <w:name w:val="toc 3"/>
    <w:basedOn w:val="Normal"/>
    <w:next w:val="Normal"/>
    <w:autoRedefine/>
    <w:uiPriority w:val="39"/>
    <w:unhideWhenUsed/>
    <w:pPr>
      <w:spacing w:after="100"/>
      <w:ind w:left="480"/>
      <w:jc w:val="both"/>
    </w:p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spacing w:line="240" w:lineRule="auto"/>
      <w:jc w:val="both"/>
    </w:pPr>
    <w:rPr>
      <w:sz w:val="20"/>
      <w:szCs w:val="20"/>
    </w:rPr>
  </w:style>
  <w:style w:type="character" w:customStyle="1" w:styleId="CommentTextChar">
    <w:name w:val="Comment Text Char"/>
    <w:basedOn w:val="DefaultParagraphFont"/>
    <w:link w:val="CommentText"/>
    <w:uiPriority w:val="99"/>
    <w:rPr>
      <w:rFonts w:ascii="Times New Roman" w:hAnsi="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b/>
      <w:bCs/>
      <w:sz w:val="20"/>
      <w:szCs w:val="20"/>
      <w:lang w:val="ro-RO"/>
    </w:rPr>
  </w:style>
  <w:style w:type="paragraph" w:customStyle="1" w:styleId="Text2">
    <w:name w:val="Text 2"/>
    <w:basedOn w:val="Normal"/>
    <w:pPr>
      <w:tabs>
        <w:tab w:val="left" w:pos="2302"/>
      </w:tabs>
      <w:spacing w:after="120" w:line="240" w:lineRule="auto"/>
      <w:ind w:left="1202"/>
      <w:jc w:val="both"/>
    </w:pPr>
    <w:rPr>
      <w:rFonts w:eastAsia="Times New Roman" w:cs="Times New Roman"/>
      <w:szCs w:val="20"/>
    </w:rPr>
  </w:style>
  <w:style w:type="character" w:styleId="FollowedHyperlink">
    <w:name w:val="FollowedHyperlink"/>
    <w:basedOn w:val="DefaultParagraphFont"/>
    <w:uiPriority w:val="99"/>
    <w:semiHidden/>
    <w:unhideWhenUsed/>
    <w:rPr>
      <w:color w:val="96607D" w:themeColor="followedHyperlink"/>
      <w:u w:val="single"/>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rPr>
      <w:rFonts w:ascii="Times New Roman" w:hAnsi="Times New Roman"/>
      <w:sz w:val="24"/>
    </w:rPr>
  </w:style>
  <w:style w:type="character" w:customStyle="1" w:styleId="cf01">
    <w:name w:val="cf01"/>
    <w:basedOn w:val="DefaultParagraphFont"/>
    <w:rPr>
      <w:rFonts w:ascii="Segoe UI" w:hAnsi="Segoe UI" w:cs="Segoe UI" w:hint="default"/>
      <w:sz w:val="18"/>
      <w:szCs w:val="18"/>
    </w:r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paragraph" w:customStyle="1" w:styleId="footnote1">
    <w:name w:val="footnote1"/>
    <w:basedOn w:val="Normal"/>
    <w:qFormat/>
    <w:pPr>
      <w:spacing w:after="0" w:line="240" w:lineRule="auto"/>
      <w:ind w:left="720" w:hanging="720"/>
      <w:jc w:val="both"/>
    </w:pPr>
    <w:rPr>
      <w:rFonts w:eastAsiaTheme="minorEastAsia"/>
      <w:sz w:val="20"/>
      <w:lang w:eastAsia="en-GB"/>
    </w:rPr>
  </w:style>
  <w:style w:type="paragraph" w:customStyle="1" w:styleId="BulletedList">
    <w:name w:val="Bulleted List"/>
    <w:uiPriority w:val="12"/>
    <w:qFormat/>
    <w:pPr>
      <w:numPr>
        <w:numId w:val="2"/>
      </w:numPr>
      <w:spacing w:after="60" w:line="260" w:lineRule="exact"/>
      <w:jc w:val="both"/>
    </w:pPr>
    <w:rPr>
      <w:color w:val="000000" w:themeColor="text1"/>
      <w:sz w:val="20"/>
    </w:rPr>
  </w:style>
  <w:style w:type="character" w:styleId="Emphasis">
    <w:name w:val="Emphasis"/>
    <w:basedOn w:val="DefaultParagraphFont"/>
    <w:uiPriority w:val="20"/>
    <w:qFormat/>
    <w:rPr>
      <w:i/>
      <w:iCs/>
    </w:rPr>
  </w:style>
  <w:style w:type="paragraph" w:customStyle="1" w:styleId="Para">
    <w:name w:val="Para #"/>
    <w:basedOn w:val="Normal"/>
    <w:link w:val="ParaChar"/>
    <w:uiPriority w:val="4"/>
    <w:qFormat/>
    <w:pPr>
      <w:numPr>
        <w:numId w:val="1"/>
      </w:numPr>
      <w:spacing w:before="120" w:after="120" w:line="260" w:lineRule="atLeast"/>
      <w:jc w:val="both"/>
    </w:pPr>
    <w:rPr>
      <w:rFonts w:eastAsiaTheme="minorEastAsia"/>
      <w:sz w:val="20"/>
      <w:szCs w:val="20"/>
    </w:rPr>
  </w:style>
  <w:style w:type="character" w:customStyle="1" w:styleId="normaltextrun">
    <w:name w:val="normaltextrun"/>
    <w:basedOn w:val="DefaultParagraphFont"/>
    <w:rPr>
      <w:rFonts w:asciiTheme="minorHAnsi" w:eastAsiaTheme="minorEastAsia" w:hAnsiTheme="minorHAnsi" w:cstheme="minorBidi"/>
      <w:sz w:val="22"/>
      <w:szCs w:val="22"/>
    </w:rPr>
  </w:style>
  <w:style w:type="character" w:customStyle="1" w:styleId="eop">
    <w:name w:val="eop"/>
    <w:basedOn w:val="DefaultParagraphFont"/>
    <w:rPr>
      <w:rFonts w:asciiTheme="minorHAnsi" w:eastAsiaTheme="minorEastAsia" w:hAnsiTheme="minorHAnsi" w:cstheme="minorBidi"/>
      <w:sz w:val="22"/>
      <w:szCs w:val="22"/>
    </w:rPr>
  </w:style>
  <w:style w:type="paragraph" w:customStyle="1" w:styleId="paragraph">
    <w:name w:val="paragraph"/>
    <w:basedOn w:val="Normal"/>
    <w:pPr>
      <w:spacing w:beforeAutospacing="1" w:afterAutospacing="1" w:line="240" w:lineRule="auto"/>
      <w:jc w:val="both"/>
    </w:pPr>
    <w:rPr>
      <w:rFonts w:eastAsiaTheme="minorEastAsia"/>
      <w:lang w:eastAsia="de-DE"/>
    </w:rPr>
  </w:style>
  <w:style w:type="character" w:customStyle="1" w:styleId="findhit">
    <w:name w:val="findhit"/>
    <w:basedOn w:val="DefaultParagraphFont"/>
  </w:style>
  <w:style w:type="character" w:customStyle="1" w:styleId="contentcontrolboundarysink">
    <w:name w:val="contentcontrolboundarysink"/>
    <w:basedOn w:val="DefaultParagraphFont"/>
  </w:style>
  <w:style w:type="character" w:customStyle="1" w:styleId="ParaChar">
    <w:name w:val="Para # Char"/>
    <w:basedOn w:val="DefaultParagraphFont"/>
    <w:link w:val="Para"/>
    <w:uiPriority w:val="4"/>
    <w:rPr>
      <w:rFonts w:ascii="Times New Roman" w:eastAsiaTheme="minorEastAsia" w:hAnsi="Times New Roman"/>
      <w:sz w:val="20"/>
      <w:szCs w:val="20"/>
      <w:lang w:val="ro-RO"/>
    </w:rPr>
  </w:style>
  <w:style w:type="character" w:customStyle="1" w:styleId="Mention">
    <w:name w:val="Mention"/>
    <w:basedOn w:val="DefaultParagraphFont"/>
    <w:uiPriority w:val="99"/>
    <w:unhideWhenUsed/>
    <w:rPr>
      <w:color w:val="2B579A"/>
      <w:shd w:val="clear" w:color="auto" w:fill="E1DFDD"/>
    </w:rPr>
  </w:style>
  <w:style w:type="paragraph" w:styleId="NormalWeb">
    <w:name w:val="Normal (Web)"/>
    <w:basedOn w:val="Normal"/>
    <w:uiPriority w:val="99"/>
    <w:unhideWhenUsed/>
    <w:pPr>
      <w:jc w:val="both"/>
    </w:pPr>
    <w:rPr>
      <w:rFonts w:cs="Times New Roman"/>
      <w:szCs w:val="24"/>
    </w:rPr>
  </w:style>
  <w:style w:type="paragraph" w:customStyle="1" w:styleId="HeadingThree">
    <w:name w:val="HeadingThree"/>
    <w:basedOn w:val="Heading3"/>
    <w:next w:val="Normal"/>
    <w:link w:val="HeadingThreeChar"/>
    <w:qFormat/>
    <w:pPr>
      <w:spacing w:before="240" w:after="240" w:line="276" w:lineRule="auto"/>
      <w:jc w:val="both"/>
    </w:pPr>
    <w:rPr>
      <w:rFonts w:cs="Times New Roman"/>
      <w:b/>
      <w:bCs/>
      <w:sz w:val="24"/>
      <w:lang w:eastAsia="en-GB"/>
    </w:rPr>
  </w:style>
  <w:style w:type="character" w:customStyle="1" w:styleId="HeadingThreeChar">
    <w:name w:val="HeadingThree Char"/>
    <w:basedOn w:val="Heading3Char"/>
    <w:link w:val="HeadingThree"/>
    <w:rPr>
      <w:rFonts w:ascii="Times New Roman" w:eastAsiaTheme="majorEastAsia" w:hAnsi="Times New Roman" w:cs="Times New Roman"/>
      <w:b/>
      <w:bCs/>
      <w:color w:val="0F4761" w:themeColor="accent1" w:themeShade="BF"/>
      <w:sz w:val="24"/>
      <w:szCs w:val="28"/>
      <w:lang w:val="ro-RO" w:eastAsia="en-GB"/>
    </w:rPr>
  </w:style>
  <w:style w:type="paragraph" w:styleId="BodyText">
    <w:name w:val="Body Text"/>
    <w:basedOn w:val="Normal"/>
    <w:link w:val="BodyTextChar"/>
    <w:uiPriority w:val="1"/>
    <w:qFormat/>
    <w:pPr>
      <w:widowControl w:val="0"/>
      <w:autoSpaceDE w:val="0"/>
      <w:autoSpaceDN w:val="0"/>
      <w:spacing w:after="0" w:line="240" w:lineRule="auto"/>
      <w:jc w:val="both"/>
    </w:pPr>
    <w:rPr>
      <w:rFonts w:eastAsia="Times New Roman" w:cs="Times New Roman"/>
    </w:rPr>
  </w:style>
  <w:style w:type="character" w:customStyle="1" w:styleId="BodyTextChar">
    <w:name w:val="Body Text Char"/>
    <w:basedOn w:val="DefaultParagraphFont"/>
    <w:link w:val="BodyText"/>
    <w:uiPriority w:val="1"/>
    <w:rPr>
      <w:rFonts w:ascii="Times New Roman" w:eastAsia="Times New Roman" w:hAnsi="Times New Roman" w:cs="Times New Roman"/>
      <w:lang w:val="ro-RO"/>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cs="Times New Roman"/>
    </w:rPr>
  </w:style>
  <w:style w:type="paragraph" w:customStyle="1" w:styleId="SecurityMarking">
    <w:name w:val="SecurityMarking"/>
    <w:basedOn w:val="Normal"/>
    <w:pPr>
      <w:spacing w:after="0" w:line="276" w:lineRule="auto"/>
      <w:ind w:left="5103"/>
    </w:pPr>
    <w:rPr>
      <w:rFonts w:cs="Times New Roman"/>
      <w:sz w:val="28"/>
    </w:rPr>
  </w:style>
  <w:style w:type="paragraph" w:customStyle="1" w:styleId="DateMarking">
    <w:name w:val="DateMarking"/>
    <w:basedOn w:val="Normal"/>
    <w:pPr>
      <w:spacing w:after="0" w:line="276" w:lineRule="auto"/>
      <w:ind w:left="5103"/>
    </w:pPr>
    <w:rPr>
      <w:rFonts w:cs="Times New Roman"/>
      <w:i/>
      <w:sz w:val="28"/>
    </w:rPr>
  </w:style>
  <w:style w:type="paragraph" w:customStyle="1" w:styleId="ReleasableTo">
    <w:name w:val="ReleasableTo"/>
    <w:basedOn w:val="Normal"/>
    <w:pPr>
      <w:spacing w:after="0" w:line="276" w:lineRule="auto"/>
      <w:ind w:left="5103"/>
    </w:pPr>
    <w:rPr>
      <w:rFonts w:cs="Times New Roman"/>
      <w:i/>
      <w:sz w:val="28"/>
    </w:rPr>
  </w:style>
  <w:style w:type="paragraph" w:customStyle="1" w:styleId="pf0">
    <w:name w:val="pf0"/>
    <w:basedOn w:val="Normal"/>
    <w:pPr>
      <w:spacing w:before="100" w:beforeAutospacing="1" w:after="100" w:afterAutospacing="1" w:line="240" w:lineRule="auto"/>
    </w:pPr>
    <w:rPr>
      <w:rFonts w:eastAsia="Times New Roman" w:cs="Times New Roman"/>
      <w:szCs w:val="24"/>
      <w:lang w:eastAsia="en-IE"/>
    </w:rPr>
  </w:style>
  <w:style w:type="character" w:customStyle="1" w:styleId="cf11">
    <w:name w:val="cf11"/>
    <w:basedOn w:val="DefaultParagraphFont"/>
    <w:rPr>
      <w:rFonts w:ascii="Segoe UI" w:hAnsi="Segoe UI" w:cs="Segoe UI" w:hint="default"/>
      <w:color w:val="FF0000"/>
      <w:sz w:val="18"/>
      <w:szCs w:val="18"/>
    </w:rPr>
  </w:style>
  <w:style w:type="paragraph" w:customStyle="1" w:styleId="Pagenumbers">
    <w:name w:val="Page numbers"/>
    <w:basedOn w:val="Pagedecouverture"/>
  </w:style>
  <w:style w:type="paragraph" w:customStyle="1" w:styleId="CharCharChar1">
    <w:name w:val="Char Char Char1"/>
    <w:basedOn w:val="Normal"/>
    <w:uiPriority w:val="99"/>
    <w:pPr>
      <w:spacing w:after="120" w:line="240" w:lineRule="exact"/>
      <w:jc w:val="both"/>
    </w:pPr>
    <w:rPr>
      <w:rFonts w:asciiTheme="minorHAnsi" w:hAnsiTheme="minorHAnsi"/>
      <w:kern w:val="2"/>
      <w:sz w:val="22"/>
      <w:vertAlign w:val="superscript"/>
      <w14:ligatures w14:val="standardContextual"/>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sz w:val="20"/>
      <w:szCs w:val="20"/>
      <w:lang w:val="ro-RO"/>
    </w:rPr>
  </w:style>
  <w:style w:type="character" w:styleId="EndnoteReference">
    <w:name w:val="end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4301">
      <w:bodyDiv w:val="1"/>
      <w:marLeft w:val="0"/>
      <w:marRight w:val="0"/>
      <w:marTop w:val="0"/>
      <w:marBottom w:val="0"/>
      <w:divBdr>
        <w:top w:val="none" w:sz="0" w:space="0" w:color="auto"/>
        <w:left w:val="none" w:sz="0" w:space="0" w:color="auto"/>
        <w:bottom w:val="none" w:sz="0" w:space="0" w:color="auto"/>
        <w:right w:val="none" w:sz="0" w:space="0" w:color="auto"/>
      </w:divBdr>
    </w:div>
    <w:div w:id="16587948">
      <w:bodyDiv w:val="1"/>
      <w:marLeft w:val="0"/>
      <w:marRight w:val="0"/>
      <w:marTop w:val="0"/>
      <w:marBottom w:val="0"/>
      <w:divBdr>
        <w:top w:val="none" w:sz="0" w:space="0" w:color="auto"/>
        <w:left w:val="none" w:sz="0" w:space="0" w:color="auto"/>
        <w:bottom w:val="none" w:sz="0" w:space="0" w:color="auto"/>
        <w:right w:val="none" w:sz="0" w:space="0" w:color="auto"/>
      </w:divBdr>
    </w:div>
    <w:div w:id="63532587">
      <w:bodyDiv w:val="1"/>
      <w:marLeft w:val="0"/>
      <w:marRight w:val="0"/>
      <w:marTop w:val="0"/>
      <w:marBottom w:val="0"/>
      <w:divBdr>
        <w:top w:val="none" w:sz="0" w:space="0" w:color="auto"/>
        <w:left w:val="none" w:sz="0" w:space="0" w:color="auto"/>
        <w:bottom w:val="none" w:sz="0" w:space="0" w:color="auto"/>
        <w:right w:val="none" w:sz="0" w:space="0" w:color="auto"/>
      </w:divBdr>
    </w:div>
    <w:div w:id="309941198">
      <w:bodyDiv w:val="1"/>
      <w:marLeft w:val="0"/>
      <w:marRight w:val="0"/>
      <w:marTop w:val="0"/>
      <w:marBottom w:val="0"/>
      <w:divBdr>
        <w:top w:val="none" w:sz="0" w:space="0" w:color="auto"/>
        <w:left w:val="none" w:sz="0" w:space="0" w:color="auto"/>
        <w:bottom w:val="none" w:sz="0" w:space="0" w:color="auto"/>
        <w:right w:val="none" w:sz="0" w:space="0" w:color="auto"/>
      </w:divBdr>
    </w:div>
    <w:div w:id="371005156">
      <w:bodyDiv w:val="1"/>
      <w:marLeft w:val="0"/>
      <w:marRight w:val="0"/>
      <w:marTop w:val="0"/>
      <w:marBottom w:val="0"/>
      <w:divBdr>
        <w:top w:val="none" w:sz="0" w:space="0" w:color="auto"/>
        <w:left w:val="none" w:sz="0" w:space="0" w:color="auto"/>
        <w:bottom w:val="none" w:sz="0" w:space="0" w:color="auto"/>
        <w:right w:val="none" w:sz="0" w:space="0" w:color="auto"/>
      </w:divBdr>
    </w:div>
    <w:div w:id="442651467">
      <w:bodyDiv w:val="1"/>
      <w:marLeft w:val="0"/>
      <w:marRight w:val="0"/>
      <w:marTop w:val="0"/>
      <w:marBottom w:val="0"/>
      <w:divBdr>
        <w:top w:val="none" w:sz="0" w:space="0" w:color="auto"/>
        <w:left w:val="none" w:sz="0" w:space="0" w:color="auto"/>
        <w:bottom w:val="none" w:sz="0" w:space="0" w:color="auto"/>
        <w:right w:val="none" w:sz="0" w:space="0" w:color="auto"/>
      </w:divBdr>
    </w:div>
    <w:div w:id="449473890">
      <w:bodyDiv w:val="1"/>
      <w:marLeft w:val="0"/>
      <w:marRight w:val="0"/>
      <w:marTop w:val="0"/>
      <w:marBottom w:val="0"/>
      <w:divBdr>
        <w:top w:val="none" w:sz="0" w:space="0" w:color="auto"/>
        <w:left w:val="none" w:sz="0" w:space="0" w:color="auto"/>
        <w:bottom w:val="none" w:sz="0" w:space="0" w:color="auto"/>
        <w:right w:val="none" w:sz="0" w:space="0" w:color="auto"/>
      </w:divBdr>
    </w:div>
    <w:div w:id="476148922">
      <w:bodyDiv w:val="1"/>
      <w:marLeft w:val="0"/>
      <w:marRight w:val="0"/>
      <w:marTop w:val="0"/>
      <w:marBottom w:val="0"/>
      <w:divBdr>
        <w:top w:val="none" w:sz="0" w:space="0" w:color="auto"/>
        <w:left w:val="none" w:sz="0" w:space="0" w:color="auto"/>
        <w:bottom w:val="none" w:sz="0" w:space="0" w:color="auto"/>
        <w:right w:val="none" w:sz="0" w:space="0" w:color="auto"/>
      </w:divBdr>
    </w:div>
    <w:div w:id="484516873">
      <w:bodyDiv w:val="1"/>
      <w:marLeft w:val="0"/>
      <w:marRight w:val="0"/>
      <w:marTop w:val="0"/>
      <w:marBottom w:val="0"/>
      <w:divBdr>
        <w:top w:val="none" w:sz="0" w:space="0" w:color="auto"/>
        <w:left w:val="none" w:sz="0" w:space="0" w:color="auto"/>
        <w:bottom w:val="none" w:sz="0" w:space="0" w:color="auto"/>
        <w:right w:val="none" w:sz="0" w:space="0" w:color="auto"/>
      </w:divBdr>
    </w:div>
    <w:div w:id="709113874">
      <w:bodyDiv w:val="1"/>
      <w:marLeft w:val="0"/>
      <w:marRight w:val="0"/>
      <w:marTop w:val="0"/>
      <w:marBottom w:val="0"/>
      <w:divBdr>
        <w:top w:val="none" w:sz="0" w:space="0" w:color="auto"/>
        <w:left w:val="none" w:sz="0" w:space="0" w:color="auto"/>
        <w:bottom w:val="none" w:sz="0" w:space="0" w:color="auto"/>
        <w:right w:val="none" w:sz="0" w:space="0" w:color="auto"/>
      </w:divBdr>
    </w:div>
    <w:div w:id="770397109">
      <w:bodyDiv w:val="1"/>
      <w:marLeft w:val="0"/>
      <w:marRight w:val="0"/>
      <w:marTop w:val="0"/>
      <w:marBottom w:val="0"/>
      <w:divBdr>
        <w:top w:val="none" w:sz="0" w:space="0" w:color="auto"/>
        <w:left w:val="none" w:sz="0" w:space="0" w:color="auto"/>
        <w:bottom w:val="none" w:sz="0" w:space="0" w:color="auto"/>
        <w:right w:val="none" w:sz="0" w:space="0" w:color="auto"/>
      </w:divBdr>
    </w:div>
    <w:div w:id="814837023">
      <w:bodyDiv w:val="1"/>
      <w:marLeft w:val="0"/>
      <w:marRight w:val="0"/>
      <w:marTop w:val="0"/>
      <w:marBottom w:val="0"/>
      <w:divBdr>
        <w:top w:val="none" w:sz="0" w:space="0" w:color="auto"/>
        <w:left w:val="none" w:sz="0" w:space="0" w:color="auto"/>
        <w:bottom w:val="none" w:sz="0" w:space="0" w:color="auto"/>
        <w:right w:val="none" w:sz="0" w:space="0" w:color="auto"/>
      </w:divBdr>
    </w:div>
    <w:div w:id="818427918">
      <w:bodyDiv w:val="1"/>
      <w:marLeft w:val="0"/>
      <w:marRight w:val="0"/>
      <w:marTop w:val="0"/>
      <w:marBottom w:val="0"/>
      <w:divBdr>
        <w:top w:val="none" w:sz="0" w:space="0" w:color="auto"/>
        <w:left w:val="none" w:sz="0" w:space="0" w:color="auto"/>
        <w:bottom w:val="none" w:sz="0" w:space="0" w:color="auto"/>
        <w:right w:val="none" w:sz="0" w:space="0" w:color="auto"/>
      </w:divBdr>
    </w:div>
    <w:div w:id="895554048">
      <w:bodyDiv w:val="1"/>
      <w:marLeft w:val="0"/>
      <w:marRight w:val="0"/>
      <w:marTop w:val="0"/>
      <w:marBottom w:val="0"/>
      <w:divBdr>
        <w:top w:val="none" w:sz="0" w:space="0" w:color="auto"/>
        <w:left w:val="none" w:sz="0" w:space="0" w:color="auto"/>
        <w:bottom w:val="none" w:sz="0" w:space="0" w:color="auto"/>
        <w:right w:val="none" w:sz="0" w:space="0" w:color="auto"/>
      </w:divBdr>
    </w:div>
    <w:div w:id="925724349">
      <w:bodyDiv w:val="1"/>
      <w:marLeft w:val="0"/>
      <w:marRight w:val="0"/>
      <w:marTop w:val="0"/>
      <w:marBottom w:val="0"/>
      <w:divBdr>
        <w:top w:val="none" w:sz="0" w:space="0" w:color="auto"/>
        <w:left w:val="none" w:sz="0" w:space="0" w:color="auto"/>
        <w:bottom w:val="none" w:sz="0" w:space="0" w:color="auto"/>
        <w:right w:val="none" w:sz="0" w:space="0" w:color="auto"/>
      </w:divBdr>
    </w:div>
    <w:div w:id="927008367">
      <w:bodyDiv w:val="1"/>
      <w:marLeft w:val="0"/>
      <w:marRight w:val="0"/>
      <w:marTop w:val="0"/>
      <w:marBottom w:val="0"/>
      <w:divBdr>
        <w:top w:val="none" w:sz="0" w:space="0" w:color="auto"/>
        <w:left w:val="none" w:sz="0" w:space="0" w:color="auto"/>
        <w:bottom w:val="none" w:sz="0" w:space="0" w:color="auto"/>
        <w:right w:val="none" w:sz="0" w:space="0" w:color="auto"/>
      </w:divBdr>
    </w:div>
    <w:div w:id="1048604538">
      <w:bodyDiv w:val="1"/>
      <w:marLeft w:val="0"/>
      <w:marRight w:val="0"/>
      <w:marTop w:val="0"/>
      <w:marBottom w:val="0"/>
      <w:divBdr>
        <w:top w:val="none" w:sz="0" w:space="0" w:color="auto"/>
        <w:left w:val="none" w:sz="0" w:space="0" w:color="auto"/>
        <w:bottom w:val="none" w:sz="0" w:space="0" w:color="auto"/>
        <w:right w:val="none" w:sz="0" w:space="0" w:color="auto"/>
      </w:divBdr>
      <w:divsChild>
        <w:div w:id="387070123">
          <w:marLeft w:val="0"/>
          <w:marRight w:val="0"/>
          <w:marTop w:val="0"/>
          <w:marBottom w:val="0"/>
          <w:divBdr>
            <w:top w:val="none" w:sz="0" w:space="0" w:color="auto"/>
            <w:left w:val="none" w:sz="0" w:space="0" w:color="auto"/>
            <w:bottom w:val="none" w:sz="0" w:space="0" w:color="auto"/>
            <w:right w:val="none" w:sz="0" w:space="0" w:color="auto"/>
          </w:divBdr>
          <w:divsChild>
            <w:div w:id="1927230031">
              <w:marLeft w:val="0"/>
              <w:marRight w:val="0"/>
              <w:marTop w:val="0"/>
              <w:marBottom w:val="0"/>
              <w:divBdr>
                <w:top w:val="none" w:sz="0" w:space="0" w:color="auto"/>
                <w:left w:val="none" w:sz="0" w:space="0" w:color="auto"/>
                <w:bottom w:val="none" w:sz="0" w:space="0" w:color="auto"/>
                <w:right w:val="none" w:sz="0" w:space="0" w:color="auto"/>
              </w:divBdr>
            </w:div>
          </w:divsChild>
        </w:div>
        <w:div w:id="716126253">
          <w:marLeft w:val="0"/>
          <w:marRight w:val="0"/>
          <w:marTop w:val="0"/>
          <w:marBottom w:val="0"/>
          <w:divBdr>
            <w:top w:val="none" w:sz="0" w:space="0" w:color="auto"/>
            <w:left w:val="none" w:sz="0" w:space="0" w:color="auto"/>
            <w:bottom w:val="none" w:sz="0" w:space="0" w:color="auto"/>
            <w:right w:val="none" w:sz="0" w:space="0" w:color="auto"/>
          </w:divBdr>
          <w:divsChild>
            <w:div w:id="516162811">
              <w:marLeft w:val="0"/>
              <w:marRight w:val="0"/>
              <w:marTop w:val="0"/>
              <w:marBottom w:val="0"/>
              <w:divBdr>
                <w:top w:val="none" w:sz="0" w:space="0" w:color="auto"/>
                <w:left w:val="none" w:sz="0" w:space="0" w:color="auto"/>
                <w:bottom w:val="none" w:sz="0" w:space="0" w:color="auto"/>
                <w:right w:val="none" w:sz="0" w:space="0" w:color="auto"/>
              </w:divBdr>
            </w:div>
          </w:divsChild>
        </w:div>
        <w:div w:id="1033073956">
          <w:marLeft w:val="0"/>
          <w:marRight w:val="0"/>
          <w:marTop w:val="0"/>
          <w:marBottom w:val="0"/>
          <w:divBdr>
            <w:top w:val="none" w:sz="0" w:space="0" w:color="auto"/>
            <w:left w:val="none" w:sz="0" w:space="0" w:color="auto"/>
            <w:bottom w:val="none" w:sz="0" w:space="0" w:color="auto"/>
            <w:right w:val="none" w:sz="0" w:space="0" w:color="auto"/>
          </w:divBdr>
          <w:divsChild>
            <w:div w:id="888029390">
              <w:marLeft w:val="0"/>
              <w:marRight w:val="0"/>
              <w:marTop w:val="0"/>
              <w:marBottom w:val="0"/>
              <w:divBdr>
                <w:top w:val="none" w:sz="0" w:space="0" w:color="auto"/>
                <w:left w:val="none" w:sz="0" w:space="0" w:color="auto"/>
                <w:bottom w:val="none" w:sz="0" w:space="0" w:color="auto"/>
                <w:right w:val="none" w:sz="0" w:space="0" w:color="auto"/>
              </w:divBdr>
            </w:div>
          </w:divsChild>
        </w:div>
        <w:div w:id="1145588745">
          <w:marLeft w:val="0"/>
          <w:marRight w:val="0"/>
          <w:marTop w:val="0"/>
          <w:marBottom w:val="0"/>
          <w:divBdr>
            <w:top w:val="none" w:sz="0" w:space="0" w:color="auto"/>
            <w:left w:val="none" w:sz="0" w:space="0" w:color="auto"/>
            <w:bottom w:val="none" w:sz="0" w:space="0" w:color="auto"/>
            <w:right w:val="none" w:sz="0" w:space="0" w:color="auto"/>
          </w:divBdr>
          <w:divsChild>
            <w:div w:id="199127950">
              <w:marLeft w:val="0"/>
              <w:marRight w:val="0"/>
              <w:marTop w:val="0"/>
              <w:marBottom w:val="0"/>
              <w:divBdr>
                <w:top w:val="none" w:sz="0" w:space="0" w:color="auto"/>
                <w:left w:val="none" w:sz="0" w:space="0" w:color="auto"/>
                <w:bottom w:val="none" w:sz="0" w:space="0" w:color="auto"/>
                <w:right w:val="none" w:sz="0" w:space="0" w:color="auto"/>
              </w:divBdr>
            </w:div>
          </w:divsChild>
        </w:div>
        <w:div w:id="1578974052">
          <w:marLeft w:val="0"/>
          <w:marRight w:val="0"/>
          <w:marTop w:val="0"/>
          <w:marBottom w:val="0"/>
          <w:divBdr>
            <w:top w:val="none" w:sz="0" w:space="0" w:color="auto"/>
            <w:left w:val="none" w:sz="0" w:space="0" w:color="auto"/>
            <w:bottom w:val="none" w:sz="0" w:space="0" w:color="auto"/>
            <w:right w:val="none" w:sz="0" w:space="0" w:color="auto"/>
          </w:divBdr>
          <w:divsChild>
            <w:div w:id="795639542">
              <w:marLeft w:val="0"/>
              <w:marRight w:val="0"/>
              <w:marTop w:val="0"/>
              <w:marBottom w:val="0"/>
              <w:divBdr>
                <w:top w:val="none" w:sz="0" w:space="0" w:color="auto"/>
                <w:left w:val="none" w:sz="0" w:space="0" w:color="auto"/>
                <w:bottom w:val="none" w:sz="0" w:space="0" w:color="auto"/>
                <w:right w:val="none" w:sz="0" w:space="0" w:color="auto"/>
              </w:divBdr>
            </w:div>
          </w:divsChild>
        </w:div>
        <w:div w:id="1654724618">
          <w:marLeft w:val="0"/>
          <w:marRight w:val="0"/>
          <w:marTop w:val="0"/>
          <w:marBottom w:val="0"/>
          <w:divBdr>
            <w:top w:val="none" w:sz="0" w:space="0" w:color="auto"/>
            <w:left w:val="none" w:sz="0" w:space="0" w:color="auto"/>
            <w:bottom w:val="none" w:sz="0" w:space="0" w:color="auto"/>
            <w:right w:val="none" w:sz="0" w:space="0" w:color="auto"/>
          </w:divBdr>
          <w:divsChild>
            <w:div w:id="23366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635107">
      <w:bodyDiv w:val="1"/>
      <w:marLeft w:val="0"/>
      <w:marRight w:val="0"/>
      <w:marTop w:val="0"/>
      <w:marBottom w:val="0"/>
      <w:divBdr>
        <w:top w:val="none" w:sz="0" w:space="0" w:color="auto"/>
        <w:left w:val="none" w:sz="0" w:space="0" w:color="auto"/>
        <w:bottom w:val="none" w:sz="0" w:space="0" w:color="auto"/>
        <w:right w:val="none" w:sz="0" w:space="0" w:color="auto"/>
      </w:divBdr>
    </w:div>
    <w:div w:id="1220894900">
      <w:bodyDiv w:val="1"/>
      <w:marLeft w:val="0"/>
      <w:marRight w:val="0"/>
      <w:marTop w:val="0"/>
      <w:marBottom w:val="0"/>
      <w:divBdr>
        <w:top w:val="none" w:sz="0" w:space="0" w:color="auto"/>
        <w:left w:val="none" w:sz="0" w:space="0" w:color="auto"/>
        <w:bottom w:val="none" w:sz="0" w:space="0" w:color="auto"/>
        <w:right w:val="none" w:sz="0" w:space="0" w:color="auto"/>
      </w:divBdr>
    </w:div>
    <w:div w:id="1353069290">
      <w:bodyDiv w:val="1"/>
      <w:marLeft w:val="0"/>
      <w:marRight w:val="0"/>
      <w:marTop w:val="0"/>
      <w:marBottom w:val="0"/>
      <w:divBdr>
        <w:top w:val="none" w:sz="0" w:space="0" w:color="auto"/>
        <w:left w:val="none" w:sz="0" w:space="0" w:color="auto"/>
        <w:bottom w:val="none" w:sz="0" w:space="0" w:color="auto"/>
        <w:right w:val="none" w:sz="0" w:space="0" w:color="auto"/>
      </w:divBdr>
    </w:div>
    <w:div w:id="1431777882">
      <w:bodyDiv w:val="1"/>
      <w:marLeft w:val="0"/>
      <w:marRight w:val="0"/>
      <w:marTop w:val="0"/>
      <w:marBottom w:val="0"/>
      <w:divBdr>
        <w:top w:val="none" w:sz="0" w:space="0" w:color="auto"/>
        <w:left w:val="none" w:sz="0" w:space="0" w:color="auto"/>
        <w:bottom w:val="none" w:sz="0" w:space="0" w:color="auto"/>
        <w:right w:val="none" w:sz="0" w:space="0" w:color="auto"/>
      </w:divBdr>
    </w:div>
    <w:div w:id="1436746841">
      <w:bodyDiv w:val="1"/>
      <w:marLeft w:val="0"/>
      <w:marRight w:val="0"/>
      <w:marTop w:val="0"/>
      <w:marBottom w:val="0"/>
      <w:divBdr>
        <w:top w:val="none" w:sz="0" w:space="0" w:color="auto"/>
        <w:left w:val="none" w:sz="0" w:space="0" w:color="auto"/>
        <w:bottom w:val="none" w:sz="0" w:space="0" w:color="auto"/>
        <w:right w:val="none" w:sz="0" w:space="0" w:color="auto"/>
      </w:divBdr>
    </w:div>
    <w:div w:id="1513956700">
      <w:bodyDiv w:val="1"/>
      <w:marLeft w:val="0"/>
      <w:marRight w:val="0"/>
      <w:marTop w:val="0"/>
      <w:marBottom w:val="0"/>
      <w:divBdr>
        <w:top w:val="none" w:sz="0" w:space="0" w:color="auto"/>
        <w:left w:val="none" w:sz="0" w:space="0" w:color="auto"/>
        <w:bottom w:val="none" w:sz="0" w:space="0" w:color="auto"/>
        <w:right w:val="none" w:sz="0" w:space="0" w:color="auto"/>
      </w:divBdr>
    </w:div>
    <w:div w:id="1541937069">
      <w:bodyDiv w:val="1"/>
      <w:marLeft w:val="0"/>
      <w:marRight w:val="0"/>
      <w:marTop w:val="0"/>
      <w:marBottom w:val="0"/>
      <w:divBdr>
        <w:top w:val="none" w:sz="0" w:space="0" w:color="auto"/>
        <w:left w:val="none" w:sz="0" w:space="0" w:color="auto"/>
        <w:bottom w:val="none" w:sz="0" w:space="0" w:color="auto"/>
        <w:right w:val="none" w:sz="0" w:space="0" w:color="auto"/>
      </w:divBdr>
    </w:div>
    <w:div w:id="1574899463">
      <w:bodyDiv w:val="1"/>
      <w:marLeft w:val="0"/>
      <w:marRight w:val="0"/>
      <w:marTop w:val="0"/>
      <w:marBottom w:val="0"/>
      <w:divBdr>
        <w:top w:val="none" w:sz="0" w:space="0" w:color="auto"/>
        <w:left w:val="none" w:sz="0" w:space="0" w:color="auto"/>
        <w:bottom w:val="none" w:sz="0" w:space="0" w:color="auto"/>
        <w:right w:val="none" w:sz="0" w:space="0" w:color="auto"/>
      </w:divBdr>
    </w:div>
    <w:div w:id="1601140962">
      <w:bodyDiv w:val="1"/>
      <w:marLeft w:val="0"/>
      <w:marRight w:val="0"/>
      <w:marTop w:val="0"/>
      <w:marBottom w:val="0"/>
      <w:divBdr>
        <w:top w:val="none" w:sz="0" w:space="0" w:color="auto"/>
        <w:left w:val="none" w:sz="0" w:space="0" w:color="auto"/>
        <w:bottom w:val="none" w:sz="0" w:space="0" w:color="auto"/>
        <w:right w:val="none" w:sz="0" w:space="0" w:color="auto"/>
      </w:divBdr>
    </w:div>
    <w:div w:id="1636175142">
      <w:bodyDiv w:val="1"/>
      <w:marLeft w:val="0"/>
      <w:marRight w:val="0"/>
      <w:marTop w:val="0"/>
      <w:marBottom w:val="0"/>
      <w:divBdr>
        <w:top w:val="none" w:sz="0" w:space="0" w:color="auto"/>
        <w:left w:val="none" w:sz="0" w:space="0" w:color="auto"/>
        <w:bottom w:val="none" w:sz="0" w:space="0" w:color="auto"/>
        <w:right w:val="none" w:sz="0" w:space="0" w:color="auto"/>
      </w:divBdr>
    </w:div>
    <w:div w:id="1686445559">
      <w:bodyDiv w:val="1"/>
      <w:marLeft w:val="0"/>
      <w:marRight w:val="0"/>
      <w:marTop w:val="0"/>
      <w:marBottom w:val="0"/>
      <w:divBdr>
        <w:top w:val="none" w:sz="0" w:space="0" w:color="auto"/>
        <w:left w:val="none" w:sz="0" w:space="0" w:color="auto"/>
        <w:bottom w:val="none" w:sz="0" w:space="0" w:color="auto"/>
        <w:right w:val="none" w:sz="0" w:space="0" w:color="auto"/>
      </w:divBdr>
    </w:div>
    <w:div w:id="1723597791">
      <w:bodyDiv w:val="1"/>
      <w:marLeft w:val="0"/>
      <w:marRight w:val="0"/>
      <w:marTop w:val="0"/>
      <w:marBottom w:val="0"/>
      <w:divBdr>
        <w:top w:val="none" w:sz="0" w:space="0" w:color="auto"/>
        <w:left w:val="none" w:sz="0" w:space="0" w:color="auto"/>
        <w:bottom w:val="none" w:sz="0" w:space="0" w:color="auto"/>
        <w:right w:val="none" w:sz="0" w:space="0" w:color="auto"/>
      </w:divBdr>
    </w:div>
    <w:div w:id="1732000219">
      <w:bodyDiv w:val="1"/>
      <w:marLeft w:val="0"/>
      <w:marRight w:val="0"/>
      <w:marTop w:val="0"/>
      <w:marBottom w:val="0"/>
      <w:divBdr>
        <w:top w:val="none" w:sz="0" w:space="0" w:color="auto"/>
        <w:left w:val="none" w:sz="0" w:space="0" w:color="auto"/>
        <w:bottom w:val="none" w:sz="0" w:space="0" w:color="auto"/>
        <w:right w:val="none" w:sz="0" w:space="0" w:color="auto"/>
      </w:divBdr>
    </w:div>
    <w:div w:id="1812475352">
      <w:bodyDiv w:val="1"/>
      <w:marLeft w:val="0"/>
      <w:marRight w:val="0"/>
      <w:marTop w:val="0"/>
      <w:marBottom w:val="0"/>
      <w:divBdr>
        <w:top w:val="none" w:sz="0" w:space="0" w:color="auto"/>
        <w:left w:val="none" w:sz="0" w:space="0" w:color="auto"/>
        <w:bottom w:val="none" w:sz="0" w:space="0" w:color="auto"/>
        <w:right w:val="none" w:sz="0" w:space="0" w:color="auto"/>
      </w:divBdr>
    </w:div>
    <w:div w:id="1841384487">
      <w:bodyDiv w:val="1"/>
      <w:marLeft w:val="0"/>
      <w:marRight w:val="0"/>
      <w:marTop w:val="0"/>
      <w:marBottom w:val="0"/>
      <w:divBdr>
        <w:top w:val="none" w:sz="0" w:space="0" w:color="auto"/>
        <w:left w:val="none" w:sz="0" w:space="0" w:color="auto"/>
        <w:bottom w:val="none" w:sz="0" w:space="0" w:color="auto"/>
        <w:right w:val="none" w:sz="0" w:space="0" w:color="auto"/>
      </w:divBdr>
      <w:divsChild>
        <w:div w:id="2829947">
          <w:marLeft w:val="0"/>
          <w:marRight w:val="0"/>
          <w:marTop w:val="0"/>
          <w:marBottom w:val="0"/>
          <w:divBdr>
            <w:top w:val="none" w:sz="0" w:space="0" w:color="auto"/>
            <w:left w:val="none" w:sz="0" w:space="0" w:color="auto"/>
            <w:bottom w:val="none" w:sz="0" w:space="0" w:color="auto"/>
            <w:right w:val="none" w:sz="0" w:space="0" w:color="auto"/>
          </w:divBdr>
          <w:divsChild>
            <w:div w:id="1489399932">
              <w:marLeft w:val="0"/>
              <w:marRight w:val="0"/>
              <w:marTop w:val="0"/>
              <w:marBottom w:val="0"/>
              <w:divBdr>
                <w:top w:val="none" w:sz="0" w:space="0" w:color="auto"/>
                <w:left w:val="none" w:sz="0" w:space="0" w:color="auto"/>
                <w:bottom w:val="none" w:sz="0" w:space="0" w:color="auto"/>
                <w:right w:val="none" w:sz="0" w:space="0" w:color="auto"/>
              </w:divBdr>
            </w:div>
          </w:divsChild>
        </w:div>
        <w:div w:id="154339399">
          <w:marLeft w:val="0"/>
          <w:marRight w:val="0"/>
          <w:marTop w:val="0"/>
          <w:marBottom w:val="0"/>
          <w:divBdr>
            <w:top w:val="none" w:sz="0" w:space="0" w:color="auto"/>
            <w:left w:val="none" w:sz="0" w:space="0" w:color="auto"/>
            <w:bottom w:val="none" w:sz="0" w:space="0" w:color="auto"/>
            <w:right w:val="none" w:sz="0" w:space="0" w:color="auto"/>
          </w:divBdr>
          <w:divsChild>
            <w:div w:id="2127775846">
              <w:marLeft w:val="0"/>
              <w:marRight w:val="0"/>
              <w:marTop w:val="0"/>
              <w:marBottom w:val="0"/>
              <w:divBdr>
                <w:top w:val="none" w:sz="0" w:space="0" w:color="auto"/>
                <w:left w:val="none" w:sz="0" w:space="0" w:color="auto"/>
                <w:bottom w:val="none" w:sz="0" w:space="0" w:color="auto"/>
                <w:right w:val="none" w:sz="0" w:space="0" w:color="auto"/>
              </w:divBdr>
            </w:div>
          </w:divsChild>
        </w:div>
        <w:div w:id="756708035">
          <w:marLeft w:val="0"/>
          <w:marRight w:val="0"/>
          <w:marTop w:val="0"/>
          <w:marBottom w:val="0"/>
          <w:divBdr>
            <w:top w:val="none" w:sz="0" w:space="0" w:color="auto"/>
            <w:left w:val="none" w:sz="0" w:space="0" w:color="auto"/>
            <w:bottom w:val="none" w:sz="0" w:space="0" w:color="auto"/>
            <w:right w:val="none" w:sz="0" w:space="0" w:color="auto"/>
          </w:divBdr>
          <w:divsChild>
            <w:div w:id="756827549">
              <w:marLeft w:val="0"/>
              <w:marRight w:val="0"/>
              <w:marTop w:val="0"/>
              <w:marBottom w:val="0"/>
              <w:divBdr>
                <w:top w:val="none" w:sz="0" w:space="0" w:color="auto"/>
                <w:left w:val="none" w:sz="0" w:space="0" w:color="auto"/>
                <w:bottom w:val="none" w:sz="0" w:space="0" w:color="auto"/>
                <w:right w:val="none" w:sz="0" w:space="0" w:color="auto"/>
              </w:divBdr>
            </w:div>
          </w:divsChild>
        </w:div>
        <w:div w:id="1283265732">
          <w:marLeft w:val="0"/>
          <w:marRight w:val="0"/>
          <w:marTop w:val="0"/>
          <w:marBottom w:val="0"/>
          <w:divBdr>
            <w:top w:val="none" w:sz="0" w:space="0" w:color="auto"/>
            <w:left w:val="none" w:sz="0" w:space="0" w:color="auto"/>
            <w:bottom w:val="none" w:sz="0" w:space="0" w:color="auto"/>
            <w:right w:val="none" w:sz="0" w:space="0" w:color="auto"/>
          </w:divBdr>
          <w:divsChild>
            <w:div w:id="385877675">
              <w:marLeft w:val="0"/>
              <w:marRight w:val="0"/>
              <w:marTop w:val="0"/>
              <w:marBottom w:val="0"/>
              <w:divBdr>
                <w:top w:val="none" w:sz="0" w:space="0" w:color="auto"/>
                <w:left w:val="none" w:sz="0" w:space="0" w:color="auto"/>
                <w:bottom w:val="none" w:sz="0" w:space="0" w:color="auto"/>
                <w:right w:val="none" w:sz="0" w:space="0" w:color="auto"/>
              </w:divBdr>
            </w:div>
          </w:divsChild>
        </w:div>
        <w:div w:id="1469779171">
          <w:marLeft w:val="0"/>
          <w:marRight w:val="0"/>
          <w:marTop w:val="0"/>
          <w:marBottom w:val="0"/>
          <w:divBdr>
            <w:top w:val="none" w:sz="0" w:space="0" w:color="auto"/>
            <w:left w:val="none" w:sz="0" w:space="0" w:color="auto"/>
            <w:bottom w:val="none" w:sz="0" w:space="0" w:color="auto"/>
            <w:right w:val="none" w:sz="0" w:space="0" w:color="auto"/>
          </w:divBdr>
          <w:divsChild>
            <w:div w:id="19747267">
              <w:marLeft w:val="0"/>
              <w:marRight w:val="0"/>
              <w:marTop w:val="0"/>
              <w:marBottom w:val="0"/>
              <w:divBdr>
                <w:top w:val="none" w:sz="0" w:space="0" w:color="auto"/>
                <w:left w:val="none" w:sz="0" w:space="0" w:color="auto"/>
                <w:bottom w:val="none" w:sz="0" w:space="0" w:color="auto"/>
                <w:right w:val="none" w:sz="0" w:space="0" w:color="auto"/>
              </w:divBdr>
            </w:div>
          </w:divsChild>
        </w:div>
        <w:div w:id="1775202882">
          <w:marLeft w:val="0"/>
          <w:marRight w:val="0"/>
          <w:marTop w:val="0"/>
          <w:marBottom w:val="0"/>
          <w:divBdr>
            <w:top w:val="none" w:sz="0" w:space="0" w:color="auto"/>
            <w:left w:val="none" w:sz="0" w:space="0" w:color="auto"/>
            <w:bottom w:val="none" w:sz="0" w:space="0" w:color="auto"/>
            <w:right w:val="none" w:sz="0" w:space="0" w:color="auto"/>
          </w:divBdr>
          <w:divsChild>
            <w:div w:id="77660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032530">
      <w:bodyDiv w:val="1"/>
      <w:marLeft w:val="0"/>
      <w:marRight w:val="0"/>
      <w:marTop w:val="0"/>
      <w:marBottom w:val="0"/>
      <w:divBdr>
        <w:top w:val="none" w:sz="0" w:space="0" w:color="auto"/>
        <w:left w:val="none" w:sz="0" w:space="0" w:color="auto"/>
        <w:bottom w:val="none" w:sz="0" w:space="0" w:color="auto"/>
        <w:right w:val="none" w:sz="0" w:space="0" w:color="auto"/>
      </w:divBdr>
    </w:div>
    <w:div w:id="2069106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eli/agree_interinstit/2016/512/oj/eng" TargetMode="External"/><Relationship Id="rId13" Type="http://schemas.openxmlformats.org/officeDocument/2006/relationships/hyperlink" Target="https://ec.europa.eu/implementing-eu-law/member-state-infringement-cases/ro%23inline-nav-10" TargetMode="External"/><Relationship Id="rId3" Type="http://schemas.openxmlformats.org/officeDocument/2006/relationships/hyperlink" Target="https://eur-lex.europa.eu/legal-content/ro/TXT/?uri=CELEX%3A31996Y0404%2802%29" TargetMode="External"/><Relationship Id="rId7" Type="http://schemas.openxmlformats.org/officeDocument/2006/relationships/hyperlink" Target="https://www.oecd.org/content/dam/oecd/en/publications/reports/2025/04/oecd-regulatory-policy-outlook-2025_a754bf4c/56b60e39-en.pdf" TargetMode="External"/><Relationship Id="rId12" Type="http://schemas.openxmlformats.org/officeDocument/2006/relationships/hyperlink" Target="https://www.ecb.europa.eu/press/economic-bulletin/html/eb202508.ro.html" TargetMode="External"/><Relationship Id="rId2" Type="http://schemas.openxmlformats.org/officeDocument/2006/relationships/hyperlink" Target="https://ec.europa.eu/info/law/better-regulation/have-your-say/initiatives/16232-Comunicarea-privind-o-mai-buna-legiferare_ro" TargetMode="External"/><Relationship Id="rId1" Type="http://schemas.openxmlformats.org/officeDocument/2006/relationships/hyperlink" Target="https://commission.europa.eu/document/5445de81-9481-4335-9902-9756159ba614_en" TargetMode="External"/><Relationship Id="rId6" Type="http://schemas.openxmlformats.org/officeDocument/2006/relationships/hyperlink" Target="https://commission.europa.eu/law/law-making-process/better-regulation/better-regulation-guidelines-and-toolbox/better-regulation-toolbox_en" TargetMode="External"/><Relationship Id="rId11" Type="http://schemas.openxmlformats.org/officeDocument/2006/relationships/hyperlink" Target="https://www.ecb.europa.eu/press/economic-bulletin/articles/2026/html/ecb.ebart202508_01~2e71d52829.ro.html" TargetMode="External"/><Relationship Id="rId5" Type="http://schemas.openxmlformats.org/officeDocument/2006/relationships/hyperlink" Target="https://interoperable-europe.ec.europa.eu/collection/digital-ready-policymaking/digital-ready-policymaking-dprm-framework" TargetMode="External"/><Relationship Id="rId10" Type="http://schemas.openxmlformats.org/officeDocument/2006/relationships/hyperlink" Target="https://commission.europa.eu/strategy-and-policy/policies/justice-and-fundamental-rights/upholding-rule-law/rule-law/annual-rule-law-cycle_ro" TargetMode="External"/><Relationship Id="rId4" Type="http://schemas.openxmlformats.org/officeDocument/2006/relationships/hyperlink" Target="https://eur-lex.europa.eu/legal-content/RO/TXT/?uri=oj:JOC_2002_077_R_0001_01" TargetMode="External"/><Relationship Id="rId9" Type="http://schemas.openxmlformats.org/officeDocument/2006/relationships/hyperlink" Target="https://www.oecd.org/en/publications/oecd-economic-outlook-volume-2025-issue-2_9f653ca1-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3D66B8-0040-4417-9766-6AD339EC59AF}">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25</TotalTime>
  <Pages>16</Pages>
  <Words>9635</Words>
  <Characters>54926</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64433</CharactersWithSpaces>
  <SharedDoc>false</SharedDoc>
  <HLinks>
    <vt:vector size="72" baseType="variant">
      <vt:variant>
        <vt:i4>3539040</vt:i4>
      </vt:variant>
      <vt:variant>
        <vt:i4>33</vt:i4>
      </vt:variant>
      <vt:variant>
        <vt:i4>0</vt:i4>
      </vt:variant>
      <vt:variant>
        <vt:i4>5</vt:i4>
      </vt:variant>
      <vt:variant>
        <vt:lpwstr>https://ec.europa.eu/implementing-eu-law/member-state-infringement-cases/en%23inline-nav-10</vt:lpwstr>
      </vt:variant>
      <vt:variant>
        <vt:lpwstr/>
      </vt:variant>
      <vt:variant>
        <vt:i4>3932277</vt:i4>
      </vt:variant>
      <vt:variant>
        <vt:i4>30</vt:i4>
      </vt:variant>
      <vt:variant>
        <vt:i4>0</vt:i4>
      </vt:variant>
      <vt:variant>
        <vt:i4>5</vt:i4>
      </vt:variant>
      <vt:variant>
        <vt:lpwstr>https://www.ecb.europa.eu/press/economic-bulletin/html/eb202508.en.html</vt:lpwstr>
      </vt:variant>
      <vt:variant>
        <vt:lpwstr/>
      </vt:variant>
      <vt:variant>
        <vt:i4>3145736</vt:i4>
      </vt:variant>
      <vt:variant>
        <vt:i4>27</vt:i4>
      </vt:variant>
      <vt:variant>
        <vt:i4>0</vt:i4>
      </vt:variant>
      <vt:variant>
        <vt:i4>5</vt:i4>
      </vt:variant>
      <vt:variant>
        <vt:lpwstr>https://www.ecb.europa.eu/press/economic-bulletin/articles/2026/html/ecb.ebart202508_01~2e71d52829.en.html</vt:lpwstr>
      </vt:variant>
      <vt:variant>
        <vt:lpwstr/>
      </vt:variant>
      <vt:variant>
        <vt:i4>786466</vt:i4>
      </vt:variant>
      <vt:variant>
        <vt:i4>24</vt:i4>
      </vt:variant>
      <vt:variant>
        <vt:i4>0</vt:i4>
      </vt:variant>
      <vt:variant>
        <vt:i4>5</vt:i4>
      </vt:variant>
      <vt:variant>
        <vt:lpwstr>https://commission.europa.eu/strategy-and-policy/policies/justice-and-fundamental-rights/upholding-rule-law/rule-law/annual-rule-law-cycle_en</vt:lpwstr>
      </vt:variant>
      <vt:variant>
        <vt:lpwstr/>
      </vt:variant>
      <vt:variant>
        <vt:i4>2949120</vt:i4>
      </vt:variant>
      <vt:variant>
        <vt:i4>21</vt:i4>
      </vt:variant>
      <vt:variant>
        <vt:i4>0</vt:i4>
      </vt:variant>
      <vt:variant>
        <vt:i4>5</vt:i4>
      </vt:variant>
      <vt:variant>
        <vt:lpwstr>https://www.oecd.org/en/publications/oecd-economic-outlook-volume-2025-issue-2_9f653ca1-en.html</vt:lpwstr>
      </vt:variant>
      <vt:variant>
        <vt:lpwstr/>
      </vt:variant>
      <vt:variant>
        <vt:i4>5570617</vt:i4>
      </vt:variant>
      <vt:variant>
        <vt:i4>18</vt:i4>
      </vt:variant>
      <vt:variant>
        <vt:i4>0</vt:i4>
      </vt:variant>
      <vt:variant>
        <vt:i4>5</vt:i4>
      </vt:variant>
      <vt:variant>
        <vt:lpwstr>https://eur-lex.europa.eu/eli/agree_interinstit/2016/512/oj/eng</vt:lpwstr>
      </vt:variant>
      <vt:variant>
        <vt:lpwstr/>
      </vt:variant>
      <vt:variant>
        <vt:i4>721022</vt:i4>
      </vt:variant>
      <vt:variant>
        <vt:i4>15</vt:i4>
      </vt:variant>
      <vt:variant>
        <vt:i4>0</vt:i4>
      </vt:variant>
      <vt:variant>
        <vt:i4>5</vt:i4>
      </vt:variant>
      <vt:variant>
        <vt:lpwstr>https://www.oecd.org/content/dam/oecd/en/publications/reports/2025/04/oecd-regulatory-policy-outlook-2025_a754bf4c/56b60e39-en.pdf</vt:lpwstr>
      </vt:variant>
      <vt:variant>
        <vt:lpwstr/>
      </vt:variant>
      <vt:variant>
        <vt:i4>7929877</vt:i4>
      </vt:variant>
      <vt:variant>
        <vt:i4>12</vt:i4>
      </vt:variant>
      <vt:variant>
        <vt:i4>0</vt:i4>
      </vt:variant>
      <vt:variant>
        <vt:i4>5</vt:i4>
      </vt:variant>
      <vt:variant>
        <vt:lpwstr>https://commission.europa.eu/law/law-making-process/better-regulation/better-regulation-guidelines-and-toolbox/better-regulation-toolbox_en</vt:lpwstr>
      </vt:variant>
      <vt:variant>
        <vt:lpwstr/>
      </vt:variant>
      <vt:variant>
        <vt:i4>4849737</vt:i4>
      </vt:variant>
      <vt:variant>
        <vt:i4>9</vt:i4>
      </vt:variant>
      <vt:variant>
        <vt:i4>0</vt:i4>
      </vt:variant>
      <vt:variant>
        <vt:i4>5</vt:i4>
      </vt:variant>
      <vt:variant>
        <vt:lpwstr>https://interoperable-europe.ec.europa.eu/collection/digital-ready-policymaking/digital-ready-policymaking-dprm-framework</vt:lpwstr>
      </vt:variant>
      <vt:variant>
        <vt:lpwstr/>
      </vt:variant>
      <vt:variant>
        <vt:i4>6684744</vt:i4>
      </vt:variant>
      <vt:variant>
        <vt:i4>6</vt:i4>
      </vt:variant>
      <vt:variant>
        <vt:i4>0</vt:i4>
      </vt:variant>
      <vt:variant>
        <vt:i4>5</vt:i4>
      </vt:variant>
      <vt:variant>
        <vt:lpwstr>https://eur-lex.europa.eu/legal-content/EN/TXT/?uri=oj:JOC_2002_077_R_0001_01</vt:lpwstr>
      </vt:variant>
      <vt:variant>
        <vt:lpwstr/>
      </vt:variant>
      <vt:variant>
        <vt:i4>7667808</vt:i4>
      </vt:variant>
      <vt:variant>
        <vt:i4>3</vt:i4>
      </vt:variant>
      <vt:variant>
        <vt:i4>0</vt:i4>
      </vt:variant>
      <vt:variant>
        <vt:i4>5</vt:i4>
      </vt:variant>
      <vt:variant>
        <vt:lpwstr>https://eur-lex.europa.eu/legal-content/en/TXT/?uri=CELEX%3A31996Y0404%2802%29</vt:lpwstr>
      </vt:variant>
      <vt:variant>
        <vt:lpwstr/>
      </vt:variant>
      <vt:variant>
        <vt:i4>6946866</vt:i4>
      </vt:variant>
      <vt:variant>
        <vt:i4>0</vt:i4>
      </vt:variant>
      <vt:variant>
        <vt:i4>0</vt:i4>
      </vt:variant>
      <vt:variant>
        <vt:i4>5</vt:i4>
      </vt:variant>
      <vt:variant>
        <vt:lpwstr>https://ec.europa.eu/info/law/better-regulation/have-your-say/initiatives/16232-Communication-on-better-regulation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dcterms:created xsi:type="dcterms:W3CDTF">2026-04-27T17:33:00Z</dcterms:created>
  <dcterms:modified xsi:type="dcterms:W3CDTF">2026-05-13T10:31:00Z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2026-04-27T16:05:38Z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860bed2a-a756-45a3-9865-2281f47f6906</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CP-009</vt:lpwstr>
  </property>
</Properties>
</file>