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3477C2" w14:textId="5F7F684C" w:rsidR="00E60E0C" w:rsidRPr="009C515F" w:rsidRDefault="00D17E6D" w:rsidP="00D17E6D">
      <w:pPr>
        <w:pStyle w:val="Pagedecouverture"/>
        <w:rPr>
          <w:noProof/>
        </w:rPr>
      </w:pPr>
      <w:r>
        <w:rPr>
          <w:noProof/>
        </w:rPr>
        <w:pict w14:anchorId="163FC5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5E0F2D5-A059-48B0-9539-F87BFA7CF5E0" style="width:455.25pt;height:357.75pt">
            <v:imagedata r:id="rId11" o:title=""/>
          </v:shape>
        </w:pict>
      </w:r>
    </w:p>
    <w:p w14:paraId="1FE31B7B" w14:textId="77777777" w:rsidR="00E60E0C" w:rsidRPr="009C515F" w:rsidRDefault="00E60E0C" w:rsidP="00E60E0C">
      <w:pPr>
        <w:rPr>
          <w:noProof/>
        </w:rPr>
        <w:sectPr w:rsidR="00E60E0C" w:rsidRPr="009C515F" w:rsidSect="00D17E6D">
          <w:footerReference w:type="even" r:id="rId12"/>
          <w:footerReference w:type="default" r:id="rId13"/>
          <w:pgSz w:w="11907" w:h="16839"/>
          <w:pgMar w:top="1134" w:right="1417" w:bottom="1134" w:left="1417" w:header="709" w:footer="709" w:gutter="0"/>
          <w:pgNumType w:start="0"/>
          <w:cols w:space="720"/>
          <w:docGrid w:linePitch="360"/>
        </w:sectPr>
      </w:pPr>
    </w:p>
    <w:p w14:paraId="66A1F487" w14:textId="77777777" w:rsidR="00EE1673" w:rsidRDefault="00EE1673" w:rsidP="00EE1673">
      <w:pPr>
        <w:pStyle w:val="Exposdesmotifstitre"/>
        <w:rPr>
          <w:noProof/>
        </w:rPr>
      </w:pPr>
      <w:bookmarkStart w:id="0" w:name="_GoBack"/>
      <w:bookmarkEnd w:id="0"/>
      <w:r w:rsidRPr="006F770D">
        <w:rPr>
          <w:noProof/>
        </w:rPr>
        <w:lastRenderedPageBreak/>
        <w:t>EXPLANATORY MEMORANDUM</w:t>
      </w:r>
    </w:p>
    <w:p w14:paraId="6E2EDDBF" w14:textId="0721B3FD" w:rsidR="00EE1673" w:rsidRPr="00360457" w:rsidRDefault="00EE1673" w:rsidP="00EE1673">
      <w:pPr>
        <w:widowControl w:val="0"/>
        <w:shd w:val="clear" w:color="auto" w:fill="FFFFFF"/>
        <w:autoSpaceDE w:val="0"/>
        <w:autoSpaceDN w:val="0"/>
        <w:adjustRightInd w:val="0"/>
        <w:spacing w:before="230" w:after="0" w:line="269" w:lineRule="exact"/>
        <w:ind w:right="86"/>
        <w:rPr>
          <w:noProof/>
          <w:lang w:val="en-US"/>
        </w:rPr>
      </w:pPr>
      <w:r w:rsidRPr="00360457">
        <w:rPr>
          <w:noProof/>
        </w:rPr>
        <w:t xml:space="preserve">The present proposal concerns the </w:t>
      </w:r>
      <w:r w:rsidR="00495CE0">
        <w:rPr>
          <w:noProof/>
        </w:rPr>
        <w:t>conclusion</w:t>
      </w:r>
      <w:r w:rsidRPr="00360457">
        <w:rPr>
          <w:noProof/>
        </w:rPr>
        <w:t xml:space="preserve"> of the Agreement with </w:t>
      </w:r>
      <w:r w:rsidR="00403968">
        <w:rPr>
          <w:noProof/>
        </w:rPr>
        <w:t xml:space="preserve">the </w:t>
      </w:r>
      <w:r w:rsidR="00EE7673">
        <w:rPr>
          <w:noProof/>
        </w:rPr>
        <w:t>Republic of Korea</w:t>
      </w:r>
      <w:r>
        <w:rPr>
          <w:noProof/>
        </w:rPr>
        <w:t xml:space="preserve"> </w:t>
      </w:r>
      <w:r w:rsidRPr="00360457">
        <w:rPr>
          <w:noProof/>
        </w:rPr>
        <w:t>on the transfer of Passenger Name Record (PNR) data for the prevention, detection, investigation and prosecution of terrorist offences and serious crime (</w:t>
      </w:r>
      <w:r>
        <w:rPr>
          <w:noProof/>
        </w:rPr>
        <w:t xml:space="preserve">‘the </w:t>
      </w:r>
      <w:r w:rsidRPr="00360457">
        <w:rPr>
          <w:noProof/>
        </w:rPr>
        <w:t>Agreement’).</w:t>
      </w:r>
    </w:p>
    <w:p w14:paraId="16FDC826" w14:textId="77777777" w:rsidR="00EE1673" w:rsidRPr="006F770D" w:rsidRDefault="00EE1673" w:rsidP="00EE1673">
      <w:pPr>
        <w:pStyle w:val="ManualHeading1"/>
        <w:rPr>
          <w:noProof/>
        </w:rPr>
      </w:pPr>
      <w:r w:rsidRPr="00C567EE">
        <w:rPr>
          <w:noProof/>
        </w:rPr>
        <w:t>1.</w:t>
      </w:r>
      <w:r w:rsidRPr="00C567EE">
        <w:rPr>
          <w:noProof/>
        </w:rPr>
        <w:tab/>
      </w:r>
      <w:r w:rsidRPr="006F770D">
        <w:rPr>
          <w:noProof/>
        </w:rPr>
        <w:t>CONTEXT OF THE PROPOSAL</w:t>
      </w:r>
    </w:p>
    <w:p w14:paraId="20F412AD" w14:textId="77777777" w:rsidR="00EE1673" w:rsidRPr="00044058" w:rsidRDefault="00EE1673" w:rsidP="00EE1673">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14:paraId="4E7D4B84" w14:textId="77777777" w:rsidR="00EE1673" w:rsidRDefault="00EE1673" w:rsidP="00EE1673">
      <w:pPr>
        <w:pBdr>
          <w:top w:val="nil"/>
          <w:left w:val="nil"/>
          <w:bottom w:val="nil"/>
          <w:right w:val="nil"/>
          <w:between w:val="nil"/>
          <w:bar w:val="nil"/>
        </w:pBdr>
        <w:spacing w:before="0" w:after="240"/>
        <w:rPr>
          <w:rFonts w:eastAsia="Arial Unicode MS"/>
          <w:noProof/>
        </w:rPr>
      </w:pPr>
      <w:r w:rsidRPr="007E0BB9">
        <w:rPr>
          <w:rFonts w:eastAsia="Arial Unicode MS"/>
          <w:noProof/>
          <w:lang w:val="en-IE"/>
        </w:rPr>
        <w:t>Strengthening international cooperation on law enforcement, including on information sharing, is essential to address the threats posed by terrorism and serious transnational crimes. The latest Serious Organised Crime Threat Assessment (SOCTA) report published by Europol</w:t>
      </w:r>
      <w:r>
        <w:rPr>
          <w:rStyle w:val="FootnoteReference"/>
          <w:rFonts w:eastAsia="Arial Unicode MS"/>
          <w:noProof/>
          <w:lang w:val="en-IE"/>
        </w:rPr>
        <w:footnoteReference w:id="2"/>
      </w:r>
      <w:r w:rsidRPr="007E0BB9">
        <w:rPr>
          <w:rFonts w:eastAsia="Arial Unicode MS"/>
          <w:noProof/>
          <w:lang w:val="en-IE"/>
        </w:rPr>
        <w:t xml:space="preserve"> illustrates the international dimension of the activities of most serious crime organisations. Additionally, its latest Terrorism Situation and Trend Report (TE-SAT)</w:t>
      </w:r>
      <w:r>
        <w:rPr>
          <w:rStyle w:val="FootnoteReference"/>
          <w:rFonts w:eastAsia="Arial Unicode MS"/>
          <w:noProof/>
          <w:lang w:val="en-IE"/>
        </w:rPr>
        <w:footnoteReference w:id="3"/>
      </w:r>
      <w:r w:rsidRPr="007E0BB9">
        <w:rPr>
          <w:rFonts w:eastAsia="Arial Unicode MS"/>
          <w:noProof/>
          <w:lang w:val="en-IE"/>
        </w:rPr>
        <w:t xml:space="preserve"> stresses not only the direct links between transnational travel and the organization of terrorist activities and serious crime, but also the importance of effectively detecting, investigating and prosecuting other serious criminal offences for preventing and detecting terrorist offences.</w:t>
      </w:r>
    </w:p>
    <w:p w14:paraId="37C6EA89" w14:textId="77777777" w:rsidR="00EE1673" w:rsidRDefault="00EE1673" w:rsidP="00EE1673">
      <w:pPr>
        <w:pBdr>
          <w:top w:val="nil"/>
          <w:left w:val="nil"/>
          <w:bottom w:val="nil"/>
          <w:right w:val="nil"/>
          <w:between w:val="nil"/>
          <w:bar w:val="nil"/>
        </w:pBdr>
        <w:spacing w:before="0" w:after="240"/>
        <w:rPr>
          <w:rFonts w:eastAsia="Arial Unicode MS"/>
          <w:noProof/>
        </w:rPr>
      </w:pPr>
      <w:r w:rsidRPr="00360457">
        <w:rPr>
          <w:rFonts w:eastAsia="Arial Unicode MS"/>
          <w:noProof/>
        </w:rPr>
        <w:t xml:space="preserve">Passenger name record (PNR) data is information provided by passengers and collected by and held in the air carriers’ reservation and departure control systems for their own commercial purposes. The content of PNR data varies depending on the information given during the booking and check-in process and may include, for example, dates of travel and the complete travel itinerary of the passenger or group of passengers travelling together, contact details like address and phone number, payment information, seat number and baggage information. </w:t>
      </w:r>
    </w:p>
    <w:p w14:paraId="65204C9B" w14:textId="6CDF99CB" w:rsidR="00EE1673" w:rsidRDefault="00EE1673" w:rsidP="00EE1673">
      <w:pPr>
        <w:pBdr>
          <w:top w:val="nil"/>
          <w:left w:val="nil"/>
          <w:bottom w:val="nil"/>
          <w:right w:val="nil"/>
          <w:between w:val="nil"/>
          <w:bar w:val="nil"/>
        </w:pBdr>
        <w:spacing w:before="0" w:after="240"/>
        <w:rPr>
          <w:rFonts w:eastAsia="Arial Unicode MS"/>
          <w:noProof/>
        </w:rPr>
      </w:pPr>
      <w:r w:rsidRPr="00360457">
        <w:rPr>
          <w:rFonts w:eastAsia="Arial Unicode MS"/>
          <w:noProof/>
        </w:rPr>
        <w:t>The collection and analysis of PNR data can provide the authorities with important elements allowing them to detect suspicious travel patterns and identify associates of criminals and terrorists, in particular those previously unknown to law enforcement authorities. Accordingly, the processing of PNR data has become a widely used law enforcement tool, in the EU and beyond, to detect terrorism and other forms of serious crime</w:t>
      </w:r>
      <w:r w:rsidR="00963871">
        <w:rPr>
          <w:rFonts w:eastAsia="Arial Unicode MS"/>
          <w:noProof/>
        </w:rPr>
        <w:t>s</w:t>
      </w:r>
      <w:r w:rsidRPr="00360457">
        <w:rPr>
          <w:rFonts w:eastAsia="Arial Unicode MS"/>
          <w:noProof/>
        </w:rPr>
        <w:t>, such as drug-related offences, human trafficking and child sexual exploitation, and to prevent such crime from being committed. It has also proven to constitute an important source of information to support the investigation and prosecution of cases where such illegal activities have been committed</w:t>
      </w:r>
      <w:r>
        <w:rPr>
          <w:rStyle w:val="FootnoteReference"/>
          <w:rFonts w:eastAsia="Arial Unicode MS"/>
          <w:noProof/>
        </w:rPr>
        <w:footnoteReference w:id="4"/>
      </w:r>
      <w:r>
        <w:rPr>
          <w:rFonts w:eastAsia="Arial Unicode MS"/>
          <w:noProof/>
        </w:rPr>
        <w:t>.</w:t>
      </w:r>
    </w:p>
    <w:p w14:paraId="6A01F5C2" w14:textId="591BFA6E" w:rsidR="00EE7673" w:rsidRPr="00EE7673" w:rsidRDefault="00EE7673" w:rsidP="1C2F75A9">
      <w:pPr>
        <w:pBdr>
          <w:top w:val="nil"/>
          <w:left w:val="nil"/>
          <w:bottom w:val="nil"/>
          <w:right w:val="nil"/>
          <w:between w:val="nil"/>
          <w:bar w:val="nil"/>
        </w:pBdr>
        <w:spacing w:before="0" w:after="240"/>
        <w:rPr>
          <w:rFonts w:eastAsia="Arial Unicode MS"/>
          <w:noProof/>
          <w:color w:val="548DD4" w:themeColor="text2" w:themeTint="99"/>
        </w:rPr>
      </w:pPr>
      <w:r w:rsidRPr="005B48BC">
        <w:rPr>
          <w:rFonts w:eastAsia="Arial Unicode MS"/>
          <w:noProof/>
        </w:rPr>
        <w:t>In 2010, the EU and the Republic of Korea upgraded their broader relationship to a Strategic Partnership, based on shared values and common interests. The EU-Republic of Korea Framework Agreement signed in May 2010 provides the basis for cooperation on major political and global issues. The Republic of Korea is a like-minded and strategic partner of the European Union in the fight against terrorism and other serious crime. Within the United Nations, the G20 and other multilateral fora, the European Union and the Republic of Korea work closely together to improve global security frameworks as well as to enhance the security of their citizens.</w:t>
      </w:r>
    </w:p>
    <w:p w14:paraId="683E139A" w14:textId="5ED21E68" w:rsidR="00EE7673" w:rsidRPr="00D8243F" w:rsidRDefault="00EE7673" w:rsidP="1C2F75A9">
      <w:pPr>
        <w:pBdr>
          <w:top w:val="nil"/>
          <w:left w:val="nil"/>
          <w:bottom w:val="nil"/>
          <w:right w:val="nil"/>
          <w:between w:val="nil"/>
          <w:bar w:val="nil"/>
        </w:pBdr>
        <w:spacing w:before="0" w:after="240"/>
        <w:rPr>
          <w:rFonts w:eastAsia="Arial Unicode MS"/>
          <w:noProof/>
        </w:rPr>
      </w:pPr>
      <w:r w:rsidRPr="00D8243F">
        <w:rPr>
          <w:rFonts w:eastAsia="Arial Unicode MS"/>
          <w:noProof/>
        </w:rPr>
        <w:t>On 17 December 2021, the Commission adopted an adequacy decision in relation to the transfer of personal data from the EU to the Republic of Korea between commercial operators</w:t>
      </w:r>
      <w:r w:rsidRPr="00D8243F">
        <w:rPr>
          <w:rStyle w:val="FootnoteReference"/>
          <w:rFonts w:eastAsia="Arial Unicode MS"/>
          <w:noProof/>
        </w:rPr>
        <w:footnoteReference w:id="5"/>
      </w:r>
      <w:r w:rsidRPr="00D8243F">
        <w:rPr>
          <w:rFonts w:eastAsia="Arial Unicode MS"/>
          <w:noProof/>
        </w:rPr>
        <w:t>, concluding that the Republic of Korea ensures an essentially equivalent level of protection to the one guaranteed under the General Data Protection Regulation (GDPR).</w:t>
      </w:r>
      <w:r w:rsidRPr="00D8243F">
        <w:rPr>
          <w:rStyle w:val="FootnoteReference"/>
          <w:rFonts w:eastAsia="Arial Unicode MS"/>
          <w:noProof/>
        </w:rPr>
        <w:footnoteReference w:id="6"/>
      </w:r>
      <w:r w:rsidRPr="00D8243F">
        <w:rPr>
          <w:rFonts w:eastAsia="Arial Unicode MS"/>
          <w:noProof/>
        </w:rPr>
        <w:t xml:space="preserve"> In this context, the Commission also assessed the conditions and safeguards under which Korean public authorities, including law enforcement, can access data held by those operators. Although the adequacy assessment under this decision does not cover processing of PNR data as such, it nevertheless provides evidence that the foundations for essential data protection safeguards already exist in </w:t>
      </w:r>
      <w:r w:rsidR="00963871">
        <w:rPr>
          <w:rFonts w:eastAsia="Arial Unicode MS"/>
          <w:noProof/>
        </w:rPr>
        <w:t xml:space="preserve">the </w:t>
      </w:r>
      <w:r w:rsidRPr="00D8243F">
        <w:rPr>
          <w:rFonts w:eastAsia="Arial Unicode MS"/>
          <w:noProof/>
        </w:rPr>
        <w:t xml:space="preserve">legal framework </w:t>
      </w:r>
      <w:r w:rsidR="00963871">
        <w:rPr>
          <w:rFonts w:eastAsia="Arial Unicode MS"/>
          <w:noProof/>
        </w:rPr>
        <w:t xml:space="preserve">of </w:t>
      </w:r>
      <w:r w:rsidR="00963871" w:rsidRPr="00D8243F">
        <w:rPr>
          <w:rFonts w:eastAsia="Arial Unicode MS"/>
          <w:noProof/>
        </w:rPr>
        <w:t xml:space="preserve">the Republic of Korea </w:t>
      </w:r>
      <w:r w:rsidRPr="00D8243F">
        <w:rPr>
          <w:rFonts w:eastAsia="Arial Unicode MS"/>
          <w:noProof/>
        </w:rPr>
        <w:t xml:space="preserve">and should therefore also provide the basis for adducing the necessary corresponding safeguards in a PNR Agreement, in particular, enforceable data subject rights, judicial redress and independent oversight. </w:t>
      </w:r>
    </w:p>
    <w:p w14:paraId="65D44E13" w14:textId="4A298B72" w:rsidR="00FE43A8" w:rsidRDefault="00EE7673" w:rsidP="1C2F75A9">
      <w:pPr>
        <w:pBdr>
          <w:top w:val="nil"/>
          <w:left w:val="nil"/>
          <w:bottom w:val="nil"/>
          <w:right w:val="nil"/>
          <w:between w:val="nil"/>
          <w:bar w:val="nil"/>
        </w:pBdr>
        <w:spacing w:before="0" w:after="240"/>
        <w:rPr>
          <w:rFonts w:eastAsia="Arial Unicode MS"/>
          <w:noProof/>
          <w:color w:val="548DD4" w:themeColor="text2" w:themeTint="99"/>
        </w:rPr>
      </w:pPr>
      <w:r w:rsidRPr="00036A01">
        <w:rPr>
          <w:rFonts w:eastAsia="Arial Unicode MS"/>
          <w:noProof/>
        </w:rPr>
        <w:t xml:space="preserve">According to the legislation of the Republic of Korea, air carriers are required to transmit Passenger Name Record (PNR) data to the single window operated by the Korean Customs Service (KCS). This legislation aims at enhancing the security of the Republic of Korea by obtaining PNR data prior to a passenger’s arrival or departure and therefore significantly enhances the ability to conduct efficient and effective advance travel risk assessment of passengers. </w:t>
      </w:r>
    </w:p>
    <w:p w14:paraId="29A50C9A" w14:textId="582A3230" w:rsidR="00EE7673" w:rsidRPr="00D8243F" w:rsidRDefault="00EE7673" w:rsidP="1C2F75A9">
      <w:pPr>
        <w:pBdr>
          <w:top w:val="nil"/>
          <w:left w:val="nil"/>
          <w:bottom w:val="nil"/>
          <w:right w:val="nil"/>
          <w:between w:val="nil"/>
          <w:bar w:val="nil"/>
        </w:pBdr>
        <w:spacing w:before="0" w:after="240"/>
        <w:rPr>
          <w:noProof/>
        </w:rPr>
      </w:pPr>
      <w:r w:rsidRPr="005B48BC">
        <w:rPr>
          <w:rFonts w:eastAsia="Arial Unicode MS"/>
          <w:noProof/>
        </w:rPr>
        <w:t>In this context, the Republic of Korea has also shared relevant information both as regards the amount of scheduled flights between the EU and the Republic of Korea (approximately 12.000 in 2024) as well as regards the adherence of its legislation to the ICAO Standards on PNR.</w:t>
      </w:r>
    </w:p>
    <w:p w14:paraId="3BE13DCC" w14:textId="1D409F70" w:rsidR="00EE7673" w:rsidRPr="00D8243F" w:rsidRDefault="00EE7673" w:rsidP="1C2F75A9">
      <w:pPr>
        <w:pBdr>
          <w:top w:val="nil"/>
          <w:left w:val="nil"/>
          <w:bottom w:val="nil"/>
          <w:right w:val="nil"/>
          <w:between w:val="nil"/>
          <w:bar w:val="nil"/>
        </w:pBdr>
        <w:spacing w:before="0" w:after="240"/>
        <w:rPr>
          <w:noProof/>
        </w:rPr>
      </w:pPr>
      <w:r w:rsidRPr="00D8243F">
        <w:rPr>
          <w:rFonts w:eastAsia="Arial Unicode MS"/>
          <w:noProof/>
        </w:rPr>
        <w:t xml:space="preserve">To allow for the transfer of PNR data from the EU to the Republic of Korea to effectively fight terrorism and other forms of serious transnational crime, an international agreement is needed, providing the necessary legal basis at EU level. Such type of future agreement should </w:t>
      </w:r>
      <w:r w:rsidR="00963871">
        <w:rPr>
          <w:rFonts w:eastAsia="Arial Unicode MS"/>
          <w:noProof/>
        </w:rPr>
        <w:t>encompass</w:t>
      </w:r>
      <w:r w:rsidRPr="00D8243F">
        <w:rPr>
          <w:rFonts w:eastAsia="Arial Unicode MS"/>
          <w:noProof/>
        </w:rPr>
        <w:t xml:space="preserve"> appropriate data protection safeguards within the meaning of Article 46(2)(a) of the General Data Protection Regulation</w:t>
      </w:r>
      <w:r w:rsidRPr="00D8243F">
        <w:rPr>
          <w:rStyle w:val="FootnoteReference"/>
          <w:rFonts w:eastAsia="Arial Unicode MS"/>
          <w:noProof/>
        </w:rPr>
        <w:footnoteReference w:id="7"/>
      </w:r>
      <w:r w:rsidRPr="00D8243F">
        <w:rPr>
          <w:rFonts w:eastAsia="Arial Unicode MS"/>
          <w:noProof/>
        </w:rPr>
        <w:t xml:space="preserve">, including a system of independent oversight. </w:t>
      </w:r>
      <w:r w:rsidRPr="00D8243F">
        <w:rPr>
          <w:noProof/>
        </w:rPr>
        <w:t>A future agreement should respect fundamental rights and observe the principles recognised by the Charter of Fundamental Rights of the European Union, in particular the right to private and family life recognised in Article 7 of the Charter, the right to the protection of personal data recognised in Article 8 of the Charter and the right to effective remedy and fair trial recognised in Article 47 of the Charter.</w:t>
      </w:r>
    </w:p>
    <w:p w14:paraId="6A891DCF" w14:textId="5B293F5F" w:rsidR="00EE1673" w:rsidRDefault="00EE1673" w:rsidP="1C2F75A9">
      <w:pPr>
        <w:pBdr>
          <w:top w:val="nil"/>
          <w:left w:val="nil"/>
          <w:bottom w:val="nil"/>
          <w:right w:val="nil"/>
          <w:between w:val="nil"/>
          <w:bar w:val="nil"/>
        </w:pBdr>
        <w:spacing w:before="0" w:after="240"/>
        <w:rPr>
          <w:rFonts w:eastAsia="Arial Unicode MS"/>
          <w:noProof/>
        </w:rPr>
      </w:pPr>
      <w:r>
        <w:rPr>
          <w:rFonts w:eastAsia="Arial Unicode MS"/>
          <w:noProof/>
          <w:lang w:val="en-IE"/>
        </w:rPr>
        <w:t xml:space="preserve">In light of this, on </w:t>
      </w:r>
      <w:r w:rsidR="00FE43A8" w:rsidRPr="1C2F75A9">
        <w:rPr>
          <w:rFonts w:eastAsia="Arial Unicode MS"/>
          <w:noProof/>
          <w:lang w:val="en-IE"/>
        </w:rPr>
        <w:t xml:space="preserve">15 </w:t>
      </w:r>
      <w:r>
        <w:rPr>
          <w:rFonts w:eastAsia="Arial Unicode MS"/>
          <w:noProof/>
          <w:lang w:val="en-IE"/>
        </w:rPr>
        <w:t xml:space="preserve">September </w:t>
      </w:r>
      <w:r w:rsidR="00FE43A8" w:rsidRPr="1C2F75A9">
        <w:rPr>
          <w:rFonts w:eastAsia="Arial Unicode MS"/>
          <w:noProof/>
          <w:lang w:val="en-IE"/>
        </w:rPr>
        <w:t>2025</w:t>
      </w:r>
      <w:r>
        <w:rPr>
          <w:rFonts w:eastAsia="Arial Unicode MS"/>
          <w:noProof/>
          <w:lang w:val="en-IE"/>
        </w:rPr>
        <w:t xml:space="preserve">, the Commission adopted a Recommendation, proposing that the Council authorises the opening of negotiations of an agreement between the European Union and the </w:t>
      </w:r>
      <w:r w:rsidR="61277BBE">
        <w:rPr>
          <w:rFonts w:eastAsia="Arial Unicode MS"/>
          <w:noProof/>
          <w:lang w:val="en-IE"/>
        </w:rPr>
        <w:t>Republic of Korea</w:t>
      </w:r>
      <w:r>
        <w:rPr>
          <w:rFonts w:eastAsia="Arial Unicode MS"/>
          <w:noProof/>
          <w:lang w:val="en-IE"/>
        </w:rPr>
        <w:t xml:space="preserve"> on the </w:t>
      </w:r>
      <w:r w:rsidRPr="001B6404">
        <w:rPr>
          <w:rFonts w:eastAsia="Arial Unicode MS"/>
          <w:noProof/>
          <w:lang w:val="en-IE"/>
        </w:rPr>
        <w:t>transfer of Passenger Name Record (PNR) data for preventing, detecting, investigating and prosecuting terrorist offences and serious crime.</w:t>
      </w:r>
      <w:r w:rsidR="006C78FD" w:rsidRPr="001B6404">
        <w:rPr>
          <w:rStyle w:val="FootnoteReference"/>
          <w:rFonts w:eastAsia="Arial Unicode MS"/>
          <w:noProof/>
          <w:lang w:val="en-IE"/>
        </w:rPr>
        <w:footnoteReference w:id="8"/>
      </w:r>
      <w:r w:rsidRPr="001B6404">
        <w:rPr>
          <w:rFonts w:eastAsia="Arial Unicode MS"/>
          <w:noProof/>
          <w:lang w:val="en-IE"/>
        </w:rPr>
        <w:t xml:space="preserve"> </w:t>
      </w:r>
      <w:r w:rsidRPr="001B6404">
        <w:rPr>
          <w:rFonts w:eastAsia="Arial Unicode MS"/>
          <w:noProof/>
        </w:rPr>
        <w:t xml:space="preserve">On </w:t>
      </w:r>
      <w:r w:rsidR="00FE43A8" w:rsidRPr="1C2F75A9">
        <w:rPr>
          <w:rFonts w:eastAsia="Arial Unicode MS"/>
          <w:noProof/>
        </w:rPr>
        <w:t>16 December 2025</w:t>
      </w:r>
      <w:r w:rsidRPr="001B6404">
        <w:rPr>
          <w:rFonts w:eastAsia="Arial Unicode MS"/>
          <w:noProof/>
        </w:rPr>
        <w:t>, the Council provided its authorisation to open negotiations and adopted negotiating directives.</w:t>
      </w:r>
      <w:r w:rsidRPr="001B6404">
        <w:rPr>
          <w:rStyle w:val="FootnoteReference"/>
          <w:rFonts w:eastAsia="Arial Unicode MS"/>
          <w:noProof/>
        </w:rPr>
        <w:footnoteReference w:id="9"/>
      </w:r>
    </w:p>
    <w:p w14:paraId="2949759A" w14:textId="29A24B24" w:rsidR="00EE1673" w:rsidRDefault="00EE1673" w:rsidP="00EE1673">
      <w:pPr>
        <w:pBdr>
          <w:top w:val="nil"/>
          <w:left w:val="nil"/>
          <w:bottom w:val="nil"/>
          <w:right w:val="nil"/>
          <w:between w:val="nil"/>
          <w:bar w:val="nil"/>
        </w:pBdr>
        <w:spacing w:before="0" w:after="240"/>
        <w:rPr>
          <w:rFonts w:eastAsia="Arial Unicode MS"/>
          <w:noProof/>
          <w:lang w:val="en-IE"/>
        </w:rPr>
      </w:pPr>
      <w:r>
        <w:rPr>
          <w:rFonts w:eastAsia="Arial Unicode MS"/>
          <w:noProof/>
        </w:rPr>
        <w:t>The</w:t>
      </w:r>
      <w:r>
        <w:rPr>
          <w:rFonts w:eastAsia="Arial Unicode MS"/>
          <w:noProof/>
          <w:lang w:val="en-IE"/>
        </w:rPr>
        <w:t xml:space="preserve"> purpose of this Agreement is </w:t>
      </w:r>
      <w:r w:rsidRPr="0042088A">
        <w:rPr>
          <w:rFonts w:eastAsia="Arial Unicode MS"/>
          <w:noProof/>
          <w:lang w:val="en-IE"/>
        </w:rPr>
        <w:t xml:space="preserve">to enable the transfer of PNR data from the Union to </w:t>
      </w:r>
      <w:r w:rsidR="00FE43A8">
        <w:rPr>
          <w:rFonts w:eastAsia="Arial Unicode MS"/>
          <w:noProof/>
          <w:lang w:val="en-IE"/>
        </w:rPr>
        <w:t xml:space="preserve">the Republic of Korea </w:t>
      </w:r>
      <w:r w:rsidRPr="0042088A">
        <w:rPr>
          <w:rFonts w:eastAsia="Arial Unicode MS"/>
          <w:noProof/>
          <w:lang w:val="en-IE"/>
        </w:rPr>
        <w:t>in recognition of the necessity to use PNR data as an essential tool in the fight against terrorism and other forms of serious crime.</w:t>
      </w:r>
    </w:p>
    <w:p w14:paraId="023161E7" w14:textId="6C983687" w:rsidR="00EE1673" w:rsidRDefault="00EE1673" w:rsidP="00EE1673">
      <w:pPr>
        <w:pBdr>
          <w:top w:val="nil"/>
          <w:left w:val="nil"/>
          <w:bottom w:val="nil"/>
          <w:right w:val="nil"/>
          <w:between w:val="nil"/>
          <w:bar w:val="nil"/>
        </w:pBdr>
        <w:spacing w:before="0" w:after="240"/>
        <w:rPr>
          <w:rFonts w:eastAsia="Arial Unicode MS"/>
          <w:noProof/>
        </w:rPr>
      </w:pPr>
      <w:r w:rsidRPr="00554F50">
        <w:rPr>
          <w:rFonts w:eastAsia="Arial Unicode MS"/>
          <w:noProof/>
        </w:rPr>
        <w:t xml:space="preserve">Negotiations with </w:t>
      </w:r>
      <w:r w:rsidR="0054664E">
        <w:rPr>
          <w:rFonts w:eastAsia="Arial Unicode MS"/>
          <w:noProof/>
        </w:rPr>
        <w:t xml:space="preserve">the Republic of Korea </w:t>
      </w:r>
      <w:r w:rsidRPr="00554F50">
        <w:rPr>
          <w:rFonts w:eastAsia="Arial Unicode MS"/>
          <w:noProof/>
        </w:rPr>
        <w:t xml:space="preserve">began on </w:t>
      </w:r>
      <w:r w:rsidR="0054664E">
        <w:rPr>
          <w:rFonts w:eastAsia="Arial Unicode MS"/>
          <w:noProof/>
        </w:rPr>
        <w:t>17 December 2025</w:t>
      </w:r>
      <w:r w:rsidRPr="00554F50">
        <w:rPr>
          <w:rFonts w:eastAsia="Arial Unicode MS"/>
          <w:noProof/>
        </w:rPr>
        <w:t xml:space="preserve">. </w:t>
      </w:r>
      <w:r w:rsidRPr="006A156E">
        <w:rPr>
          <w:rFonts w:eastAsia="Arial Unicode MS"/>
          <w:noProof/>
        </w:rPr>
        <w:t xml:space="preserve">On </w:t>
      </w:r>
      <w:r w:rsidR="0007584E" w:rsidRPr="006A156E">
        <w:rPr>
          <w:rFonts w:eastAsia="Arial Unicode MS"/>
          <w:noProof/>
        </w:rPr>
        <w:t xml:space="preserve">4 </w:t>
      </w:r>
      <w:r w:rsidR="0054664E" w:rsidRPr="006A156E">
        <w:rPr>
          <w:rFonts w:eastAsia="Arial Unicode MS"/>
          <w:noProof/>
        </w:rPr>
        <w:t xml:space="preserve">June </w:t>
      </w:r>
      <w:r w:rsidRPr="006A156E">
        <w:rPr>
          <w:rFonts w:eastAsia="Arial Unicode MS"/>
          <w:noProof/>
        </w:rPr>
        <w:t>202</w:t>
      </w:r>
      <w:r w:rsidR="0054664E" w:rsidRPr="006A156E">
        <w:rPr>
          <w:rFonts w:eastAsia="Arial Unicode MS"/>
          <w:noProof/>
        </w:rPr>
        <w:t>6</w:t>
      </w:r>
      <w:r w:rsidRPr="006A156E">
        <w:rPr>
          <w:rFonts w:eastAsia="Arial Unicode MS"/>
          <w:noProof/>
        </w:rPr>
        <w:t>, the lead negotiators initialled the agreement text and thus formally concluded negotiations.</w:t>
      </w:r>
      <w:r w:rsidR="0054664E" w:rsidRPr="006A156E">
        <w:rPr>
          <w:rFonts w:eastAsia="Arial Unicode MS"/>
          <w:noProof/>
        </w:rPr>
        <w:t xml:space="preserve"> The Joint Statement pursuant to the EU-Korea Summit held on 10 June 2026 welcomed the conclusion of negotiations and </w:t>
      </w:r>
      <w:r w:rsidR="0007584E" w:rsidRPr="006A156E">
        <w:rPr>
          <w:rFonts w:eastAsia="Arial Unicode MS"/>
          <w:noProof/>
        </w:rPr>
        <w:t xml:space="preserve">committed to undertake all necessary efforts to ensure </w:t>
      </w:r>
      <w:r w:rsidR="0054664E" w:rsidRPr="006A156E">
        <w:rPr>
          <w:rFonts w:eastAsia="Arial Unicode MS"/>
          <w:noProof/>
        </w:rPr>
        <w:t>its swift entry into force.</w:t>
      </w:r>
    </w:p>
    <w:p w14:paraId="3B857CF0" w14:textId="575EF317" w:rsidR="00EE1673" w:rsidRPr="00A836F3" w:rsidRDefault="00EE1673" w:rsidP="00EE1673">
      <w:pPr>
        <w:pBdr>
          <w:top w:val="nil"/>
          <w:left w:val="nil"/>
          <w:bottom w:val="nil"/>
          <w:right w:val="nil"/>
          <w:between w:val="nil"/>
          <w:bar w:val="nil"/>
        </w:pBdr>
        <w:spacing w:before="0" w:after="240"/>
        <w:rPr>
          <w:rFonts w:eastAsia="Arial Unicode MS"/>
          <w:noProof/>
        </w:rPr>
      </w:pPr>
      <w:r>
        <w:rPr>
          <w:rFonts w:eastAsia="Arial Unicode MS"/>
          <w:noProof/>
        </w:rPr>
        <w:t xml:space="preserve">The co-legislators have been informed throughout the negotiations process and consulted at all stages of the negotiations, notably </w:t>
      </w:r>
      <w:r w:rsidR="00963871">
        <w:rPr>
          <w:rFonts w:eastAsia="Arial Unicode MS"/>
          <w:noProof/>
        </w:rPr>
        <w:t>through</w:t>
      </w:r>
      <w:r>
        <w:rPr>
          <w:rFonts w:eastAsia="Arial Unicode MS"/>
          <w:noProof/>
        </w:rPr>
        <w:t xml:space="preserve"> reporting to the Council’s Working Party on Justice and Home Affairs Information Exchange (IXIM</w:t>
      </w:r>
      <w:r w:rsidRPr="00A836F3">
        <w:rPr>
          <w:rFonts w:eastAsia="Arial Unicode MS"/>
          <w:noProof/>
        </w:rPr>
        <w:t>) and</w:t>
      </w:r>
      <w:r>
        <w:rPr>
          <w:rFonts w:eastAsia="Arial Unicode MS"/>
          <w:noProof/>
        </w:rPr>
        <w:t xml:space="preserve"> the European Parliament’s Committee for Civil Liberties, Justice and Home Affairs (LIBE).</w:t>
      </w:r>
      <w:r w:rsidR="0054664E">
        <w:rPr>
          <w:rFonts w:eastAsia="Arial Unicode MS"/>
          <w:noProof/>
        </w:rPr>
        <w:t xml:space="preserve"> </w:t>
      </w:r>
    </w:p>
    <w:p w14:paraId="0B16C881" w14:textId="77777777" w:rsidR="00EE1673" w:rsidRPr="002D5EE2" w:rsidRDefault="00EE1673" w:rsidP="00EE1673">
      <w:pPr>
        <w:pStyle w:val="ManualHeading2"/>
        <w:rPr>
          <w:rFonts w:eastAsia="Arial Unicode MS"/>
          <w:noProof/>
          <w:color w:val="000000"/>
          <w:u w:color="000000"/>
          <w:bdr w:val="nil"/>
          <w:lang w:val="en-US" w:eastAsia="en-GB"/>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Consistency with existing policy provisions in the</w:t>
      </w:r>
      <w:r>
        <w:rPr>
          <w:rFonts w:eastAsia="Arial Unicode MS"/>
          <w:noProof/>
        </w:rPr>
        <w:t xml:space="preserve"> </w:t>
      </w:r>
      <w:r w:rsidRPr="002D5EE2">
        <w:rPr>
          <w:rFonts w:eastAsia="Arial Unicode MS"/>
          <w:noProof/>
        </w:rPr>
        <w:t>policy area</w:t>
      </w:r>
    </w:p>
    <w:p w14:paraId="7EC7A693" w14:textId="48A23E3D" w:rsidR="00FE43A8" w:rsidRPr="007E0BB9" w:rsidRDefault="00FE43A8" w:rsidP="1C2F75A9">
      <w:pPr>
        <w:pBdr>
          <w:top w:val="nil"/>
          <w:left w:val="nil"/>
          <w:bottom w:val="nil"/>
          <w:right w:val="nil"/>
          <w:between w:val="nil"/>
          <w:bar w:val="nil"/>
        </w:pBdr>
        <w:spacing w:before="0" w:after="240"/>
        <w:rPr>
          <w:rFonts w:eastAsia="Arial Unicode MS"/>
          <w:noProof/>
          <w:lang w:val="en-IE"/>
        </w:rPr>
      </w:pPr>
      <w:r w:rsidRPr="1C2F75A9">
        <w:rPr>
          <w:rFonts w:eastAsia="Arial Unicode MS"/>
          <w:noProof/>
          <w:lang w:val="en-IE"/>
        </w:rPr>
        <w:t xml:space="preserve">In </w:t>
      </w:r>
      <w:r w:rsidR="13F802E4" w:rsidRPr="1C2F75A9">
        <w:rPr>
          <w:rFonts w:eastAsia="Arial Unicode MS"/>
          <w:noProof/>
          <w:lang w:val="en-IE"/>
        </w:rPr>
        <w:t xml:space="preserve">the European Union, </w:t>
      </w:r>
      <w:r w:rsidR="1D70473C" w:rsidRPr="1C2F75A9">
        <w:rPr>
          <w:rFonts w:eastAsia="Arial Unicode MS"/>
          <w:noProof/>
          <w:lang w:val="en-IE"/>
        </w:rPr>
        <w:t>in 2</w:t>
      </w:r>
      <w:r w:rsidRPr="1C2F75A9">
        <w:rPr>
          <w:rFonts w:eastAsia="Arial Unicode MS"/>
          <w:noProof/>
          <w:lang w:val="en-IE"/>
        </w:rPr>
        <w:t>016, the European Parliament and the Council of the European Union adopted Directive (EU) 2016/681 on the use of PNR data for the prevention, detection, investigation and prosecution of terrorist offences and serious crime (‘PNR Directive’)</w:t>
      </w:r>
      <w:r>
        <w:rPr>
          <w:rStyle w:val="FootnoteReference"/>
          <w:rFonts w:eastAsia="Arial Unicode MS"/>
          <w:noProof/>
          <w:lang w:val="en-IE"/>
        </w:rPr>
        <w:footnoteReference w:id="10"/>
      </w:r>
      <w:r w:rsidRPr="1C2F75A9">
        <w:rPr>
          <w:rFonts w:eastAsia="Arial Unicode MS"/>
          <w:noProof/>
          <w:lang w:val="en-IE"/>
        </w:rPr>
        <w:t>. This Directive regulates the transfer and processing of PNR data in the European Union and lays down important safeguards for the protection of fundamental rights, in particular the rights to privacy and the protection of personal data. In June 2022, the Court of Justice of the EU (CJEU) confirmed the validity and compliance of this Directive with the Charter of Fundamental Rights of the EU and the Union Treaties, in its Judgment in case C-817/19</w:t>
      </w:r>
      <w:r>
        <w:rPr>
          <w:rStyle w:val="FootnoteReference"/>
          <w:rFonts w:eastAsia="Arial Unicode MS"/>
          <w:noProof/>
          <w:lang w:val="en-IE"/>
        </w:rPr>
        <w:footnoteReference w:id="11"/>
      </w:r>
      <w:r w:rsidRPr="1C2F75A9">
        <w:rPr>
          <w:rFonts w:eastAsia="Arial Unicode MS"/>
          <w:noProof/>
          <w:lang w:val="en-IE"/>
        </w:rPr>
        <w:t xml:space="preserve">. </w:t>
      </w:r>
    </w:p>
    <w:p w14:paraId="0416A1A8" w14:textId="0DA272D5" w:rsidR="00EE1673" w:rsidRDefault="00FE43A8" w:rsidP="1C2F75A9">
      <w:pPr>
        <w:pBdr>
          <w:top w:val="nil"/>
          <w:left w:val="nil"/>
          <w:bottom w:val="nil"/>
          <w:right w:val="nil"/>
          <w:between w:val="nil"/>
          <w:bar w:val="nil"/>
        </w:pBdr>
        <w:spacing w:before="0" w:after="240"/>
        <w:rPr>
          <w:rFonts w:eastAsia="Arial Unicode MS"/>
          <w:noProof/>
          <w:lang w:val="en-IE"/>
        </w:rPr>
      </w:pPr>
      <w:r w:rsidRPr="1C2F75A9">
        <w:rPr>
          <w:rFonts w:eastAsia="Arial Unicode MS"/>
          <w:noProof/>
          <w:lang w:val="en-IE"/>
        </w:rPr>
        <w:t>As regards the EU’s external PNR policy, t</w:t>
      </w:r>
      <w:r w:rsidR="00EE1673">
        <w:rPr>
          <w:rFonts w:eastAsia="Arial Unicode MS"/>
          <w:noProof/>
          <w:lang w:val="en-IE"/>
        </w:rPr>
        <w:t>he</w:t>
      </w:r>
      <w:r w:rsidR="00EE1673" w:rsidRPr="007E0BB9">
        <w:rPr>
          <w:rFonts w:eastAsia="Arial Unicode MS"/>
          <w:noProof/>
          <w:lang w:val="en-IE"/>
        </w:rPr>
        <w:t xml:space="preserve"> Commission first set out the broad lines of </w:t>
      </w:r>
      <w:r w:rsidRPr="1C2F75A9">
        <w:rPr>
          <w:rFonts w:eastAsia="Arial Unicode MS"/>
          <w:noProof/>
          <w:lang w:val="en-IE"/>
        </w:rPr>
        <w:t>such</w:t>
      </w:r>
      <w:r w:rsidR="00EE1673" w:rsidRPr="007E0BB9">
        <w:rPr>
          <w:rFonts w:eastAsia="Arial Unicode MS"/>
          <w:noProof/>
          <w:lang w:val="en-IE"/>
        </w:rPr>
        <w:t xml:space="preserve"> policy in a 2003 Communication</w:t>
      </w:r>
      <w:r w:rsidR="00EE1673">
        <w:rPr>
          <w:rStyle w:val="FootnoteReference"/>
          <w:rFonts w:eastAsia="Arial Unicode MS"/>
          <w:noProof/>
          <w:lang w:val="en-IE"/>
        </w:rPr>
        <w:footnoteReference w:id="12"/>
      </w:r>
      <w:r w:rsidR="00EE1673" w:rsidRPr="007E0BB9">
        <w:rPr>
          <w:rFonts w:eastAsia="Arial Unicode MS"/>
          <w:noProof/>
          <w:lang w:val="en-IE"/>
        </w:rPr>
        <w:t xml:space="preserve"> on the EU approach towards transfers of PNR data from the EU to third countries, which were reviewed in a Communication adopted in 2010</w:t>
      </w:r>
      <w:r w:rsidR="00EE1673">
        <w:rPr>
          <w:rStyle w:val="FootnoteReference"/>
          <w:rFonts w:eastAsia="Arial Unicode MS"/>
          <w:noProof/>
          <w:lang w:val="en-IE"/>
        </w:rPr>
        <w:footnoteReference w:id="13"/>
      </w:r>
      <w:r w:rsidR="00EE1673" w:rsidRPr="007E0BB9">
        <w:rPr>
          <w:rFonts w:eastAsia="Arial Unicode MS"/>
          <w:noProof/>
          <w:lang w:val="en-IE"/>
        </w:rPr>
        <w:t xml:space="preserve">. </w:t>
      </w:r>
      <w:r w:rsidR="00963871">
        <w:rPr>
          <w:rFonts w:eastAsia="Arial Unicode MS"/>
          <w:noProof/>
          <w:lang w:val="en-IE"/>
        </w:rPr>
        <w:t>Three</w:t>
      </w:r>
      <w:r w:rsidR="00EE1673" w:rsidRPr="007E0BB9">
        <w:rPr>
          <w:rFonts w:eastAsia="Arial Unicode MS"/>
          <w:noProof/>
          <w:lang w:val="en-IE"/>
        </w:rPr>
        <w:t xml:space="preserve"> international agreements </w:t>
      </w:r>
      <w:r w:rsidR="00963871" w:rsidRPr="007E0BB9">
        <w:rPr>
          <w:rFonts w:eastAsia="Arial Unicode MS"/>
          <w:noProof/>
          <w:lang w:val="en-IE"/>
        </w:rPr>
        <w:t>which cover the transfer and processing of PNR data from the EU</w:t>
      </w:r>
      <w:r w:rsidR="00963871">
        <w:rPr>
          <w:rFonts w:eastAsia="Arial Unicode MS"/>
          <w:noProof/>
          <w:lang w:val="en-IE"/>
        </w:rPr>
        <w:t xml:space="preserve"> are currently </w:t>
      </w:r>
      <w:r w:rsidR="00EE1673" w:rsidRPr="007E0BB9">
        <w:rPr>
          <w:rFonts w:eastAsia="Arial Unicode MS"/>
          <w:noProof/>
          <w:lang w:val="en-IE"/>
        </w:rPr>
        <w:t>in force between the EU and third countries</w:t>
      </w:r>
      <w:r w:rsidR="00963871">
        <w:rPr>
          <w:rFonts w:eastAsia="Arial Unicode MS"/>
          <w:noProof/>
          <w:lang w:val="en-IE"/>
        </w:rPr>
        <w:t>: with</w:t>
      </w:r>
      <w:r w:rsidR="00EE1673">
        <w:rPr>
          <w:rFonts w:eastAsia="Arial Unicode MS"/>
          <w:noProof/>
          <w:lang w:val="en-IE"/>
        </w:rPr>
        <w:t xml:space="preserve"> </w:t>
      </w:r>
      <w:r w:rsidR="00EE1673" w:rsidRPr="007E0BB9">
        <w:rPr>
          <w:rFonts w:eastAsia="Arial Unicode MS"/>
          <w:noProof/>
          <w:lang w:val="en-IE"/>
        </w:rPr>
        <w:t>Australia</w:t>
      </w:r>
      <w:r w:rsidR="00EE1673">
        <w:rPr>
          <w:rStyle w:val="FootnoteReference"/>
          <w:rFonts w:eastAsia="Arial Unicode MS"/>
          <w:noProof/>
          <w:lang w:val="en-IE"/>
        </w:rPr>
        <w:footnoteReference w:id="14"/>
      </w:r>
      <w:r w:rsidR="00EE1673" w:rsidRPr="007E0BB9">
        <w:rPr>
          <w:rFonts w:eastAsia="Arial Unicode MS"/>
          <w:noProof/>
          <w:lang w:val="en-IE"/>
        </w:rPr>
        <w:t>, the United States</w:t>
      </w:r>
      <w:r w:rsidR="00EE1673">
        <w:rPr>
          <w:rStyle w:val="FootnoteReference"/>
          <w:rFonts w:eastAsia="Arial Unicode MS"/>
          <w:noProof/>
          <w:lang w:val="en-IE"/>
        </w:rPr>
        <w:footnoteReference w:id="15"/>
      </w:r>
      <w:r w:rsidR="00EE1673" w:rsidRPr="007E0BB9">
        <w:rPr>
          <w:rFonts w:eastAsia="Arial Unicode MS"/>
          <w:noProof/>
          <w:lang w:val="en-IE"/>
        </w:rPr>
        <w:t xml:space="preserve"> (2012) and the United Kingdom</w:t>
      </w:r>
      <w:r w:rsidR="00EE1673">
        <w:rPr>
          <w:rStyle w:val="FootnoteReference"/>
          <w:rFonts w:eastAsia="Arial Unicode MS"/>
          <w:noProof/>
          <w:lang w:val="en-IE"/>
        </w:rPr>
        <w:footnoteReference w:id="16"/>
      </w:r>
      <w:r w:rsidR="00EE1673" w:rsidRPr="007E0BB9">
        <w:rPr>
          <w:rFonts w:eastAsia="Arial Unicode MS"/>
          <w:noProof/>
          <w:lang w:val="en-IE"/>
        </w:rPr>
        <w:t xml:space="preserve"> (2020). </w:t>
      </w:r>
      <w:r w:rsidR="00EE1673">
        <w:rPr>
          <w:rFonts w:eastAsia="Arial Unicode MS"/>
          <w:noProof/>
          <w:lang w:val="en-IE"/>
        </w:rPr>
        <w:t xml:space="preserve">After negotiations which followed up on </w:t>
      </w:r>
      <w:r w:rsidR="00EE1673" w:rsidRPr="007E0BB9">
        <w:rPr>
          <w:rFonts w:eastAsia="Arial Unicode MS"/>
          <w:noProof/>
          <w:lang w:val="en-IE"/>
        </w:rPr>
        <w:t>Opinion</w:t>
      </w:r>
      <w:r w:rsidR="00EE1673">
        <w:rPr>
          <w:rFonts w:eastAsia="Arial Unicode MS"/>
          <w:noProof/>
          <w:lang w:val="en-IE"/>
        </w:rPr>
        <w:t xml:space="preserve"> 1/15 of the CJEU of 26 July</w:t>
      </w:r>
      <w:r w:rsidR="008158D5">
        <w:rPr>
          <w:rFonts w:eastAsia="Arial Unicode MS"/>
          <w:noProof/>
          <w:lang w:val="en-IE"/>
        </w:rPr>
        <w:t xml:space="preserve"> </w:t>
      </w:r>
      <w:r w:rsidR="00EE1673" w:rsidRPr="007E0BB9">
        <w:rPr>
          <w:rFonts w:eastAsia="Arial Unicode MS"/>
          <w:noProof/>
          <w:lang w:val="en-IE"/>
        </w:rPr>
        <w:t>2017</w:t>
      </w:r>
      <w:r w:rsidR="00EE1673">
        <w:rPr>
          <w:rFonts w:eastAsia="Arial Unicode MS"/>
          <w:noProof/>
          <w:lang w:val="en-IE"/>
        </w:rPr>
        <w:t>,</w:t>
      </w:r>
      <w:r w:rsidR="00EE1673">
        <w:rPr>
          <w:rStyle w:val="FootnoteReference"/>
          <w:rFonts w:eastAsia="Arial Unicode MS"/>
          <w:noProof/>
          <w:lang w:val="en-IE"/>
        </w:rPr>
        <w:footnoteReference w:id="17"/>
      </w:r>
      <w:r w:rsidR="00EE1673" w:rsidRPr="007E0BB9">
        <w:rPr>
          <w:rFonts w:eastAsia="Arial Unicode MS"/>
          <w:noProof/>
          <w:lang w:val="en-IE"/>
        </w:rPr>
        <w:t xml:space="preserve"> </w:t>
      </w:r>
      <w:r w:rsidR="00EE1673">
        <w:rPr>
          <w:rFonts w:eastAsia="Arial Unicode MS"/>
          <w:noProof/>
          <w:lang w:val="en-IE"/>
        </w:rPr>
        <w:t xml:space="preserve">a new PNR Agreement </w:t>
      </w:r>
      <w:r w:rsidRPr="1C2F75A9">
        <w:rPr>
          <w:rFonts w:eastAsia="Arial Unicode MS"/>
          <w:noProof/>
          <w:lang w:val="en-IE"/>
        </w:rPr>
        <w:t>with Canada</w:t>
      </w:r>
      <w:r w:rsidR="20403E79" w:rsidRPr="1C2F75A9">
        <w:rPr>
          <w:rFonts w:eastAsia="Arial Unicode MS"/>
          <w:noProof/>
          <w:lang w:val="en-IE"/>
        </w:rPr>
        <w:t xml:space="preserve"> was signed on 4 October 2024</w:t>
      </w:r>
      <w:r w:rsidR="00EE1673">
        <w:rPr>
          <w:rStyle w:val="FootnoteReference"/>
          <w:rFonts w:eastAsia="Arial Unicode MS"/>
          <w:noProof/>
          <w:lang w:val="en-IE"/>
        </w:rPr>
        <w:footnoteReference w:id="18"/>
      </w:r>
      <w:r w:rsidR="00495CE0">
        <w:rPr>
          <w:rFonts w:eastAsia="Arial Unicode MS"/>
          <w:noProof/>
          <w:lang w:val="en-IE"/>
        </w:rPr>
        <w:t>.</w:t>
      </w:r>
      <w:r w:rsidRPr="1C2F75A9">
        <w:rPr>
          <w:rFonts w:eastAsia="Arial Unicode MS"/>
          <w:noProof/>
          <w:lang w:val="en-IE"/>
        </w:rPr>
        <w:t xml:space="preserve"> </w:t>
      </w:r>
      <w:r w:rsidR="09C68B6E" w:rsidRPr="1C2F75A9">
        <w:rPr>
          <w:rFonts w:eastAsia="Arial Unicode MS"/>
          <w:noProof/>
          <w:lang w:val="en-IE"/>
        </w:rPr>
        <w:t xml:space="preserve">Subsequently, PNR Agreements were also signed with </w:t>
      </w:r>
      <w:r w:rsidRPr="1C2F75A9">
        <w:rPr>
          <w:rFonts w:eastAsia="Arial Unicode MS"/>
          <w:noProof/>
          <w:lang w:val="en-IE"/>
        </w:rPr>
        <w:t>Norway</w:t>
      </w:r>
      <w:r w:rsidR="00D8243F">
        <w:rPr>
          <w:rFonts w:eastAsia="Arial Unicode MS"/>
          <w:noProof/>
          <w:lang w:val="en-IE"/>
        </w:rPr>
        <w:t xml:space="preserve"> (2025)</w:t>
      </w:r>
      <w:r w:rsidR="00D8243F" w:rsidRPr="00D8243F">
        <w:rPr>
          <w:rStyle w:val="FootnoteReference"/>
          <w:rFonts w:eastAsia="Arial Unicode MS"/>
          <w:noProof/>
          <w:lang w:val="en-IE"/>
        </w:rPr>
        <w:t xml:space="preserve"> </w:t>
      </w:r>
      <w:r w:rsidR="00D8243F">
        <w:rPr>
          <w:rStyle w:val="FootnoteReference"/>
          <w:rFonts w:eastAsia="Arial Unicode MS"/>
          <w:noProof/>
          <w:lang w:val="en-IE"/>
        </w:rPr>
        <w:footnoteReference w:id="19"/>
      </w:r>
      <w:r w:rsidRPr="1C2F75A9">
        <w:rPr>
          <w:rFonts w:eastAsia="Arial Unicode MS"/>
          <w:noProof/>
          <w:lang w:val="en-IE"/>
        </w:rPr>
        <w:t>, Iceland</w:t>
      </w:r>
      <w:r w:rsidR="00D8243F">
        <w:rPr>
          <w:rFonts w:eastAsia="Arial Unicode MS"/>
          <w:noProof/>
          <w:lang w:val="en-IE"/>
        </w:rPr>
        <w:t>(2025)</w:t>
      </w:r>
      <w:r w:rsidR="00D8243F" w:rsidRPr="00D8243F">
        <w:rPr>
          <w:rStyle w:val="FootnoteReference"/>
          <w:rFonts w:eastAsia="Arial Unicode MS"/>
          <w:noProof/>
          <w:lang w:val="en-IE"/>
        </w:rPr>
        <w:t xml:space="preserve"> </w:t>
      </w:r>
      <w:r w:rsidR="00D8243F">
        <w:rPr>
          <w:rStyle w:val="FootnoteReference"/>
          <w:rFonts w:eastAsia="Arial Unicode MS"/>
          <w:noProof/>
          <w:lang w:val="en-IE"/>
        </w:rPr>
        <w:footnoteReference w:id="20"/>
      </w:r>
      <w:r w:rsidRPr="1C2F75A9">
        <w:rPr>
          <w:rFonts w:eastAsia="Arial Unicode MS"/>
          <w:noProof/>
          <w:lang w:val="en-IE"/>
        </w:rPr>
        <w:t xml:space="preserve"> and Switzerland</w:t>
      </w:r>
      <w:r w:rsidR="00D8243F">
        <w:rPr>
          <w:rFonts w:eastAsia="Arial Unicode MS"/>
          <w:noProof/>
          <w:lang w:val="en-IE"/>
        </w:rPr>
        <w:t xml:space="preserve"> (2026)</w:t>
      </w:r>
      <w:r w:rsidR="00D8243F" w:rsidRPr="00D8243F">
        <w:rPr>
          <w:rStyle w:val="FootnoteReference"/>
          <w:rFonts w:eastAsia="Arial Unicode MS"/>
          <w:noProof/>
          <w:lang w:val="en-IE"/>
        </w:rPr>
        <w:t xml:space="preserve"> </w:t>
      </w:r>
      <w:r w:rsidR="00D8243F">
        <w:rPr>
          <w:rStyle w:val="FootnoteReference"/>
          <w:rFonts w:eastAsia="Arial Unicode MS"/>
          <w:noProof/>
          <w:lang w:val="en-IE"/>
        </w:rPr>
        <w:footnoteReference w:id="21"/>
      </w:r>
      <w:r w:rsidRPr="1C2F75A9">
        <w:rPr>
          <w:rFonts w:eastAsia="Arial Unicode MS"/>
          <w:noProof/>
          <w:lang w:val="en-IE"/>
        </w:rPr>
        <w:t>.</w:t>
      </w:r>
    </w:p>
    <w:p w14:paraId="7344649F" w14:textId="77777777" w:rsidR="00EE1673" w:rsidRPr="007E0BB9" w:rsidRDefault="00EE1673" w:rsidP="00EE1673">
      <w:pPr>
        <w:pBdr>
          <w:top w:val="nil"/>
          <w:left w:val="nil"/>
          <w:bottom w:val="nil"/>
          <w:right w:val="nil"/>
          <w:between w:val="nil"/>
          <w:bar w:val="nil"/>
        </w:pBdr>
        <w:spacing w:before="0" w:after="240"/>
        <w:rPr>
          <w:rFonts w:eastAsia="Arial Unicode MS"/>
          <w:noProof/>
          <w:lang w:val="en-IE"/>
        </w:rPr>
      </w:pPr>
      <w:r w:rsidRPr="007E0BB9">
        <w:rPr>
          <w:rFonts w:eastAsia="Arial Unicode MS"/>
          <w:noProof/>
          <w:lang w:val="en-IE"/>
        </w:rPr>
        <w:t>At international level, an increasing number of third countries have started developing their capabilities to collect PNR data from air carriers. This trend is further prompted by Resolutions adopted by United Nations Security Council (in 2017 and 2019), requiring all States to develop the capability to collect and use PNR data</w:t>
      </w:r>
      <w:r>
        <w:rPr>
          <w:rStyle w:val="FootnoteReference"/>
          <w:rFonts w:eastAsia="Arial Unicode MS"/>
          <w:noProof/>
          <w:lang w:val="en-IE"/>
        </w:rPr>
        <w:footnoteReference w:id="22"/>
      </w:r>
      <w:r w:rsidRPr="007E0BB9">
        <w:rPr>
          <w:rFonts w:eastAsia="Arial Unicode MS"/>
          <w:noProof/>
          <w:lang w:val="en-IE"/>
        </w:rPr>
        <w:t>, based on which Standards and Recommended Practices on PNR (SARPs) were adopted by the International Civil Aviation Organization (ICAO) in 2020, by means of Amendment 28 to Annex 9 to the Chicago Convention which became applicable in February 2021.</w:t>
      </w:r>
      <w:r>
        <w:rPr>
          <w:rStyle w:val="FootnoteReference"/>
          <w:rFonts w:eastAsia="Arial Unicode MS"/>
          <w:noProof/>
          <w:lang w:val="en-IE"/>
        </w:rPr>
        <w:footnoteReference w:id="23"/>
      </w:r>
    </w:p>
    <w:p w14:paraId="21D5299D" w14:textId="2481C22F" w:rsidR="00EE1673" w:rsidRDefault="00EE1673" w:rsidP="00EE1673">
      <w:pPr>
        <w:pBdr>
          <w:top w:val="nil"/>
          <w:left w:val="nil"/>
          <w:bottom w:val="nil"/>
          <w:right w:val="nil"/>
          <w:between w:val="nil"/>
          <w:bar w:val="nil"/>
        </w:pBdr>
        <w:spacing w:before="0" w:after="240"/>
        <w:rPr>
          <w:rFonts w:eastAsia="Arial Unicode MS"/>
          <w:noProof/>
          <w:lang w:val="en-IE"/>
        </w:rPr>
      </w:pPr>
      <w:r w:rsidRPr="007E0BB9">
        <w:rPr>
          <w:rFonts w:eastAsia="Arial Unicode MS"/>
          <w:noProof/>
          <w:lang w:val="en-IE"/>
        </w:rPr>
        <w:t xml:space="preserve">The </w:t>
      </w:r>
      <w:r w:rsidR="00963871">
        <w:rPr>
          <w:rFonts w:eastAsia="Arial Unicode MS"/>
          <w:noProof/>
          <w:lang w:val="en-IE"/>
        </w:rPr>
        <w:t>EU</w:t>
      </w:r>
      <w:r w:rsidRPr="007E0BB9">
        <w:rPr>
          <w:rFonts w:eastAsia="Arial Unicode MS"/>
          <w:noProof/>
          <w:lang w:val="en-IE"/>
        </w:rPr>
        <w:t xml:space="preserve"> position, as established by Council Decision (EU) 2021/121, welcomes the ICAO SARPs on PNR as laying down ambitious safeguards on data protection and therewith allowing significant progress to be made at international level. At the same time, this Council Decision considered, by means of requiring Member States to register a difference, that the requirements resulting from Union law (including relevant case-law), are </w:t>
      </w:r>
      <w:r w:rsidRPr="007E0BB9">
        <w:rPr>
          <w:rFonts w:eastAsia="Arial Unicode MS"/>
          <w:i/>
          <w:iCs/>
          <w:noProof/>
          <w:lang w:val="en-IE"/>
        </w:rPr>
        <w:t xml:space="preserve">more exacting </w:t>
      </w:r>
      <w:r w:rsidRPr="007E0BB9">
        <w:rPr>
          <w:rFonts w:eastAsia="Arial Unicode MS"/>
          <w:noProof/>
          <w:lang w:val="en-IE"/>
        </w:rPr>
        <w:t>than certain ICAO Standards, and that transfers from the EU to third countries require a legal basis establishing clear and precise rules and safeguards in relation to the use of PNR data by competent authorities of a third country</w:t>
      </w:r>
      <w:r>
        <w:rPr>
          <w:rStyle w:val="FootnoteReference"/>
          <w:rFonts w:eastAsia="Arial Unicode MS"/>
          <w:noProof/>
          <w:lang w:val="en-IE"/>
        </w:rPr>
        <w:footnoteReference w:id="24"/>
      </w:r>
      <w:r w:rsidRPr="007E0BB9">
        <w:rPr>
          <w:rFonts w:eastAsia="Arial Unicode MS"/>
          <w:noProof/>
          <w:lang w:val="en-IE"/>
        </w:rPr>
        <w:t>.</w:t>
      </w:r>
    </w:p>
    <w:p w14:paraId="09AA3DA3" w14:textId="77777777" w:rsidR="00EE1673" w:rsidRDefault="00EE1673" w:rsidP="00EE1673">
      <w:pPr>
        <w:pBdr>
          <w:top w:val="nil"/>
          <w:left w:val="nil"/>
          <w:bottom w:val="nil"/>
          <w:right w:val="nil"/>
          <w:between w:val="nil"/>
          <w:bar w:val="nil"/>
        </w:pBdr>
        <w:spacing w:before="0" w:after="240"/>
        <w:rPr>
          <w:rFonts w:eastAsia="Arial Unicode MS"/>
          <w:noProof/>
          <w:lang w:val="en-IE"/>
        </w:rPr>
      </w:pPr>
      <w:r w:rsidRPr="00521A5E">
        <w:rPr>
          <w:rFonts w:eastAsia="Arial Unicode MS"/>
          <w:noProof/>
          <w:lang w:val="en-IE"/>
        </w:rPr>
        <w:t xml:space="preserve">In this context, </w:t>
      </w:r>
      <w:r>
        <w:rPr>
          <w:rFonts w:eastAsia="Arial Unicode MS"/>
          <w:noProof/>
          <w:lang w:val="en-IE"/>
        </w:rPr>
        <w:t xml:space="preserve">the negotiation and conclusion of this Agreement </w:t>
      </w:r>
      <w:r w:rsidRPr="00521A5E">
        <w:rPr>
          <w:rFonts w:eastAsia="Arial Unicode MS"/>
          <w:noProof/>
          <w:lang w:val="en-IE"/>
        </w:rPr>
        <w:t>constitutes part of a broader effort of the Commission to pursue a consistent and effective approach regarding the transfer of PNR data to third countries, as announced in the Security Union Strategy 2020-2025</w:t>
      </w:r>
      <w:r>
        <w:rPr>
          <w:rStyle w:val="FootnoteReference"/>
          <w:rFonts w:eastAsia="Arial Unicode MS"/>
          <w:noProof/>
          <w:lang w:val="en-IE"/>
        </w:rPr>
        <w:footnoteReference w:id="25"/>
      </w:r>
      <w:r w:rsidRPr="00521A5E">
        <w:rPr>
          <w:rFonts w:eastAsia="Arial Unicode MS"/>
          <w:noProof/>
          <w:lang w:val="en-IE"/>
        </w:rPr>
        <w:t>, building on the ICAO SARPs on PNR, and in line with the Union law and case-law. Such an approach was also requested by the Council with its Conclusions of June 2021</w:t>
      </w:r>
      <w:r>
        <w:rPr>
          <w:rStyle w:val="FootnoteReference"/>
          <w:rFonts w:eastAsia="Arial Unicode MS"/>
          <w:noProof/>
          <w:lang w:val="en-IE"/>
        </w:rPr>
        <w:footnoteReference w:id="26"/>
      </w:r>
      <w:r w:rsidRPr="00521A5E">
        <w:rPr>
          <w:rFonts w:eastAsia="Arial Unicode MS"/>
          <w:noProof/>
          <w:lang w:val="en-IE"/>
        </w:rPr>
        <w:t xml:space="preserve">. </w:t>
      </w:r>
    </w:p>
    <w:p w14:paraId="630B4245" w14:textId="3CDA7342" w:rsidR="00EE1673" w:rsidRPr="00521A5E" w:rsidRDefault="00EE1673" w:rsidP="00EE1673">
      <w:pPr>
        <w:pBdr>
          <w:top w:val="nil"/>
          <w:left w:val="nil"/>
          <w:bottom w:val="nil"/>
          <w:right w:val="nil"/>
          <w:between w:val="nil"/>
          <w:bar w:val="nil"/>
        </w:pBdr>
        <w:spacing w:before="0" w:after="240"/>
        <w:rPr>
          <w:rFonts w:eastAsia="Arial Unicode MS"/>
          <w:noProof/>
          <w:lang w:val="en-IE"/>
        </w:rPr>
      </w:pPr>
      <w:r w:rsidRPr="00521A5E">
        <w:rPr>
          <w:rFonts w:eastAsia="Arial Unicode MS"/>
          <w:noProof/>
          <w:lang w:val="en-IE"/>
        </w:rPr>
        <w:t>Herewith, the Commission also seeks to respond to calls from air carriers to ensure more legal clarity and foreseeability on PNR transfers to third countries.</w:t>
      </w:r>
      <w:r>
        <w:rPr>
          <w:rFonts w:eastAsia="Arial Unicode MS"/>
          <w:noProof/>
          <w:lang w:val="en-IE"/>
        </w:rPr>
        <w:t xml:space="preserve"> </w:t>
      </w:r>
    </w:p>
    <w:p w14:paraId="41FA49C7" w14:textId="77777777" w:rsidR="00EE1673" w:rsidRPr="002D5EE2" w:rsidRDefault="00EE1673" w:rsidP="00EE1673">
      <w:pPr>
        <w:pStyle w:val="ManualHeading1"/>
        <w:rPr>
          <w:noProof/>
        </w:rPr>
      </w:pPr>
      <w:r w:rsidRPr="002D5EE2">
        <w:rPr>
          <w:noProof/>
        </w:rPr>
        <w:t>2.</w:t>
      </w:r>
      <w:r w:rsidRPr="002D5EE2">
        <w:rPr>
          <w:noProof/>
        </w:rPr>
        <w:tab/>
        <w:t>LEGAL BASIS, SUBSIDIARITY AND PROPORTIONALITY</w:t>
      </w:r>
    </w:p>
    <w:p w14:paraId="39ED22AC" w14:textId="7FE5397A" w:rsidR="00EE1673" w:rsidRPr="002D5EE2" w:rsidRDefault="00EE1673" w:rsidP="00EE1673">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r>
      <w:r w:rsidR="002B0A52">
        <w:rPr>
          <w:rFonts w:eastAsia="Arial Unicode MS"/>
          <w:noProof/>
          <w:u w:color="000000"/>
          <w:bdr w:val="nil"/>
          <w:lang w:val="en-US" w:eastAsia="en-GB"/>
        </w:rPr>
        <w:t>Procedural l</w:t>
      </w:r>
      <w:r w:rsidRPr="002D5EE2">
        <w:rPr>
          <w:rFonts w:eastAsia="Arial Unicode MS"/>
          <w:noProof/>
          <w:u w:color="000000"/>
          <w:bdr w:val="nil"/>
          <w:lang w:val="en-US" w:eastAsia="en-GB"/>
        </w:rPr>
        <w:t>egal basis</w:t>
      </w:r>
    </w:p>
    <w:p w14:paraId="59B1BB03" w14:textId="77777777" w:rsidR="00F513FE" w:rsidRPr="00F513FE" w:rsidRDefault="00F513FE" w:rsidP="00F513FE">
      <w:pPr>
        <w:pBdr>
          <w:top w:val="nil"/>
          <w:left w:val="nil"/>
          <w:bottom w:val="nil"/>
          <w:right w:val="nil"/>
          <w:between w:val="nil"/>
          <w:bar w:val="nil"/>
        </w:pBdr>
        <w:spacing w:before="0" w:after="240"/>
        <w:rPr>
          <w:rFonts w:eastAsia="Arial Unicode MS"/>
          <w:noProof/>
          <w:lang w:val="en-IE"/>
        </w:rPr>
      </w:pPr>
      <w:r w:rsidRPr="00F513FE">
        <w:rPr>
          <w:rFonts w:eastAsia="Arial Unicode MS"/>
          <w:noProof/>
          <w:lang w:val="en-IE"/>
        </w:rPr>
        <w:t>In accordance to Article 218(6) of the Treaty on the Functioning of the European Union (TFEU), where the agreement relates to matters outside of the common foreign and security policy (CFSP), the Commission shall submit a proposal to the Council. The Council shall adopt a decision concluding the agreement.</w:t>
      </w:r>
    </w:p>
    <w:p w14:paraId="1D9E65AC" w14:textId="15153B07" w:rsidR="00EE49A6" w:rsidRDefault="00F513FE" w:rsidP="00F513FE">
      <w:pPr>
        <w:pBdr>
          <w:top w:val="nil"/>
          <w:left w:val="nil"/>
          <w:bottom w:val="nil"/>
          <w:right w:val="nil"/>
          <w:between w:val="nil"/>
          <w:bar w:val="nil"/>
        </w:pBdr>
        <w:spacing w:before="0" w:after="240"/>
        <w:rPr>
          <w:rFonts w:eastAsia="Arial Unicode MS"/>
          <w:noProof/>
          <w:lang w:val="en-IE"/>
        </w:rPr>
      </w:pPr>
      <w:r w:rsidRPr="00F513FE">
        <w:rPr>
          <w:rFonts w:eastAsia="Arial Unicode MS"/>
          <w:noProof/>
          <w:lang w:val="en-IE"/>
        </w:rPr>
        <w:t>Pursuant to Article 218(6) TFEU, where the agreement does not relate exclusively to the CFSP, the Council can only take the decision concluding the agreement either after obtaining the consent of the European Parliament (Article 218(6)(a) TFEU), or after consulting it (Article 218(6)(b) TFEU).</w:t>
      </w:r>
    </w:p>
    <w:p w14:paraId="7CA3935D" w14:textId="53A90834" w:rsidR="00F513FE" w:rsidRPr="00F513FE" w:rsidRDefault="00F513FE" w:rsidP="00F513FE">
      <w:pPr>
        <w:pBdr>
          <w:top w:val="nil"/>
          <w:left w:val="nil"/>
          <w:bottom w:val="nil"/>
          <w:right w:val="nil"/>
          <w:between w:val="nil"/>
          <w:bar w:val="nil"/>
        </w:pBdr>
        <w:spacing w:before="0" w:after="240"/>
        <w:rPr>
          <w:rFonts w:eastAsia="Arial Unicode MS"/>
          <w:noProof/>
        </w:rPr>
      </w:pPr>
      <w:r w:rsidRPr="00F513FE">
        <w:rPr>
          <w:rFonts w:eastAsia="Arial Unicode MS"/>
          <w:noProof/>
        </w:rPr>
        <w:t xml:space="preserve">Given the substantive legal </w:t>
      </w:r>
      <w:r w:rsidR="006A156E" w:rsidRPr="00F513FE">
        <w:rPr>
          <w:rFonts w:eastAsia="Arial Unicode MS"/>
          <w:noProof/>
        </w:rPr>
        <w:t>bas</w:t>
      </w:r>
      <w:r w:rsidR="006A156E">
        <w:rPr>
          <w:rFonts w:eastAsia="Arial Unicode MS"/>
          <w:noProof/>
        </w:rPr>
        <w:t>i</w:t>
      </w:r>
      <w:r w:rsidR="006A156E" w:rsidRPr="00F513FE">
        <w:rPr>
          <w:rFonts w:eastAsia="Arial Unicode MS"/>
          <w:noProof/>
        </w:rPr>
        <w:t>s</w:t>
      </w:r>
      <w:r w:rsidRPr="00F513FE">
        <w:rPr>
          <w:rFonts w:eastAsia="Arial Unicode MS"/>
          <w:noProof/>
        </w:rPr>
        <w:t>, the Council is to adopt the decision concluding the agreement after obtaining the consent of the European Parliament.</w:t>
      </w:r>
    </w:p>
    <w:p w14:paraId="2A594F7F" w14:textId="77777777" w:rsidR="00F513FE" w:rsidRPr="00F513FE" w:rsidRDefault="00F513FE" w:rsidP="00F513FE">
      <w:pPr>
        <w:pBdr>
          <w:top w:val="nil"/>
          <w:left w:val="nil"/>
          <w:bottom w:val="nil"/>
          <w:right w:val="nil"/>
          <w:between w:val="nil"/>
          <w:bar w:val="nil"/>
        </w:pBdr>
        <w:spacing w:before="0" w:after="240"/>
        <w:rPr>
          <w:rFonts w:eastAsia="Arial Unicode MS"/>
          <w:noProof/>
        </w:rPr>
      </w:pPr>
      <w:r w:rsidRPr="00F513FE">
        <w:rPr>
          <w:rFonts w:eastAsia="Arial Unicode MS"/>
          <w:noProof/>
        </w:rPr>
        <w:t>Therefore, the procedural legal basis for the proposed decision on concluding the agreement is Article 218(6), second subparagraph, point (a) TFEU.</w:t>
      </w:r>
    </w:p>
    <w:p w14:paraId="6E242DE7" w14:textId="2A60295D" w:rsidR="002B0A52" w:rsidRPr="002D5EE2" w:rsidRDefault="002B0A52" w:rsidP="002B0A52">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r>
      <w:r w:rsidR="006A156E">
        <w:rPr>
          <w:rFonts w:eastAsia="Arial Unicode MS"/>
          <w:noProof/>
          <w:u w:color="000000"/>
          <w:bdr w:val="nil"/>
          <w:lang w:val="en-US" w:eastAsia="en-GB"/>
        </w:rPr>
        <w:t>Substantive</w:t>
      </w:r>
      <w:r>
        <w:rPr>
          <w:rFonts w:eastAsia="Arial Unicode MS"/>
          <w:noProof/>
          <w:u w:color="000000"/>
          <w:bdr w:val="nil"/>
          <w:lang w:val="en-US" w:eastAsia="en-GB"/>
        </w:rPr>
        <w:t xml:space="preserve"> l</w:t>
      </w:r>
      <w:r w:rsidRPr="002D5EE2">
        <w:rPr>
          <w:rFonts w:eastAsia="Arial Unicode MS"/>
          <w:noProof/>
          <w:u w:color="000000"/>
          <w:bdr w:val="nil"/>
          <w:lang w:val="en-US" w:eastAsia="en-GB"/>
        </w:rPr>
        <w:t>egal basis</w:t>
      </w:r>
    </w:p>
    <w:p w14:paraId="4CB77BF2" w14:textId="360FF9FD" w:rsidR="00F513FE" w:rsidRPr="00432667" w:rsidRDefault="00F513FE" w:rsidP="00F513FE">
      <w:pPr>
        <w:pBdr>
          <w:top w:val="nil"/>
          <w:left w:val="nil"/>
          <w:bottom w:val="nil"/>
          <w:right w:val="nil"/>
          <w:between w:val="nil"/>
          <w:bar w:val="nil"/>
        </w:pBdr>
        <w:spacing w:before="0" w:after="240"/>
        <w:rPr>
          <w:rFonts w:eastAsia="Arial Unicode MS"/>
          <w:noProof/>
        </w:rPr>
      </w:pPr>
      <w:r w:rsidRPr="00F513FE">
        <w:rPr>
          <w:rFonts w:eastAsia="Arial Unicode MS"/>
          <w:noProof/>
        </w:rPr>
        <w:t xml:space="preserve">The proposal has two main aims and components, one relating to the necessity of ensuring public security by means of the transfer of PNR data to </w:t>
      </w:r>
      <w:r>
        <w:rPr>
          <w:rFonts w:eastAsia="Arial Unicode MS"/>
          <w:noProof/>
        </w:rPr>
        <w:t>the Republic of Korea</w:t>
      </w:r>
      <w:r w:rsidRPr="00F513FE">
        <w:rPr>
          <w:rFonts w:eastAsia="Arial Unicode MS"/>
          <w:noProof/>
        </w:rPr>
        <w:t xml:space="preserve"> and the other </w:t>
      </w:r>
      <w:r w:rsidR="008158D5">
        <w:rPr>
          <w:rFonts w:eastAsia="Arial Unicode MS"/>
          <w:noProof/>
        </w:rPr>
        <w:t>concerning</w:t>
      </w:r>
      <w:r w:rsidRPr="00F513FE">
        <w:rPr>
          <w:rFonts w:eastAsia="Arial Unicode MS"/>
          <w:noProof/>
        </w:rPr>
        <w:t xml:space="preserve"> the protection of privacy and other fundamental rights and freedoms of individuals. Thus, the substantive legal basis is Article 16(2) and Article 87(2)(a) of the Treaty on the Functioning of the European Union.</w:t>
      </w:r>
    </w:p>
    <w:p w14:paraId="60AF4A21" w14:textId="77777777" w:rsidR="00EE1673" w:rsidRDefault="00EE1673" w:rsidP="00EE1673">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p>
    <w:p w14:paraId="3FBBBB3D" w14:textId="77777777" w:rsidR="00EE1673" w:rsidRPr="00044058" w:rsidRDefault="00EE1673" w:rsidP="00EE1673">
      <w:pPr>
        <w:pBdr>
          <w:top w:val="nil"/>
          <w:left w:val="nil"/>
          <w:bottom w:val="nil"/>
          <w:right w:val="nil"/>
          <w:between w:val="nil"/>
          <w:bar w:val="nil"/>
        </w:pBdr>
        <w:spacing w:before="0" w:after="240"/>
        <w:rPr>
          <w:rFonts w:eastAsia="Arial Unicode MS"/>
          <w:noProof/>
        </w:rPr>
      </w:pPr>
      <w:r w:rsidRPr="00432667">
        <w:rPr>
          <w:rFonts w:eastAsia="Arial Unicode MS"/>
          <w:noProof/>
        </w:rPr>
        <w:t>The Union’s objectives with regard to this proposal as set out above can only be achieved by establishing a valid legal basis at Union level to ensure that appropriate protection of fundamental rights is granted to personal data transfers from the Union. The provisions of the agreement are limited to what is necessary to achieve its main objectives and strike a fair balance between the legitimate objective to maintain public security and the right of everyone to enjoy the protection of their personal data and private life.</w:t>
      </w:r>
    </w:p>
    <w:p w14:paraId="200AF88A" w14:textId="77777777" w:rsidR="00EE1673" w:rsidRDefault="00EE1673" w:rsidP="00EE1673">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Choice of the instrument</w:t>
      </w:r>
    </w:p>
    <w:p w14:paraId="3623810B" w14:textId="77777777" w:rsidR="00915401" w:rsidRPr="00915401" w:rsidRDefault="00915401" w:rsidP="00915401">
      <w:pPr>
        <w:pBdr>
          <w:top w:val="nil"/>
          <w:left w:val="nil"/>
          <w:bottom w:val="nil"/>
          <w:right w:val="nil"/>
          <w:between w:val="nil"/>
          <w:bar w:val="nil"/>
        </w:pBdr>
        <w:spacing w:before="0" w:after="240"/>
        <w:rPr>
          <w:rFonts w:eastAsia="Arial Unicode MS"/>
          <w:noProof/>
          <w:lang w:val="en-IE"/>
        </w:rPr>
      </w:pPr>
      <w:r w:rsidRPr="00915401">
        <w:rPr>
          <w:rFonts w:eastAsia="Arial Unicode MS"/>
          <w:noProof/>
          <w:lang w:val="en-IE"/>
        </w:rPr>
        <w:t>This proposal for a Council decision is submitted in accordance with paragraph 6 of Article 218 TFEU, which envisages the adoption by the Council of a decision concluding the agreement. There exists no other legal instrument that could be used in order to achieve the objective expressed in this proposal.</w:t>
      </w:r>
    </w:p>
    <w:p w14:paraId="38BD5509" w14:textId="27A705B3" w:rsidR="00C23AAF" w:rsidRDefault="00915401" w:rsidP="00915401">
      <w:pPr>
        <w:pBdr>
          <w:top w:val="nil"/>
          <w:left w:val="nil"/>
          <w:bottom w:val="nil"/>
          <w:right w:val="nil"/>
          <w:between w:val="nil"/>
          <w:bar w:val="nil"/>
        </w:pBdr>
        <w:spacing w:before="0" w:after="240"/>
        <w:rPr>
          <w:rFonts w:eastAsia="Arial Unicode MS"/>
          <w:noProof/>
        </w:rPr>
      </w:pPr>
      <w:r w:rsidRPr="00915401">
        <w:rPr>
          <w:rFonts w:eastAsia="Arial Unicode MS"/>
          <w:noProof/>
          <w:lang w:val="en-IE"/>
        </w:rPr>
        <w:t xml:space="preserve">The appropriate safeguards required for the specific processing of PNR data received by </w:t>
      </w:r>
      <w:r w:rsidR="00605E39">
        <w:rPr>
          <w:rFonts w:eastAsia="Arial Unicode MS"/>
          <w:noProof/>
          <w:lang w:val="en-IE"/>
        </w:rPr>
        <w:t>the Republic of Korea</w:t>
      </w:r>
      <w:r w:rsidRPr="00915401">
        <w:rPr>
          <w:rFonts w:eastAsia="Arial Unicode MS"/>
          <w:noProof/>
          <w:lang w:val="en-IE"/>
        </w:rPr>
        <w:t xml:space="preserve"> from air carriers on flights operated by air carriers between the Union and </w:t>
      </w:r>
      <w:r w:rsidR="00605E39">
        <w:rPr>
          <w:rFonts w:eastAsia="Arial Unicode MS"/>
          <w:noProof/>
          <w:lang w:val="en-IE"/>
        </w:rPr>
        <w:t>the Republic of Korea</w:t>
      </w:r>
      <w:r w:rsidR="00605E39" w:rsidRPr="00915401">
        <w:rPr>
          <w:rFonts w:eastAsia="Arial Unicode MS"/>
          <w:noProof/>
          <w:lang w:val="en-IE"/>
        </w:rPr>
        <w:t xml:space="preserve"> </w:t>
      </w:r>
      <w:r w:rsidRPr="00915401">
        <w:rPr>
          <w:rFonts w:eastAsia="Arial Unicode MS"/>
          <w:noProof/>
          <w:lang w:val="en-IE"/>
        </w:rPr>
        <w:t>must be established by means of a valid legal basis under EU law. The present Agreement constitutes such legal basis enabling PNR data transfers.</w:t>
      </w:r>
    </w:p>
    <w:p w14:paraId="52741BD3" w14:textId="77777777" w:rsidR="00EE1673" w:rsidRDefault="00EE1673" w:rsidP="00C23AAF">
      <w:pPr>
        <w:pBdr>
          <w:top w:val="nil"/>
          <w:left w:val="nil"/>
          <w:bottom w:val="nil"/>
          <w:right w:val="nil"/>
          <w:between w:val="nil"/>
          <w:bar w:val="nil"/>
        </w:pBdr>
        <w:spacing w:before="0" w:after="240"/>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sidRPr="00C70482">
        <w:rPr>
          <w:rFonts w:eastAsia="Arial Unicode MS"/>
          <w:b/>
          <w:bCs/>
          <w:noProof/>
          <w:u w:color="000000"/>
          <w:bdr w:val="nil"/>
          <w:lang w:val="en-US" w:eastAsia="en-GB"/>
        </w:rPr>
        <w:t>Fundamental rights</w:t>
      </w:r>
    </w:p>
    <w:p w14:paraId="4B5C5A86" w14:textId="4D1758E7" w:rsidR="00EE1673" w:rsidRPr="00432667" w:rsidRDefault="00EE1673" w:rsidP="1C2F75A9">
      <w:pPr>
        <w:pBdr>
          <w:top w:val="nil"/>
          <w:left w:val="nil"/>
          <w:bottom w:val="nil"/>
          <w:right w:val="nil"/>
          <w:between w:val="nil"/>
          <w:bar w:val="nil"/>
        </w:pBdr>
        <w:spacing w:before="0" w:after="240"/>
        <w:rPr>
          <w:rFonts w:eastAsia="Arial Unicode MS"/>
          <w:noProof/>
        </w:rPr>
      </w:pPr>
      <w:r w:rsidRPr="1C2F75A9">
        <w:rPr>
          <w:rFonts w:eastAsia="Arial Unicode MS"/>
          <w:noProof/>
        </w:rPr>
        <w:t xml:space="preserve">The exchange of PNR data and its processing by the authorities of a third country constitutes an interference with the fundamental rights to privacy and data protection. However, such interference </w:t>
      </w:r>
      <w:r w:rsidR="00C82524" w:rsidRPr="1C2F75A9">
        <w:rPr>
          <w:rFonts w:eastAsia="Arial Unicode MS"/>
          <w:noProof/>
        </w:rPr>
        <w:t>i</w:t>
      </w:r>
      <w:r w:rsidR="008158D5">
        <w:rPr>
          <w:rFonts w:eastAsia="Arial Unicode MS"/>
          <w:noProof/>
        </w:rPr>
        <w:t>s</w:t>
      </w:r>
      <w:r w:rsidR="00C82524" w:rsidRPr="1C2F75A9">
        <w:rPr>
          <w:rFonts w:eastAsia="Arial Unicode MS"/>
          <w:noProof/>
        </w:rPr>
        <w:t xml:space="preserve"> justified, also because the Agreement pursues </w:t>
      </w:r>
      <w:r w:rsidRPr="1C2F75A9">
        <w:rPr>
          <w:rFonts w:eastAsia="Arial Unicode MS"/>
          <w:noProof/>
        </w:rPr>
        <w:t>legitimate</w:t>
      </w:r>
      <w:r w:rsidR="00C82524" w:rsidRPr="1C2F75A9">
        <w:rPr>
          <w:rFonts w:eastAsia="Arial Unicode MS"/>
          <w:noProof/>
        </w:rPr>
        <w:t xml:space="preserve"> objective</w:t>
      </w:r>
      <w:r w:rsidR="00737BEE" w:rsidRPr="1C2F75A9">
        <w:rPr>
          <w:rFonts w:eastAsia="Arial Unicode MS"/>
          <w:noProof/>
        </w:rPr>
        <w:t>s</w:t>
      </w:r>
      <w:r w:rsidRPr="1C2F75A9">
        <w:rPr>
          <w:rFonts w:eastAsia="Arial Unicode MS"/>
          <w:noProof/>
        </w:rPr>
        <w:t xml:space="preserve"> i.e. to prevent, detect, investigate and prosecute serious crime and terrorism. Th</w:t>
      </w:r>
      <w:r w:rsidR="00737BEE" w:rsidRPr="1C2F75A9">
        <w:rPr>
          <w:rFonts w:eastAsia="Arial Unicode MS"/>
          <w:noProof/>
        </w:rPr>
        <w:t>e Agreement includes appropriate</w:t>
      </w:r>
      <w:r w:rsidR="1268B0A7" w:rsidRPr="1C2F75A9">
        <w:rPr>
          <w:rFonts w:eastAsia="Arial Unicode MS"/>
          <w:noProof/>
        </w:rPr>
        <w:t xml:space="preserve"> </w:t>
      </w:r>
      <w:r w:rsidRPr="1C2F75A9">
        <w:rPr>
          <w:rFonts w:eastAsia="Arial Unicode MS"/>
          <w:noProof/>
        </w:rPr>
        <w:t>data protection safeguards to the personal data transferred and processed, in line with EU law, notably Articles 7, 8, 47 and 52 of the Charter of Fundamental Rights of the EU.</w:t>
      </w:r>
    </w:p>
    <w:p w14:paraId="31099D99" w14:textId="77777777" w:rsidR="00EE1673" w:rsidRDefault="00EC48A6" w:rsidP="00EE1673">
      <w:pPr>
        <w:pStyle w:val="ManualHeading1"/>
        <w:rPr>
          <w:noProof/>
        </w:rPr>
      </w:pPr>
      <w:r>
        <w:rPr>
          <w:noProof/>
        </w:rPr>
        <w:t>3</w:t>
      </w:r>
      <w:r w:rsidR="00EE1673" w:rsidRPr="00550536">
        <w:rPr>
          <w:noProof/>
        </w:rPr>
        <w:t>.</w:t>
      </w:r>
      <w:r w:rsidR="00EE1673" w:rsidRPr="00550536">
        <w:rPr>
          <w:noProof/>
        </w:rPr>
        <w:tab/>
        <w:t>BUDGETARY IMPLICATIONS</w:t>
      </w:r>
    </w:p>
    <w:p w14:paraId="58EFC508" w14:textId="77777777" w:rsidR="00EE1673" w:rsidRPr="00432667" w:rsidRDefault="00EE1673" w:rsidP="00EE1673">
      <w:pPr>
        <w:pBdr>
          <w:top w:val="nil"/>
          <w:left w:val="nil"/>
          <w:bottom w:val="nil"/>
          <w:right w:val="nil"/>
          <w:between w:val="nil"/>
          <w:bar w:val="nil"/>
        </w:pBdr>
        <w:spacing w:before="0" w:after="240"/>
        <w:rPr>
          <w:rFonts w:eastAsia="Arial Unicode MS"/>
          <w:noProof/>
        </w:rPr>
      </w:pPr>
      <w:r w:rsidRPr="00432667">
        <w:rPr>
          <w:rFonts w:eastAsia="Arial Unicode MS"/>
          <w:noProof/>
        </w:rPr>
        <w:t>There are no budgetary implications for the Union budget.</w:t>
      </w:r>
    </w:p>
    <w:p w14:paraId="0166A491" w14:textId="77777777" w:rsidR="00EE1673" w:rsidRPr="00550536" w:rsidRDefault="00EC48A6" w:rsidP="00EE1673">
      <w:pPr>
        <w:pStyle w:val="ManualHeading1"/>
        <w:rPr>
          <w:noProof/>
        </w:rPr>
      </w:pPr>
      <w:r>
        <w:rPr>
          <w:noProof/>
        </w:rPr>
        <w:t>4</w:t>
      </w:r>
      <w:r w:rsidR="00EE1673" w:rsidRPr="00550536">
        <w:rPr>
          <w:noProof/>
        </w:rPr>
        <w:t>.</w:t>
      </w:r>
      <w:r w:rsidR="00EE1673" w:rsidRPr="00550536">
        <w:rPr>
          <w:noProof/>
        </w:rPr>
        <w:tab/>
        <w:t>OTHER ELEMENTS</w:t>
      </w:r>
    </w:p>
    <w:p w14:paraId="59C40E4A" w14:textId="77777777" w:rsidR="00EE1673" w:rsidRDefault="00EE1673" w:rsidP="00EE1673">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 xml:space="preserve">Detailed explanation of </w:t>
      </w:r>
      <w:r>
        <w:rPr>
          <w:rFonts w:eastAsia="Arial Unicode MS"/>
          <w:noProof/>
          <w:u w:color="000000"/>
          <w:bdr w:val="nil"/>
          <w:lang w:val="en-US" w:eastAsia="en-GB"/>
        </w:rPr>
        <w:t xml:space="preserve">the </w:t>
      </w:r>
      <w:r w:rsidRPr="007718A8">
        <w:rPr>
          <w:rFonts w:eastAsia="Arial Unicode MS"/>
          <w:noProof/>
          <w:u w:color="000000"/>
          <w:bdr w:val="nil"/>
          <w:lang w:val="en-US" w:eastAsia="en-GB"/>
        </w:rPr>
        <w:t>specific provisions of the proposal</w:t>
      </w:r>
    </w:p>
    <w:p w14:paraId="51650EE4" w14:textId="6FF417A9" w:rsidR="00EE1673" w:rsidRDefault="00EE1673" w:rsidP="00EE1673">
      <w:pPr>
        <w:pBdr>
          <w:top w:val="nil"/>
          <w:left w:val="nil"/>
          <w:bottom w:val="nil"/>
          <w:right w:val="nil"/>
          <w:between w:val="nil"/>
          <w:bar w:val="nil"/>
        </w:pBdr>
        <w:spacing w:after="0"/>
        <w:rPr>
          <w:rFonts w:eastAsia="Arial Unicode MS"/>
          <w:noProof/>
          <w:lang w:val="en-IE"/>
        </w:rPr>
      </w:pPr>
      <w:r>
        <w:rPr>
          <w:rFonts w:eastAsia="Arial Unicode MS"/>
          <w:noProof/>
        </w:rPr>
        <w:t>T</w:t>
      </w:r>
      <w:r w:rsidRPr="00A1162F">
        <w:rPr>
          <w:rFonts w:eastAsia="Arial Unicode MS"/>
          <w:noProof/>
        </w:rPr>
        <w:t>he Agreement</w:t>
      </w:r>
      <w:r>
        <w:rPr>
          <w:rFonts w:eastAsia="Arial Unicode MS"/>
          <w:noProof/>
        </w:rPr>
        <w:t xml:space="preserve">, in full alignment with </w:t>
      </w:r>
      <w:r>
        <w:rPr>
          <w:rFonts w:eastAsia="Arial Unicode MS"/>
          <w:noProof/>
          <w:lang w:val="en-IE"/>
        </w:rPr>
        <w:t>the Charter of Fundamental Rights of the EU, the relevant caselaw of the Court of Justice of the EU</w:t>
      </w:r>
      <w:r>
        <w:rPr>
          <w:rFonts w:eastAsia="Arial Unicode MS"/>
          <w:noProof/>
        </w:rPr>
        <w:t xml:space="preserve"> and the negotiating directives, provides a legal basis, conditions and safeguards for the transfer to and processing by </w:t>
      </w:r>
      <w:r w:rsidR="00C44D9E">
        <w:rPr>
          <w:rFonts w:eastAsia="Arial Unicode MS"/>
          <w:noProof/>
        </w:rPr>
        <w:t>the Republic of Korea</w:t>
      </w:r>
      <w:r w:rsidR="00C44D9E" w:rsidRPr="00432667">
        <w:rPr>
          <w:rFonts w:eastAsia="Arial Unicode MS"/>
          <w:noProof/>
        </w:rPr>
        <w:t xml:space="preserve"> </w:t>
      </w:r>
      <w:r>
        <w:rPr>
          <w:rFonts w:eastAsia="Arial Unicode MS"/>
          <w:noProof/>
        </w:rPr>
        <w:t xml:space="preserve">of PNR data received </w:t>
      </w:r>
      <w:r>
        <w:rPr>
          <w:rFonts w:eastAsia="Arial Unicode MS"/>
          <w:noProof/>
          <w:lang w:val="en-IE"/>
        </w:rPr>
        <w:t>from air carriers from the Union:</w:t>
      </w:r>
    </w:p>
    <w:p w14:paraId="2CF9163F" w14:textId="77777777" w:rsidR="00EE1673" w:rsidRDefault="00EE1673" w:rsidP="00EE1673">
      <w:pPr>
        <w:spacing w:after="0"/>
        <w:rPr>
          <w:rFonts w:eastAsia="Arial Unicode MS"/>
          <w:noProof/>
          <w:lang w:val="en-IE"/>
        </w:rPr>
      </w:pPr>
      <w:r>
        <w:rPr>
          <w:rFonts w:eastAsia="Arial Unicode MS"/>
          <w:noProof/>
          <w:lang w:val="en-IE"/>
        </w:rPr>
        <w:t>Article 1 sets out the scope and objectives the Agreement</w:t>
      </w:r>
      <w:r>
        <w:rPr>
          <w:rFonts w:eastAsia="Arial Unicode MS"/>
          <w:noProof/>
        </w:rPr>
        <w:t>.</w:t>
      </w:r>
    </w:p>
    <w:p w14:paraId="6AD74B6C" w14:textId="482FCC41" w:rsidR="00EE1673" w:rsidRDefault="00EE1673" w:rsidP="00EE1673">
      <w:pPr>
        <w:spacing w:after="0"/>
        <w:rPr>
          <w:rFonts w:eastAsia="Arial Unicode MS"/>
          <w:noProof/>
          <w:lang w:val="en-IE"/>
        </w:rPr>
      </w:pPr>
      <w:r w:rsidRPr="1C2F75A9">
        <w:rPr>
          <w:rFonts w:eastAsia="Arial Unicode MS"/>
          <w:noProof/>
          <w:lang w:val="en-IE"/>
        </w:rPr>
        <w:t>Article 2 includes key definitions of the Agreement, inter alia of the ‘</w:t>
      </w:r>
      <w:r w:rsidR="00C44D9E" w:rsidRPr="1C2F75A9">
        <w:rPr>
          <w:rFonts w:eastAsia="Arial Unicode MS"/>
          <w:noProof/>
          <w:lang w:val="en-IE"/>
        </w:rPr>
        <w:t>Korean Competent Authority’</w:t>
      </w:r>
      <w:r w:rsidRPr="1C2F75A9">
        <w:rPr>
          <w:rFonts w:eastAsia="Arial Unicode MS"/>
          <w:noProof/>
          <w:lang w:val="en-IE"/>
        </w:rPr>
        <w:t xml:space="preserve"> as the designated authority responsible for processing PNR data and of the terms ‘serious crime’ and ‘terrorism’, in line with how these concepts have been defined in other relevant EU law instruments</w:t>
      </w:r>
      <w:r w:rsidR="00C44D9E" w:rsidRPr="1C2F75A9">
        <w:rPr>
          <w:rFonts w:eastAsia="Arial Unicode MS"/>
          <w:noProof/>
          <w:lang w:val="en-IE"/>
        </w:rPr>
        <w:t xml:space="preserve">. </w:t>
      </w:r>
    </w:p>
    <w:p w14:paraId="60755496" w14:textId="76480D2C" w:rsidR="00EE1673" w:rsidRPr="00751572" w:rsidRDefault="00EE1673" w:rsidP="00EE1673">
      <w:pPr>
        <w:spacing w:after="0"/>
        <w:rPr>
          <w:rFonts w:eastAsia="Arial Unicode MS"/>
          <w:noProof/>
          <w:lang w:val="en-IE"/>
        </w:rPr>
      </w:pPr>
      <w:r w:rsidRPr="1C2F75A9">
        <w:rPr>
          <w:rFonts w:eastAsia="Arial Unicode MS"/>
          <w:noProof/>
          <w:lang w:val="en-IE"/>
        </w:rPr>
        <w:t xml:space="preserve">Article 3 regulates </w:t>
      </w:r>
      <w:r w:rsidR="4C53F3F7" w:rsidRPr="1C2F75A9">
        <w:rPr>
          <w:rFonts w:eastAsia="Arial Unicode MS"/>
          <w:noProof/>
          <w:lang w:val="en-IE"/>
        </w:rPr>
        <w:t xml:space="preserve">the </w:t>
      </w:r>
      <w:r w:rsidRPr="1C2F75A9">
        <w:rPr>
          <w:rFonts w:eastAsia="Arial Unicode MS"/>
          <w:noProof/>
          <w:lang w:val="en-IE"/>
        </w:rPr>
        <w:t xml:space="preserve">method and frequency of PNR data transfers by airlines to the </w:t>
      </w:r>
      <w:r w:rsidR="00C44D9E" w:rsidRPr="1C2F75A9">
        <w:rPr>
          <w:rFonts w:eastAsia="Arial Unicode MS"/>
          <w:noProof/>
          <w:lang w:val="en-IE"/>
        </w:rPr>
        <w:t>Korean Competent Authority</w:t>
      </w:r>
      <w:r w:rsidRPr="1C2F75A9">
        <w:rPr>
          <w:rFonts w:eastAsia="Arial Unicode MS"/>
          <w:noProof/>
          <w:lang w:val="en-IE"/>
        </w:rPr>
        <w:t xml:space="preserve"> with a view to ensuring that PNR data transfers are kept to the minimum necessary and are proportionate to the purpose specified in the Agreement. </w:t>
      </w:r>
    </w:p>
    <w:p w14:paraId="3D41FE46" w14:textId="332A699F" w:rsidR="00EE1673" w:rsidRDefault="00EE1673" w:rsidP="00EE1673">
      <w:pPr>
        <w:spacing w:after="0"/>
        <w:rPr>
          <w:rFonts w:eastAsia="Arial Unicode MS"/>
          <w:noProof/>
          <w:lang w:val="en-IE"/>
        </w:rPr>
      </w:pPr>
      <w:r>
        <w:rPr>
          <w:rFonts w:eastAsia="Arial Unicode MS"/>
          <w:noProof/>
          <w:lang w:val="en-IE"/>
        </w:rPr>
        <w:t xml:space="preserve">Article </w:t>
      </w:r>
      <w:r w:rsidR="00C44D9E">
        <w:rPr>
          <w:rFonts w:eastAsia="Arial Unicode MS"/>
          <w:noProof/>
          <w:lang w:val="en-IE"/>
        </w:rPr>
        <w:t xml:space="preserve">4 </w:t>
      </w:r>
      <w:r w:rsidRPr="00F6071A">
        <w:rPr>
          <w:rFonts w:eastAsia="Arial Unicode MS"/>
          <w:noProof/>
          <w:lang w:val="en-IE"/>
        </w:rPr>
        <w:t>sets out</w:t>
      </w:r>
      <w:r>
        <w:rPr>
          <w:rFonts w:eastAsia="Arial Unicode MS"/>
          <w:noProof/>
          <w:lang w:val="en-IE"/>
        </w:rPr>
        <w:t xml:space="preserve"> the purpose limitation – i.e. </w:t>
      </w:r>
      <w:r w:rsidRPr="00F6071A">
        <w:rPr>
          <w:rFonts w:eastAsia="Arial Unicode MS"/>
          <w:noProof/>
          <w:lang w:val="en-IE"/>
        </w:rPr>
        <w:t>prevention, detection, investigation and prosecution of terrorist offences and serious crime</w:t>
      </w:r>
      <w:r>
        <w:rPr>
          <w:rFonts w:eastAsia="Arial Unicode MS"/>
          <w:noProof/>
          <w:lang w:val="en-IE"/>
        </w:rPr>
        <w:t xml:space="preserve"> – in an exhaustive manner </w:t>
      </w:r>
      <w:r w:rsidR="008158D5">
        <w:rPr>
          <w:rFonts w:eastAsia="Arial Unicode MS"/>
          <w:noProof/>
          <w:lang w:val="en-IE"/>
        </w:rPr>
        <w:t>for</w:t>
      </w:r>
      <w:r>
        <w:rPr>
          <w:rFonts w:eastAsia="Arial Unicode MS"/>
          <w:noProof/>
          <w:lang w:val="en-IE"/>
        </w:rPr>
        <w:t xml:space="preserve"> all PNR processing covered by the Agreement</w:t>
      </w:r>
      <w:r w:rsidRPr="00F6071A">
        <w:rPr>
          <w:rFonts w:eastAsia="Arial Unicode MS"/>
          <w:noProof/>
          <w:lang w:val="en-IE"/>
        </w:rPr>
        <w:t>.</w:t>
      </w:r>
    </w:p>
    <w:p w14:paraId="27C4A19E" w14:textId="58EE10C3" w:rsidR="00EE1673" w:rsidRDefault="00EE1673" w:rsidP="00EE1673">
      <w:pPr>
        <w:spacing w:after="0"/>
        <w:rPr>
          <w:rFonts w:eastAsia="Arial Unicode MS"/>
          <w:noProof/>
          <w:lang w:val="en-IE"/>
        </w:rPr>
      </w:pPr>
      <w:r>
        <w:rPr>
          <w:rFonts w:eastAsia="Arial Unicode MS"/>
          <w:noProof/>
          <w:lang w:val="en-IE"/>
        </w:rPr>
        <w:t xml:space="preserve">Article </w:t>
      </w:r>
      <w:r w:rsidR="00C44D9E">
        <w:rPr>
          <w:rFonts w:eastAsia="Arial Unicode MS"/>
          <w:noProof/>
          <w:lang w:val="en-IE"/>
        </w:rPr>
        <w:t xml:space="preserve">5 </w:t>
      </w:r>
      <w:r w:rsidRPr="009757FA">
        <w:rPr>
          <w:rFonts w:eastAsia="Arial Unicode MS"/>
          <w:noProof/>
          <w:lang w:val="en-IE"/>
        </w:rPr>
        <w:t xml:space="preserve">sets out the </w:t>
      </w:r>
      <w:r>
        <w:rPr>
          <w:rFonts w:eastAsia="Arial Unicode MS"/>
          <w:noProof/>
          <w:lang w:val="en-IE"/>
        </w:rPr>
        <w:t xml:space="preserve">three </w:t>
      </w:r>
      <w:r w:rsidRPr="009757FA">
        <w:rPr>
          <w:rFonts w:eastAsia="Arial Unicode MS"/>
          <w:noProof/>
          <w:lang w:val="en-IE"/>
        </w:rPr>
        <w:t xml:space="preserve">specific modalities for the processing of PNR data received under the Agreement by the </w:t>
      </w:r>
      <w:r w:rsidR="00C44D9E">
        <w:rPr>
          <w:rFonts w:eastAsia="Arial Unicode MS"/>
          <w:noProof/>
          <w:lang w:val="en-IE"/>
        </w:rPr>
        <w:t>Korean Competent Authority</w:t>
      </w:r>
      <w:r>
        <w:rPr>
          <w:rFonts w:eastAsia="Arial Unicode MS"/>
          <w:noProof/>
          <w:lang w:val="en-IE"/>
        </w:rPr>
        <w:t>.</w:t>
      </w:r>
    </w:p>
    <w:p w14:paraId="3D78EA3D" w14:textId="4005DBC9" w:rsidR="00EE1673" w:rsidRDefault="00EE1673" w:rsidP="00EE1673">
      <w:pPr>
        <w:spacing w:after="0"/>
        <w:rPr>
          <w:rFonts w:eastAsia="Arial Unicode MS"/>
          <w:noProof/>
          <w:lang w:val="en-IE"/>
        </w:rPr>
      </w:pPr>
      <w:r>
        <w:rPr>
          <w:rFonts w:eastAsia="Arial Unicode MS"/>
          <w:noProof/>
          <w:lang w:val="en-IE"/>
        </w:rPr>
        <w:t xml:space="preserve">Article </w:t>
      </w:r>
      <w:r w:rsidR="00C44D9E">
        <w:rPr>
          <w:rFonts w:eastAsia="Arial Unicode MS"/>
          <w:noProof/>
          <w:lang w:val="en-IE"/>
        </w:rPr>
        <w:t xml:space="preserve">6 </w:t>
      </w:r>
      <w:r>
        <w:rPr>
          <w:rFonts w:eastAsia="Arial Unicode MS"/>
          <w:noProof/>
          <w:lang w:val="en-IE"/>
        </w:rPr>
        <w:t>provides additional safeguards for carrying out ‘real-time assessment’ and limits automated processing of PNR data</w:t>
      </w:r>
      <w:r w:rsidRPr="009757FA">
        <w:rPr>
          <w:rFonts w:eastAsia="Arial Unicode MS"/>
          <w:noProof/>
          <w:lang w:val="en-IE"/>
        </w:rPr>
        <w:t>.</w:t>
      </w:r>
    </w:p>
    <w:p w14:paraId="62BEF6B5" w14:textId="3BCD8AC8" w:rsidR="00EE1673" w:rsidRPr="009757FA" w:rsidRDefault="00EE1673" w:rsidP="00EE1673">
      <w:pPr>
        <w:spacing w:after="0"/>
        <w:rPr>
          <w:rFonts w:eastAsia="Arial Unicode MS"/>
          <w:noProof/>
          <w:lang w:val="en-IE"/>
        </w:rPr>
      </w:pPr>
      <w:r w:rsidRPr="009757FA">
        <w:rPr>
          <w:rFonts w:eastAsia="Arial Unicode MS"/>
          <w:noProof/>
          <w:lang w:val="en-IE"/>
        </w:rPr>
        <w:t xml:space="preserve">Article </w:t>
      </w:r>
      <w:r w:rsidR="00C44D9E">
        <w:rPr>
          <w:rFonts w:eastAsia="Arial Unicode MS"/>
          <w:noProof/>
          <w:lang w:val="en-IE"/>
        </w:rPr>
        <w:t>7</w:t>
      </w:r>
      <w:r w:rsidR="00C44D9E" w:rsidRPr="009757FA">
        <w:rPr>
          <w:rFonts w:eastAsia="Arial Unicode MS"/>
          <w:noProof/>
          <w:lang w:val="en-IE"/>
        </w:rPr>
        <w:t xml:space="preserve"> </w:t>
      </w:r>
      <w:r w:rsidRPr="009757FA">
        <w:rPr>
          <w:rFonts w:eastAsia="Arial Unicode MS"/>
          <w:noProof/>
          <w:lang w:val="en-IE"/>
        </w:rPr>
        <w:t xml:space="preserve">provides </w:t>
      </w:r>
      <w:r>
        <w:rPr>
          <w:rFonts w:eastAsia="Arial Unicode MS"/>
          <w:noProof/>
          <w:lang w:val="en-IE"/>
        </w:rPr>
        <w:t>for a prohibition to process</w:t>
      </w:r>
      <w:r w:rsidRPr="009757FA">
        <w:rPr>
          <w:rFonts w:eastAsia="Arial Unicode MS"/>
          <w:noProof/>
          <w:lang w:val="en-IE"/>
        </w:rPr>
        <w:t xml:space="preserve"> </w:t>
      </w:r>
      <w:r>
        <w:rPr>
          <w:rFonts w:eastAsia="Arial Unicode MS"/>
          <w:noProof/>
          <w:lang w:val="en-IE"/>
        </w:rPr>
        <w:t xml:space="preserve">special categories of PNR </w:t>
      </w:r>
      <w:r w:rsidRPr="009757FA">
        <w:rPr>
          <w:rFonts w:eastAsia="Arial Unicode MS"/>
          <w:noProof/>
          <w:lang w:val="en-IE"/>
        </w:rPr>
        <w:t xml:space="preserve">data </w:t>
      </w:r>
      <w:r w:rsidRPr="00D440B3">
        <w:rPr>
          <w:rFonts w:eastAsia="Arial Unicode MS"/>
          <w:noProof/>
          <w:lang w:val="en-IE"/>
        </w:rPr>
        <w:t>in line with how th</w:t>
      </w:r>
      <w:r>
        <w:rPr>
          <w:rFonts w:eastAsia="Arial Unicode MS"/>
          <w:noProof/>
          <w:lang w:val="en-IE"/>
        </w:rPr>
        <w:t xml:space="preserve">is </w:t>
      </w:r>
      <w:r w:rsidRPr="00D440B3">
        <w:rPr>
          <w:rFonts w:eastAsia="Arial Unicode MS"/>
          <w:noProof/>
          <w:lang w:val="en-IE"/>
        </w:rPr>
        <w:t>concept ha</w:t>
      </w:r>
      <w:r>
        <w:rPr>
          <w:rFonts w:eastAsia="Arial Unicode MS"/>
          <w:noProof/>
          <w:lang w:val="en-IE"/>
        </w:rPr>
        <w:t>s</w:t>
      </w:r>
      <w:r w:rsidRPr="00D440B3">
        <w:rPr>
          <w:rFonts w:eastAsia="Arial Unicode MS"/>
          <w:noProof/>
          <w:lang w:val="en-IE"/>
        </w:rPr>
        <w:t xml:space="preserve"> been defined in </w:t>
      </w:r>
      <w:r>
        <w:rPr>
          <w:rFonts w:eastAsia="Arial Unicode MS"/>
          <w:noProof/>
          <w:lang w:val="en-IE"/>
        </w:rPr>
        <w:t xml:space="preserve">the </w:t>
      </w:r>
      <w:r w:rsidRPr="00D440B3">
        <w:rPr>
          <w:rFonts w:eastAsia="Arial Unicode MS"/>
          <w:noProof/>
          <w:lang w:val="en-IE"/>
        </w:rPr>
        <w:t>EU data protection acquis</w:t>
      </w:r>
      <w:r w:rsidRPr="009757FA">
        <w:rPr>
          <w:rFonts w:eastAsia="Arial Unicode MS"/>
          <w:noProof/>
          <w:lang w:val="en-IE"/>
        </w:rPr>
        <w:t xml:space="preserve">. </w:t>
      </w:r>
    </w:p>
    <w:p w14:paraId="530B61B5" w14:textId="49395A7E" w:rsidR="00EE1673" w:rsidRDefault="00EE1673" w:rsidP="00EE1673">
      <w:pPr>
        <w:spacing w:after="0"/>
        <w:rPr>
          <w:noProof/>
        </w:rPr>
      </w:pPr>
      <w:r w:rsidRPr="00EB2DFA">
        <w:rPr>
          <w:rFonts w:eastAsia="Arial Unicode MS"/>
          <w:noProof/>
          <w:lang w:val="en-IE"/>
        </w:rPr>
        <w:t xml:space="preserve">Article </w:t>
      </w:r>
      <w:r w:rsidR="00C44D9E">
        <w:rPr>
          <w:rFonts w:eastAsia="Arial Unicode MS"/>
          <w:noProof/>
          <w:lang w:val="en-IE"/>
        </w:rPr>
        <w:t>8</w:t>
      </w:r>
      <w:r w:rsidR="008158D5">
        <w:rPr>
          <w:rFonts w:eastAsia="Arial Unicode MS"/>
          <w:noProof/>
          <w:lang w:val="en-IE"/>
        </w:rPr>
        <w:t xml:space="preserve"> </w:t>
      </w:r>
      <w:r>
        <w:rPr>
          <w:rFonts w:eastAsia="Arial Unicode MS"/>
          <w:noProof/>
          <w:lang w:val="en-IE"/>
        </w:rPr>
        <w:t xml:space="preserve">provides for a high level of security of PNR </w:t>
      </w:r>
      <w:r w:rsidRPr="00EB2DFA">
        <w:rPr>
          <w:rFonts w:eastAsia="Arial Unicode MS"/>
          <w:noProof/>
          <w:lang w:val="en-IE"/>
        </w:rPr>
        <w:t>data</w:t>
      </w:r>
      <w:r>
        <w:rPr>
          <w:rFonts w:eastAsia="Arial Unicode MS"/>
          <w:noProof/>
          <w:lang w:val="en-IE"/>
        </w:rPr>
        <w:t xml:space="preserve"> received under the Agreement and ensures </w:t>
      </w:r>
      <w:r w:rsidRPr="00EB2DFA">
        <w:rPr>
          <w:rFonts w:eastAsia="Arial Unicode MS"/>
          <w:noProof/>
          <w:lang w:val="en-IE"/>
        </w:rPr>
        <w:t xml:space="preserve">notifications of data security breaches to the </w:t>
      </w:r>
      <w:r>
        <w:rPr>
          <w:rFonts w:eastAsia="Arial Unicode MS"/>
          <w:noProof/>
          <w:lang w:val="en-IE"/>
        </w:rPr>
        <w:t xml:space="preserve">designated </w:t>
      </w:r>
      <w:r w:rsidR="00C44D9E">
        <w:rPr>
          <w:rFonts w:eastAsia="Arial Unicode MS"/>
          <w:noProof/>
          <w:lang w:val="en-IE"/>
        </w:rPr>
        <w:t>Korean</w:t>
      </w:r>
      <w:r w:rsidR="00C44D9E" w:rsidRPr="00751572">
        <w:rPr>
          <w:rFonts w:eastAsia="Arial Unicode MS"/>
          <w:noProof/>
          <w:lang w:val="en-IE"/>
        </w:rPr>
        <w:t xml:space="preserve"> </w:t>
      </w:r>
      <w:r w:rsidR="00C44D9E">
        <w:rPr>
          <w:rFonts w:eastAsia="Arial Unicode MS"/>
          <w:noProof/>
          <w:lang w:val="en-IE"/>
        </w:rPr>
        <w:t>overseeing</w:t>
      </w:r>
      <w:r w:rsidRPr="00EB2DFA">
        <w:rPr>
          <w:rFonts w:eastAsia="Arial Unicode MS"/>
          <w:noProof/>
          <w:lang w:val="en-IE"/>
        </w:rPr>
        <w:t xml:space="preserve"> authorit</w:t>
      </w:r>
      <w:r>
        <w:rPr>
          <w:rFonts w:eastAsia="Arial Unicode MS"/>
          <w:noProof/>
          <w:lang w:val="en-IE"/>
        </w:rPr>
        <w:t>y</w:t>
      </w:r>
      <w:r>
        <w:rPr>
          <w:noProof/>
        </w:rPr>
        <w:t>.</w:t>
      </w:r>
    </w:p>
    <w:p w14:paraId="76B0426E" w14:textId="4B68DEA8" w:rsidR="00EE1673" w:rsidRPr="001E27BA" w:rsidRDefault="00EE1673" w:rsidP="00EE1673">
      <w:pPr>
        <w:spacing w:after="0"/>
        <w:rPr>
          <w:noProof/>
        </w:rPr>
      </w:pPr>
      <w:r w:rsidRPr="00EB2DFA">
        <w:rPr>
          <w:rFonts w:eastAsia="Arial Unicode MS"/>
          <w:noProof/>
          <w:lang w:val="en-IE"/>
        </w:rPr>
        <w:t xml:space="preserve">Article </w:t>
      </w:r>
      <w:r w:rsidR="00C44D9E">
        <w:rPr>
          <w:rFonts w:eastAsia="Arial Unicode MS"/>
          <w:noProof/>
          <w:lang w:val="en-IE"/>
        </w:rPr>
        <w:t>9</w:t>
      </w:r>
      <w:r w:rsidR="00C44D9E">
        <w:rPr>
          <w:noProof/>
          <w:lang w:val="en-IE"/>
        </w:rPr>
        <w:t xml:space="preserve"> </w:t>
      </w:r>
      <w:r>
        <w:rPr>
          <w:noProof/>
          <w:lang w:val="en-IE"/>
        </w:rPr>
        <w:t xml:space="preserve">provides for the keeping of logs and documentation of all PNR processing. </w:t>
      </w:r>
    </w:p>
    <w:p w14:paraId="62F16275" w14:textId="5EE35AEC" w:rsidR="00EE1673" w:rsidRPr="00A836F3" w:rsidRDefault="00EE1673" w:rsidP="1C2F75A9">
      <w:pPr>
        <w:pBdr>
          <w:top w:val="nil"/>
          <w:left w:val="nil"/>
          <w:bottom w:val="nil"/>
          <w:right w:val="nil"/>
          <w:between w:val="nil"/>
          <w:bar w:val="nil"/>
        </w:pBdr>
        <w:spacing w:after="0"/>
        <w:rPr>
          <w:rFonts w:eastAsia="Arial Unicode MS"/>
          <w:noProof/>
          <w:lang w:val="en-IE"/>
        </w:rPr>
      </w:pPr>
      <w:r w:rsidRPr="1C2F75A9">
        <w:rPr>
          <w:rFonts w:eastAsia="Arial Unicode MS"/>
          <w:noProof/>
          <w:lang w:val="en-IE"/>
        </w:rPr>
        <w:t xml:space="preserve">Article </w:t>
      </w:r>
      <w:r w:rsidR="00C44D9E" w:rsidRPr="1C2F75A9">
        <w:rPr>
          <w:rFonts w:eastAsia="Arial Unicode MS"/>
          <w:noProof/>
          <w:lang w:val="en-IE"/>
        </w:rPr>
        <w:t xml:space="preserve">10 </w:t>
      </w:r>
      <w:r w:rsidR="006F5AEC" w:rsidRPr="1C2F75A9">
        <w:rPr>
          <w:rFonts w:eastAsia="Arial Unicode MS"/>
          <w:noProof/>
          <w:lang w:val="en-IE"/>
        </w:rPr>
        <w:t>set</w:t>
      </w:r>
      <w:r w:rsidR="512D08D6" w:rsidRPr="1C2F75A9">
        <w:rPr>
          <w:rFonts w:eastAsia="Arial Unicode MS"/>
          <w:noProof/>
          <w:lang w:val="en-IE"/>
        </w:rPr>
        <w:t>s</w:t>
      </w:r>
      <w:r w:rsidR="006F5AEC" w:rsidRPr="1C2F75A9">
        <w:rPr>
          <w:rFonts w:eastAsia="Arial Unicode MS"/>
          <w:noProof/>
          <w:lang w:val="en-IE"/>
        </w:rPr>
        <w:t xml:space="preserve"> out t</w:t>
      </w:r>
      <w:r w:rsidR="006F5AEC" w:rsidRPr="1C2F75A9">
        <w:rPr>
          <w:rFonts w:eastAsia="Arial Unicode MS"/>
          <w:noProof/>
        </w:rPr>
        <w:t xml:space="preserve">he maximum retention period of five years, combined with a requirement to delete the data after passengers’ date of departure, unless a risk assessment indicates that there is a connection based on objective elements from which it may be inferred that the PNR data might make an effective contribution to address the purposes of the Agreement, in addition to the requirement for </w:t>
      </w:r>
      <w:r w:rsidR="008158D5">
        <w:rPr>
          <w:rFonts w:eastAsia="Arial Unicode MS"/>
          <w:noProof/>
        </w:rPr>
        <w:t>the Republic of Korea</w:t>
      </w:r>
      <w:r w:rsidR="006F5AEC" w:rsidRPr="1C2F75A9">
        <w:rPr>
          <w:rFonts w:eastAsia="Arial Unicode MS"/>
          <w:noProof/>
        </w:rPr>
        <w:t xml:space="preserve"> to review its assessment every two years and notify the Union of the results of this assessment.</w:t>
      </w:r>
    </w:p>
    <w:p w14:paraId="615AFCF1" w14:textId="010664FE" w:rsidR="00EE1673" w:rsidRDefault="00EE1673" w:rsidP="1C2F75A9">
      <w:pPr>
        <w:pBdr>
          <w:top w:val="nil"/>
          <w:left w:val="nil"/>
          <w:bottom w:val="nil"/>
          <w:right w:val="nil"/>
          <w:between w:val="nil"/>
          <w:bar w:val="nil"/>
        </w:pBdr>
        <w:spacing w:after="0"/>
        <w:rPr>
          <w:rFonts w:eastAsia="Arial Unicode MS"/>
          <w:noProof/>
        </w:rPr>
      </w:pPr>
      <w:r>
        <w:rPr>
          <w:noProof/>
        </w:rPr>
        <w:t>Article 1</w:t>
      </w:r>
      <w:r w:rsidR="006F5AEC">
        <w:rPr>
          <w:noProof/>
        </w:rPr>
        <w:t>1</w:t>
      </w:r>
      <w:r>
        <w:rPr>
          <w:noProof/>
        </w:rPr>
        <w:t xml:space="preserve"> requires the </w:t>
      </w:r>
      <w:r w:rsidR="006F5AEC" w:rsidRPr="1C2F75A9">
        <w:rPr>
          <w:rFonts w:eastAsia="Arial Unicode MS"/>
          <w:noProof/>
          <w:lang w:val="en-IE"/>
        </w:rPr>
        <w:t>Korean Competent Authorit</w:t>
      </w:r>
      <w:r w:rsidR="5701D456" w:rsidRPr="1C2F75A9">
        <w:rPr>
          <w:rFonts w:eastAsia="Arial Unicode MS"/>
          <w:noProof/>
          <w:lang w:val="en-IE"/>
        </w:rPr>
        <w:t>y</w:t>
      </w:r>
      <w:r>
        <w:rPr>
          <w:noProof/>
        </w:rPr>
        <w:t xml:space="preserve"> to </w:t>
      </w:r>
      <w:r w:rsidRPr="1C2F75A9">
        <w:rPr>
          <w:rFonts w:eastAsia="Arial Unicode MS"/>
          <w:noProof/>
        </w:rPr>
        <w:t xml:space="preserve">depersonalise PNR data at the latest after </w:t>
      </w:r>
      <w:r w:rsidR="008158D5">
        <w:rPr>
          <w:rFonts w:eastAsia="Arial Unicode MS"/>
          <w:noProof/>
        </w:rPr>
        <w:t xml:space="preserve">six </w:t>
      </w:r>
      <w:r w:rsidRPr="1C2F75A9">
        <w:rPr>
          <w:rFonts w:eastAsia="Arial Unicode MS"/>
          <w:noProof/>
        </w:rPr>
        <w:t>months.</w:t>
      </w:r>
    </w:p>
    <w:p w14:paraId="7AA68C9A" w14:textId="61CFB4D9" w:rsidR="00EE1673" w:rsidRDefault="00EE1673" w:rsidP="00EE1673">
      <w:pPr>
        <w:pBdr>
          <w:top w:val="nil"/>
          <w:left w:val="nil"/>
          <w:bottom w:val="nil"/>
          <w:right w:val="nil"/>
          <w:between w:val="nil"/>
          <w:bar w:val="nil"/>
        </w:pBdr>
        <w:spacing w:after="0"/>
        <w:rPr>
          <w:rFonts w:eastAsia="Arial Unicode MS"/>
          <w:noProof/>
        </w:rPr>
      </w:pPr>
      <w:r>
        <w:rPr>
          <w:rFonts w:eastAsia="Arial Unicode MS"/>
          <w:noProof/>
        </w:rPr>
        <w:t>Article 1</w:t>
      </w:r>
      <w:r w:rsidR="006F5AEC">
        <w:rPr>
          <w:rFonts w:eastAsia="Arial Unicode MS"/>
          <w:noProof/>
        </w:rPr>
        <w:t>2</w:t>
      </w:r>
      <w:r>
        <w:rPr>
          <w:rFonts w:eastAsia="Arial Unicode MS"/>
          <w:noProof/>
        </w:rPr>
        <w:t xml:space="preserve"> includes rules and conditions for the disclosure of PNR data within </w:t>
      </w:r>
      <w:r w:rsidR="006F5AEC">
        <w:rPr>
          <w:rFonts w:eastAsia="Arial Unicode MS"/>
          <w:noProof/>
          <w:lang w:val="en-IE"/>
        </w:rPr>
        <w:t>the Republic of Korea</w:t>
      </w:r>
      <w:r>
        <w:rPr>
          <w:rFonts w:eastAsia="Arial Unicode MS"/>
          <w:noProof/>
        </w:rPr>
        <w:t xml:space="preserve">, e.g. by limiting such disclosures to authorities with functions related to the purposes of the Agreement and by requiring prior </w:t>
      </w:r>
      <w:r w:rsidRPr="00054D57">
        <w:rPr>
          <w:rFonts w:eastAsia="Arial Unicode MS"/>
          <w:noProof/>
        </w:rPr>
        <w:t>approv</w:t>
      </w:r>
      <w:r>
        <w:rPr>
          <w:rFonts w:eastAsia="Arial Unicode MS"/>
          <w:noProof/>
        </w:rPr>
        <w:t>al</w:t>
      </w:r>
      <w:r w:rsidRPr="00054D57">
        <w:rPr>
          <w:rFonts w:eastAsia="Arial Unicode MS"/>
          <w:noProof/>
        </w:rPr>
        <w:t xml:space="preserve"> by a judicial authority or another independent body</w:t>
      </w:r>
      <w:r>
        <w:rPr>
          <w:rFonts w:eastAsia="Arial Unicode MS"/>
          <w:noProof/>
        </w:rPr>
        <w:t xml:space="preserve"> for such disclosures. </w:t>
      </w:r>
    </w:p>
    <w:p w14:paraId="626CF517" w14:textId="2EB3CE1F" w:rsidR="00EE1673" w:rsidRDefault="00EE1673" w:rsidP="00EE1673">
      <w:pPr>
        <w:pBdr>
          <w:top w:val="nil"/>
          <w:left w:val="nil"/>
          <w:bottom w:val="nil"/>
          <w:right w:val="nil"/>
          <w:between w:val="nil"/>
          <w:bar w:val="nil"/>
        </w:pBdr>
        <w:spacing w:after="0"/>
        <w:rPr>
          <w:rFonts w:eastAsia="Arial Unicode MS"/>
          <w:noProof/>
        </w:rPr>
      </w:pPr>
      <w:r>
        <w:rPr>
          <w:rFonts w:eastAsia="Arial Unicode MS"/>
          <w:noProof/>
        </w:rPr>
        <w:t>Article 1</w:t>
      </w:r>
      <w:r w:rsidR="006F5AEC">
        <w:rPr>
          <w:rFonts w:eastAsia="Arial Unicode MS"/>
          <w:noProof/>
        </w:rPr>
        <w:t>3</w:t>
      </w:r>
      <w:r>
        <w:rPr>
          <w:rFonts w:eastAsia="Arial Unicode MS"/>
          <w:noProof/>
        </w:rPr>
        <w:t xml:space="preserve"> includes rules and conditions for the disclosure of PNR data outside </w:t>
      </w:r>
      <w:r w:rsidR="006F5AEC">
        <w:rPr>
          <w:rFonts w:eastAsia="Arial Unicode MS"/>
          <w:noProof/>
          <w:lang w:val="en-IE"/>
        </w:rPr>
        <w:t>the Republic of Korea</w:t>
      </w:r>
      <w:r w:rsidR="006F5AEC" w:rsidRPr="00C23AAF">
        <w:rPr>
          <w:rFonts w:eastAsia="Arial Unicode MS"/>
          <w:noProof/>
          <w:lang w:val="en-IE"/>
        </w:rPr>
        <w:t xml:space="preserve"> </w:t>
      </w:r>
      <w:r>
        <w:rPr>
          <w:rFonts w:eastAsia="Arial Unicode MS"/>
          <w:noProof/>
        </w:rPr>
        <w:t xml:space="preserve">and the EU, e.g. by limiting such disclosures to third countries with which the EU has concluded a comparable agreement or for which the EU has adopted a relevant adequacy decision and by requiring prior </w:t>
      </w:r>
      <w:r w:rsidRPr="00054D57">
        <w:rPr>
          <w:rFonts w:eastAsia="Arial Unicode MS"/>
          <w:noProof/>
        </w:rPr>
        <w:t>approv</w:t>
      </w:r>
      <w:r>
        <w:rPr>
          <w:rFonts w:eastAsia="Arial Unicode MS"/>
          <w:noProof/>
        </w:rPr>
        <w:t>al</w:t>
      </w:r>
      <w:r w:rsidRPr="00054D57">
        <w:rPr>
          <w:rFonts w:eastAsia="Arial Unicode MS"/>
          <w:noProof/>
        </w:rPr>
        <w:t xml:space="preserve"> by a judicial authority or another independent body</w:t>
      </w:r>
      <w:r>
        <w:rPr>
          <w:rFonts w:eastAsia="Arial Unicode MS"/>
          <w:noProof/>
        </w:rPr>
        <w:t xml:space="preserve"> for such disclosures.</w:t>
      </w:r>
    </w:p>
    <w:p w14:paraId="09036B05" w14:textId="22635391" w:rsidR="00EE1673" w:rsidRPr="00CD08D9" w:rsidRDefault="00EE1673" w:rsidP="00EE1673">
      <w:pPr>
        <w:pBdr>
          <w:top w:val="nil"/>
          <w:left w:val="nil"/>
          <w:bottom w:val="nil"/>
          <w:right w:val="nil"/>
          <w:between w:val="nil"/>
          <w:bar w:val="nil"/>
        </w:pBdr>
        <w:spacing w:after="0"/>
        <w:rPr>
          <w:rFonts w:eastAsia="Arial Unicode MS"/>
          <w:noProof/>
          <w:lang w:val="en-IE"/>
        </w:rPr>
      </w:pPr>
      <w:r>
        <w:rPr>
          <w:rFonts w:eastAsia="Arial Unicode MS"/>
          <w:noProof/>
        </w:rPr>
        <w:t>Article 1</w:t>
      </w:r>
      <w:r w:rsidR="006F5AEC">
        <w:rPr>
          <w:rFonts w:eastAsia="Arial Unicode MS"/>
          <w:noProof/>
        </w:rPr>
        <w:t>4</w:t>
      </w:r>
      <w:r>
        <w:rPr>
          <w:rFonts w:eastAsia="Arial Unicode MS"/>
          <w:noProof/>
        </w:rPr>
        <w:t xml:space="preserve"> </w:t>
      </w:r>
      <w:r w:rsidRPr="005950C4">
        <w:rPr>
          <w:rFonts w:eastAsia="Arial Unicode MS"/>
          <w:noProof/>
        </w:rPr>
        <w:t>fosters police and judicial cooperation through the exchange of PNR data</w:t>
      </w:r>
      <w:r>
        <w:rPr>
          <w:rFonts w:eastAsia="Arial Unicode MS"/>
          <w:noProof/>
        </w:rPr>
        <w:t xml:space="preserve"> or</w:t>
      </w:r>
      <w:r w:rsidRPr="005950C4">
        <w:rPr>
          <w:rFonts w:eastAsia="Arial Unicode MS"/>
          <w:noProof/>
        </w:rPr>
        <w:t xml:space="preserve"> </w:t>
      </w:r>
      <w:r>
        <w:rPr>
          <w:rFonts w:eastAsia="Arial Unicode MS"/>
          <w:noProof/>
        </w:rPr>
        <w:t>the</w:t>
      </w:r>
      <w:r w:rsidRPr="005950C4">
        <w:rPr>
          <w:rFonts w:eastAsia="Arial Unicode MS"/>
          <w:noProof/>
        </w:rPr>
        <w:t xml:space="preserve"> results of processing of PNR data</w:t>
      </w:r>
      <w:r>
        <w:rPr>
          <w:rFonts w:eastAsia="Arial Unicode MS"/>
          <w:noProof/>
        </w:rPr>
        <w:t xml:space="preserve"> </w:t>
      </w:r>
      <w:r w:rsidRPr="005950C4">
        <w:rPr>
          <w:rFonts w:eastAsia="Arial Unicode MS"/>
          <w:noProof/>
        </w:rPr>
        <w:t xml:space="preserve">between the </w:t>
      </w:r>
      <w:r w:rsidR="006F5AEC">
        <w:rPr>
          <w:rFonts w:eastAsia="Arial Unicode MS"/>
          <w:noProof/>
        </w:rPr>
        <w:t>Korean Competent Authority</w:t>
      </w:r>
      <w:r w:rsidRPr="005950C4">
        <w:rPr>
          <w:rFonts w:eastAsia="Arial Unicode MS"/>
          <w:noProof/>
        </w:rPr>
        <w:t xml:space="preserve"> and the </w:t>
      </w:r>
      <w:r>
        <w:rPr>
          <w:rFonts w:eastAsia="Arial Unicode MS"/>
          <w:noProof/>
        </w:rPr>
        <w:t>PIUs</w:t>
      </w:r>
      <w:r w:rsidRPr="005950C4">
        <w:rPr>
          <w:rFonts w:eastAsia="Arial Unicode MS"/>
          <w:noProof/>
        </w:rPr>
        <w:t xml:space="preserve"> of Member States of the Union, as well as between the </w:t>
      </w:r>
      <w:r w:rsidR="006F5AEC">
        <w:rPr>
          <w:rFonts w:eastAsia="Arial Unicode MS"/>
          <w:noProof/>
        </w:rPr>
        <w:t>Korean Competent Authority</w:t>
      </w:r>
      <w:r w:rsidRPr="005950C4">
        <w:rPr>
          <w:rFonts w:eastAsia="Arial Unicode MS"/>
          <w:noProof/>
        </w:rPr>
        <w:t xml:space="preserve">, on the one hand, and Europol </w:t>
      </w:r>
      <w:r w:rsidR="00875D64">
        <w:rPr>
          <w:rFonts w:eastAsia="Arial Unicode MS"/>
          <w:noProof/>
        </w:rPr>
        <w:t xml:space="preserve">and Eurojust </w:t>
      </w:r>
      <w:r w:rsidRPr="005950C4">
        <w:rPr>
          <w:rFonts w:eastAsia="Arial Unicode MS"/>
          <w:noProof/>
        </w:rPr>
        <w:t>within their respective competences, on the other hand.</w:t>
      </w:r>
    </w:p>
    <w:p w14:paraId="632D555D" w14:textId="2B499B0B" w:rsidR="00EE1673" w:rsidRDefault="00EE1673" w:rsidP="00EE1673">
      <w:pPr>
        <w:rPr>
          <w:noProof/>
          <w:lang w:val="en-IE"/>
        </w:rPr>
      </w:pPr>
      <w:r w:rsidRPr="005950C4">
        <w:rPr>
          <w:noProof/>
          <w:lang w:val="en-IE"/>
        </w:rPr>
        <w:t>Article 1</w:t>
      </w:r>
      <w:r w:rsidR="006F5AEC">
        <w:rPr>
          <w:noProof/>
          <w:lang w:val="en-IE"/>
        </w:rPr>
        <w:t>5</w:t>
      </w:r>
      <w:r w:rsidRPr="005950C4">
        <w:rPr>
          <w:noProof/>
          <w:lang w:val="en-IE"/>
        </w:rPr>
        <w:t xml:space="preserve"> </w:t>
      </w:r>
      <w:r>
        <w:rPr>
          <w:noProof/>
          <w:lang w:val="en-IE"/>
        </w:rPr>
        <w:t>requires</w:t>
      </w:r>
      <w:r w:rsidR="006F5AEC">
        <w:rPr>
          <w:noProof/>
          <w:lang w:val="en-IE"/>
        </w:rPr>
        <w:t xml:space="preserve"> the Republic of Korea to appoint an authority required to oversee PNR processing in Korea</w:t>
      </w:r>
      <w:r w:rsidRPr="005950C4">
        <w:rPr>
          <w:noProof/>
          <w:lang w:val="en-IE"/>
        </w:rPr>
        <w:t>.</w:t>
      </w:r>
    </w:p>
    <w:p w14:paraId="5D30B39D" w14:textId="41CDCFCF" w:rsidR="00EE1673" w:rsidRDefault="00EE1673" w:rsidP="00EE1673">
      <w:pPr>
        <w:rPr>
          <w:noProof/>
          <w:lang w:val="en-IE"/>
        </w:rPr>
      </w:pPr>
      <w:r>
        <w:rPr>
          <w:noProof/>
          <w:lang w:val="en-IE"/>
        </w:rPr>
        <w:t>Article 1</w:t>
      </w:r>
      <w:r w:rsidR="006F5AEC">
        <w:rPr>
          <w:noProof/>
          <w:lang w:val="en-IE"/>
        </w:rPr>
        <w:t>6</w:t>
      </w:r>
      <w:r>
        <w:rPr>
          <w:noProof/>
          <w:lang w:val="en-IE"/>
        </w:rPr>
        <w:t xml:space="preserve"> includes transparency and information obligations, including a requirement to notify individuals of the </w:t>
      </w:r>
      <w:r w:rsidRPr="00B635F0">
        <w:rPr>
          <w:noProof/>
          <w:lang w:val="en-IE"/>
        </w:rPr>
        <w:t xml:space="preserve">disclosure of </w:t>
      </w:r>
      <w:r>
        <w:rPr>
          <w:noProof/>
          <w:lang w:val="en-IE"/>
        </w:rPr>
        <w:t>their</w:t>
      </w:r>
      <w:r w:rsidRPr="00B635F0">
        <w:rPr>
          <w:noProof/>
          <w:lang w:val="en-IE"/>
        </w:rPr>
        <w:t xml:space="preserve"> PNR data</w:t>
      </w:r>
      <w:r>
        <w:rPr>
          <w:noProof/>
          <w:lang w:val="en-IE"/>
        </w:rPr>
        <w:t xml:space="preserve">. </w:t>
      </w:r>
    </w:p>
    <w:p w14:paraId="0DBAD3EC" w14:textId="6ECE049D" w:rsidR="006F5AEC" w:rsidRDefault="006F5AEC" w:rsidP="00EE1673">
      <w:pPr>
        <w:rPr>
          <w:noProof/>
        </w:rPr>
      </w:pPr>
      <w:r w:rsidRPr="006F5AEC">
        <w:rPr>
          <w:noProof/>
        </w:rPr>
        <w:t>Article 1</w:t>
      </w:r>
      <w:r>
        <w:rPr>
          <w:noProof/>
        </w:rPr>
        <w:t xml:space="preserve">7 </w:t>
      </w:r>
      <w:r>
        <w:rPr>
          <w:noProof/>
          <w:lang w:val="en-IE"/>
        </w:rPr>
        <w:t xml:space="preserve">provides </w:t>
      </w:r>
      <w:r>
        <w:rPr>
          <w:noProof/>
        </w:rPr>
        <w:t xml:space="preserve">that </w:t>
      </w:r>
      <w:r w:rsidRPr="006F5AEC">
        <w:rPr>
          <w:noProof/>
        </w:rPr>
        <w:t>individuals may access (only) their own PNR data</w:t>
      </w:r>
      <w:r>
        <w:rPr>
          <w:noProof/>
        </w:rPr>
        <w:t>.</w:t>
      </w:r>
      <w:r w:rsidRPr="006F5AEC">
        <w:rPr>
          <w:noProof/>
        </w:rPr>
        <w:t xml:space="preserve"> </w:t>
      </w:r>
    </w:p>
    <w:p w14:paraId="103A618F" w14:textId="5F8A4507" w:rsidR="006F5AEC" w:rsidRDefault="006F5AEC" w:rsidP="006F5AEC">
      <w:pPr>
        <w:rPr>
          <w:noProof/>
        </w:rPr>
      </w:pPr>
      <w:r>
        <w:rPr>
          <w:noProof/>
        </w:rPr>
        <w:t xml:space="preserve">Article 18 </w:t>
      </w:r>
      <w:r>
        <w:rPr>
          <w:noProof/>
          <w:lang w:val="en-IE"/>
        </w:rPr>
        <w:t xml:space="preserve">provides </w:t>
      </w:r>
      <w:r w:rsidR="001207D1">
        <w:rPr>
          <w:noProof/>
          <w:lang w:val="en-IE"/>
        </w:rPr>
        <w:t xml:space="preserve">that </w:t>
      </w:r>
      <w:r>
        <w:rPr>
          <w:noProof/>
        </w:rPr>
        <w:t>individuals’</w:t>
      </w:r>
      <w:r w:rsidRPr="006F5AEC">
        <w:rPr>
          <w:noProof/>
        </w:rPr>
        <w:t xml:space="preserve"> right to correction, redress and information</w:t>
      </w:r>
      <w:r>
        <w:rPr>
          <w:noProof/>
        </w:rPr>
        <w:t xml:space="preserve"> must be ensured.</w:t>
      </w:r>
    </w:p>
    <w:p w14:paraId="6B0E6D84" w14:textId="42FBB8A4" w:rsidR="006F5AEC" w:rsidRDefault="006F5AEC" w:rsidP="00EE1673">
      <w:pPr>
        <w:rPr>
          <w:noProof/>
          <w:lang w:val="en-IE"/>
        </w:rPr>
      </w:pPr>
      <w:r>
        <w:rPr>
          <w:noProof/>
        </w:rPr>
        <w:t xml:space="preserve">Article 19 </w:t>
      </w:r>
      <w:r>
        <w:rPr>
          <w:noProof/>
          <w:lang w:val="en-IE"/>
        </w:rPr>
        <w:t>provides that individuals must be given effective administrative and judicial redress.</w:t>
      </w:r>
    </w:p>
    <w:p w14:paraId="30677E47" w14:textId="4371F6F6" w:rsidR="00EE1673" w:rsidRDefault="00EE1673" w:rsidP="00EE1673">
      <w:pPr>
        <w:rPr>
          <w:noProof/>
          <w:lang w:val="en-IE"/>
        </w:rPr>
      </w:pPr>
      <w:r w:rsidRPr="1C2F75A9">
        <w:rPr>
          <w:noProof/>
          <w:lang w:val="en-IE"/>
        </w:rPr>
        <w:t xml:space="preserve">Article </w:t>
      </w:r>
      <w:r w:rsidR="006F5AEC" w:rsidRPr="1C2F75A9">
        <w:rPr>
          <w:noProof/>
          <w:lang w:val="en-IE"/>
        </w:rPr>
        <w:t xml:space="preserve">20 provides for the obligations by </w:t>
      </w:r>
      <w:r w:rsidR="3AFDBB8B" w:rsidRPr="1C2F75A9">
        <w:rPr>
          <w:noProof/>
          <w:lang w:val="en-IE"/>
        </w:rPr>
        <w:t xml:space="preserve">the Republic of </w:t>
      </w:r>
      <w:r w:rsidR="006F5AEC" w:rsidRPr="1C2F75A9">
        <w:rPr>
          <w:noProof/>
          <w:lang w:val="en-IE"/>
        </w:rPr>
        <w:t>Korea to notify the Union with relevant information about the authorities involved in PNR processing, and for the Union to make such information available to the public.</w:t>
      </w:r>
    </w:p>
    <w:p w14:paraId="0D644762" w14:textId="061C1463" w:rsidR="00EE1673" w:rsidRDefault="00EE1673" w:rsidP="00EE1673">
      <w:pPr>
        <w:rPr>
          <w:noProof/>
          <w:lang w:val="en-IE"/>
        </w:rPr>
      </w:pPr>
      <w:r>
        <w:rPr>
          <w:noProof/>
          <w:lang w:val="en-IE"/>
        </w:rPr>
        <w:t xml:space="preserve">Article </w:t>
      </w:r>
      <w:r w:rsidR="006F5AEC">
        <w:rPr>
          <w:noProof/>
          <w:lang w:val="en-IE"/>
        </w:rPr>
        <w:t xml:space="preserve">21 </w:t>
      </w:r>
      <w:r>
        <w:rPr>
          <w:noProof/>
          <w:lang w:val="en-IE"/>
        </w:rPr>
        <w:t xml:space="preserve">provides for the entry into force of the Agreement. </w:t>
      </w:r>
    </w:p>
    <w:p w14:paraId="5B13290E" w14:textId="7E46C558" w:rsidR="00EE1673" w:rsidRDefault="00EE1673" w:rsidP="00EE1673">
      <w:pPr>
        <w:rPr>
          <w:noProof/>
          <w:lang w:val="en-IE"/>
        </w:rPr>
      </w:pPr>
      <w:r>
        <w:rPr>
          <w:noProof/>
          <w:lang w:val="en-IE"/>
        </w:rPr>
        <w:t xml:space="preserve">Article </w:t>
      </w:r>
      <w:r w:rsidR="006F5AEC">
        <w:rPr>
          <w:noProof/>
          <w:lang w:val="en-IE"/>
        </w:rPr>
        <w:t xml:space="preserve">22 </w:t>
      </w:r>
      <w:r>
        <w:rPr>
          <w:noProof/>
          <w:lang w:val="en-IE"/>
        </w:rPr>
        <w:t>provides for dispute settlement and suspension mechanisms.</w:t>
      </w:r>
    </w:p>
    <w:p w14:paraId="091AEF9B" w14:textId="7C0DC7B0" w:rsidR="00EE1673" w:rsidRDefault="00EE1673" w:rsidP="00EE1673">
      <w:pPr>
        <w:rPr>
          <w:noProof/>
          <w:lang w:val="en-IE"/>
        </w:rPr>
      </w:pPr>
      <w:r>
        <w:rPr>
          <w:noProof/>
          <w:lang w:val="en-IE"/>
        </w:rPr>
        <w:t xml:space="preserve">Article </w:t>
      </w:r>
      <w:r w:rsidR="006F5AEC">
        <w:rPr>
          <w:noProof/>
          <w:lang w:val="en-IE"/>
        </w:rPr>
        <w:t xml:space="preserve">23 </w:t>
      </w:r>
      <w:r>
        <w:rPr>
          <w:noProof/>
          <w:lang w:val="en-IE"/>
        </w:rPr>
        <w:t>provides for the possibility for either Party to terminate the Agreement at any time.</w:t>
      </w:r>
    </w:p>
    <w:p w14:paraId="6966C7E6" w14:textId="5A0670B9" w:rsidR="00EE1673" w:rsidRDefault="00EE1673" w:rsidP="00EE1673">
      <w:pPr>
        <w:rPr>
          <w:noProof/>
          <w:lang w:val="en-IE"/>
        </w:rPr>
      </w:pPr>
      <w:r w:rsidRPr="1C2F75A9">
        <w:rPr>
          <w:noProof/>
          <w:lang w:val="en-IE"/>
        </w:rPr>
        <w:t xml:space="preserve">Article </w:t>
      </w:r>
      <w:r w:rsidR="006F5AEC" w:rsidRPr="1C2F75A9">
        <w:rPr>
          <w:noProof/>
          <w:lang w:val="en-IE"/>
        </w:rPr>
        <w:t xml:space="preserve">24 </w:t>
      </w:r>
      <w:r w:rsidRPr="1C2F75A9">
        <w:rPr>
          <w:noProof/>
          <w:lang w:val="en-IE"/>
        </w:rPr>
        <w:t>provides for amendments of the Agreement.</w:t>
      </w:r>
    </w:p>
    <w:p w14:paraId="270FC468" w14:textId="4D75502A" w:rsidR="00EE1673" w:rsidRDefault="00EE1673" w:rsidP="00EE1673">
      <w:pPr>
        <w:rPr>
          <w:noProof/>
          <w:lang w:val="en-IE"/>
        </w:rPr>
      </w:pPr>
      <w:r w:rsidRPr="1C2F75A9">
        <w:rPr>
          <w:noProof/>
          <w:lang w:val="en-IE"/>
        </w:rPr>
        <w:t xml:space="preserve">Article </w:t>
      </w:r>
      <w:r w:rsidR="006F5AEC" w:rsidRPr="1C2F75A9">
        <w:rPr>
          <w:noProof/>
          <w:lang w:val="en-IE"/>
        </w:rPr>
        <w:t xml:space="preserve">25 </w:t>
      </w:r>
      <w:r w:rsidRPr="1C2F75A9">
        <w:rPr>
          <w:noProof/>
          <w:lang w:val="en-IE"/>
        </w:rPr>
        <w:t xml:space="preserve">provides </w:t>
      </w:r>
      <w:r w:rsidR="141806C8" w:rsidRPr="1C2F75A9">
        <w:rPr>
          <w:noProof/>
          <w:lang w:val="en-IE"/>
        </w:rPr>
        <w:t xml:space="preserve">for </w:t>
      </w:r>
      <w:r w:rsidR="006F5AEC" w:rsidRPr="1C2F75A9">
        <w:rPr>
          <w:noProof/>
          <w:lang w:val="en-IE"/>
        </w:rPr>
        <w:t>consultation and evaluation</w:t>
      </w:r>
      <w:r w:rsidRPr="1C2F75A9">
        <w:rPr>
          <w:noProof/>
          <w:lang w:val="en-IE"/>
        </w:rPr>
        <w:t xml:space="preserve"> of the </w:t>
      </w:r>
      <w:r w:rsidR="006F5AEC" w:rsidRPr="1C2F75A9">
        <w:rPr>
          <w:noProof/>
          <w:lang w:val="en-IE"/>
        </w:rPr>
        <w:t xml:space="preserve">implementation of the </w:t>
      </w:r>
      <w:r w:rsidRPr="1C2F75A9">
        <w:rPr>
          <w:noProof/>
          <w:lang w:val="en-IE"/>
        </w:rPr>
        <w:t>Agreement.</w:t>
      </w:r>
    </w:p>
    <w:p w14:paraId="22EE9B4E" w14:textId="77777777" w:rsidR="00EE1673" w:rsidRDefault="00EE1673" w:rsidP="00EE1673">
      <w:pPr>
        <w:rPr>
          <w:noProof/>
          <w:lang w:val="en-IE"/>
        </w:rPr>
      </w:pPr>
      <w:r w:rsidRPr="1C2F75A9">
        <w:rPr>
          <w:noProof/>
          <w:lang w:val="en-IE"/>
        </w:rPr>
        <w:t>Article 24 contains a clause regarding the territorial application of the Agreement.</w:t>
      </w:r>
    </w:p>
    <w:p w14:paraId="68A1F05C" w14:textId="77777777" w:rsidR="004D6F3C" w:rsidRDefault="004D6F3C" w:rsidP="00EE1673">
      <w:pPr>
        <w:rPr>
          <w:noProof/>
          <w:lang w:val="en-IE"/>
        </w:rPr>
      </w:pPr>
    </w:p>
    <w:p w14:paraId="10159C07" w14:textId="67A4989F" w:rsidR="00B232C3" w:rsidRPr="00B232C3" w:rsidRDefault="00B232C3" w:rsidP="00B232C3">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sidRPr="00B232C3">
        <w:rPr>
          <w:rFonts w:eastAsia="Arial Unicode MS"/>
          <w:noProof/>
          <w:u w:color="000000"/>
          <w:bdr w:val="nil"/>
          <w:lang w:val="en-US" w:eastAsia="en-GB"/>
        </w:rPr>
        <w:t>Text of the Agreement and notifications</w:t>
      </w:r>
    </w:p>
    <w:p w14:paraId="280F6BA5" w14:textId="307FF569" w:rsidR="00B232C3" w:rsidRPr="00B232C3" w:rsidRDefault="00B232C3" w:rsidP="00B232C3">
      <w:pPr>
        <w:rPr>
          <w:rFonts w:eastAsia="Arial Unicode MS"/>
          <w:noProof/>
          <w:bdr w:val="nil"/>
          <w:lang w:val="en-US" w:eastAsia="en-GB"/>
        </w:rPr>
      </w:pPr>
      <w:r w:rsidRPr="00B232C3">
        <w:rPr>
          <w:rFonts w:eastAsia="Arial Unicode MS"/>
          <w:noProof/>
          <w:bdr w:val="nil"/>
          <w:lang w:val="en-US" w:eastAsia="en-GB"/>
        </w:rPr>
        <w:t xml:space="preserve">The text of the Agreement is submitted to the Council together with this proposal. </w:t>
      </w:r>
    </w:p>
    <w:p w14:paraId="0AB1CBB9" w14:textId="039BAFB2" w:rsidR="009F21FE" w:rsidRDefault="00B232C3" w:rsidP="00B232C3">
      <w:pPr>
        <w:rPr>
          <w:rFonts w:eastAsia="Arial Unicode MS"/>
          <w:noProof/>
          <w:bdr w:val="nil"/>
          <w:lang w:val="en-US" w:eastAsia="en-GB"/>
        </w:rPr>
      </w:pPr>
      <w:r w:rsidRPr="00B232C3">
        <w:rPr>
          <w:rFonts w:eastAsia="Arial Unicode MS"/>
          <w:noProof/>
          <w:bdr w:val="nil"/>
          <w:lang w:val="en-US" w:eastAsia="en-GB"/>
        </w:rPr>
        <w:t xml:space="preserve">In accordance with the Treaties, it is for the Commission to proceed, on behalf of the Union, to make the notification provided for in Article </w:t>
      </w:r>
      <w:r w:rsidR="00D94663">
        <w:rPr>
          <w:rFonts w:eastAsia="Arial Unicode MS"/>
          <w:noProof/>
          <w:bdr w:val="nil"/>
          <w:lang w:val="en-US" w:eastAsia="en-GB"/>
        </w:rPr>
        <w:t>21</w:t>
      </w:r>
      <w:r w:rsidRPr="00B232C3">
        <w:rPr>
          <w:rFonts w:eastAsia="Arial Unicode MS"/>
          <w:noProof/>
          <w:bdr w:val="nil"/>
          <w:lang w:val="en-US" w:eastAsia="en-GB"/>
        </w:rPr>
        <w:t>(2) of the Agreement, in order to express the consent of the Union to be bound by the Agreement.</w:t>
      </w:r>
    </w:p>
    <w:p w14:paraId="16B88FDC" w14:textId="72A16E22" w:rsidR="00B232C3" w:rsidRPr="005950C4" w:rsidRDefault="00B232C3" w:rsidP="00B232C3">
      <w:pPr>
        <w:rPr>
          <w:noProof/>
          <w:lang w:val="en-IE"/>
        </w:rPr>
        <w:sectPr w:rsidR="00B232C3" w:rsidRPr="005950C4" w:rsidSect="00D17E6D">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14:paraId="417399C1" w14:textId="1D2CD55A" w:rsidR="006120F5" w:rsidRDefault="0007584E" w:rsidP="0007584E">
      <w:pPr>
        <w:pStyle w:val="Rfrenceinterinstitutionnelle"/>
        <w:rPr>
          <w:noProof/>
          <w:lang w:val="en-IE"/>
        </w:rPr>
      </w:pPr>
      <w:r>
        <w:rPr>
          <w:noProof/>
        </w:rPr>
        <w:t>2026/0214 (NLE)</w:t>
      </w:r>
    </w:p>
    <w:p w14:paraId="0ADE48C0" w14:textId="47472753" w:rsidR="00FA17F5" w:rsidRPr="005950C4" w:rsidRDefault="0007584E" w:rsidP="0007584E">
      <w:pPr>
        <w:pStyle w:val="Statut"/>
        <w:rPr>
          <w:noProof/>
          <w:lang w:val="en-IE"/>
        </w:rPr>
      </w:pPr>
      <w:r w:rsidRPr="0007584E">
        <w:rPr>
          <w:noProof/>
        </w:rPr>
        <w:t>Proposal for a</w:t>
      </w:r>
    </w:p>
    <w:p w14:paraId="0C9993BE" w14:textId="49FE1BAC" w:rsidR="00FA17F5" w:rsidRDefault="0007584E" w:rsidP="0007584E">
      <w:pPr>
        <w:pStyle w:val="Typedudocument"/>
        <w:rPr>
          <w:noProof/>
        </w:rPr>
      </w:pPr>
      <w:r w:rsidRPr="0007584E">
        <w:rPr>
          <w:noProof/>
        </w:rPr>
        <w:t>COUNCIL DECISION</w:t>
      </w:r>
    </w:p>
    <w:p w14:paraId="7AC59704" w14:textId="0B875280" w:rsidR="006120F5" w:rsidRDefault="0007584E" w:rsidP="0007584E">
      <w:pPr>
        <w:pStyle w:val="Titreobjet"/>
        <w:rPr>
          <w:noProof/>
        </w:rPr>
      </w:pPr>
      <w:r w:rsidRPr="0007584E">
        <w:rPr>
          <w:noProof/>
        </w:rPr>
        <w:t>on the conclusion of the Agreement between the European Union and the Republic of Korea on the transfer of Passenger Name Record (PNR) data for the prevention, detection, investigation and prosecution of terrorist offences and serious crime</w:t>
      </w:r>
    </w:p>
    <w:p w14:paraId="093F8119" w14:textId="77777777" w:rsidR="00FA17F5" w:rsidRPr="00FD40BA" w:rsidRDefault="00FA17F5" w:rsidP="00FA17F5">
      <w:pPr>
        <w:pStyle w:val="Institutionquiagit"/>
        <w:rPr>
          <w:noProof/>
        </w:rPr>
      </w:pPr>
      <w:r w:rsidRPr="00467DB4">
        <w:rPr>
          <w:noProof/>
        </w:rPr>
        <w:t>THE COUNCIL OF THE EUROPEAN U</w:t>
      </w:r>
      <w:r w:rsidRPr="00FD40BA">
        <w:rPr>
          <w:noProof/>
        </w:rPr>
        <w:t>NION,</w:t>
      </w:r>
    </w:p>
    <w:p w14:paraId="2A347F81" w14:textId="77777777" w:rsidR="00C618A1" w:rsidRDefault="00FA17F5" w:rsidP="00C618A1">
      <w:pPr>
        <w:rPr>
          <w:noProof/>
        </w:rPr>
      </w:pPr>
      <w:r w:rsidRPr="00FD40BA">
        <w:rPr>
          <w:noProof/>
        </w:rPr>
        <w:t xml:space="preserve">Having regard to the </w:t>
      </w:r>
      <w:r>
        <w:rPr>
          <w:noProof/>
        </w:rPr>
        <w:t>T</w:t>
      </w:r>
      <w:r w:rsidRPr="00C91B36">
        <w:rPr>
          <w:noProof/>
        </w:rPr>
        <w:t>reaty on the Functioning of the European Union, and in particular Articles 16(2), and Article 87(2)</w:t>
      </w:r>
      <w:r w:rsidR="00AD0C68">
        <w:rPr>
          <w:noProof/>
        </w:rPr>
        <w:t xml:space="preserve">, point </w:t>
      </w:r>
      <w:r w:rsidRPr="00C91B36">
        <w:rPr>
          <w:noProof/>
        </w:rPr>
        <w:t xml:space="preserve">(a) in conjunction with </w:t>
      </w:r>
      <w:r w:rsidR="00C618A1" w:rsidRPr="00920D5D">
        <w:rPr>
          <w:noProof/>
        </w:rPr>
        <w:t>Article 218(6), second subparagraph, point (a),</w:t>
      </w:r>
    </w:p>
    <w:p w14:paraId="44CAB680" w14:textId="77777777" w:rsidR="00FA17F5" w:rsidRDefault="00FA17F5" w:rsidP="00FA17F5">
      <w:pPr>
        <w:rPr>
          <w:noProof/>
        </w:rPr>
      </w:pPr>
      <w:r w:rsidRPr="00FD40BA">
        <w:rPr>
          <w:noProof/>
        </w:rPr>
        <w:t>Having regard to the proposal from the European Commission,</w:t>
      </w:r>
    </w:p>
    <w:p w14:paraId="30E3EC4E" w14:textId="77777777" w:rsidR="00C618A1" w:rsidRPr="00C85CF4" w:rsidRDefault="00C618A1" w:rsidP="00C618A1">
      <w:pPr>
        <w:rPr>
          <w:noProof/>
        </w:rPr>
      </w:pPr>
      <w:r w:rsidRPr="00C85CF4">
        <w:rPr>
          <w:noProof/>
        </w:rPr>
        <w:t>Having regard to the consent of the European Parliament,</w:t>
      </w:r>
    </w:p>
    <w:p w14:paraId="2FC82E6F" w14:textId="77777777" w:rsidR="00FA17F5" w:rsidRPr="00FD40BA" w:rsidRDefault="00FA17F5" w:rsidP="00FA17F5">
      <w:pPr>
        <w:rPr>
          <w:noProof/>
        </w:rPr>
      </w:pPr>
      <w:r w:rsidRPr="00FD40BA">
        <w:rPr>
          <w:noProof/>
        </w:rPr>
        <w:t>Whereas:</w:t>
      </w:r>
    </w:p>
    <w:p w14:paraId="34A7540F" w14:textId="72F63F38" w:rsidR="00C618A1" w:rsidRDefault="00C618A1" w:rsidP="007778CF">
      <w:pPr>
        <w:pStyle w:val="ManualConsidrant"/>
        <w:rPr>
          <w:noProof/>
        </w:rPr>
      </w:pPr>
      <w:r>
        <w:rPr>
          <w:noProof/>
        </w:rPr>
        <w:t>(1)</w:t>
      </w:r>
      <w:r>
        <w:rPr>
          <w:noProof/>
        </w:rPr>
        <w:tab/>
        <w:t>In accordance with Council Decision [XXX] of […]</w:t>
      </w:r>
      <w:r>
        <w:rPr>
          <w:rStyle w:val="FootnoteReference"/>
          <w:noProof/>
        </w:rPr>
        <w:footnoteReference w:id="27"/>
      </w:r>
      <w:r>
        <w:rPr>
          <w:noProof/>
        </w:rPr>
        <w:t>, the Agreement between the European Union and the Republic of Korea on the transfer of Passenger Name Record (PNR) data to prevent, detect, investigate and prosecute terrorist offences and serious crime (</w:t>
      </w:r>
      <w:r w:rsidR="00A224C0">
        <w:rPr>
          <w:noProof/>
        </w:rPr>
        <w:t>‘</w:t>
      </w:r>
      <w:r>
        <w:rPr>
          <w:noProof/>
        </w:rPr>
        <w:t>the Agreement’) was signed on […], subject to its conclusion at a later date.</w:t>
      </w:r>
    </w:p>
    <w:p w14:paraId="71E68E5F" w14:textId="19749615" w:rsidR="00FA17F5" w:rsidRPr="00554F50" w:rsidRDefault="00FA17F5" w:rsidP="00FA17F5">
      <w:pPr>
        <w:pStyle w:val="ManualConsidrant"/>
        <w:rPr>
          <w:noProof/>
        </w:rPr>
      </w:pPr>
      <w:r>
        <w:rPr>
          <w:noProof/>
        </w:rPr>
        <w:t>(2)</w:t>
      </w:r>
      <w:r>
        <w:rPr>
          <w:noProof/>
        </w:rPr>
        <w:tab/>
      </w:r>
      <w:r w:rsidRPr="00554F50">
        <w:rPr>
          <w:noProof/>
        </w:rPr>
        <w:t xml:space="preserve">The Agreement enables the transfer of PNR data by air carriers from the Union to </w:t>
      </w:r>
      <w:r w:rsidR="005C62D6">
        <w:rPr>
          <w:rFonts w:eastAsia="Arial Unicode MS"/>
          <w:noProof/>
          <w:lang w:val="en-IE"/>
        </w:rPr>
        <w:t>the Republic of Korea</w:t>
      </w:r>
      <w:r w:rsidR="005C62D6" w:rsidRPr="00554F50">
        <w:rPr>
          <w:rFonts w:eastAsia="Arial Unicode MS"/>
          <w:noProof/>
          <w:lang w:val="en-IE"/>
        </w:rPr>
        <w:t xml:space="preserve"> </w:t>
      </w:r>
      <w:r w:rsidR="00C20052" w:rsidRPr="00554F50">
        <w:rPr>
          <w:noProof/>
        </w:rPr>
        <w:t>in</w:t>
      </w:r>
      <w:r w:rsidRPr="00554F50">
        <w:rPr>
          <w:noProof/>
        </w:rPr>
        <w:t xml:space="preserve"> full respect of </w:t>
      </w:r>
      <w:bookmarkStart w:id="1" w:name="_Hlk194416717"/>
      <w:r w:rsidR="00C20052" w:rsidRPr="00554F50">
        <w:rPr>
          <w:noProof/>
        </w:rPr>
        <w:t xml:space="preserve">the rights provided in </w:t>
      </w:r>
      <w:bookmarkEnd w:id="1"/>
      <w:r w:rsidRPr="00554F50">
        <w:rPr>
          <w:noProof/>
        </w:rPr>
        <w:t xml:space="preserve">the Charter of Fundamental Rights of the Union, in particular the right to private and family life recognised in Article 7 of the Charter, </w:t>
      </w:r>
      <w:r w:rsidR="008158D5">
        <w:rPr>
          <w:noProof/>
        </w:rPr>
        <w:t xml:space="preserve">and </w:t>
      </w:r>
      <w:r w:rsidRPr="00554F50">
        <w:rPr>
          <w:noProof/>
        </w:rPr>
        <w:t xml:space="preserve">the right to the protection of personal data recognised in Article 8 of the Charter. In particular, the Agreement includes </w:t>
      </w:r>
      <w:r w:rsidR="00EF55DA" w:rsidRPr="00554F50">
        <w:rPr>
          <w:noProof/>
        </w:rPr>
        <w:t xml:space="preserve">appropriate </w:t>
      </w:r>
      <w:r w:rsidRPr="00554F50">
        <w:rPr>
          <w:noProof/>
        </w:rPr>
        <w:t>safeguards for the protection of personal data transferred under the Agreement.</w:t>
      </w:r>
    </w:p>
    <w:p w14:paraId="34F0C933" w14:textId="2146D4DE" w:rsidR="00FA17F5" w:rsidRDefault="00FA17F5" w:rsidP="00FA17F5">
      <w:pPr>
        <w:pStyle w:val="ManualConsidrant"/>
        <w:rPr>
          <w:noProof/>
        </w:rPr>
      </w:pPr>
      <w:r>
        <w:rPr>
          <w:noProof/>
        </w:rPr>
        <w:t>(3)</w:t>
      </w:r>
      <w:r>
        <w:rPr>
          <w:noProof/>
        </w:rPr>
        <w:tab/>
        <w:t xml:space="preserve">The Agreement fosters police </w:t>
      </w:r>
      <w:r w:rsidR="00875D64">
        <w:rPr>
          <w:noProof/>
        </w:rPr>
        <w:t xml:space="preserve">and judicial </w:t>
      </w:r>
      <w:r>
        <w:rPr>
          <w:noProof/>
        </w:rPr>
        <w:t xml:space="preserve">cooperation between the competent authorities of </w:t>
      </w:r>
      <w:r w:rsidR="005C62D6" w:rsidRPr="1C2F75A9">
        <w:rPr>
          <w:rFonts w:eastAsia="Arial Unicode MS"/>
          <w:noProof/>
          <w:lang w:val="en-IE"/>
        </w:rPr>
        <w:t xml:space="preserve">the Republic of Korea </w:t>
      </w:r>
      <w:r>
        <w:rPr>
          <w:noProof/>
        </w:rPr>
        <w:t xml:space="preserve">and those of the Member States of the Union as well as Europol </w:t>
      </w:r>
      <w:r w:rsidR="00DB0E0F">
        <w:rPr>
          <w:noProof/>
        </w:rPr>
        <w:t xml:space="preserve">and Eurojust </w:t>
      </w:r>
      <w:r>
        <w:rPr>
          <w:noProof/>
        </w:rPr>
        <w:t xml:space="preserve">to </w:t>
      </w:r>
      <w:r w:rsidR="005C62D6">
        <w:rPr>
          <w:noProof/>
        </w:rPr>
        <w:t>contribute to the fight against terrorism and serious crime</w:t>
      </w:r>
      <w:r>
        <w:rPr>
          <w:noProof/>
        </w:rPr>
        <w:t>.</w:t>
      </w:r>
    </w:p>
    <w:p w14:paraId="2BD4AB72" w14:textId="77097E44" w:rsidR="00E165C9" w:rsidRDefault="00E165C9" w:rsidP="00E165C9">
      <w:pPr>
        <w:pStyle w:val="ManualConsidrant"/>
        <w:rPr>
          <w:noProof/>
          <w:lang w:val="en-IE"/>
        </w:rPr>
      </w:pPr>
      <w:r>
        <w:rPr>
          <w:noProof/>
        </w:rPr>
        <w:t>(4)</w:t>
      </w:r>
      <w:r>
        <w:rPr>
          <w:noProof/>
        </w:rPr>
        <w:tab/>
        <w:t>The</w:t>
      </w:r>
      <w:r>
        <w:rPr>
          <w:noProof/>
          <w:lang w:val="en-IE"/>
        </w:rPr>
        <w:t xml:space="preserve"> Agreement should</w:t>
      </w:r>
      <w:r w:rsidRPr="0042088A">
        <w:rPr>
          <w:noProof/>
          <w:lang w:val="en-IE"/>
        </w:rPr>
        <w:t xml:space="preserve"> enable the transfer of PNR data from the Union to </w:t>
      </w:r>
      <w:r>
        <w:rPr>
          <w:noProof/>
          <w:lang w:val="en-IE"/>
        </w:rPr>
        <w:t xml:space="preserve">the Republic of Korea </w:t>
      </w:r>
      <w:r w:rsidRPr="0042088A">
        <w:rPr>
          <w:noProof/>
          <w:lang w:val="en-IE"/>
        </w:rPr>
        <w:t>in recognition of the necessity to use PNR data as an essential tool in the fight against terrorism and other forms of serious crime.</w:t>
      </w:r>
    </w:p>
    <w:p w14:paraId="28E88E75" w14:textId="67742096" w:rsidR="00E05493" w:rsidRPr="0007584E" w:rsidRDefault="000618D3" w:rsidP="00E165C9">
      <w:pPr>
        <w:pStyle w:val="ManualConsidrant"/>
        <w:rPr>
          <w:noProof/>
          <w:lang w:val="en-IE"/>
        </w:rPr>
      </w:pPr>
      <w:r>
        <w:rPr>
          <w:noProof/>
        </w:rPr>
        <w:t>(5)</w:t>
      </w:r>
      <w:r>
        <w:rPr>
          <w:noProof/>
        </w:rPr>
        <w:tab/>
      </w:r>
      <w:r>
        <w:rPr>
          <w:noProof/>
          <w:lang w:val="en-IE"/>
        </w:rPr>
        <w:t>T</w:t>
      </w:r>
      <w:r w:rsidR="00A224C0">
        <w:rPr>
          <w:rFonts w:eastAsia="Arial Unicode MS"/>
          <w:noProof/>
          <w:lang w:val="en-IE"/>
        </w:rPr>
        <w:t xml:space="preserve">he conclusion of this Agreement </w:t>
      </w:r>
      <w:r w:rsidR="00A224C0" w:rsidRPr="00521A5E">
        <w:rPr>
          <w:rFonts w:eastAsia="Arial Unicode MS"/>
          <w:noProof/>
          <w:lang w:val="en-IE"/>
        </w:rPr>
        <w:t>constitutes part of a broader effort of the Commission to pursue a consistent and effective approach regarding the transfer of PNR data to third countries, as announced in the Security Union Strategy 2020-2025</w:t>
      </w:r>
      <w:r w:rsidR="00A224C0">
        <w:rPr>
          <w:rStyle w:val="FootnoteReference"/>
          <w:rFonts w:eastAsia="Arial Unicode MS"/>
          <w:noProof/>
          <w:lang w:val="en-IE"/>
        </w:rPr>
        <w:footnoteReference w:id="28"/>
      </w:r>
      <w:r w:rsidR="00A224C0" w:rsidRPr="00521A5E">
        <w:rPr>
          <w:rFonts w:eastAsia="Arial Unicode MS"/>
          <w:noProof/>
          <w:lang w:val="en-IE"/>
        </w:rPr>
        <w:t xml:space="preserve">, building on the </w:t>
      </w:r>
      <w:r w:rsidR="00D57D54" w:rsidRPr="007E0BB9">
        <w:rPr>
          <w:rFonts w:eastAsia="Arial Unicode MS"/>
          <w:noProof/>
          <w:lang w:val="en-IE"/>
        </w:rPr>
        <w:t>the International Civil Aviation Organization</w:t>
      </w:r>
      <w:r w:rsidR="002E6468">
        <w:rPr>
          <w:rFonts w:eastAsia="Arial Unicode MS"/>
          <w:noProof/>
          <w:lang w:val="en-IE"/>
        </w:rPr>
        <w:t>’s</w:t>
      </w:r>
      <w:r w:rsidR="00A224C0" w:rsidRPr="00521A5E">
        <w:rPr>
          <w:rFonts w:eastAsia="Arial Unicode MS"/>
          <w:noProof/>
          <w:lang w:val="en-IE"/>
        </w:rPr>
        <w:t xml:space="preserve"> </w:t>
      </w:r>
      <w:r w:rsidR="00815A74" w:rsidRPr="007E0BB9">
        <w:rPr>
          <w:rFonts w:eastAsia="Arial Unicode MS"/>
          <w:noProof/>
          <w:lang w:val="en-IE"/>
        </w:rPr>
        <w:t xml:space="preserve">Standards and Recommended Practices </w:t>
      </w:r>
      <w:r w:rsidR="002E6468">
        <w:rPr>
          <w:rFonts w:eastAsia="Arial Unicode MS"/>
          <w:noProof/>
          <w:lang w:val="en-IE"/>
        </w:rPr>
        <w:t xml:space="preserve">(SARPs) </w:t>
      </w:r>
      <w:r w:rsidR="00815A74" w:rsidRPr="007E0BB9">
        <w:rPr>
          <w:rFonts w:eastAsia="Arial Unicode MS"/>
          <w:noProof/>
          <w:lang w:val="en-IE"/>
        </w:rPr>
        <w:t>on PNR</w:t>
      </w:r>
      <w:r w:rsidR="00A224C0" w:rsidRPr="00521A5E">
        <w:rPr>
          <w:rFonts w:eastAsia="Arial Unicode MS"/>
          <w:noProof/>
          <w:lang w:val="en-IE"/>
        </w:rPr>
        <w:t>, and in line with the Union law and case-law. Such an approach was also requested by the Council with its Conclusions of June 2021</w:t>
      </w:r>
      <w:r w:rsidR="00A224C0">
        <w:rPr>
          <w:rStyle w:val="FootnoteReference"/>
          <w:rFonts w:eastAsia="Arial Unicode MS"/>
          <w:noProof/>
          <w:lang w:val="en-IE"/>
        </w:rPr>
        <w:footnoteReference w:id="29"/>
      </w:r>
      <w:r w:rsidR="00A224C0" w:rsidRPr="00521A5E">
        <w:rPr>
          <w:rFonts w:eastAsia="Arial Unicode MS"/>
          <w:noProof/>
          <w:lang w:val="en-IE"/>
        </w:rPr>
        <w:t>.</w:t>
      </w:r>
    </w:p>
    <w:p w14:paraId="6EDE8F05" w14:textId="77777777" w:rsidR="00C618A1" w:rsidRPr="00C618A1" w:rsidRDefault="00C618A1" w:rsidP="00C618A1">
      <w:pPr>
        <w:pStyle w:val="ManualConsidrant"/>
        <w:rPr>
          <w:noProof/>
        </w:rPr>
      </w:pPr>
      <w:r>
        <w:rPr>
          <w:noProof/>
        </w:rPr>
        <w:t>(6)</w:t>
      </w:r>
      <w:r>
        <w:rPr>
          <w:noProof/>
        </w:rPr>
        <w:tab/>
      </w:r>
      <w:r w:rsidRPr="00C618A1">
        <w:rPr>
          <w:noProof/>
        </w:rPr>
        <w:t xml:space="preserve">[In accordance with Articles 1 and 2 of Protocol No 21 on the position of the United Kingdom and Ireland in respect of the area of freedom, security and justice, annexed to the Treaty on European Union and to the Treaty on the Functioning of the European Union, and without prejudice to Article 4 of that Protocol, Ireland is not taking part in the adoption of this Decision and is not bound by it or subject to its application.] OR [In accordance with Article 3 of Protocol No 21 on the position of the United Kingdom and Ireland in respect of the area of freedom, security and justice, annexed to the Treaty on European Union and to the Treaty on the Functioning of the European Union, Ireland has notified [, by letter of …,] its wish to take part in the adoption and application of this Decision.]. </w:t>
      </w:r>
    </w:p>
    <w:p w14:paraId="47159171" w14:textId="72C95019" w:rsidR="00FA17F5" w:rsidRPr="00FA17F5" w:rsidRDefault="00FA17F5" w:rsidP="00FA17F5">
      <w:pPr>
        <w:pStyle w:val="ManualConsidrant"/>
        <w:rPr>
          <w:noProof/>
        </w:rPr>
      </w:pPr>
      <w:r>
        <w:rPr>
          <w:noProof/>
        </w:rPr>
        <w:t>(7)</w:t>
      </w:r>
      <w:r>
        <w:rPr>
          <w:noProof/>
        </w:rPr>
        <w:tab/>
      </w:r>
      <w:r w:rsidRPr="008E36F1">
        <w:rPr>
          <w:noProof/>
        </w:rPr>
        <w:t xml:space="preserve">In accordance </w:t>
      </w:r>
      <w:r w:rsidRPr="00FA17F5">
        <w:rPr>
          <w:noProof/>
        </w:rPr>
        <w:t>with Articles 1 and 2 of Protocol No 22 on the position of Denmark, annexed to the Treaty on European Union and to the Treaty on the Functioning of the European Union, Denmark is not taking part in the adoption of this Decision and is not bound by it or subject to its application</w:t>
      </w:r>
      <w:r w:rsidR="003039E4">
        <w:rPr>
          <w:noProof/>
        </w:rPr>
        <w:t>.</w:t>
      </w:r>
    </w:p>
    <w:p w14:paraId="2179876D" w14:textId="77777777" w:rsidR="00FA17F5" w:rsidRPr="00D42C51" w:rsidRDefault="001B6404" w:rsidP="001B6404">
      <w:pPr>
        <w:pStyle w:val="ManualConsidrant"/>
        <w:rPr>
          <w:noProof/>
        </w:rPr>
      </w:pPr>
      <w:r>
        <w:rPr>
          <w:noProof/>
        </w:rPr>
        <w:t>(8)</w:t>
      </w:r>
      <w:r>
        <w:rPr>
          <w:noProof/>
        </w:rPr>
        <w:tab/>
        <w:t>The European Data Protection Supervisor was consulted in accordance with Article 42 of Regulation (EU) 2018/1725 and delivered its Opinion [xxx] on [xx.xx.xxxx]</w:t>
      </w:r>
      <w:r w:rsidR="00FA17F5" w:rsidRPr="00D22E6D">
        <w:rPr>
          <w:noProof/>
        </w:rPr>
        <w:t>.</w:t>
      </w:r>
    </w:p>
    <w:p w14:paraId="49B52A13" w14:textId="43E0997B" w:rsidR="00A166F6" w:rsidRPr="002F7A0D" w:rsidRDefault="00A166F6" w:rsidP="00A166F6">
      <w:pPr>
        <w:pStyle w:val="ManualConsidrant"/>
        <w:rPr>
          <w:noProof/>
        </w:rPr>
      </w:pPr>
      <w:r>
        <w:rPr>
          <w:noProof/>
        </w:rPr>
        <w:t>(9)</w:t>
      </w:r>
      <w:r>
        <w:rPr>
          <w:noProof/>
        </w:rPr>
        <w:tab/>
      </w:r>
      <w:r w:rsidRPr="002F7A0D">
        <w:rPr>
          <w:noProof/>
        </w:rPr>
        <w:t xml:space="preserve">The Agreement should be </w:t>
      </w:r>
      <w:r>
        <w:rPr>
          <w:noProof/>
        </w:rPr>
        <w:t>approved</w:t>
      </w:r>
      <w:r w:rsidR="00383EB3">
        <w:rPr>
          <w:noProof/>
        </w:rPr>
        <w:t>,</w:t>
      </w:r>
    </w:p>
    <w:p w14:paraId="461BF32B" w14:textId="77777777" w:rsidR="00A166F6" w:rsidRPr="002F7A0D" w:rsidRDefault="00A166F6" w:rsidP="00A166F6">
      <w:pPr>
        <w:pStyle w:val="Formuledadoption"/>
        <w:rPr>
          <w:noProof/>
        </w:rPr>
      </w:pPr>
      <w:r w:rsidRPr="002F7A0D">
        <w:rPr>
          <w:noProof/>
        </w:rPr>
        <w:t>HAS ADOPTED THIS DECISION:</w:t>
      </w:r>
    </w:p>
    <w:p w14:paraId="394C9169" w14:textId="77777777" w:rsidR="00A166F6" w:rsidRPr="002F7A0D" w:rsidRDefault="00A166F6" w:rsidP="00A166F6">
      <w:pPr>
        <w:pStyle w:val="Titrearticle"/>
        <w:rPr>
          <w:noProof/>
        </w:rPr>
      </w:pPr>
      <w:r w:rsidRPr="002F7A0D">
        <w:rPr>
          <w:noProof/>
        </w:rPr>
        <w:t>Article 1</w:t>
      </w:r>
    </w:p>
    <w:p w14:paraId="2035D0FE" w14:textId="59240332" w:rsidR="00177115" w:rsidRPr="00664279" w:rsidRDefault="00C618A1" w:rsidP="00FA17F5">
      <w:pPr>
        <w:rPr>
          <w:noProof/>
          <w:lang w:val="en"/>
        </w:rPr>
      </w:pPr>
      <w:r w:rsidRPr="00C618A1">
        <w:rPr>
          <w:noProof/>
          <w:lang w:val="en"/>
        </w:rPr>
        <w:t xml:space="preserve">The Agreement between the European Union and the </w:t>
      </w:r>
      <w:r>
        <w:rPr>
          <w:noProof/>
          <w:lang w:val="en"/>
        </w:rPr>
        <w:t>Republic of Korea</w:t>
      </w:r>
      <w:r w:rsidRPr="00C618A1">
        <w:rPr>
          <w:noProof/>
          <w:lang w:val="en"/>
        </w:rPr>
        <w:t xml:space="preserve"> on the transfer of Passenger Name Record (PNR) data for the prevention, detection, investigation and prosecution of terrorist offences and serious crime </w:t>
      </w:r>
      <w:r w:rsidR="00177115">
        <w:rPr>
          <w:noProof/>
          <w:lang w:val="en"/>
        </w:rPr>
        <w:t>is</w:t>
      </w:r>
      <w:r w:rsidR="00177115" w:rsidRPr="00C618A1">
        <w:rPr>
          <w:noProof/>
          <w:lang w:val="en"/>
        </w:rPr>
        <w:t xml:space="preserve"> </w:t>
      </w:r>
      <w:r w:rsidRPr="00C618A1">
        <w:rPr>
          <w:noProof/>
          <w:lang w:val="en"/>
        </w:rPr>
        <w:t>hereby approved</w:t>
      </w:r>
      <w:r w:rsidR="00FA17F5">
        <w:rPr>
          <w:rStyle w:val="FootnoteReference"/>
          <w:noProof/>
          <w:lang w:val="en"/>
        </w:rPr>
        <w:footnoteReference w:id="30"/>
      </w:r>
      <w:r w:rsidR="005F7C94">
        <w:rPr>
          <w:noProof/>
          <w:lang w:val="en"/>
        </w:rPr>
        <w:t>.</w:t>
      </w:r>
    </w:p>
    <w:p w14:paraId="3FD870EE" w14:textId="1F83FA4C" w:rsidR="00FC2951" w:rsidRDefault="00FC2951" w:rsidP="005212DE">
      <w:pPr>
        <w:pStyle w:val="Titrearticle"/>
        <w:rPr>
          <w:noProof/>
        </w:rPr>
      </w:pPr>
      <w:r w:rsidRPr="008E36F1">
        <w:rPr>
          <w:noProof/>
        </w:rPr>
        <w:t xml:space="preserve">Article </w:t>
      </w:r>
      <w:r w:rsidR="004B78FE">
        <w:rPr>
          <w:noProof/>
        </w:rPr>
        <w:t>2</w:t>
      </w:r>
    </w:p>
    <w:p w14:paraId="74BA97C3" w14:textId="5EC15A84" w:rsidR="00C618A1" w:rsidRPr="00F77624" w:rsidRDefault="00C618A1" w:rsidP="00C618A1">
      <w:pPr>
        <w:keepNext/>
        <w:keepLines/>
        <w:rPr>
          <w:noProof/>
          <w:lang w:val="en-IE"/>
        </w:rPr>
      </w:pPr>
      <w:r w:rsidRPr="00FD40BA">
        <w:rPr>
          <w:noProof/>
        </w:rPr>
        <w:t xml:space="preserve">This Decision </w:t>
      </w:r>
      <w:r>
        <w:rPr>
          <w:noProof/>
        </w:rPr>
        <w:t>sh</w:t>
      </w:r>
      <w:r w:rsidRPr="008E36F1">
        <w:rPr>
          <w:noProof/>
        </w:rPr>
        <w:t>all enter into force on the date of its adoption</w:t>
      </w:r>
      <w:r w:rsidRPr="002D6758">
        <w:rPr>
          <w:rStyle w:val="FootnoteReference"/>
          <w:noProof/>
        </w:rPr>
        <w:footnoteReference w:id="31"/>
      </w:r>
      <w:r w:rsidR="00691A6F">
        <w:rPr>
          <w:noProof/>
        </w:rPr>
        <w:t>.</w:t>
      </w:r>
      <w:r w:rsidRPr="00F77624">
        <w:rPr>
          <w:noProof/>
          <w:lang w:val="en-IE"/>
        </w:rPr>
        <w:t xml:space="preserve"> </w:t>
      </w:r>
    </w:p>
    <w:p w14:paraId="2D3AA543" w14:textId="0C5E001F" w:rsidR="00FA17F5" w:rsidRDefault="0007584E" w:rsidP="005212DE">
      <w:pPr>
        <w:pStyle w:val="Fait"/>
        <w:rPr>
          <w:noProof/>
        </w:rPr>
      </w:pPr>
      <w:r>
        <w:rPr>
          <w:noProof/>
        </w:rPr>
        <w:t>Done at Brussels,</w:t>
      </w:r>
    </w:p>
    <w:p w14:paraId="3DE2D82D" w14:textId="77777777" w:rsidR="00FA17F5" w:rsidRDefault="00FA17F5" w:rsidP="005212DE">
      <w:pPr>
        <w:pStyle w:val="Institutionquisigne"/>
        <w:rPr>
          <w:noProof/>
        </w:rPr>
      </w:pPr>
      <w:r w:rsidRPr="00DD37B5">
        <w:rPr>
          <w:noProof/>
        </w:rPr>
        <w:tab/>
        <w:t>For the Council</w:t>
      </w:r>
    </w:p>
    <w:p w14:paraId="428C1236" w14:textId="77777777" w:rsidR="00720995" w:rsidRPr="007B6EB5" w:rsidRDefault="00FA17F5" w:rsidP="00FA17F5">
      <w:pPr>
        <w:pStyle w:val="Personnequisigne"/>
        <w:rPr>
          <w:noProof/>
        </w:rPr>
      </w:pPr>
      <w:r w:rsidRPr="00DD37B5">
        <w:rPr>
          <w:noProof/>
        </w:rPr>
        <w:tab/>
        <w:t>The President</w:t>
      </w:r>
    </w:p>
    <w:sectPr w:rsidR="00720995" w:rsidRPr="007B6EB5" w:rsidSect="00D17E6D">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05A155" w14:textId="77777777" w:rsidR="0002086E" w:rsidRDefault="0002086E" w:rsidP="00E60E0C">
      <w:pPr>
        <w:spacing w:before="0" w:after="0"/>
      </w:pPr>
      <w:r>
        <w:separator/>
      </w:r>
    </w:p>
  </w:endnote>
  <w:endnote w:type="continuationSeparator" w:id="0">
    <w:p w14:paraId="12472360" w14:textId="77777777" w:rsidR="0002086E" w:rsidRDefault="0002086E" w:rsidP="00E60E0C">
      <w:pPr>
        <w:spacing w:before="0" w:after="0"/>
      </w:pPr>
      <w:r>
        <w:continuationSeparator/>
      </w:r>
    </w:p>
  </w:endnote>
  <w:endnote w:type="continuationNotice" w:id="1">
    <w:p w14:paraId="76A45352" w14:textId="77777777" w:rsidR="0002086E" w:rsidRDefault="0002086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028A1" w14:textId="5BB2908C" w:rsidR="00D17E6D" w:rsidRPr="00D17E6D" w:rsidRDefault="00D17E6D" w:rsidP="00D17E6D">
    <w:pPr>
      <w:pStyle w:val="Footer"/>
      <w:rPr>
        <w:rFonts w:ascii="Arial" w:hAnsi="Arial" w:cs="Arial"/>
        <w:b/>
        <w:sz w:val="48"/>
      </w:rPr>
    </w:pPr>
    <w:r w:rsidRPr="00D17E6D">
      <w:rPr>
        <w:rFonts w:ascii="Arial" w:hAnsi="Arial" w:cs="Arial"/>
        <w:b/>
        <w:sz w:val="48"/>
      </w:rPr>
      <w:t>EN</w:t>
    </w:r>
    <w:r w:rsidRPr="00D17E6D">
      <w:rPr>
        <w:rFonts w:ascii="Arial" w:hAnsi="Arial" w:cs="Arial"/>
        <w:b/>
        <w:sz w:val="48"/>
      </w:rPr>
      <w:tab/>
    </w:r>
    <w:r w:rsidRPr="00D17E6D">
      <w:rPr>
        <w:rFonts w:ascii="Arial" w:hAnsi="Arial" w:cs="Arial"/>
        <w:b/>
        <w:sz w:val="48"/>
      </w:rPr>
      <w:tab/>
    </w:r>
    <w:r w:rsidRPr="00D17E6D">
      <w:tab/>
    </w:r>
    <w:r w:rsidRPr="00D17E6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82094" w14:textId="0BB7A696" w:rsidR="00D17E6D" w:rsidRPr="00D17E6D" w:rsidRDefault="00D17E6D" w:rsidP="00D17E6D">
    <w:pPr>
      <w:pStyle w:val="Footer"/>
      <w:rPr>
        <w:rFonts w:ascii="Arial" w:hAnsi="Arial" w:cs="Arial"/>
        <w:b/>
        <w:sz w:val="48"/>
      </w:rPr>
    </w:pPr>
    <w:r w:rsidRPr="00D17E6D">
      <w:rPr>
        <w:rFonts w:ascii="Arial" w:hAnsi="Arial" w:cs="Arial"/>
        <w:b/>
        <w:sz w:val="48"/>
      </w:rPr>
      <w:t>EN</w:t>
    </w:r>
    <w:r w:rsidRPr="00D17E6D">
      <w:rPr>
        <w:rFonts w:ascii="Arial" w:hAnsi="Arial" w:cs="Arial"/>
        <w:b/>
        <w:sz w:val="48"/>
      </w:rPr>
      <w:tab/>
    </w:r>
    <w:r w:rsidRPr="00D17E6D">
      <w:rPr>
        <w:rFonts w:ascii="Arial" w:hAnsi="Arial" w:cs="Arial"/>
        <w:b/>
        <w:sz w:val="48"/>
      </w:rPr>
      <w:tab/>
    </w:r>
    <w:r w:rsidRPr="00D17E6D">
      <w:tab/>
    </w:r>
    <w:r w:rsidRPr="00D17E6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296928" w14:textId="77777777" w:rsidR="00D17E6D" w:rsidRDefault="00D17E6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E1F2C" w14:textId="0AE72B98" w:rsidR="00D17E6D" w:rsidRPr="00D17E6D" w:rsidRDefault="00D17E6D" w:rsidP="00D17E6D">
    <w:pPr>
      <w:pStyle w:val="Footer"/>
      <w:rPr>
        <w:rFonts w:ascii="Arial" w:hAnsi="Arial" w:cs="Arial"/>
        <w:b/>
        <w:sz w:val="48"/>
      </w:rPr>
    </w:pPr>
    <w:r w:rsidRPr="00D17E6D">
      <w:rPr>
        <w:rFonts w:ascii="Arial" w:hAnsi="Arial" w:cs="Arial"/>
        <w:b/>
        <w:sz w:val="48"/>
      </w:rPr>
      <w:t>EN</w:t>
    </w:r>
    <w:r w:rsidRPr="00D17E6D">
      <w:rPr>
        <w:rFonts w:ascii="Arial" w:hAnsi="Arial" w:cs="Arial"/>
        <w:b/>
        <w:sz w:val="48"/>
      </w:rPr>
      <w:tab/>
    </w:r>
    <w:r>
      <w:fldChar w:fldCharType="begin"/>
    </w:r>
    <w:r>
      <w:instrText xml:space="preserve"> PAGE  \* MERGEFORMAT </w:instrText>
    </w:r>
    <w:r>
      <w:fldChar w:fldCharType="separate"/>
    </w:r>
    <w:r w:rsidR="005212DE">
      <w:rPr>
        <w:noProof/>
      </w:rPr>
      <w:t>9</w:t>
    </w:r>
    <w:r>
      <w:fldChar w:fldCharType="end"/>
    </w:r>
    <w:r>
      <w:tab/>
    </w:r>
    <w:r w:rsidRPr="00D17E6D">
      <w:tab/>
    </w:r>
    <w:r w:rsidRPr="00D17E6D">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B8962" w14:textId="77777777" w:rsidR="00D17E6D" w:rsidRDefault="00D17E6D" w:rsidP="00D17E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4B44FD" w14:textId="77777777" w:rsidR="0002086E" w:rsidRDefault="0002086E" w:rsidP="00E60E0C">
      <w:pPr>
        <w:spacing w:before="0" w:after="0"/>
      </w:pPr>
      <w:r>
        <w:separator/>
      </w:r>
    </w:p>
  </w:footnote>
  <w:footnote w:type="continuationSeparator" w:id="0">
    <w:p w14:paraId="0474E4FE" w14:textId="77777777" w:rsidR="0002086E" w:rsidRDefault="0002086E" w:rsidP="00E60E0C">
      <w:pPr>
        <w:spacing w:before="0" w:after="0"/>
      </w:pPr>
      <w:r>
        <w:continuationSeparator/>
      </w:r>
    </w:p>
  </w:footnote>
  <w:footnote w:type="continuationNotice" w:id="1">
    <w:p w14:paraId="6D991311" w14:textId="77777777" w:rsidR="0002086E" w:rsidRDefault="0002086E">
      <w:pPr>
        <w:spacing w:before="0" w:after="0"/>
      </w:pPr>
    </w:p>
  </w:footnote>
  <w:footnote w:id="2">
    <w:p w14:paraId="6B533627" w14:textId="77777777" w:rsidR="00EE1673" w:rsidRPr="007E0BB9" w:rsidRDefault="00EE1673" w:rsidP="00EE1673">
      <w:pPr>
        <w:pStyle w:val="FootnoteText"/>
      </w:pPr>
      <w:r w:rsidRPr="0029159E">
        <w:rPr>
          <w:rStyle w:val="FootnoteReference"/>
        </w:rPr>
        <w:footnoteRef/>
      </w:r>
      <w:r w:rsidR="0029159E">
        <w:tab/>
      </w:r>
      <w:hyperlink r:id="rId1" w:history="1">
        <w:r w:rsidRPr="007E0BB9">
          <w:rPr>
            <w:rStyle w:val="Hyperlink"/>
          </w:rPr>
          <w:t>Serious and Organised Crime Threat Assessment (SOCTA) | Europol</w:t>
        </w:r>
      </w:hyperlink>
    </w:p>
  </w:footnote>
  <w:footnote w:id="3">
    <w:p w14:paraId="72515998" w14:textId="77777777" w:rsidR="00EE1673" w:rsidRPr="00BF7C20" w:rsidRDefault="00EE1673" w:rsidP="00EE1673">
      <w:pPr>
        <w:pStyle w:val="FootnoteText"/>
        <w:rPr>
          <w:lang w:val="fr-BE"/>
        </w:rPr>
      </w:pPr>
      <w:r w:rsidRPr="0029159E">
        <w:rPr>
          <w:rStyle w:val="FootnoteReference"/>
        </w:rPr>
        <w:footnoteRef/>
      </w:r>
      <w:r w:rsidR="0029159E" w:rsidRPr="00BF7C20">
        <w:rPr>
          <w:lang w:val="fr-BE"/>
        </w:rPr>
        <w:tab/>
      </w:r>
      <w:hyperlink r:id="rId2" w:history="1">
        <w:r w:rsidR="00877A6E" w:rsidRPr="00BF7C20">
          <w:rPr>
            <w:rStyle w:val="Hyperlink"/>
            <w:lang w:val="fr-BE"/>
          </w:rPr>
          <w:t>EU Terrorism Situation &amp; Trend Report (TE-SAT) | Europol</w:t>
        </w:r>
      </w:hyperlink>
    </w:p>
  </w:footnote>
  <w:footnote w:id="4">
    <w:p w14:paraId="35E71DEC" w14:textId="77777777" w:rsidR="00EE1673" w:rsidRPr="00360457" w:rsidRDefault="00EE1673" w:rsidP="00EE1673">
      <w:pPr>
        <w:pStyle w:val="FootnoteText"/>
        <w:ind w:left="0" w:firstLine="0"/>
        <w:jc w:val="left"/>
      </w:pPr>
      <w:r w:rsidRPr="0029159E">
        <w:rPr>
          <w:rStyle w:val="FootnoteReference"/>
        </w:rPr>
        <w:footnoteRef/>
      </w:r>
      <w:r w:rsidR="0029159E">
        <w:tab/>
      </w:r>
      <w:r>
        <w:t>See also Report from the Commission to the European Parliament and the Council on the review of Directive (EU) 2016/681 on the use of passenger name record (PNR) data for the prevention, detection, investigation and prosecution of terrorist offences and serious crime; COM(2020) 305 final (24.07.2020).</w:t>
      </w:r>
    </w:p>
  </w:footnote>
  <w:footnote w:id="5">
    <w:p w14:paraId="3B25B22F" w14:textId="77777777" w:rsidR="00EE7673" w:rsidRDefault="00EE7673" w:rsidP="00EE7673">
      <w:pPr>
        <w:pStyle w:val="FootnoteText"/>
        <w:rPr>
          <w:lang w:val="en-IE"/>
        </w:rPr>
      </w:pPr>
      <w:r>
        <w:rPr>
          <w:rStyle w:val="FootnoteReference"/>
        </w:rPr>
        <w:footnoteRef/>
      </w:r>
      <w:r>
        <w:tab/>
      </w:r>
      <w:r w:rsidRPr="005B344A">
        <w:t>Commission Implementing Decision (EU) 2022/254 of 17 December 2021 pursuant to Regulation (EU) 2016/679 of the European Parliament and of the Council on the adequate protection of personal data by the Republic of Korea under the Personal Information Protection Act</w:t>
      </w:r>
      <w:r>
        <w:t xml:space="preserve"> (</w:t>
      </w:r>
      <w:r w:rsidRPr="005B344A">
        <w:t>OJ L 44, 24.2.2022, p. 1–90</w:t>
      </w:r>
      <w:r>
        <w:t xml:space="preserve">). </w:t>
      </w:r>
    </w:p>
  </w:footnote>
  <w:footnote w:id="6">
    <w:p w14:paraId="30319416" w14:textId="77777777" w:rsidR="00EE7673" w:rsidRPr="0007584E" w:rsidRDefault="00EE7673" w:rsidP="00EE7673">
      <w:pPr>
        <w:pStyle w:val="FootnoteText"/>
        <w:rPr>
          <w:lang w:val="pt-BR"/>
        </w:rPr>
      </w:pPr>
      <w:r>
        <w:rPr>
          <w:rStyle w:val="FootnoteReference"/>
        </w:rPr>
        <w:footnoteRef/>
      </w:r>
      <w:r w:rsidRPr="0007584E">
        <w:rPr>
          <w:lang w:val="pt-BR"/>
        </w:rPr>
        <w:tab/>
        <w:t>Regulation (EU) 2016/679, OJ L 119, 4.5.2016, p. 1-88.</w:t>
      </w:r>
    </w:p>
  </w:footnote>
  <w:footnote w:id="7">
    <w:p w14:paraId="790ACFC1" w14:textId="77777777" w:rsidR="00EE7673" w:rsidRPr="0007584E" w:rsidRDefault="00EE7673" w:rsidP="00EE7673">
      <w:pPr>
        <w:pStyle w:val="FootnoteText"/>
        <w:rPr>
          <w:lang w:val="pt-BR"/>
        </w:rPr>
      </w:pPr>
      <w:r>
        <w:rPr>
          <w:rStyle w:val="FootnoteReference"/>
        </w:rPr>
        <w:footnoteRef/>
      </w:r>
      <w:r w:rsidRPr="0007584E">
        <w:rPr>
          <w:lang w:val="pt-BR"/>
        </w:rPr>
        <w:tab/>
        <w:t>OJ L 119, 4.5.2016, p. 1–88.</w:t>
      </w:r>
    </w:p>
  </w:footnote>
  <w:footnote w:id="8">
    <w:p w14:paraId="45C37A45" w14:textId="1887EA16" w:rsidR="006C78FD" w:rsidRPr="008E36F1" w:rsidRDefault="006C78FD" w:rsidP="006C78FD">
      <w:pPr>
        <w:pStyle w:val="FootnoteText"/>
        <w:rPr>
          <w:lang w:val="pt-BR"/>
        </w:rPr>
      </w:pPr>
      <w:r w:rsidRPr="0029159E">
        <w:rPr>
          <w:rStyle w:val="FootnoteReference"/>
        </w:rPr>
        <w:footnoteRef/>
      </w:r>
      <w:r>
        <w:rPr>
          <w:lang w:val="pt-BR"/>
        </w:rPr>
        <w:tab/>
      </w:r>
      <w:r w:rsidR="00FE43A8" w:rsidRPr="0007584E">
        <w:rPr>
          <w:lang w:val="pt-BR"/>
        </w:rPr>
        <w:t>COM(2025) 490 final (15.9.2025)</w:t>
      </w:r>
    </w:p>
  </w:footnote>
  <w:footnote w:id="9">
    <w:p w14:paraId="0D08EB1E" w14:textId="103F2930" w:rsidR="00EE1673" w:rsidRPr="0007584E" w:rsidRDefault="00EE1673" w:rsidP="00EE1673">
      <w:pPr>
        <w:pStyle w:val="FootnoteText"/>
        <w:rPr>
          <w:lang w:val="en-IE"/>
        </w:rPr>
      </w:pPr>
      <w:r w:rsidRPr="0029159E">
        <w:rPr>
          <w:rStyle w:val="FootnoteReference"/>
        </w:rPr>
        <w:footnoteRef/>
      </w:r>
      <w:r w:rsidR="0029159E" w:rsidRPr="0007584E">
        <w:rPr>
          <w:lang w:val="en-IE"/>
        </w:rPr>
        <w:tab/>
      </w:r>
      <w:r w:rsidR="00FE43A8" w:rsidRPr="0007584E">
        <w:rPr>
          <w:lang w:val="en-IE"/>
        </w:rPr>
        <w:t>OJ L, 2025/2641.</w:t>
      </w:r>
    </w:p>
  </w:footnote>
  <w:footnote w:id="10">
    <w:p w14:paraId="4C4E50CF" w14:textId="77777777" w:rsidR="00FE43A8" w:rsidRPr="00432667" w:rsidRDefault="00FE43A8" w:rsidP="00FE43A8">
      <w:pPr>
        <w:pStyle w:val="FootnoteText"/>
      </w:pPr>
      <w:r w:rsidRPr="0029159E">
        <w:rPr>
          <w:rStyle w:val="FootnoteReference"/>
        </w:rPr>
        <w:footnoteRef/>
      </w:r>
      <w:r>
        <w:tab/>
      </w:r>
      <w:r w:rsidRPr="00A1162F">
        <w:t>Directive (EU) 2016/681 of the European Parliament and of the Council of 27 April 2016 on the use of passenger name record (PNR) data for the prevention, detection, investigation and prosecution of terrorist offences and serious crime (OJ L 119, 4.5.2016, p. 132–149), ), hereinafter referred to as the ‘PNR Directive’ or ‘Directive (EU) 2016/681’.</w:t>
      </w:r>
    </w:p>
  </w:footnote>
  <w:footnote w:id="11">
    <w:p w14:paraId="737EF554" w14:textId="77777777" w:rsidR="00FE43A8" w:rsidRPr="00432667" w:rsidRDefault="00FE43A8" w:rsidP="00FE43A8">
      <w:pPr>
        <w:pStyle w:val="FootnoteText"/>
      </w:pPr>
      <w:r w:rsidRPr="0029159E">
        <w:rPr>
          <w:rStyle w:val="FootnoteReference"/>
        </w:rPr>
        <w:footnoteRef/>
      </w:r>
      <w:r>
        <w:tab/>
      </w:r>
      <w:r w:rsidRPr="00A1162F">
        <w:rPr>
          <w:lang w:val="en-IE"/>
        </w:rPr>
        <w:t>Judgment of the Court (Grand Chamber) of 21 June 2022 “Ligue des droits humains ASBL v Conseil des ministres”, C-817/19, EU:C:2022:491. The judgement concerned a request for a preliminary ruling from the Cour Constitutionnelle of Belgium.</w:t>
      </w:r>
    </w:p>
  </w:footnote>
  <w:footnote w:id="12">
    <w:p w14:paraId="551E6C00" w14:textId="77777777" w:rsidR="00EE1673" w:rsidRPr="008E36F1" w:rsidRDefault="00EE1673" w:rsidP="00EE1673">
      <w:pPr>
        <w:pStyle w:val="FootnoteText"/>
        <w:rPr>
          <w:lang w:val="pt-BR"/>
        </w:rPr>
      </w:pPr>
      <w:r w:rsidRPr="0029159E">
        <w:rPr>
          <w:rStyle w:val="FootnoteReference"/>
        </w:rPr>
        <w:footnoteRef/>
      </w:r>
      <w:r w:rsidR="0029159E">
        <w:rPr>
          <w:lang w:val="pt-BR"/>
        </w:rPr>
        <w:tab/>
      </w:r>
      <w:r w:rsidR="1C2F75A9" w:rsidRPr="008E36F1">
        <w:rPr>
          <w:lang w:val="pt-BR"/>
        </w:rPr>
        <w:t>COM(2003) 826 final (16.12.2003).</w:t>
      </w:r>
    </w:p>
  </w:footnote>
  <w:footnote w:id="13">
    <w:p w14:paraId="0B221C36" w14:textId="24F887F4" w:rsidR="00EE1673" w:rsidRPr="00432667" w:rsidRDefault="00EE1673" w:rsidP="00EE1673">
      <w:pPr>
        <w:pStyle w:val="FootnoteText"/>
        <w:rPr>
          <w:lang w:val="pt-BR"/>
        </w:rPr>
      </w:pPr>
      <w:r w:rsidRPr="0029159E">
        <w:rPr>
          <w:rStyle w:val="FootnoteReference"/>
        </w:rPr>
        <w:footnoteRef/>
      </w:r>
      <w:r w:rsidR="0029159E">
        <w:rPr>
          <w:lang w:val="pt-BR"/>
        </w:rPr>
        <w:tab/>
      </w:r>
      <w:r w:rsidR="1C2F75A9" w:rsidRPr="00432667">
        <w:rPr>
          <w:lang w:val="pt-BR"/>
        </w:rPr>
        <w:t>COM(2010) 492 final (21.09.2010).</w:t>
      </w:r>
      <w:r w:rsidR="008158D5">
        <w:rPr>
          <w:lang w:val="pt-BR"/>
        </w:rPr>
        <w:t xml:space="preserve"> </w:t>
      </w:r>
    </w:p>
  </w:footnote>
  <w:footnote w:id="14">
    <w:p w14:paraId="36A0FFC9" w14:textId="0A8824CB" w:rsidR="00EE1673" w:rsidRPr="00EE1673" w:rsidRDefault="00EE1673" w:rsidP="00EE1673">
      <w:pPr>
        <w:pStyle w:val="FootnoteText"/>
        <w:rPr>
          <w:lang w:val="pt-BR"/>
        </w:rPr>
      </w:pPr>
      <w:r w:rsidRPr="0029159E">
        <w:rPr>
          <w:rStyle w:val="FootnoteReference"/>
        </w:rPr>
        <w:footnoteRef/>
      </w:r>
      <w:r w:rsidR="0029159E">
        <w:rPr>
          <w:lang w:val="pt-BR"/>
        </w:rPr>
        <w:tab/>
      </w:r>
      <w:r w:rsidR="1C2F75A9" w:rsidRPr="00EE1673">
        <w:rPr>
          <w:lang w:val="pt-BR"/>
        </w:rPr>
        <w:t>OJ L 186, 14.7.2012, p. 4–16.</w:t>
      </w:r>
      <w:r w:rsidR="008158D5">
        <w:rPr>
          <w:lang w:val="pt-BR"/>
        </w:rPr>
        <w:t xml:space="preserve"> </w:t>
      </w:r>
    </w:p>
  </w:footnote>
  <w:footnote w:id="15">
    <w:p w14:paraId="59819663" w14:textId="063EC773" w:rsidR="00EE1673" w:rsidRPr="00F43DE9" w:rsidRDefault="00EE1673" w:rsidP="00EE1673">
      <w:pPr>
        <w:pStyle w:val="FootnoteText"/>
        <w:rPr>
          <w:lang w:val="nl-BE"/>
        </w:rPr>
      </w:pPr>
      <w:r w:rsidRPr="0029159E">
        <w:rPr>
          <w:rStyle w:val="FootnoteReference"/>
        </w:rPr>
        <w:footnoteRef/>
      </w:r>
      <w:r w:rsidR="0029159E" w:rsidRPr="00F43DE9">
        <w:rPr>
          <w:lang w:val="nl-BE"/>
        </w:rPr>
        <w:tab/>
      </w:r>
      <w:r w:rsidR="1C2F75A9" w:rsidRPr="00F43DE9">
        <w:rPr>
          <w:lang w:val="nl-BE"/>
        </w:rPr>
        <w:t>OJ L 215, 11.8.2012, p. 5–14.</w:t>
      </w:r>
      <w:r w:rsidR="008158D5">
        <w:rPr>
          <w:lang w:val="nl-BE"/>
        </w:rPr>
        <w:t xml:space="preserve"> </w:t>
      </w:r>
    </w:p>
  </w:footnote>
  <w:footnote w:id="16">
    <w:p w14:paraId="5B734208" w14:textId="1E696F83" w:rsidR="00EE1673" w:rsidRPr="00F43DE9" w:rsidRDefault="00EE1673" w:rsidP="00EE1673">
      <w:pPr>
        <w:pStyle w:val="FootnoteText"/>
        <w:rPr>
          <w:lang w:val="nl-BE"/>
        </w:rPr>
      </w:pPr>
      <w:r w:rsidRPr="0029159E">
        <w:rPr>
          <w:rStyle w:val="FootnoteReference"/>
        </w:rPr>
        <w:footnoteRef/>
      </w:r>
      <w:r w:rsidR="0029159E" w:rsidRPr="00F43DE9">
        <w:rPr>
          <w:lang w:val="nl-BE"/>
        </w:rPr>
        <w:tab/>
      </w:r>
      <w:r w:rsidR="1C2F75A9" w:rsidRPr="00F43DE9">
        <w:rPr>
          <w:lang w:val="nl-BE"/>
        </w:rPr>
        <w:t>OJ L 149, 30.4.2021, p. 710 – 735.</w:t>
      </w:r>
      <w:r w:rsidR="008158D5">
        <w:rPr>
          <w:lang w:val="nl-BE"/>
        </w:rPr>
        <w:t xml:space="preserve"> </w:t>
      </w:r>
    </w:p>
  </w:footnote>
  <w:footnote w:id="17">
    <w:p w14:paraId="6FB92696" w14:textId="77777777" w:rsidR="00EE1673" w:rsidRPr="00F43DE9" w:rsidRDefault="00EE1673" w:rsidP="00EE1673">
      <w:pPr>
        <w:pStyle w:val="FootnoteText"/>
        <w:rPr>
          <w:lang w:val="nl-BE"/>
        </w:rPr>
      </w:pPr>
      <w:r w:rsidRPr="0029159E">
        <w:rPr>
          <w:rStyle w:val="FootnoteReference"/>
        </w:rPr>
        <w:footnoteRef/>
      </w:r>
      <w:r w:rsidR="0029159E" w:rsidRPr="00F43DE9">
        <w:rPr>
          <w:lang w:val="nl-BE"/>
        </w:rPr>
        <w:tab/>
      </w:r>
      <w:r w:rsidR="1C2F75A9" w:rsidRPr="00F43DE9">
        <w:rPr>
          <w:lang w:val="nl-BE"/>
        </w:rPr>
        <w:t>EU:C:2017:592.</w:t>
      </w:r>
    </w:p>
  </w:footnote>
  <w:footnote w:id="18">
    <w:p w14:paraId="2D0A4819" w14:textId="621BE0EA" w:rsidR="00EE1673" w:rsidRPr="0007584E" w:rsidRDefault="00EE1673" w:rsidP="00EE1673">
      <w:pPr>
        <w:pStyle w:val="FootnoteText"/>
        <w:ind w:left="0" w:firstLine="0"/>
        <w:rPr>
          <w:lang w:val="en-IE"/>
        </w:rPr>
      </w:pPr>
      <w:r w:rsidRPr="0029159E">
        <w:rPr>
          <w:rStyle w:val="FootnoteReference"/>
        </w:rPr>
        <w:footnoteRef/>
      </w:r>
      <w:r w:rsidR="0029159E" w:rsidRPr="0007584E">
        <w:rPr>
          <w:lang w:val="en-IE"/>
        </w:rPr>
        <w:tab/>
      </w:r>
      <w:r w:rsidRPr="0007584E">
        <w:rPr>
          <w:lang w:val="en-IE"/>
        </w:rPr>
        <w:t>OJ L, 2024/2891</w:t>
      </w:r>
      <w:r w:rsidR="00C44D9E" w:rsidRPr="0007584E">
        <w:rPr>
          <w:lang w:val="en-IE"/>
        </w:rPr>
        <w:t>.</w:t>
      </w:r>
    </w:p>
  </w:footnote>
  <w:footnote w:id="19">
    <w:p w14:paraId="002DD177" w14:textId="651ABBAE" w:rsidR="00D8243F" w:rsidRPr="00705F4B" w:rsidRDefault="00D8243F" w:rsidP="00D8243F">
      <w:pPr>
        <w:pStyle w:val="FootnoteText"/>
        <w:rPr>
          <w:lang w:val="en-IE"/>
        </w:rPr>
      </w:pPr>
      <w:r w:rsidRPr="0029159E">
        <w:rPr>
          <w:rStyle w:val="FootnoteReference"/>
        </w:rPr>
        <w:footnoteRef/>
      </w:r>
      <w:r w:rsidRPr="00705F4B">
        <w:rPr>
          <w:lang w:val="en-IE"/>
        </w:rPr>
        <w:tab/>
      </w:r>
      <w:r w:rsidR="00705F4B" w:rsidRPr="00705F4B">
        <w:rPr>
          <w:lang w:val="en-IE"/>
        </w:rPr>
        <w:t xml:space="preserve">Authorised by a Council Decision of </w:t>
      </w:r>
      <w:r w:rsidR="00705F4B" w:rsidRPr="00705F4B">
        <w:t>22 September 2025</w:t>
      </w:r>
      <w:r w:rsidR="00705F4B">
        <w:t xml:space="preserve">, </w:t>
      </w:r>
      <w:r w:rsidRPr="0007584E">
        <w:rPr>
          <w:lang w:val="en-IE"/>
        </w:rPr>
        <w:t>OJ L, 2025/1964</w:t>
      </w:r>
      <w:r w:rsidRPr="00705F4B">
        <w:rPr>
          <w:lang w:val="en-IE"/>
        </w:rPr>
        <w:t>.</w:t>
      </w:r>
    </w:p>
  </w:footnote>
  <w:footnote w:id="20">
    <w:p w14:paraId="73897EE2" w14:textId="4164E804" w:rsidR="00D8243F" w:rsidRPr="00705F4B" w:rsidRDefault="00D8243F" w:rsidP="00D8243F">
      <w:pPr>
        <w:pStyle w:val="FootnoteText"/>
        <w:rPr>
          <w:lang w:val="en-IE"/>
        </w:rPr>
      </w:pPr>
      <w:r w:rsidRPr="0029159E">
        <w:rPr>
          <w:rStyle w:val="FootnoteReference"/>
        </w:rPr>
        <w:footnoteRef/>
      </w:r>
      <w:r w:rsidRPr="00705F4B">
        <w:rPr>
          <w:lang w:val="en-IE"/>
        </w:rPr>
        <w:tab/>
      </w:r>
      <w:r w:rsidR="00705F4B" w:rsidRPr="00705F4B">
        <w:rPr>
          <w:lang w:val="en-IE"/>
        </w:rPr>
        <w:t xml:space="preserve">Authorised by a Council Decision of </w:t>
      </w:r>
      <w:r w:rsidR="00705F4B" w:rsidRPr="00705F4B">
        <w:t>22 September 2025</w:t>
      </w:r>
      <w:r w:rsidR="00705F4B">
        <w:t xml:space="preserve">, </w:t>
      </w:r>
      <w:r w:rsidRPr="0007584E">
        <w:rPr>
          <w:lang w:val="en-IE"/>
        </w:rPr>
        <w:t>OJ L, 2025/1965</w:t>
      </w:r>
      <w:r w:rsidRPr="00705F4B">
        <w:rPr>
          <w:lang w:val="en-IE"/>
        </w:rPr>
        <w:t>.</w:t>
      </w:r>
    </w:p>
  </w:footnote>
  <w:footnote w:id="21">
    <w:p w14:paraId="531734DF" w14:textId="7900B206" w:rsidR="00D8243F" w:rsidRPr="00705F4B" w:rsidRDefault="00D8243F" w:rsidP="00D8243F">
      <w:pPr>
        <w:pStyle w:val="FootnoteText"/>
        <w:rPr>
          <w:lang w:val="en-IE"/>
        </w:rPr>
      </w:pPr>
      <w:r w:rsidRPr="0029159E">
        <w:rPr>
          <w:rStyle w:val="FootnoteReference"/>
        </w:rPr>
        <w:footnoteRef/>
      </w:r>
      <w:r w:rsidRPr="00705F4B">
        <w:rPr>
          <w:lang w:val="en-IE"/>
        </w:rPr>
        <w:tab/>
      </w:r>
      <w:r w:rsidR="00705F4B" w:rsidRPr="00705F4B">
        <w:rPr>
          <w:lang w:val="en-IE"/>
        </w:rPr>
        <w:t xml:space="preserve">Authorised by a Council Decision of </w:t>
      </w:r>
      <w:r w:rsidR="00705F4B" w:rsidRPr="00705F4B">
        <w:t>23 February 2026</w:t>
      </w:r>
      <w:r w:rsidR="00705F4B">
        <w:t xml:space="preserve">, </w:t>
      </w:r>
      <w:r w:rsidRPr="0007584E">
        <w:rPr>
          <w:lang w:val="en-IE"/>
        </w:rPr>
        <w:t>OJ L, 2026/643</w:t>
      </w:r>
      <w:r w:rsidRPr="00705F4B">
        <w:rPr>
          <w:lang w:val="en-IE"/>
        </w:rPr>
        <w:t>.</w:t>
      </w:r>
    </w:p>
  </w:footnote>
  <w:footnote w:id="22">
    <w:p w14:paraId="7E7CA771" w14:textId="77777777" w:rsidR="00EE1673" w:rsidRPr="00432667" w:rsidRDefault="00EE1673" w:rsidP="00EE1673">
      <w:pPr>
        <w:pStyle w:val="FootnoteText"/>
        <w:ind w:left="0" w:firstLine="0"/>
        <w:rPr>
          <w:lang w:val="en-IE"/>
        </w:rPr>
      </w:pPr>
      <w:r w:rsidRPr="0029159E">
        <w:rPr>
          <w:rStyle w:val="FootnoteReference"/>
        </w:rPr>
        <w:footnoteRef/>
      </w:r>
      <w:r w:rsidR="0029159E">
        <w:tab/>
      </w:r>
      <w:r w:rsidRPr="006567FF">
        <w:t>UNSCR 2396 (2017): “The Security Council: [..] 12. Decides that Member States shall develop the capability to collect, process and analyse, in furtherance of ICAO standards and recommended practices, passenger name record (PNR) data and to ensure PNR data is used by and shared with all their competent national authorities, with full respect for human rights and fundamental freedoms for the purpose of preventing, detecting and investigating terrorist offenses and related travel, [..]”. See also UNSCR 2482 (2019).</w:t>
      </w:r>
    </w:p>
  </w:footnote>
  <w:footnote w:id="23">
    <w:p w14:paraId="0F309B61" w14:textId="77777777" w:rsidR="00EE1673" w:rsidRPr="006567FF" w:rsidRDefault="00EE1673" w:rsidP="00EE1673">
      <w:pPr>
        <w:pStyle w:val="FootnoteText"/>
        <w:rPr>
          <w:lang w:val="en-IE"/>
        </w:rPr>
      </w:pPr>
      <w:r w:rsidRPr="0029159E">
        <w:rPr>
          <w:rStyle w:val="FootnoteReference"/>
        </w:rPr>
        <w:footnoteRef/>
      </w:r>
      <w:r w:rsidR="0029159E">
        <w:rPr>
          <w:lang w:val="en-IE"/>
        </w:rPr>
        <w:tab/>
      </w:r>
      <w:r w:rsidR="00B9565E" w:rsidRPr="002D3EB0">
        <w:t>Annex 9, Chapter 9, Section D to the International Convention on Civil Aviation</w:t>
      </w:r>
      <w:r>
        <w:rPr>
          <w:lang w:val="en-IE"/>
        </w:rPr>
        <w:t xml:space="preserve">. </w:t>
      </w:r>
    </w:p>
  </w:footnote>
  <w:footnote w:id="24">
    <w:p w14:paraId="56C59F7E" w14:textId="4FC7B091" w:rsidR="00EE1673" w:rsidRPr="006567FF" w:rsidRDefault="00EE1673" w:rsidP="00EE1673">
      <w:pPr>
        <w:pStyle w:val="FootnoteText"/>
        <w:rPr>
          <w:lang w:val="en-IE"/>
        </w:rPr>
      </w:pPr>
      <w:r w:rsidRPr="0029159E">
        <w:rPr>
          <w:rStyle w:val="FootnoteReference"/>
        </w:rPr>
        <w:footnoteRef/>
      </w:r>
      <w:r w:rsidR="0029159E">
        <w:rPr>
          <w:lang w:val="en-IE"/>
        </w:rPr>
        <w:tab/>
      </w:r>
      <w:r w:rsidRPr="006567FF">
        <w:rPr>
          <w:lang w:val="en-IE"/>
        </w:rPr>
        <w:t>OJ L 37, 3.2.2021, p.6-9</w:t>
      </w:r>
      <w:r>
        <w:rPr>
          <w:lang w:val="en-IE"/>
        </w:rPr>
        <w:t>.</w:t>
      </w:r>
      <w:r w:rsidR="008158D5">
        <w:rPr>
          <w:lang w:val="en-IE"/>
        </w:rPr>
        <w:t xml:space="preserve"> </w:t>
      </w:r>
    </w:p>
  </w:footnote>
  <w:footnote w:id="25">
    <w:p w14:paraId="76849B02" w14:textId="77777777" w:rsidR="00EE1673" w:rsidRPr="00521A5E" w:rsidRDefault="00EE1673" w:rsidP="00EE1673">
      <w:pPr>
        <w:pStyle w:val="FootnoteText"/>
        <w:ind w:left="0" w:firstLine="0"/>
      </w:pPr>
      <w:r w:rsidRPr="0029159E">
        <w:rPr>
          <w:rStyle w:val="FootnoteReference"/>
        </w:rPr>
        <w:footnoteRef/>
      </w:r>
      <w:r w:rsidR="0029159E">
        <w:tab/>
      </w:r>
      <w:r w:rsidRPr="00C91B36">
        <w:t>Communication from the Commission to the European Parliament, the European Council, the Council, the European Economic and Social Committee and the Committee of the Regions on the EU Security Union Strategy, , COM(2020) 605 final (24.7.2020): [..] as a mid-term action, the Commission will launch a review of the current approach on PNR data transfer to third countries.”</w:t>
      </w:r>
      <w:r>
        <w:t>.</w:t>
      </w:r>
    </w:p>
  </w:footnote>
  <w:footnote w:id="26">
    <w:p w14:paraId="583B8DB1" w14:textId="77777777" w:rsidR="00EE1673" w:rsidRPr="00521A5E" w:rsidRDefault="00EE1673" w:rsidP="00EE1673">
      <w:pPr>
        <w:pStyle w:val="FootnoteText"/>
        <w:ind w:left="0" w:firstLine="0"/>
      </w:pPr>
      <w:r w:rsidRPr="0029159E">
        <w:rPr>
          <w:rStyle w:val="FootnoteReference"/>
        </w:rPr>
        <w:footnoteRef/>
      </w:r>
      <w:r w:rsidR="0029159E">
        <w:tab/>
      </w:r>
      <w:r w:rsidRPr="00C91B36">
        <w:t>Council Conclusions of 7 June 2021 on the transfer of Passenger Name Record (PNR) data to third countries, in particular Australia and the United States, for the purpose of combating terrorism and serious crime, Council Document 9605/21 of 8 June 2021: “</w:t>
      </w:r>
      <w:r w:rsidRPr="00C91B36">
        <w:rPr>
          <w:i/>
          <w:iCs/>
        </w:rPr>
        <w:t>Calls on the Commission to pursue a consistent and effective approach regarding the transfer of PNR data to third countries for the purpose of combating terrorism and serious crime, building on the ICAO SARPs, and in line with the relevant requirements established under Union law</w:t>
      </w:r>
      <w:r w:rsidRPr="00C91B36">
        <w:t>.”</w:t>
      </w:r>
    </w:p>
  </w:footnote>
  <w:footnote w:id="27">
    <w:p w14:paraId="125096FF" w14:textId="77777777" w:rsidR="00C618A1" w:rsidRDefault="00C618A1" w:rsidP="00C618A1">
      <w:pPr>
        <w:pStyle w:val="FootnoteText"/>
        <w:rPr>
          <w:lang w:val="en-IE"/>
        </w:rPr>
      </w:pPr>
      <w:r>
        <w:rPr>
          <w:rStyle w:val="FootnoteReference"/>
        </w:rPr>
        <w:footnoteRef/>
      </w:r>
      <w:r>
        <w:tab/>
      </w:r>
      <w:r>
        <w:rPr>
          <w:lang w:val="en-IE"/>
        </w:rPr>
        <w:t>[OJ…]</w:t>
      </w:r>
    </w:p>
  </w:footnote>
  <w:footnote w:id="28">
    <w:p w14:paraId="5A5C91C0" w14:textId="504B274D" w:rsidR="00A224C0" w:rsidRPr="00521A5E" w:rsidRDefault="00A224C0" w:rsidP="00A224C0">
      <w:pPr>
        <w:pStyle w:val="FootnoteText"/>
        <w:ind w:left="0" w:firstLine="0"/>
      </w:pPr>
      <w:r w:rsidRPr="0029159E">
        <w:rPr>
          <w:rStyle w:val="FootnoteReference"/>
        </w:rPr>
        <w:footnoteRef/>
      </w:r>
      <w:r>
        <w:tab/>
      </w:r>
      <w:r w:rsidRPr="00C91B36">
        <w:t xml:space="preserve">Communication from the Commission to the European Parliament, the European Council, the Council, the European Economic and Social Committee and the Committee of the Regions on the EU Security Union Strategy, COM(2020) 605 final (24.7.2020): </w:t>
      </w:r>
      <w:r w:rsidR="00A7714C">
        <w:t>“</w:t>
      </w:r>
      <w:r w:rsidRPr="00C91B36">
        <w:t>[..] as a mid-term action, the Commission will launch a review of the current approach on PNR data transfer to third countries.”</w:t>
      </w:r>
      <w:r>
        <w:t>.</w:t>
      </w:r>
    </w:p>
  </w:footnote>
  <w:footnote w:id="29">
    <w:p w14:paraId="2C50622B" w14:textId="77777777" w:rsidR="00A224C0" w:rsidRPr="00521A5E" w:rsidRDefault="00A224C0" w:rsidP="00A224C0">
      <w:pPr>
        <w:pStyle w:val="FootnoteText"/>
        <w:ind w:left="0" w:firstLine="0"/>
      </w:pPr>
      <w:r w:rsidRPr="0029159E">
        <w:rPr>
          <w:rStyle w:val="FootnoteReference"/>
        </w:rPr>
        <w:footnoteRef/>
      </w:r>
      <w:r>
        <w:tab/>
      </w:r>
      <w:r w:rsidRPr="00C91B36">
        <w:t>Council Conclusions of 7 June 2021 on the transfer of Passenger Name Record (PNR) data to third countries, in particular Australia and the United States, for the purpose of combating terrorism and serious crime, Council Document 9605/21 of 8 June 2021: “</w:t>
      </w:r>
      <w:r w:rsidRPr="00C91B36">
        <w:rPr>
          <w:i/>
          <w:iCs/>
        </w:rPr>
        <w:t>Calls on the Commission to pursue a consistent and effective approach regarding the transfer of PNR data to third countries for the purpose of combating terrorism and serious crime, building on the ICAO SARPs, and in line with the relevant requirements established under Union law</w:t>
      </w:r>
      <w:r w:rsidRPr="00C91B36">
        <w:t>.”</w:t>
      </w:r>
    </w:p>
  </w:footnote>
  <w:footnote w:id="30">
    <w:p w14:paraId="49F61A9D" w14:textId="1B1D9AFC" w:rsidR="00FA17F5" w:rsidRPr="00657CEE" w:rsidRDefault="00FA17F5" w:rsidP="00FA17F5">
      <w:pPr>
        <w:pStyle w:val="FootnoteText"/>
        <w:ind w:left="0" w:firstLine="0"/>
        <w:jc w:val="left"/>
        <w:rPr>
          <w:lang w:val="en-IE"/>
        </w:rPr>
      </w:pPr>
      <w:r w:rsidRPr="0029159E">
        <w:rPr>
          <w:rStyle w:val="FootnoteReference"/>
        </w:rPr>
        <w:footnoteRef/>
      </w:r>
      <w:r w:rsidR="0029159E">
        <w:tab/>
      </w:r>
      <w:r w:rsidR="00C618A1" w:rsidRPr="00C618A1">
        <w:t>The text of the Agreement is published in [OJ…]</w:t>
      </w:r>
      <w:r>
        <w:t>.</w:t>
      </w:r>
    </w:p>
  </w:footnote>
  <w:footnote w:id="31">
    <w:p w14:paraId="355D0296" w14:textId="781E735D" w:rsidR="00C618A1" w:rsidRDefault="00C618A1" w:rsidP="00C618A1">
      <w:pPr>
        <w:pStyle w:val="FootnoteText"/>
        <w:rPr>
          <w:lang w:val="en-IE"/>
        </w:rPr>
      </w:pPr>
      <w:r>
        <w:rPr>
          <w:rStyle w:val="FootnoteReference"/>
        </w:rPr>
        <w:footnoteRef/>
      </w:r>
      <w:r>
        <w:tab/>
        <w:t xml:space="preserve">The date of entry into force of the Agreement will be published in the </w:t>
      </w:r>
      <w:r>
        <w:rPr>
          <w:i/>
          <w:iCs/>
        </w:rPr>
        <w:t>Official Journal of the European Union</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95F6D" w14:textId="77777777" w:rsidR="00D17E6D" w:rsidRDefault="00D17E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025E9" w14:textId="77777777" w:rsidR="00D17E6D" w:rsidRDefault="00D17E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55B209A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9A2AE4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B9BAA3F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9F8B1B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4AE204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69E63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46D47ED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CA8A8C7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 w:vendorID="64" w:dllVersion="0"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nl-BE" w:vendorID="64" w:dllVersion="0" w:nlCheck="1" w:checkStyle="0"/>
  <w:activeWritingStyle w:appName="MSWord" w:lang="es-ES"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7-14 17:19:3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5E0F2D5-A059-48B0-9539-F87BFA7CF5E0"/>
    <w:docVar w:name="LW_COVERPAGE_TYPE" w:val="1"/>
    <w:docVar w:name="LW_CROSSREFERENCE" w:val="&lt;UNUSED&gt;"/>
    <w:docVar w:name="LW_DocType" w:val="COM"/>
    <w:docVar w:name="LW_EMISSION" w:val="24.7.2026"/>
    <w:docVar w:name="LW_EMISSION_ISODATE" w:val="2026-07-24"/>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EXP.MOTIFS.NEW" w:val="EM_PL_"/>
    <w:docVar w:name="LW_ID_STATUT" w:val="SJ-019"/>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14"/>
    <w:docVar w:name="LW_REF.II.NEW.CP_YEAR" w:val="2026"/>
    <w:docVar w:name="LW_REF.INST.NEW" w:val="COM"/>
    <w:docVar w:name="LW_REF.INST.NEW_ADOPTED" w:val="final"/>
    <w:docVar w:name="LW_REF.INST.NEW_TEXT" w:val="(2026) 38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conclusion of the Agreement between the European Union and the Republic of Korea on the transfer of Passenger Name Record (PNR) data for the prevention, detection, investigation and prosecution of terrorist offences and serious crime"/>
    <w:docVar w:name="LW_TYPE.DOC.CP" w:val="COUNCIL DECISION"/>
    <w:docVar w:name="LwApiVersions" w:val="LW4CoDe 1.24.5.0; LW 9.2, Build 20251112"/>
  </w:docVars>
  <w:rsids>
    <w:rsidRoot w:val="00E60E0C"/>
    <w:rsid w:val="0000071A"/>
    <w:rsid w:val="0000469B"/>
    <w:rsid w:val="00011C02"/>
    <w:rsid w:val="0001251B"/>
    <w:rsid w:val="0001321B"/>
    <w:rsid w:val="000153CA"/>
    <w:rsid w:val="000157D2"/>
    <w:rsid w:val="00015EF8"/>
    <w:rsid w:val="00016298"/>
    <w:rsid w:val="00016843"/>
    <w:rsid w:val="00016A64"/>
    <w:rsid w:val="0001738C"/>
    <w:rsid w:val="0002086E"/>
    <w:rsid w:val="00022DF0"/>
    <w:rsid w:val="000233C4"/>
    <w:rsid w:val="00024D6B"/>
    <w:rsid w:val="00025194"/>
    <w:rsid w:val="00025906"/>
    <w:rsid w:val="00025FA0"/>
    <w:rsid w:val="000265E3"/>
    <w:rsid w:val="000303CF"/>
    <w:rsid w:val="00031307"/>
    <w:rsid w:val="000357D0"/>
    <w:rsid w:val="00036A01"/>
    <w:rsid w:val="00036A41"/>
    <w:rsid w:val="00040359"/>
    <w:rsid w:val="00043BEC"/>
    <w:rsid w:val="00043E71"/>
    <w:rsid w:val="00045D05"/>
    <w:rsid w:val="00050F7A"/>
    <w:rsid w:val="0005285D"/>
    <w:rsid w:val="00053F64"/>
    <w:rsid w:val="0005404B"/>
    <w:rsid w:val="000566EE"/>
    <w:rsid w:val="00057407"/>
    <w:rsid w:val="00061690"/>
    <w:rsid w:val="000618D3"/>
    <w:rsid w:val="000628F2"/>
    <w:rsid w:val="000654D7"/>
    <w:rsid w:val="00066006"/>
    <w:rsid w:val="000705DA"/>
    <w:rsid w:val="00070606"/>
    <w:rsid w:val="00072354"/>
    <w:rsid w:val="00072575"/>
    <w:rsid w:val="0007406D"/>
    <w:rsid w:val="0007584E"/>
    <w:rsid w:val="00077217"/>
    <w:rsid w:val="00083049"/>
    <w:rsid w:val="0008373E"/>
    <w:rsid w:val="00083C1F"/>
    <w:rsid w:val="0008586E"/>
    <w:rsid w:val="000863E8"/>
    <w:rsid w:val="00093737"/>
    <w:rsid w:val="00096EE6"/>
    <w:rsid w:val="000972A5"/>
    <w:rsid w:val="00097987"/>
    <w:rsid w:val="00097D27"/>
    <w:rsid w:val="000A2060"/>
    <w:rsid w:val="000A2934"/>
    <w:rsid w:val="000A3B62"/>
    <w:rsid w:val="000A41E6"/>
    <w:rsid w:val="000A7517"/>
    <w:rsid w:val="000B48AD"/>
    <w:rsid w:val="000B6CF0"/>
    <w:rsid w:val="000C215F"/>
    <w:rsid w:val="000C3D42"/>
    <w:rsid w:val="000C4ABE"/>
    <w:rsid w:val="000C58E4"/>
    <w:rsid w:val="000C6DDA"/>
    <w:rsid w:val="000C7AD5"/>
    <w:rsid w:val="000D28D1"/>
    <w:rsid w:val="000D42B6"/>
    <w:rsid w:val="000D64FF"/>
    <w:rsid w:val="000E198E"/>
    <w:rsid w:val="000E2866"/>
    <w:rsid w:val="000E3C40"/>
    <w:rsid w:val="000F3994"/>
    <w:rsid w:val="000F5F92"/>
    <w:rsid w:val="000F69DD"/>
    <w:rsid w:val="00100287"/>
    <w:rsid w:val="00104532"/>
    <w:rsid w:val="00106169"/>
    <w:rsid w:val="0010666B"/>
    <w:rsid w:val="001108E7"/>
    <w:rsid w:val="001130D2"/>
    <w:rsid w:val="00116A15"/>
    <w:rsid w:val="00120256"/>
    <w:rsid w:val="001207D1"/>
    <w:rsid w:val="00120BBB"/>
    <w:rsid w:val="00122C5F"/>
    <w:rsid w:val="001355AC"/>
    <w:rsid w:val="0014050B"/>
    <w:rsid w:val="00142C5E"/>
    <w:rsid w:val="00143BF1"/>
    <w:rsid w:val="00144EEF"/>
    <w:rsid w:val="0014790C"/>
    <w:rsid w:val="001503C4"/>
    <w:rsid w:val="00151092"/>
    <w:rsid w:val="001535A7"/>
    <w:rsid w:val="00153FC7"/>
    <w:rsid w:val="00156C12"/>
    <w:rsid w:val="00162C1D"/>
    <w:rsid w:val="001679CE"/>
    <w:rsid w:val="00171B1F"/>
    <w:rsid w:val="00174BF8"/>
    <w:rsid w:val="00176A4F"/>
    <w:rsid w:val="00177115"/>
    <w:rsid w:val="0017714A"/>
    <w:rsid w:val="0017728C"/>
    <w:rsid w:val="001775D6"/>
    <w:rsid w:val="00180364"/>
    <w:rsid w:val="001805E8"/>
    <w:rsid w:val="0018299A"/>
    <w:rsid w:val="00182FE3"/>
    <w:rsid w:val="00185B6B"/>
    <w:rsid w:val="00191D34"/>
    <w:rsid w:val="00191E88"/>
    <w:rsid w:val="00192907"/>
    <w:rsid w:val="001974C9"/>
    <w:rsid w:val="00197F96"/>
    <w:rsid w:val="001A0A14"/>
    <w:rsid w:val="001A21E2"/>
    <w:rsid w:val="001A28E9"/>
    <w:rsid w:val="001A6886"/>
    <w:rsid w:val="001A7FB8"/>
    <w:rsid w:val="001B06E4"/>
    <w:rsid w:val="001B1ACF"/>
    <w:rsid w:val="001B6404"/>
    <w:rsid w:val="001B7179"/>
    <w:rsid w:val="001B7A10"/>
    <w:rsid w:val="001B7D3A"/>
    <w:rsid w:val="001C12DE"/>
    <w:rsid w:val="001C2816"/>
    <w:rsid w:val="001C2A2F"/>
    <w:rsid w:val="001C312B"/>
    <w:rsid w:val="001C48FF"/>
    <w:rsid w:val="001C4FEA"/>
    <w:rsid w:val="001C5B2F"/>
    <w:rsid w:val="001C6BBE"/>
    <w:rsid w:val="001C7E30"/>
    <w:rsid w:val="001D0013"/>
    <w:rsid w:val="001D0BAB"/>
    <w:rsid w:val="001D247D"/>
    <w:rsid w:val="001D3A59"/>
    <w:rsid w:val="001D3D66"/>
    <w:rsid w:val="001D5DA8"/>
    <w:rsid w:val="001D635B"/>
    <w:rsid w:val="001E1FE2"/>
    <w:rsid w:val="001E4C9B"/>
    <w:rsid w:val="001E53C9"/>
    <w:rsid w:val="001E6F17"/>
    <w:rsid w:val="001F0AD8"/>
    <w:rsid w:val="001F0CDD"/>
    <w:rsid w:val="001F170E"/>
    <w:rsid w:val="001F41B4"/>
    <w:rsid w:val="001F46B3"/>
    <w:rsid w:val="001F65B9"/>
    <w:rsid w:val="001F6B1F"/>
    <w:rsid w:val="001F7BBD"/>
    <w:rsid w:val="00203873"/>
    <w:rsid w:val="002038D2"/>
    <w:rsid w:val="00206619"/>
    <w:rsid w:val="002115F3"/>
    <w:rsid w:val="00213140"/>
    <w:rsid w:val="00216114"/>
    <w:rsid w:val="00221801"/>
    <w:rsid w:val="002224D0"/>
    <w:rsid w:val="002251DB"/>
    <w:rsid w:val="00230600"/>
    <w:rsid w:val="0023112B"/>
    <w:rsid w:val="00232E98"/>
    <w:rsid w:val="002333EE"/>
    <w:rsid w:val="00236F09"/>
    <w:rsid w:val="00241FF5"/>
    <w:rsid w:val="00243BDD"/>
    <w:rsid w:val="002461A9"/>
    <w:rsid w:val="0024654A"/>
    <w:rsid w:val="00251899"/>
    <w:rsid w:val="00257A3E"/>
    <w:rsid w:val="002649B9"/>
    <w:rsid w:val="00264AC4"/>
    <w:rsid w:val="00264D20"/>
    <w:rsid w:val="0026608D"/>
    <w:rsid w:val="002666F2"/>
    <w:rsid w:val="002677EA"/>
    <w:rsid w:val="00271CAD"/>
    <w:rsid w:val="00274845"/>
    <w:rsid w:val="00274E3E"/>
    <w:rsid w:val="00280F2B"/>
    <w:rsid w:val="00283611"/>
    <w:rsid w:val="00287BAE"/>
    <w:rsid w:val="0029159E"/>
    <w:rsid w:val="00291A67"/>
    <w:rsid w:val="0029387E"/>
    <w:rsid w:val="00293D76"/>
    <w:rsid w:val="002949FC"/>
    <w:rsid w:val="00295F31"/>
    <w:rsid w:val="002A2DBA"/>
    <w:rsid w:val="002B051E"/>
    <w:rsid w:val="002B06B1"/>
    <w:rsid w:val="002B0A52"/>
    <w:rsid w:val="002B0FB6"/>
    <w:rsid w:val="002B100E"/>
    <w:rsid w:val="002B4AFF"/>
    <w:rsid w:val="002B7521"/>
    <w:rsid w:val="002C3D7A"/>
    <w:rsid w:val="002C5DC0"/>
    <w:rsid w:val="002D2832"/>
    <w:rsid w:val="002D37D3"/>
    <w:rsid w:val="002D3EB0"/>
    <w:rsid w:val="002D53AA"/>
    <w:rsid w:val="002E0409"/>
    <w:rsid w:val="002E09C1"/>
    <w:rsid w:val="002E18F4"/>
    <w:rsid w:val="002E1C9F"/>
    <w:rsid w:val="002E1CA7"/>
    <w:rsid w:val="002E34E6"/>
    <w:rsid w:val="002E3999"/>
    <w:rsid w:val="002E6468"/>
    <w:rsid w:val="002E7393"/>
    <w:rsid w:val="002E7EBE"/>
    <w:rsid w:val="002F0889"/>
    <w:rsid w:val="002F6B39"/>
    <w:rsid w:val="00300A47"/>
    <w:rsid w:val="00300C9A"/>
    <w:rsid w:val="00301602"/>
    <w:rsid w:val="00301683"/>
    <w:rsid w:val="003039E4"/>
    <w:rsid w:val="003075DF"/>
    <w:rsid w:val="00310B93"/>
    <w:rsid w:val="003117C3"/>
    <w:rsid w:val="00311C57"/>
    <w:rsid w:val="00313B08"/>
    <w:rsid w:val="00325355"/>
    <w:rsid w:val="00326C79"/>
    <w:rsid w:val="00330E5A"/>
    <w:rsid w:val="00333468"/>
    <w:rsid w:val="003346C2"/>
    <w:rsid w:val="003352F5"/>
    <w:rsid w:val="003364A2"/>
    <w:rsid w:val="0034448B"/>
    <w:rsid w:val="00346BF3"/>
    <w:rsid w:val="00346CCE"/>
    <w:rsid w:val="00347414"/>
    <w:rsid w:val="00352BAC"/>
    <w:rsid w:val="00354AF5"/>
    <w:rsid w:val="00355803"/>
    <w:rsid w:val="003601A4"/>
    <w:rsid w:val="003616DE"/>
    <w:rsid w:val="003677C8"/>
    <w:rsid w:val="00367D90"/>
    <w:rsid w:val="003762B4"/>
    <w:rsid w:val="003769BA"/>
    <w:rsid w:val="00376C81"/>
    <w:rsid w:val="00380AF9"/>
    <w:rsid w:val="00382062"/>
    <w:rsid w:val="00383EB3"/>
    <w:rsid w:val="003843B1"/>
    <w:rsid w:val="00384D2A"/>
    <w:rsid w:val="00392185"/>
    <w:rsid w:val="003939A2"/>
    <w:rsid w:val="00394370"/>
    <w:rsid w:val="003962B7"/>
    <w:rsid w:val="003966B1"/>
    <w:rsid w:val="00396A75"/>
    <w:rsid w:val="003A1927"/>
    <w:rsid w:val="003A38AD"/>
    <w:rsid w:val="003A6070"/>
    <w:rsid w:val="003A701F"/>
    <w:rsid w:val="003A7CDD"/>
    <w:rsid w:val="003B0B91"/>
    <w:rsid w:val="003B7E20"/>
    <w:rsid w:val="003C0447"/>
    <w:rsid w:val="003C5F4D"/>
    <w:rsid w:val="003C619C"/>
    <w:rsid w:val="003C795B"/>
    <w:rsid w:val="003C7CCE"/>
    <w:rsid w:val="003D3B9B"/>
    <w:rsid w:val="003D6C02"/>
    <w:rsid w:val="003E2182"/>
    <w:rsid w:val="003E309D"/>
    <w:rsid w:val="003E62DD"/>
    <w:rsid w:val="003F19BF"/>
    <w:rsid w:val="003F37E8"/>
    <w:rsid w:val="003F74B6"/>
    <w:rsid w:val="004005DD"/>
    <w:rsid w:val="0040325B"/>
    <w:rsid w:val="00403968"/>
    <w:rsid w:val="00407732"/>
    <w:rsid w:val="00407EBD"/>
    <w:rsid w:val="00410ED4"/>
    <w:rsid w:val="00411051"/>
    <w:rsid w:val="00412FE0"/>
    <w:rsid w:val="00414ABB"/>
    <w:rsid w:val="0042071D"/>
    <w:rsid w:val="00421DC8"/>
    <w:rsid w:val="00422956"/>
    <w:rsid w:val="00427145"/>
    <w:rsid w:val="00432859"/>
    <w:rsid w:val="004329DB"/>
    <w:rsid w:val="00434F00"/>
    <w:rsid w:val="00436C33"/>
    <w:rsid w:val="0044144A"/>
    <w:rsid w:val="004435E3"/>
    <w:rsid w:val="00445184"/>
    <w:rsid w:val="00446044"/>
    <w:rsid w:val="0044632D"/>
    <w:rsid w:val="00446BE1"/>
    <w:rsid w:val="004518E2"/>
    <w:rsid w:val="00452D28"/>
    <w:rsid w:val="00454593"/>
    <w:rsid w:val="0045569C"/>
    <w:rsid w:val="0045785E"/>
    <w:rsid w:val="0046094E"/>
    <w:rsid w:val="004623C8"/>
    <w:rsid w:val="004629DF"/>
    <w:rsid w:val="00463F4A"/>
    <w:rsid w:val="004675E0"/>
    <w:rsid w:val="00476A03"/>
    <w:rsid w:val="0048080A"/>
    <w:rsid w:val="00483196"/>
    <w:rsid w:val="004840D0"/>
    <w:rsid w:val="004863C0"/>
    <w:rsid w:val="00486752"/>
    <w:rsid w:val="0048713F"/>
    <w:rsid w:val="004952E8"/>
    <w:rsid w:val="00495CE0"/>
    <w:rsid w:val="00497F74"/>
    <w:rsid w:val="004A1AF9"/>
    <w:rsid w:val="004A3419"/>
    <w:rsid w:val="004A76C0"/>
    <w:rsid w:val="004A7731"/>
    <w:rsid w:val="004B0905"/>
    <w:rsid w:val="004B1D9E"/>
    <w:rsid w:val="004B2DBB"/>
    <w:rsid w:val="004B5ED7"/>
    <w:rsid w:val="004B6DF8"/>
    <w:rsid w:val="004B78FE"/>
    <w:rsid w:val="004C25C1"/>
    <w:rsid w:val="004C2C7D"/>
    <w:rsid w:val="004C420E"/>
    <w:rsid w:val="004C5914"/>
    <w:rsid w:val="004C5B68"/>
    <w:rsid w:val="004D026D"/>
    <w:rsid w:val="004D6F3C"/>
    <w:rsid w:val="004E1FB1"/>
    <w:rsid w:val="004E200C"/>
    <w:rsid w:val="004E38EE"/>
    <w:rsid w:val="004E5FE0"/>
    <w:rsid w:val="004E7481"/>
    <w:rsid w:val="004E7560"/>
    <w:rsid w:val="004F175F"/>
    <w:rsid w:val="004F76E0"/>
    <w:rsid w:val="0050051E"/>
    <w:rsid w:val="005020F8"/>
    <w:rsid w:val="0051082D"/>
    <w:rsid w:val="0051083C"/>
    <w:rsid w:val="005129B4"/>
    <w:rsid w:val="005142A0"/>
    <w:rsid w:val="005146AE"/>
    <w:rsid w:val="005212DE"/>
    <w:rsid w:val="005259D1"/>
    <w:rsid w:val="005270D4"/>
    <w:rsid w:val="0052742C"/>
    <w:rsid w:val="00532B45"/>
    <w:rsid w:val="005405B3"/>
    <w:rsid w:val="0054664E"/>
    <w:rsid w:val="00547DFC"/>
    <w:rsid w:val="005537D3"/>
    <w:rsid w:val="00554F50"/>
    <w:rsid w:val="00556F8B"/>
    <w:rsid w:val="00557AE6"/>
    <w:rsid w:val="005634DB"/>
    <w:rsid w:val="0056353C"/>
    <w:rsid w:val="0056403D"/>
    <w:rsid w:val="00576406"/>
    <w:rsid w:val="00581DE1"/>
    <w:rsid w:val="0058264F"/>
    <w:rsid w:val="0058447B"/>
    <w:rsid w:val="0058511B"/>
    <w:rsid w:val="00585FA0"/>
    <w:rsid w:val="00590314"/>
    <w:rsid w:val="00590F9F"/>
    <w:rsid w:val="005927D1"/>
    <w:rsid w:val="00592C6F"/>
    <w:rsid w:val="00596CD2"/>
    <w:rsid w:val="005A2235"/>
    <w:rsid w:val="005A4C5F"/>
    <w:rsid w:val="005B0256"/>
    <w:rsid w:val="005B29FC"/>
    <w:rsid w:val="005B2A03"/>
    <w:rsid w:val="005B3E64"/>
    <w:rsid w:val="005B4736"/>
    <w:rsid w:val="005B48BC"/>
    <w:rsid w:val="005C0046"/>
    <w:rsid w:val="005C0395"/>
    <w:rsid w:val="005C0EDA"/>
    <w:rsid w:val="005C1755"/>
    <w:rsid w:val="005C2893"/>
    <w:rsid w:val="005C605B"/>
    <w:rsid w:val="005C60CF"/>
    <w:rsid w:val="005C62D6"/>
    <w:rsid w:val="005D211A"/>
    <w:rsid w:val="005D61BE"/>
    <w:rsid w:val="005D691D"/>
    <w:rsid w:val="005D6AEB"/>
    <w:rsid w:val="005D75E2"/>
    <w:rsid w:val="005E1FE6"/>
    <w:rsid w:val="005E2AEF"/>
    <w:rsid w:val="005E4866"/>
    <w:rsid w:val="005F4BAD"/>
    <w:rsid w:val="005F749D"/>
    <w:rsid w:val="005F7C94"/>
    <w:rsid w:val="005F7DAB"/>
    <w:rsid w:val="00601426"/>
    <w:rsid w:val="006058B5"/>
    <w:rsid w:val="006059D2"/>
    <w:rsid w:val="00605E39"/>
    <w:rsid w:val="00606A19"/>
    <w:rsid w:val="006101D5"/>
    <w:rsid w:val="00610601"/>
    <w:rsid w:val="006120F5"/>
    <w:rsid w:val="00612343"/>
    <w:rsid w:val="00624335"/>
    <w:rsid w:val="00624BF8"/>
    <w:rsid w:val="00626518"/>
    <w:rsid w:val="006324C6"/>
    <w:rsid w:val="006329D5"/>
    <w:rsid w:val="00645A6D"/>
    <w:rsid w:val="00646C89"/>
    <w:rsid w:val="00646ED8"/>
    <w:rsid w:val="00651543"/>
    <w:rsid w:val="00655DA8"/>
    <w:rsid w:val="00656832"/>
    <w:rsid w:val="00656CD0"/>
    <w:rsid w:val="00661B5D"/>
    <w:rsid w:val="00662FF5"/>
    <w:rsid w:val="006645AD"/>
    <w:rsid w:val="00667C8D"/>
    <w:rsid w:val="00672012"/>
    <w:rsid w:val="006722DD"/>
    <w:rsid w:val="00672DB1"/>
    <w:rsid w:val="006730D5"/>
    <w:rsid w:val="006774C5"/>
    <w:rsid w:val="0068207F"/>
    <w:rsid w:val="0068605D"/>
    <w:rsid w:val="006864FC"/>
    <w:rsid w:val="00691A6F"/>
    <w:rsid w:val="00692185"/>
    <w:rsid w:val="006954FE"/>
    <w:rsid w:val="006A0963"/>
    <w:rsid w:val="006A156E"/>
    <w:rsid w:val="006A4635"/>
    <w:rsid w:val="006B5F0D"/>
    <w:rsid w:val="006B71ED"/>
    <w:rsid w:val="006C08D8"/>
    <w:rsid w:val="006C2543"/>
    <w:rsid w:val="006C59DB"/>
    <w:rsid w:val="006C78FD"/>
    <w:rsid w:val="006D34FA"/>
    <w:rsid w:val="006D4E3C"/>
    <w:rsid w:val="006D5F25"/>
    <w:rsid w:val="006E308B"/>
    <w:rsid w:val="006E30ED"/>
    <w:rsid w:val="006E37B8"/>
    <w:rsid w:val="006F4BA8"/>
    <w:rsid w:val="006F5996"/>
    <w:rsid w:val="006F5AEC"/>
    <w:rsid w:val="006F707C"/>
    <w:rsid w:val="0070128F"/>
    <w:rsid w:val="00702087"/>
    <w:rsid w:val="00703BE0"/>
    <w:rsid w:val="00705F4B"/>
    <w:rsid w:val="007064D8"/>
    <w:rsid w:val="0070753D"/>
    <w:rsid w:val="00710371"/>
    <w:rsid w:val="00711023"/>
    <w:rsid w:val="0071427D"/>
    <w:rsid w:val="00714709"/>
    <w:rsid w:val="0071528C"/>
    <w:rsid w:val="0072027D"/>
    <w:rsid w:val="00720995"/>
    <w:rsid w:val="00720FB5"/>
    <w:rsid w:val="00725B03"/>
    <w:rsid w:val="00727AEC"/>
    <w:rsid w:val="00732B55"/>
    <w:rsid w:val="007377EC"/>
    <w:rsid w:val="00737BEE"/>
    <w:rsid w:val="007448D7"/>
    <w:rsid w:val="00747550"/>
    <w:rsid w:val="00747FD7"/>
    <w:rsid w:val="00756FAE"/>
    <w:rsid w:val="00761F0B"/>
    <w:rsid w:val="00763374"/>
    <w:rsid w:val="007666C8"/>
    <w:rsid w:val="007675AF"/>
    <w:rsid w:val="007764B6"/>
    <w:rsid w:val="0077679A"/>
    <w:rsid w:val="007778CF"/>
    <w:rsid w:val="00780B1A"/>
    <w:rsid w:val="007846A5"/>
    <w:rsid w:val="00784922"/>
    <w:rsid w:val="00784A9E"/>
    <w:rsid w:val="00784F23"/>
    <w:rsid w:val="00787505"/>
    <w:rsid w:val="00791136"/>
    <w:rsid w:val="00791C64"/>
    <w:rsid w:val="00794415"/>
    <w:rsid w:val="007A4100"/>
    <w:rsid w:val="007A4671"/>
    <w:rsid w:val="007A5F27"/>
    <w:rsid w:val="007A79BC"/>
    <w:rsid w:val="007B109A"/>
    <w:rsid w:val="007B1D08"/>
    <w:rsid w:val="007B4DDB"/>
    <w:rsid w:val="007B5999"/>
    <w:rsid w:val="007B5C3C"/>
    <w:rsid w:val="007B6EB5"/>
    <w:rsid w:val="007C00BE"/>
    <w:rsid w:val="007C06F6"/>
    <w:rsid w:val="007C481F"/>
    <w:rsid w:val="007C50FF"/>
    <w:rsid w:val="007D12ED"/>
    <w:rsid w:val="007D1FFD"/>
    <w:rsid w:val="007D32C4"/>
    <w:rsid w:val="007D3416"/>
    <w:rsid w:val="007D36C1"/>
    <w:rsid w:val="007D5A40"/>
    <w:rsid w:val="007D72F8"/>
    <w:rsid w:val="007D7ED6"/>
    <w:rsid w:val="007E18E6"/>
    <w:rsid w:val="007E51CD"/>
    <w:rsid w:val="007E5995"/>
    <w:rsid w:val="007F182C"/>
    <w:rsid w:val="007F25AD"/>
    <w:rsid w:val="007F405B"/>
    <w:rsid w:val="007F715C"/>
    <w:rsid w:val="008029DD"/>
    <w:rsid w:val="00805804"/>
    <w:rsid w:val="00805BAB"/>
    <w:rsid w:val="00806EA7"/>
    <w:rsid w:val="008118E8"/>
    <w:rsid w:val="00812C36"/>
    <w:rsid w:val="0081319D"/>
    <w:rsid w:val="00813E44"/>
    <w:rsid w:val="00814BEA"/>
    <w:rsid w:val="008158D5"/>
    <w:rsid w:val="00815A74"/>
    <w:rsid w:val="00817C28"/>
    <w:rsid w:val="00817D5A"/>
    <w:rsid w:val="00820609"/>
    <w:rsid w:val="00827D8A"/>
    <w:rsid w:val="00830C6B"/>
    <w:rsid w:val="008313D6"/>
    <w:rsid w:val="0083178A"/>
    <w:rsid w:val="00833346"/>
    <w:rsid w:val="008358AB"/>
    <w:rsid w:val="0083658E"/>
    <w:rsid w:val="00841712"/>
    <w:rsid w:val="008454C9"/>
    <w:rsid w:val="008469FE"/>
    <w:rsid w:val="00847671"/>
    <w:rsid w:val="00847EE6"/>
    <w:rsid w:val="00850555"/>
    <w:rsid w:val="0085190F"/>
    <w:rsid w:val="008558D5"/>
    <w:rsid w:val="00855ABC"/>
    <w:rsid w:val="00855D67"/>
    <w:rsid w:val="008569D7"/>
    <w:rsid w:val="00860E20"/>
    <w:rsid w:val="0087126E"/>
    <w:rsid w:val="00871385"/>
    <w:rsid w:val="0087376F"/>
    <w:rsid w:val="00875401"/>
    <w:rsid w:val="00875D64"/>
    <w:rsid w:val="008763CA"/>
    <w:rsid w:val="00877A6E"/>
    <w:rsid w:val="00884447"/>
    <w:rsid w:val="00886A35"/>
    <w:rsid w:val="008972C4"/>
    <w:rsid w:val="008A0FB5"/>
    <w:rsid w:val="008A1819"/>
    <w:rsid w:val="008A27EC"/>
    <w:rsid w:val="008A2D1B"/>
    <w:rsid w:val="008A3A2F"/>
    <w:rsid w:val="008A4588"/>
    <w:rsid w:val="008A45C4"/>
    <w:rsid w:val="008B2260"/>
    <w:rsid w:val="008B28EC"/>
    <w:rsid w:val="008B62DF"/>
    <w:rsid w:val="008B7F39"/>
    <w:rsid w:val="008C08B3"/>
    <w:rsid w:val="008C18BF"/>
    <w:rsid w:val="008C34A2"/>
    <w:rsid w:val="008C38F5"/>
    <w:rsid w:val="008C4325"/>
    <w:rsid w:val="008D033C"/>
    <w:rsid w:val="008D0BE5"/>
    <w:rsid w:val="008D0C20"/>
    <w:rsid w:val="008D0D66"/>
    <w:rsid w:val="008D0E18"/>
    <w:rsid w:val="008D2351"/>
    <w:rsid w:val="008D26AE"/>
    <w:rsid w:val="008E0772"/>
    <w:rsid w:val="008E2FCE"/>
    <w:rsid w:val="008E3EE3"/>
    <w:rsid w:val="008E7953"/>
    <w:rsid w:val="008F02C8"/>
    <w:rsid w:val="008F57AB"/>
    <w:rsid w:val="00905496"/>
    <w:rsid w:val="0091159B"/>
    <w:rsid w:val="00911FB1"/>
    <w:rsid w:val="00914963"/>
    <w:rsid w:val="00915401"/>
    <w:rsid w:val="0092218A"/>
    <w:rsid w:val="009232C3"/>
    <w:rsid w:val="00923978"/>
    <w:rsid w:val="009258FE"/>
    <w:rsid w:val="0092595C"/>
    <w:rsid w:val="009368CC"/>
    <w:rsid w:val="00936EB6"/>
    <w:rsid w:val="00937914"/>
    <w:rsid w:val="009407DB"/>
    <w:rsid w:val="0094284D"/>
    <w:rsid w:val="00945B0F"/>
    <w:rsid w:val="009462BF"/>
    <w:rsid w:val="00950831"/>
    <w:rsid w:val="0095168B"/>
    <w:rsid w:val="0095443A"/>
    <w:rsid w:val="009559B3"/>
    <w:rsid w:val="00956157"/>
    <w:rsid w:val="00956447"/>
    <w:rsid w:val="0096038D"/>
    <w:rsid w:val="00963871"/>
    <w:rsid w:val="00966600"/>
    <w:rsid w:val="00966A11"/>
    <w:rsid w:val="00967006"/>
    <w:rsid w:val="0097694D"/>
    <w:rsid w:val="00977586"/>
    <w:rsid w:val="00985966"/>
    <w:rsid w:val="00986B33"/>
    <w:rsid w:val="00986BAE"/>
    <w:rsid w:val="00987AD5"/>
    <w:rsid w:val="00991C18"/>
    <w:rsid w:val="00991FBF"/>
    <w:rsid w:val="009A1D88"/>
    <w:rsid w:val="009B20BB"/>
    <w:rsid w:val="009B70F7"/>
    <w:rsid w:val="009B7138"/>
    <w:rsid w:val="009C0B73"/>
    <w:rsid w:val="009C1891"/>
    <w:rsid w:val="009C48E1"/>
    <w:rsid w:val="009C515F"/>
    <w:rsid w:val="009C6D82"/>
    <w:rsid w:val="009D2822"/>
    <w:rsid w:val="009D55FC"/>
    <w:rsid w:val="009D608D"/>
    <w:rsid w:val="009E275A"/>
    <w:rsid w:val="009E2ED0"/>
    <w:rsid w:val="009E5E1F"/>
    <w:rsid w:val="009E74DF"/>
    <w:rsid w:val="009F0100"/>
    <w:rsid w:val="009F21FE"/>
    <w:rsid w:val="009F5181"/>
    <w:rsid w:val="00A0270C"/>
    <w:rsid w:val="00A02CE6"/>
    <w:rsid w:val="00A05536"/>
    <w:rsid w:val="00A0595D"/>
    <w:rsid w:val="00A166F6"/>
    <w:rsid w:val="00A16BBD"/>
    <w:rsid w:val="00A224C0"/>
    <w:rsid w:val="00A24571"/>
    <w:rsid w:val="00A27F75"/>
    <w:rsid w:val="00A32029"/>
    <w:rsid w:val="00A32062"/>
    <w:rsid w:val="00A33AE3"/>
    <w:rsid w:val="00A33ED3"/>
    <w:rsid w:val="00A349EC"/>
    <w:rsid w:val="00A352A0"/>
    <w:rsid w:val="00A356BB"/>
    <w:rsid w:val="00A4235B"/>
    <w:rsid w:val="00A428D2"/>
    <w:rsid w:val="00A50796"/>
    <w:rsid w:val="00A51236"/>
    <w:rsid w:val="00A53402"/>
    <w:rsid w:val="00A565AB"/>
    <w:rsid w:val="00A57011"/>
    <w:rsid w:val="00A600D3"/>
    <w:rsid w:val="00A63825"/>
    <w:rsid w:val="00A64B1F"/>
    <w:rsid w:val="00A660D8"/>
    <w:rsid w:val="00A665CB"/>
    <w:rsid w:val="00A667B9"/>
    <w:rsid w:val="00A70399"/>
    <w:rsid w:val="00A70E5E"/>
    <w:rsid w:val="00A72B07"/>
    <w:rsid w:val="00A72BC1"/>
    <w:rsid w:val="00A73092"/>
    <w:rsid w:val="00A767A1"/>
    <w:rsid w:val="00A767E3"/>
    <w:rsid w:val="00A76D75"/>
    <w:rsid w:val="00A7714C"/>
    <w:rsid w:val="00A93773"/>
    <w:rsid w:val="00A9518D"/>
    <w:rsid w:val="00A9651E"/>
    <w:rsid w:val="00AA55B1"/>
    <w:rsid w:val="00AD0C68"/>
    <w:rsid w:val="00AD1776"/>
    <w:rsid w:val="00AD1F72"/>
    <w:rsid w:val="00AD4671"/>
    <w:rsid w:val="00AD5C2D"/>
    <w:rsid w:val="00AE2985"/>
    <w:rsid w:val="00AE3A74"/>
    <w:rsid w:val="00AE4969"/>
    <w:rsid w:val="00AE5724"/>
    <w:rsid w:val="00AF244A"/>
    <w:rsid w:val="00AF2D8B"/>
    <w:rsid w:val="00AF6651"/>
    <w:rsid w:val="00AF6EB5"/>
    <w:rsid w:val="00B00041"/>
    <w:rsid w:val="00B04CF0"/>
    <w:rsid w:val="00B124C5"/>
    <w:rsid w:val="00B14137"/>
    <w:rsid w:val="00B16F6A"/>
    <w:rsid w:val="00B17883"/>
    <w:rsid w:val="00B201A3"/>
    <w:rsid w:val="00B204A8"/>
    <w:rsid w:val="00B232C3"/>
    <w:rsid w:val="00B26112"/>
    <w:rsid w:val="00B26EBC"/>
    <w:rsid w:val="00B278D6"/>
    <w:rsid w:val="00B27ACF"/>
    <w:rsid w:val="00B27AED"/>
    <w:rsid w:val="00B3062A"/>
    <w:rsid w:val="00B30F36"/>
    <w:rsid w:val="00B31AD2"/>
    <w:rsid w:val="00B320E0"/>
    <w:rsid w:val="00B320E5"/>
    <w:rsid w:val="00B428CC"/>
    <w:rsid w:val="00B44FF8"/>
    <w:rsid w:val="00B47091"/>
    <w:rsid w:val="00B4797E"/>
    <w:rsid w:val="00B47F03"/>
    <w:rsid w:val="00B5063A"/>
    <w:rsid w:val="00B543DA"/>
    <w:rsid w:val="00B55867"/>
    <w:rsid w:val="00B578AE"/>
    <w:rsid w:val="00B631FB"/>
    <w:rsid w:val="00B634F9"/>
    <w:rsid w:val="00B63FA5"/>
    <w:rsid w:val="00B64720"/>
    <w:rsid w:val="00B64875"/>
    <w:rsid w:val="00B65795"/>
    <w:rsid w:val="00B6785C"/>
    <w:rsid w:val="00B801F5"/>
    <w:rsid w:val="00B80446"/>
    <w:rsid w:val="00B83938"/>
    <w:rsid w:val="00B85CE8"/>
    <w:rsid w:val="00B86CCD"/>
    <w:rsid w:val="00B8718C"/>
    <w:rsid w:val="00B87C18"/>
    <w:rsid w:val="00B9565E"/>
    <w:rsid w:val="00B95A5B"/>
    <w:rsid w:val="00B95CB8"/>
    <w:rsid w:val="00B96E4D"/>
    <w:rsid w:val="00BA2138"/>
    <w:rsid w:val="00BA3CED"/>
    <w:rsid w:val="00BA4589"/>
    <w:rsid w:val="00BA68B2"/>
    <w:rsid w:val="00BB0EE3"/>
    <w:rsid w:val="00BB4B24"/>
    <w:rsid w:val="00BB6BEF"/>
    <w:rsid w:val="00BC0D57"/>
    <w:rsid w:val="00BC20A3"/>
    <w:rsid w:val="00BD0B97"/>
    <w:rsid w:val="00BD0F3C"/>
    <w:rsid w:val="00BD4C47"/>
    <w:rsid w:val="00BD501C"/>
    <w:rsid w:val="00BD6D8F"/>
    <w:rsid w:val="00BE0BB2"/>
    <w:rsid w:val="00BE246D"/>
    <w:rsid w:val="00BE24CA"/>
    <w:rsid w:val="00BE2D1E"/>
    <w:rsid w:val="00BE36D8"/>
    <w:rsid w:val="00BE3C33"/>
    <w:rsid w:val="00BE625C"/>
    <w:rsid w:val="00BF0D51"/>
    <w:rsid w:val="00BF17AA"/>
    <w:rsid w:val="00BF3A51"/>
    <w:rsid w:val="00BF424E"/>
    <w:rsid w:val="00BF4A05"/>
    <w:rsid w:val="00BF4EF3"/>
    <w:rsid w:val="00BF60F7"/>
    <w:rsid w:val="00BF6965"/>
    <w:rsid w:val="00BF6F62"/>
    <w:rsid w:val="00BF7C20"/>
    <w:rsid w:val="00C02853"/>
    <w:rsid w:val="00C0543B"/>
    <w:rsid w:val="00C07EBC"/>
    <w:rsid w:val="00C12844"/>
    <w:rsid w:val="00C14617"/>
    <w:rsid w:val="00C14BEE"/>
    <w:rsid w:val="00C15AB6"/>
    <w:rsid w:val="00C16BBB"/>
    <w:rsid w:val="00C17B4E"/>
    <w:rsid w:val="00C20052"/>
    <w:rsid w:val="00C20335"/>
    <w:rsid w:val="00C23AAF"/>
    <w:rsid w:val="00C2411C"/>
    <w:rsid w:val="00C24556"/>
    <w:rsid w:val="00C245DE"/>
    <w:rsid w:val="00C2757B"/>
    <w:rsid w:val="00C327D9"/>
    <w:rsid w:val="00C35783"/>
    <w:rsid w:val="00C36EEF"/>
    <w:rsid w:val="00C44ABF"/>
    <w:rsid w:val="00C44D9E"/>
    <w:rsid w:val="00C46708"/>
    <w:rsid w:val="00C476B6"/>
    <w:rsid w:val="00C47FFA"/>
    <w:rsid w:val="00C5013E"/>
    <w:rsid w:val="00C5338B"/>
    <w:rsid w:val="00C55916"/>
    <w:rsid w:val="00C57A42"/>
    <w:rsid w:val="00C618A1"/>
    <w:rsid w:val="00C63C72"/>
    <w:rsid w:val="00C65119"/>
    <w:rsid w:val="00C70482"/>
    <w:rsid w:val="00C7053F"/>
    <w:rsid w:val="00C74860"/>
    <w:rsid w:val="00C75BA3"/>
    <w:rsid w:val="00C7625A"/>
    <w:rsid w:val="00C7693C"/>
    <w:rsid w:val="00C76DB5"/>
    <w:rsid w:val="00C76E50"/>
    <w:rsid w:val="00C77D0F"/>
    <w:rsid w:val="00C81BB1"/>
    <w:rsid w:val="00C82524"/>
    <w:rsid w:val="00C832C9"/>
    <w:rsid w:val="00C840FA"/>
    <w:rsid w:val="00C846EC"/>
    <w:rsid w:val="00C84CAB"/>
    <w:rsid w:val="00C92ECF"/>
    <w:rsid w:val="00C96B92"/>
    <w:rsid w:val="00CA5870"/>
    <w:rsid w:val="00CA6A60"/>
    <w:rsid w:val="00CB0B23"/>
    <w:rsid w:val="00CB3C12"/>
    <w:rsid w:val="00CB5DE3"/>
    <w:rsid w:val="00CC0E3A"/>
    <w:rsid w:val="00CC1426"/>
    <w:rsid w:val="00CC2B6A"/>
    <w:rsid w:val="00CD0A9C"/>
    <w:rsid w:val="00CD1DA3"/>
    <w:rsid w:val="00CD2761"/>
    <w:rsid w:val="00CD455E"/>
    <w:rsid w:val="00CD7E28"/>
    <w:rsid w:val="00CE563A"/>
    <w:rsid w:val="00CE71DE"/>
    <w:rsid w:val="00CF1621"/>
    <w:rsid w:val="00CF188B"/>
    <w:rsid w:val="00CF25C2"/>
    <w:rsid w:val="00CF34B1"/>
    <w:rsid w:val="00CF399F"/>
    <w:rsid w:val="00CF58C6"/>
    <w:rsid w:val="00D01051"/>
    <w:rsid w:val="00D01F42"/>
    <w:rsid w:val="00D108A9"/>
    <w:rsid w:val="00D12BA0"/>
    <w:rsid w:val="00D12DD4"/>
    <w:rsid w:val="00D14740"/>
    <w:rsid w:val="00D17E6D"/>
    <w:rsid w:val="00D21E8C"/>
    <w:rsid w:val="00D22E6D"/>
    <w:rsid w:val="00D23674"/>
    <w:rsid w:val="00D240E9"/>
    <w:rsid w:val="00D26740"/>
    <w:rsid w:val="00D31C46"/>
    <w:rsid w:val="00D32BD2"/>
    <w:rsid w:val="00D34AEA"/>
    <w:rsid w:val="00D37450"/>
    <w:rsid w:val="00D407ED"/>
    <w:rsid w:val="00D4105C"/>
    <w:rsid w:val="00D42C51"/>
    <w:rsid w:val="00D45F75"/>
    <w:rsid w:val="00D4630C"/>
    <w:rsid w:val="00D51137"/>
    <w:rsid w:val="00D51AF3"/>
    <w:rsid w:val="00D51B57"/>
    <w:rsid w:val="00D51C32"/>
    <w:rsid w:val="00D525B6"/>
    <w:rsid w:val="00D52E1D"/>
    <w:rsid w:val="00D532A4"/>
    <w:rsid w:val="00D554A4"/>
    <w:rsid w:val="00D57188"/>
    <w:rsid w:val="00D575C7"/>
    <w:rsid w:val="00D57D54"/>
    <w:rsid w:val="00D61404"/>
    <w:rsid w:val="00D65F9F"/>
    <w:rsid w:val="00D67915"/>
    <w:rsid w:val="00D81939"/>
    <w:rsid w:val="00D8243F"/>
    <w:rsid w:val="00D84F12"/>
    <w:rsid w:val="00D8576C"/>
    <w:rsid w:val="00D86B99"/>
    <w:rsid w:val="00D870F9"/>
    <w:rsid w:val="00D910CB"/>
    <w:rsid w:val="00D929F6"/>
    <w:rsid w:val="00D94663"/>
    <w:rsid w:val="00D95D37"/>
    <w:rsid w:val="00DA16FE"/>
    <w:rsid w:val="00DA5D8A"/>
    <w:rsid w:val="00DA73B4"/>
    <w:rsid w:val="00DB0E0F"/>
    <w:rsid w:val="00DB0E76"/>
    <w:rsid w:val="00DB2A80"/>
    <w:rsid w:val="00DB4C5E"/>
    <w:rsid w:val="00DB535F"/>
    <w:rsid w:val="00DB7289"/>
    <w:rsid w:val="00DB73C3"/>
    <w:rsid w:val="00DC1498"/>
    <w:rsid w:val="00DC1DF9"/>
    <w:rsid w:val="00DC6795"/>
    <w:rsid w:val="00DC6F41"/>
    <w:rsid w:val="00DD3907"/>
    <w:rsid w:val="00DD394F"/>
    <w:rsid w:val="00DD5D3F"/>
    <w:rsid w:val="00DD6DD5"/>
    <w:rsid w:val="00DE164E"/>
    <w:rsid w:val="00DE5634"/>
    <w:rsid w:val="00DE5A8B"/>
    <w:rsid w:val="00DF337B"/>
    <w:rsid w:val="00DF4BDA"/>
    <w:rsid w:val="00DF4E82"/>
    <w:rsid w:val="00DF4F5E"/>
    <w:rsid w:val="00DF5093"/>
    <w:rsid w:val="00DF6C0F"/>
    <w:rsid w:val="00DF6C34"/>
    <w:rsid w:val="00DF74F1"/>
    <w:rsid w:val="00E0010D"/>
    <w:rsid w:val="00E01328"/>
    <w:rsid w:val="00E032FC"/>
    <w:rsid w:val="00E0541A"/>
    <w:rsid w:val="00E05493"/>
    <w:rsid w:val="00E0623C"/>
    <w:rsid w:val="00E06C26"/>
    <w:rsid w:val="00E06D44"/>
    <w:rsid w:val="00E1345D"/>
    <w:rsid w:val="00E13583"/>
    <w:rsid w:val="00E13C94"/>
    <w:rsid w:val="00E156E9"/>
    <w:rsid w:val="00E165C9"/>
    <w:rsid w:val="00E17EFF"/>
    <w:rsid w:val="00E2493A"/>
    <w:rsid w:val="00E24944"/>
    <w:rsid w:val="00E2569F"/>
    <w:rsid w:val="00E32203"/>
    <w:rsid w:val="00E3449E"/>
    <w:rsid w:val="00E35234"/>
    <w:rsid w:val="00E369AB"/>
    <w:rsid w:val="00E36A15"/>
    <w:rsid w:val="00E40196"/>
    <w:rsid w:val="00E42436"/>
    <w:rsid w:val="00E44991"/>
    <w:rsid w:val="00E46DCE"/>
    <w:rsid w:val="00E5033A"/>
    <w:rsid w:val="00E55226"/>
    <w:rsid w:val="00E60E0C"/>
    <w:rsid w:val="00E639AE"/>
    <w:rsid w:val="00E65884"/>
    <w:rsid w:val="00E65C4B"/>
    <w:rsid w:val="00E67BFD"/>
    <w:rsid w:val="00E741A2"/>
    <w:rsid w:val="00E800A7"/>
    <w:rsid w:val="00E8162C"/>
    <w:rsid w:val="00E83ED9"/>
    <w:rsid w:val="00E84898"/>
    <w:rsid w:val="00E85CFC"/>
    <w:rsid w:val="00E87127"/>
    <w:rsid w:val="00E91009"/>
    <w:rsid w:val="00E91563"/>
    <w:rsid w:val="00EA2E8D"/>
    <w:rsid w:val="00EA2F8E"/>
    <w:rsid w:val="00EA48FB"/>
    <w:rsid w:val="00EA4E4E"/>
    <w:rsid w:val="00EA74FB"/>
    <w:rsid w:val="00EA759C"/>
    <w:rsid w:val="00EB1528"/>
    <w:rsid w:val="00EB40EB"/>
    <w:rsid w:val="00EB6049"/>
    <w:rsid w:val="00EB655A"/>
    <w:rsid w:val="00EC0B6F"/>
    <w:rsid w:val="00EC3D75"/>
    <w:rsid w:val="00EC48A6"/>
    <w:rsid w:val="00EC613A"/>
    <w:rsid w:val="00ED36EB"/>
    <w:rsid w:val="00ED4615"/>
    <w:rsid w:val="00EE1673"/>
    <w:rsid w:val="00EE1E51"/>
    <w:rsid w:val="00EE21F8"/>
    <w:rsid w:val="00EE49A6"/>
    <w:rsid w:val="00EE7673"/>
    <w:rsid w:val="00EF55DA"/>
    <w:rsid w:val="00EF660D"/>
    <w:rsid w:val="00EF6972"/>
    <w:rsid w:val="00F017BA"/>
    <w:rsid w:val="00F02263"/>
    <w:rsid w:val="00F05287"/>
    <w:rsid w:val="00F055AA"/>
    <w:rsid w:val="00F055D3"/>
    <w:rsid w:val="00F05AAA"/>
    <w:rsid w:val="00F13EA9"/>
    <w:rsid w:val="00F13FA6"/>
    <w:rsid w:val="00F14BC9"/>
    <w:rsid w:val="00F20062"/>
    <w:rsid w:val="00F2040A"/>
    <w:rsid w:val="00F22DBE"/>
    <w:rsid w:val="00F22FF1"/>
    <w:rsid w:val="00F26417"/>
    <w:rsid w:val="00F346FB"/>
    <w:rsid w:val="00F353D6"/>
    <w:rsid w:val="00F36339"/>
    <w:rsid w:val="00F3698A"/>
    <w:rsid w:val="00F43DE9"/>
    <w:rsid w:val="00F4447D"/>
    <w:rsid w:val="00F45BEB"/>
    <w:rsid w:val="00F47FA7"/>
    <w:rsid w:val="00F513FE"/>
    <w:rsid w:val="00F530A3"/>
    <w:rsid w:val="00F546EC"/>
    <w:rsid w:val="00F54CF7"/>
    <w:rsid w:val="00F55906"/>
    <w:rsid w:val="00F56D17"/>
    <w:rsid w:val="00F56F56"/>
    <w:rsid w:val="00F60AA2"/>
    <w:rsid w:val="00F63494"/>
    <w:rsid w:val="00F658AD"/>
    <w:rsid w:val="00F7072A"/>
    <w:rsid w:val="00F833CF"/>
    <w:rsid w:val="00F84B36"/>
    <w:rsid w:val="00F87268"/>
    <w:rsid w:val="00F8767F"/>
    <w:rsid w:val="00F92A1A"/>
    <w:rsid w:val="00F96933"/>
    <w:rsid w:val="00FA17F5"/>
    <w:rsid w:val="00FA1E5A"/>
    <w:rsid w:val="00FA2608"/>
    <w:rsid w:val="00FA566B"/>
    <w:rsid w:val="00FA6CDB"/>
    <w:rsid w:val="00FB489D"/>
    <w:rsid w:val="00FB48E8"/>
    <w:rsid w:val="00FB4F1A"/>
    <w:rsid w:val="00FB7BB8"/>
    <w:rsid w:val="00FC1014"/>
    <w:rsid w:val="00FC1F0D"/>
    <w:rsid w:val="00FC2889"/>
    <w:rsid w:val="00FC2951"/>
    <w:rsid w:val="00FC4173"/>
    <w:rsid w:val="00FC4403"/>
    <w:rsid w:val="00FC7B24"/>
    <w:rsid w:val="00FD35E3"/>
    <w:rsid w:val="00FD36E7"/>
    <w:rsid w:val="00FD43C5"/>
    <w:rsid w:val="00FD5E2D"/>
    <w:rsid w:val="00FD7FD5"/>
    <w:rsid w:val="00FE074F"/>
    <w:rsid w:val="00FE07D7"/>
    <w:rsid w:val="00FE1F95"/>
    <w:rsid w:val="00FE362F"/>
    <w:rsid w:val="00FE43A8"/>
    <w:rsid w:val="00FE5BFB"/>
    <w:rsid w:val="00FF08CC"/>
    <w:rsid w:val="00FF1577"/>
    <w:rsid w:val="00FF47EF"/>
    <w:rsid w:val="00FF5C8B"/>
    <w:rsid w:val="00FF70D1"/>
    <w:rsid w:val="00FF7972"/>
    <w:rsid w:val="09C68B6E"/>
    <w:rsid w:val="10219E54"/>
    <w:rsid w:val="113F1132"/>
    <w:rsid w:val="1255B1B0"/>
    <w:rsid w:val="1268B0A7"/>
    <w:rsid w:val="13F802E4"/>
    <w:rsid w:val="141806C8"/>
    <w:rsid w:val="1660CCF4"/>
    <w:rsid w:val="16F5A7A1"/>
    <w:rsid w:val="17263F7B"/>
    <w:rsid w:val="1AD95C0D"/>
    <w:rsid w:val="1BFEEECD"/>
    <w:rsid w:val="1C2F75A9"/>
    <w:rsid w:val="1D70473C"/>
    <w:rsid w:val="1F2BCAA2"/>
    <w:rsid w:val="20403E79"/>
    <w:rsid w:val="20AA903A"/>
    <w:rsid w:val="249B5D3A"/>
    <w:rsid w:val="269CF166"/>
    <w:rsid w:val="26A004D4"/>
    <w:rsid w:val="279406E8"/>
    <w:rsid w:val="27983CB8"/>
    <w:rsid w:val="2AD7EE9C"/>
    <w:rsid w:val="304FF30C"/>
    <w:rsid w:val="328B5796"/>
    <w:rsid w:val="3554249A"/>
    <w:rsid w:val="3AD4D1E9"/>
    <w:rsid w:val="3AFDBB8B"/>
    <w:rsid w:val="3F146B25"/>
    <w:rsid w:val="3F4B9D93"/>
    <w:rsid w:val="436C3E5D"/>
    <w:rsid w:val="4C53F3F7"/>
    <w:rsid w:val="4DD5C3BB"/>
    <w:rsid w:val="4FAA9E96"/>
    <w:rsid w:val="512D08D6"/>
    <w:rsid w:val="553DDB8D"/>
    <w:rsid w:val="5701D456"/>
    <w:rsid w:val="57EED474"/>
    <w:rsid w:val="61277BBE"/>
    <w:rsid w:val="63B6AF48"/>
    <w:rsid w:val="6AF9BF97"/>
    <w:rsid w:val="6BF6A399"/>
    <w:rsid w:val="6D2AC880"/>
    <w:rsid w:val="6F00AC18"/>
    <w:rsid w:val="735DDBF1"/>
    <w:rsid w:val="75B69E64"/>
    <w:rsid w:val="77020D82"/>
    <w:rsid w:val="78DF07EC"/>
    <w:rsid w:val="7A6541E0"/>
    <w:rsid w:val="7A8C93D0"/>
    <w:rsid w:val="7B86AB39"/>
    <w:rsid w:val="7BE443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6AD009F"/>
  <w15:docId w15:val="{F2EFBC72-43E0-4CCB-A2A3-8D8823C04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0E0C"/>
    <w:rPr>
      <w:color w:val="0000FF" w:themeColor="hyperlink"/>
      <w:u w:val="single"/>
    </w:rPr>
  </w:style>
  <w:style w:type="paragraph" w:styleId="ListBullet">
    <w:name w:val="List Bullet"/>
    <w:basedOn w:val="Normal"/>
    <w:uiPriority w:val="99"/>
    <w:semiHidden/>
    <w:unhideWhenUsed/>
    <w:rsid w:val="00F346FB"/>
    <w:pPr>
      <w:numPr>
        <w:numId w:val="1"/>
      </w:numPr>
      <w:contextualSpacing/>
    </w:pPr>
  </w:style>
  <w:style w:type="paragraph" w:styleId="ListBullet2">
    <w:name w:val="List Bullet 2"/>
    <w:basedOn w:val="Normal"/>
    <w:uiPriority w:val="99"/>
    <w:semiHidden/>
    <w:unhideWhenUsed/>
    <w:rsid w:val="00F346FB"/>
    <w:pPr>
      <w:numPr>
        <w:numId w:val="2"/>
      </w:numPr>
      <w:contextualSpacing/>
    </w:pPr>
  </w:style>
  <w:style w:type="paragraph" w:styleId="ListBullet3">
    <w:name w:val="List Bullet 3"/>
    <w:basedOn w:val="Normal"/>
    <w:unhideWhenUsed/>
    <w:rsid w:val="00F346FB"/>
    <w:pPr>
      <w:numPr>
        <w:numId w:val="3"/>
      </w:numPr>
      <w:contextualSpacing/>
    </w:pPr>
  </w:style>
  <w:style w:type="paragraph" w:styleId="ListBullet4">
    <w:name w:val="List Bullet 4"/>
    <w:basedOn w:val="Normal"/>
    <w:uiPriority w:val="99"/>
    <w:semiHidden/>
    <w:unhideWhenUsed/>
    <w:rsid w:val="00F346FB"/>
    <w:pPr>
      <w:numPr>
        <w:numId w:val="4"/>
      </w:numPr>
      <w:contextualSpacing/>
    </w:pPr>
  </w:style>
  <w:style w:type="paragraph" w:styleId="BalloonText">
    <w:name w:val="Balloon Text"/>
    <w:basedOn w:val="Normal"/>
    <w:link w:val="BalloonTextChar"/>
    <w:uiPriority w:val="99"/>
    <w:semiHidden/>
    <w:unhideWhenUsed/>
    <w:rsid w:val="008C432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4325"/>
    <w:rPr>
      <w:rFonts w:ascii="Segoe UI" w:hAnsi="Segoe UI" w:cs="Segoe UI"/>
      <w:sz w:val="18"/>
      <w:szCs w:val="18"/>
      <w:lang w:val="en-GB"/>
    </w:rPr>
  </w:style>
  <w:style w:type="character" w:customStyle="1" w:styleId="CommentReference1">
    <w:name w:val="Comment Reference1"/>
    <w:basedOn w:val="DefaultParagraphFont"/>
    <w:uiPriority w:val="99"/>
    <w:semiHidden/>
    <w:unhideWhenUsed/>
    <w:rsid w:val="00283611"/>
    <w:rPr>
      <w:sz w:val="16"/>
      <w:szCs w:val="16"/>
    </w:rPr>
  </w:style>
  <w:style w:type="paragraph" w:customStyle="1" w:styleId="CommentText1">
    <w:name w:val="Comment Text1"/>
    <w:basedOn w:val="Normal"/>
    <w:link w:val="CommentTextChar"/>
    <w:uiPriority w:val="99"/>
    <w:unhideWhenUsed/>
    <w:rsid w:val="00283611"/>
    <w:rPr>
      <w:sz w:val="20"/>
      <w:szCs w:val="20"/>
    </w:rPr>
  </w:style>
  <w:style w:type="character" w:customStyle="1" w:styleId="CommentTextChar">
    <w:name w:val="Comment Text Char"/>
    <w:basedOn w:val="DefaultParagraphFont"/>
    <w:link w:val="CommentText1"/>
    <w:uiPriority w:val="99"/>
    <w:rsid w:val="00283611"/>
    <w:rPr>
      <w:rFonts w:ascii="Times New Roman" w:hAnsi="Times New Roman" w:cs="Times New Roman"/>
      <w:sz w:val="20"/>
      <w:szCs w:val="20"/>
      <w:lang w:val="en-GB"/>
    </w:rPr>
  </w:style>
  <w:style w:type="paragraph" w:customStyle="1" w:styleId="CommentSubject1">
    <w:name w:val="Comment Subject1"/>
    <w:basedOn w:val="CommentText1"/>
    <w:next w:val="CommentText1"/>
    <w:link w:val="CommentSubjectChar"/>
    <w:uiPriority w:val="99"/>
    <w:semiHidden/>
    <w:unhideWhenUsed/>
    <w:rsid w:val="00283611"/>
    <w:rPr>
      <w:b/>
      <w:bCs/>
    </w:rPr>
  </w:style>
  <w:style w:type="character" w:customStyle="1" w:styleId="CommentSubjectChar">
    <w:name w:val="Comment Subject Char"/>
    <w:basedOn w:val="CommentTextChar"/>
    <w:link w:val="CommentSubject1"/>
    <w:uiPriority w:val="99"/>
    <w:semiHidden/>
    <w:rsid w:val="00283611"/>
    <w:rPr>
      <w:rFonts w:ascii="Times New Roman" w:hAnsi="Times New Roman" w:cs="Times New Roman"/>
      <w:b/>
      <w:bCs/>
      <w:sz w:val="20"/>
      <w:szCs w:val="20"/>
      <w:lang w:val="en-GB"/>
    </w:rPr>
  </w:style>
  <w:style w:type="paragraph" w:styleId="Revision">
    <w:name w:val="Revision"/>
    <w:hidden/>
    <w:uiPriority w:val="99"/>
    <w:semiHidden/>
    <w:rsid w:val="00283611"/>
    <w:pPr>
      <w:spacing w:after="0" w:line="240" w:lineRule="auto"/>
    </w:pPr>
    <w:rPr>
      <w:rFonts w:ascii="Times New Roman" w:hAnsi="Times New Roman" w:cs="Times New Roman"/>
      <w:sz w:val="24"/>
      <w:lang w:val="en-GB"/>
    </w:rPr>
  </w:style>
  <w:style w:type="character" w:customStyle="1" w:styleId="footnotereference0">
    <w:name w:val="footnotereference0"/>
    <w:basedOn w:val="DefaultParagraphFont"/>
    <w:rsid w:val="00325355"/>
  </w:style>
  <w:style w:type="paragraph" w:styleId="NormalWeb">
    <w:name w:val="Normal (Web)"/>
    <w:basedOn w:val="Normal"/>
    <w:uiPriority w:val="99"/>
    <w:unhideWhenUsed/>
    <w:rsid w:val="000D42B6"/>
    <w:pPr>
      <w:spacing w:before="100" w:beforeAutospacing="1" w:after="100" w:afterAutospacing="1"/>
      <w:jc w:val="left"/>
    </w:pPr>
    <w:rPr>
      <w:rFonts w:eastAsia="Times New Roman"/>
      <w:szCs w:val="24"/>
      <w:lang w:eastAsia="en-GB"/>
    </w:rPr>
  </w:style>
  <w:style w:type="paragraph" w:styleId="Caption">
    <w:name w:val="caption"/>
    <w:basedOn w:val="Normal"/>
    <w:next w:val="Normal"/>
    <w:uiPriority w:val="35"/>
    <w:semiHidden/>
    <w:unhideWhenUsed/>
    <w:qFormat/>
    <w:rsid w:val="006F599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6F5996"/>
    <w:pPr>
      <w:spacing w:after="0"/>
    </w:pPr>
  </w:style>
  <w:style w:type="paragraph" w:styleId="ListNumber">
    <w:name w:val="List Number"/>
    <w:basedOn w:val="Normal"/>
    <w:uiPriority w:val="99"/>
    <w:semiHidden/>
    <w:unhideWhenUsed/>
    <w:rsid w:val="006F5996"/>
    <w:pPr>
      <w:numPr>
        <w:numId w:val="5"/>
      </w:numPr>
      <w:contextualSpacing/>
    </w:pPr>
  </w:style>
  <w:style w:type="paragraph" w:styleId="ListNumber2">
    <w:name w:val="List Number 2"/>
    <w:basedOn w:val="Normal"/>
    <w:uiPriority w:val="99"/>
    <w:semiHidden/>
    <w:unhideWhenUsed/>
    <w:rsid w:val="006F5996"/>
    <w:pPr>
      <w:numPr>
        <w:numId w:val="6"/>
      </w:numPr>
      <w:contextualSpacing/>
    </w:pPr>
  </w:style>
  <w:style w:type="paragraph" w:styleId="ListNumber3">
    <w:name w:val="List Number 3"/>
    <w:basedOn w:val="Normal"/>
    <w:uiPriority w:val="99"/>
    <w:semiHidden/>
    <w:unhideWhenUsed/>
    <w:rsid w:val="006F5996"/>
    <w:pPr>
      <w:numPr>
        <w:numId w:val="7"/>
      </w:numPr>
      <w:contextualSpacing/>
    </w:pPr>
  </w:style>
  <w:style w:type="paragraph" w:styleId="ListNumber4">
    <w:name w:val="List Number 4"/>
    <w:basedOn w:val="Normal"/>
    <w:uiPriority w:val="99"/>
    <w:semiHidden/>
    <w:unhideWhenUsed/>
    <w:rsid w:val="006F5996"/>
    <w:pPr>
      <w:numPr>
        <w:numId w:val="8"/>
      </w:numPr>
      <w:contextualSpacing/>
    </w:pPr>
  </w:style>
  <w:style w:type="paragraph" w:styleId="ListParagraph">
    <w:name w:val="List Paragraph"/>
    <w:basedOn w:val="Normal"/>
    <w:uiPriority w:val="34"/>
    <w:qFormat/>
    <w:rsid w:val="000E2866"/>
    <w:pPr>
      <w:ind w:left="720"/>
      <w:contextualSpacing/>
    </w:pPr>
  </w:style>
  <w:style w:type="character" w:styleId="FollowedHyperlink">
    <w:name w:val="FollowedHyperlink"/>
    <w:basedOn w:val="DefaultParagraphFont"/>
    <w:uiPriority w:val="99"/>
    <w:semiHidden/>
    <w:unhideWhenUsed/>
    <w:rsid w:val="003962B7"/>
    <w:rPr>
      <w:color w:val="800080" w:themeColor="followedHyperlink"/>
      <w:u w:val="single"/>
    </w:rPr>
  </w:style>
  <w:style w:type="character" w:customStyle="1" w:styleId="Bodytext1">
    <w:name w:val="Body text|1_"/>
    <w:basedOn w:val="DefaultParagraphFont"/>
    <w:link w:val="Bodytext10"/>
    <w:rsid w:val="001B7A10"/>
  </w:style>
  <w:style w:type="paragraph" w:customStyle="1" w:styleId="Bodytext10">
    <w:name w:val="Body text|1"/>
    <w:basedOn w:val="Normal"/>
    <w:link w:val="Bodytext1"/>
    <w:rsid w:val="001B7A10"/>
    <w:pPr>
      <w:widowControl w:val="0"/>
      <w:spacing w:before="0"/>
      <w:jc w:val="left"/>
    </w:pPr>
    <w:rPr>
      <w:rFonts w:asciiTheme="minorHAnsi" w:hAnsiTheme="minorHAnsi" w:cstheme="minorBidi"/>
      <w:sz w:val="22"/>
      <w:lang w:val="en-US"/>
    </w:rPr>
  </w:style>
  <w:style w:type="character" w:customStyle="1" w:styleId="UnresolvedMention">
    <w:name w:val="Unresolved Mention"/>
    <w:basedOn w:val="DefaultParagraphFont"/>
    <w:uiPriority w:val="99"/>
    <w:semiHidden/>
    <w:unhideWhenUsed/>
    <w:rsid w:val="00C2757B"/>
    <w:rPr>
      <w:color w:val="605E5C"/>
      <w:shd w:val="clear" w:color="auto" w:fill="E1DFDD"/>
    </w:rPr>
  </w:style>
  <w:style w:type="paragraph" w:customStyle="1" w:styleId="paragraph">
    <w:name w:val="paragraph"/>
    <w:basedOn w:val="Normal"/>
    <w:rsid w:val="00EE49A6"/>
    <w:pPr>
      <w:spacing w:before="100" w:beforeAutospacing="1" w:after="100" w:afterAutospacing="1"/>
      <w:jc w:val="left"/>
    </w:pPr>
    <w:rPr>
      <w:rFonts w:eastAsia="Times New Roman"/>
      <w:szCs w:val="24"/>
      <w:lang w:val="en-IE" w:eastAsia="en-IE"/>
    </w:rPr>
  </w:style>
  <w:style w:type="character" w:customStyle="1" w:styleId="normaltextrun">
    <w:name w:val="normaltextrun"/>
    <w:rsid w:val="00EE49A6"/>
  </w:style>
  <w:style w:type="character" w:customStyle="1" w:styleId="eop">
    <w:name w:val="eop"/>
    <w:rsid w:val="00EE49A6"/>
  </w:style>
  <w:style w:type="paragraph" w:styleId="CommentText">
    <w:name w:val="annotation text"/>
    <w:basedOn w:val="Normal"/>
    <w:link w:val="CommentTextChar1"/>
    <w:uiPriority w:val="99"/>
    <w:unhideWhenUsed/>
    <w:rPr>
      <w:sz w:val="20"/>
      <w:szCs w:val="20"/>
    </w:rPr>
  </w:style>
  <w:style w:type="character" w:customStyle="1" w:styleId="CommentTextChar1">
    <w:name w:val="Comment Text Char1"/>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1"/>
    <w:uiPriority w:val="99"/>
    <w:semiHidden/>
    <w:unhideWhenUsed/>
    <w:rsid w:val="00956447"/>
    <w:rPr>
      <w:b/>
      <w:bCs/>
    </w:rPr>
  </w:style>
  <w:style w:type="character" w:customStyle="1" w:styleId="CommentSubjectChar1">
    <w:name w:val="Comment Subject Char1"/>
    <w:basedOn w:val="CommentTextChar1"/>
    <w:link w:val="CommentSubject"/>
    <w:uiPriority w:val="99"/>
    <w:semiHidden/>
    <w:rsid w:val="00956447"/>
    <w:rPr>
      <w:rFonts w:ascii="Times New Roman" w:hAnsi="Times New Roman" w:cs="Times New Roman"/>
      <w:b/>
      <w:bCs/>
      <w:sz w:val="20"/>
      <w:szCs w:val="20"/>
      <w:lang w:val="en-GB"/>
    </w:rPr>
  </w:style>
  <w:style w:type="character" w:customStyle="1" w:styleId="HeaderChar">
    <w:name w:val="Header Char"/>
    <w:basedOn w:val="DefaultParagraphFont"/>
    <w:link w:val="Header"/>
    <w:uiPriority w:val="99"/>
    <w:rsid w:val="00D17E6D"/>
    <w:rPr>
      <w:rFonts w:ascii="Times New Roman" w:hAnsi="Times New Roman" w:cs="Times New Roman"/>
      <w:sz w:val="24"/>
      <w:lang w:val="en-GB"/>
    </w:rPr>
  </w:style>
  <w:style w:type="character" w:customStyle="1" w:styleId="FooterChar">
    <w:name w:val="Footer Char"/>
    <w:basedOn w:val="DefaultParagraphFont"/>
    <w:link w:val="Footer"/>
    <w:uiPriority w:val="99"/>
    <w:rsid w:val="00D17E6D"/>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17E6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17E6D"/>
    <w:pPr>
      <w:spacing w:before="0"/>
      <w:jc w:val="right"/>
    </w:pPr>
    <w:rPr>
      <w:sz w:val="28"/>
    </w:rPr>
  </w:style>
  <w:style w:type="paragraph" w:customStyle="1" w:styleId="FooterSensitivity">
    <w:name w:val="Footer Sensitivity"/>
    <w:basedOn w:val="Normal"/>
    <w:rsid w:val="00D17E6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17E6D"/>
    <w:pPr>
      <w:tabs>
        <w:tab w:val="center" w:pos="4535"/>
        <w:tab w:val="right" w:pos="9071"/>
      </w:tabs>
      <w:spacing w:before="0"/>
    </w:pPr>
  </w:style>
  <w:style w:type="paragraph" w:customStyle="1" w:styleId="HeaderLandscape">
    <w:name w:val="HeaderLandscape"/>
    <w:basedOn w:val="Normal"/>
    <w:rsid w:val="00D17E6D"/>
    <w:pPr>
      <w:tabs>
        <w:tab w:val="center" w:pos="7285"/>
        <w:tab w:val="right" w:pos="14003"/>
      </w:tabs>
      <w:spacing w:before="0"/>
    </w:pPr>
  </w:style>
  <w:style w:type="paragraph" w:styleId="Footer">
    <w:name w:val="footer"/>
    <w:basedOn w:val="Normal"/>
    <w:link w:val="FooterChar"/>
    <w:uiPriority w:val="99"/>
    <w:unhideWhenUsed/>
    <w:rsid w:val="00D17E6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17E6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222589">
      <w:bodyDiv w:val="1"/>
      <w:marLeft w:val="0"/>
      <w:marRight w:val="0"/>
      <w:marTop w:val="0"/>
      <w:marBottom w:val="0"/>
      <w:divBdr>
        <w:top w:val="none" w:sz="0" w:space="0" w:color="auto"/>
        <w:left w:val="none" w:sz="0" w:space="0" w:color="auto"/>
        <w:bottom w:val="none" w:sz="0" w:space="0" w:color="auto"/>
        <w:right w:val="none" w:sz="0" w:space="0" w:color="auto"/>
      </w:divBdr>
    </w:div>
    <w:div w:id="481777255">
      <w:bodyDiv w:val="1"/>
      <w:marLeft w:val="0"/>
      <w:marRight w:val="0"/>
      <w:marTop w:val="0"/>
      <w:marBottom w:val="0"/>
      <w:divBdr>
        <w:top w:val="none" w:sz="0" w:space="0" w:color="auto"/>
        <w:left w:val="none" w:sz="0" w:space="0" w:color="auto"/>
        <w:bottom w:val="none" w:sz="0" w:space="0" w:color="auto"/>
        <w:right w:val="none" w:sz="0" w:space="0" w:color="auto"/>
      </w:divBdr>
    </w:div>
    <w:div w:id="866910851">
      <w:bodyDiv w:val="1"/>
      <w:marLeft w:val="0"/>
      <w:marRight w:val="0"/>
      <w:marTop w:val="0"/>
      <w:marBottom w:val="0"/>
      <w:divBdr>
        <w:top w:val="none" w:sz="0" w:space="0" w:color="auto"/>
        <w:left w:val="none" w:sz="0" w:space="0" w:color="auto"/>
        <w:bottom w:val="none" w:sz="0" w:space="0" w:color="auto"/>
        <w:right w:val="none" w:sz="0" w:space="0" w:color="auto"/>
      </w:divBdr>
    </w:div>
    <w:div w:id="1808820019">
      <w:bodyDiv w:val="1"/>
      <w:marLeft w:val="0"/>
      <w:marRight w:val="0"/>
      <w:marTop w:val="0"/>
      <w:marBottom w:val="0"/>
      <w:divBdr>
        <w:top w:val="none" w:sz="0" w:space="0" w:color="auto"/>
        <w:left w:val="none" w:sz="0" w:space="0" w:color="auto"/>
        <w:bottom w:val="none" w:sz="0" w:space="0" w:color="auto"/>
        <w:right w:val="none" w:sz="0" w:space="0" w:color="auto"/>
      </w:divBdr>
    </w:div>
    <w:div w:id="2073888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europol.europa.eu/publications-events/main-reports/tesat-report" TargetMode="External"/><Relationship Id="rId1" Type="http://schemas.openxmlformats.org/officeDocument/2006/relationships/hyperlink" Target="https://www.europol.europa.eu/publications-events/main-reports/socta-repo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55674-5D1A-497A-8968-003B1889B804}">
  <ds:schemaRefs>
    <ds:schemaRef ds:uri="http://schemas.microsoft.com/sharepoint/v3/contenttype/forms"/>
  </ds:schemaRefs>
</ds:datastoreItem>
</file>

<file path=customXml/itemProps2.xml><?xml version="1.0" encoding="utf-8"?>
<ds:datastoreItem xmlns:ds="http://schemas.openxmlformats.org/officeDocument/2006/customXml" ds:itemID="{E544B592-3585-4CD8-9C60-12D89622C4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3AA9A2-7E44-42F4-8410-26DEFC8491E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0E3EB5C-092E-43AE-88C5-075BD1A22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10</Pages>
  <Words>3463</Words>
  <Characters>19743</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29</cp:revision>
  <dcterms:created xsi:type="dcterms:W3CDTF">2026-06-30T14:57:00Z</dcterms:created>
  <dcterms:modified xsi:type="dcterms:W3CDTF">2026-07-14T15:19:00Z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2025-04-02T10:49:08Z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f2ad11e9-3f4e-441e-827b-75f8db9652db</vt:lpwstr>
  </property>
  <property fmtid="{D5CDD505-2E9C-101B-9397-08002B2CF9AE}" pid="9" name="MSIP_Label_6bd9ddd1-4d20-43f6-abfa-fc3c07406f94_ContentBits">
    <vt:lpwstr>0</vt:lpwstr>
  </property>
  <property fmtid="{D5CDD505-2E9C-101B-9397-08002B2CF9AE}" pid="10" name="ContentTypeId">
    <vt:lpwstr>0x010100192C27A92ABE24488EA583CFD08DCF90</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SJ-019</vt:lpwstr>
  </property>
  <property fmtid="{D5CDD505-2E9C-101B-9397-08002B2CF9AE}" pid="16" name="DQCStatus">
    <vt:lpwstr>Green (DQC version 03)</vt:lpwstr>
  </property>
</Properties>
</file>