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D79470" w14:textId="0FC708C2" w:rsidR="00A76014" w:rsidRDefault="00AD2EBD" w:rsidP="00AD2EBD">
      <w:pPr>
        <w:pStyle w:val="Pagedecouverture"/>
        <w:rPr>
          <w:noProof/>
        </w:rPr>
      </w:pPr>
      <w:bookmarkStart w:id="0" w:name="LW_BM_COVERPAGE"/>
      <w:r>
        <w:rPr>
          <w:noProof/>
        </w:rPr>
        <w:pict w14:anchorId="7636E3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2601E97-B65F-432A-BBF4-341D5B8C8526" style="width:455.25pt;height:300pt">
            <v:imagedata r:id="rId8" o:title=""/>
          </v:shape>
        </w:pict>
      </w:r>
    </w:p>
    <w:bookmarkEnd w:id="0"/>
    <w:p w14:paraId="4B0AD9C2" w14:textId="614E5974" w:rsidR="005627ED" w:rsidRPr="005627ED" w:rsidRDefault="005627ED" w:rsidP="005627ED">
      <w:pPr>
        <w:pStyle w:val="Pagedecouverture"/>
        <w:rPr>
          <w:noProof/>
        </w:rPr>
        <w:sectPr w:rsidR="005627ED" w:rsidRPr="005627ED" w:rsidSect="00AD2EB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9E1AC01" w14:textId="77777777" w:rsidR="00CD4FFE" w:rsidRPr="007667FF" w:rsidRDefault="004368B8" w:rsidP="007667FF">
      <w:pPr>
        <w:spacing w:after="200" w:line="276" w:lineRule="auto"/>
        <w:jc w:val="center"/>
        <w:rPr>
          <w:rFonts w:ascii="Times New Roman" w:eastAsiaTheme="minorHAnsi" w:hAnsi="Times New Roman" w:cs="Times New Roman"/>
          <w:b/>
          <w:noProof/>
          <w:sz w:val="24"/>
          <w:szCs w:val="24"/>
        </w:rPr>
      </w:pPr>
      <w:bookmarkStart w:id="1" w:name="_GoBack"/>
      <w:bookmarkEnd w:id="1"/>
      <w:r>
        <w:rPr>
          <w:rFonts w:ascii="Times New Roman" w:hAnsi="Times New Roman"/>
          <w:b/>
          <w:noProof/>
          <w:sz w:val="24"/>
        </w:rPr>
        <w:lastRenderedPageBreak/>
        <w:t xml:space="preserve">RAPORT AL COMISIEI CĂTRE PARLAMENTUL EUROPEAN ȘI CONSILIU </w:t>
      </w:r>
    </w:p>
    <w:p w14:paraId="21BFF834" w14:textId="08680703" w:rsidR="008C032B" w:rsidRPr="007667FF" w:rsidRDefault="004368B8" w:rsidP="007667FF">
      <w:pPr>
        <w:spacing w:after="200" w:line="276" w:lineRule="auto"/>
        <w:jc w:val="center"/>
        <w:rPr>
          <w:rFonts w:ascii="Times New Roman" w:eastAsiaTheme="minorHAnsi" w:hAnsi="Times New Roman" w:cs="Times New Roman"/>
          <w:b/>
          <w:noProof/>
          <w:sz w:val="24"/>
          <w:szCs w:val="24"/>
        </w:rPr>
      </w:pPr>
      <w:r>
        <w:rPr>
          <w:rFonts w:ascii="Times New Roman" w:hAnsi="Times New Roman"/>
          <w:b/>
          <w:noProof/>
          <w:sz w:val="24"/>
        </w:rPr>
        <w:t>referitor la prima revizuire a funcționării deciziei privind caracterul adecvat al nivelului de protecție asigurat de Republica Coreea</w:t>
      </w:r>
    </w:p>
    <w:p w14:paraId="297F87CD" w14:textId="77777777" w:rsidR="00BA2AF2" w:rsidRPr="0015364F" w:rsidRDefault="00BA2AF2" w:rsidP="0015364F">
      <w:pPr>
        <w:pStyle w:val="ListParagraph"/>
        <w:spacing w:after="200" w:line="276" w:lineRule="auto"/>
        <w:ind w:left="360" w:hanging="360"/>
        <w:rPr>
          <w:rFonts w:ascii="Times New Roman" w:eastAsiaTheme="minorHAnsi" w:hAnsi="Times New Roman" w:cs="Times New Roman"/>
          <w:b/>
          <w:bCs/>
          <w:noProof/>
          <w:sz w:val="24"/>
          <w:szCs w:val="24"/>
          <w:lang w:val="en-GB" w:eastAsia="en-US"/>
        </w:rPr>
      </w:pPr>
    </w:p>
    <w:p w14:paraId="1C63CE58" w14:textId="058517BF" w:rsidR="00CD4FFE" w:rsidRPr="00DB5433" w:rsidRDefault="004368B8" w:rsidP="00CD4FFE">
      <w:pPr>
        <w:pStyle w:val="ListParagraph"/>
        <w:numPr>
          <w:ilvl w:val="0"/>
          <w:numId w:val="2"/>
        </w:numPr>
        <w:spacing w:after="200" w:line="276" w:lineRule="auto"/>
        <w:rPr>
          <w:rFonts w:ascii="Times New Roman" w:eastAsiaTheme="minorHAnsi" w:hAnsi="Times New Roman" w:cs="Times New Roman"/>
          <w:b/>
          <w:bCs/>
          <w:noProof/>
          <w:sz w:val="24"/>
          <w:szCs w:val="24"/>
        </w:rPr>
      </w:pPr>
      <w:r>
        <w:rPr>
          <w:rFonts w:ascii="Times New Roman" w:hAnsi="Times New Roman"/>
          <w:b/>
          <w:noProof/>
          <w:sz w:val="24"/>
        </w:rPr>
        <w:t>PRIMA REVIZUIRE – CONTEXT, PREGĂTIRE ȘI PROCES</w:t>
      </w:r>
    </w:p>
    <w:p w14:paraId="1CD5FB23" w14:textId="5106853C" w:rsidR="00CD4FFE" w:rsidRPr="00262979" w:rsidRDefault="00BA2AF2" w:rsidP="00262979">
      <w:pPr>
        <w:spacing w:after="200" w:line="276" w:lineRule="auto"/>
        <w:jc w:val="both"/>
        <w:rPr>
          <w:rFonts w:ascii="Times New Roman" w:eastAsiaTheme="minorHAnsi" w:hAnsi="Times New Roman" w:cs="Times New Roman"/>
          <w:noProof/>
          <w:sz w:val="24"/>
          <w:szCs w:val="24"/>
        </w:rPr>
      </w:pPr>
      <w:r>
        <w:rPr>
          <w:rFonts w:ascii="Times New Roman" w:hAnsi="Times New Roman"/>
          <w:noProof/>
          <w:sz w:val="24"/>
        </w:rPr>
        <w:t xml:space="preserve">La </w:t>
      </w:r>
      <w:r w:rsidRPr="00261495">
        <w:rPr>
          <w:rFonts w:ascii="Times New Roman" w:hAnsi="Times New Roman"/>
          <w:noProof/>
          <w:sz w:val="24"/>
        </w:rPr>
        <w:t>17</w:t>
      </w:r>
      <w:r>
        <w:rPr>
          <w:rFonts w:ascii="Times New Roman" w:hAnsi="Times New Roman"/>
          <w:noProof/>
          <w:sz w:val="24"/>
        </w:rPr>
        <w:t xml:space="preserve"> decembrie </w:t>
      </w:r>
      <w:r w:rsidRPr="00261495">
        <w:rPr>
          <w:rFonts w:ascii="Times New Roman" w:hAnsi="Times New Roman"/>
          <w:noProof/>
          <w:sz w:val="24"/>
        </w:rPr>
        <w:t>2021</w:t>
      </w:r>
      <w:r>
        <w:rPr>
          <w:rFonts w:ascii="Times New Roman" w:hAnsi="Times New Roman"/>
          <w:noProof/>
          <w:sz w:val="24"/>
        </w:rPr>
        <w:t>, Comisia Europeană a adoptat o decizie în temeiul articolului </w:t>
      </w:r>
      <w:r w:rsidRPr="00261495">
        <w:rPr>
          <w:rFonts w:ascii="Times New Roman" w:hAnsi="Times New Roman"/>
          <w:noProof/>
          <w:sz w:val="24"/>
        </w:rPr>
        <w:t>45</w:t>
      </w:r>
      <w:r>
        <w:rPr>
          <w:rFonts w:ascii="Times New Roman" w:hAnsi="Times New Roman"/>
          <w:noProof/>
          <w:sz w:val="24"/>
        </w:rPr>
        <w:t xml:space="preserve"> din Regulamentul (UE) </w:t>
      </w:r>
      <w:r w:rsidRPr="00261495">
        <w:rPr>
          <w:rFonts w:ascii="Times New Roman" w:hAnsi="Times New Roman"/>
          <w:noProof/>
          <w:sz w:val="24"/>
        </w:rPr>
        <w:t>2016</w:t>
      </w:r>
      <w:r>
        <w:rPr>
          <w:rFonts w:ascii="Times New Roman" w:hAnsi="Times New Roman"/>
          <w:noProof/>
          <w:sz w:val="24"/>
        </w:rPr>
        <w:t>/</w:t>
      </w:r>
      <w:r w:rsidRPr="00261495">
        <w:rPr>
          <w:rFonts w:ascii="Times New Roman" w:hAnsi="Times New Roman"/>
          <w:noProof/>
          <w:sz w:val="24"/>
        </w:rPr>
        <w:t>679</w:t>
      </w:r>
      <w:r>
        <w:rPr>
          <w:rFonts w:ascii="Times New Roman" w:hAnsi="Times New Roman"/>
          <w:noProof/>
          <w:sz w:val="24"/>
        </w:rPr>
        <w:t xml:space="preserve"> (RGPD)</w:t>
      </w:r>
      <w:r>
        <w:rPr>
          <w:rStyle w:val="FootnoteReference"/>
          <w:rFonts w:ascii="Times New Roman" w:eastAsiaTheme="minorHAnsi" w:hAnsi="Times New Roman" w:cs="Times New Roman"/>
          <w:noProof/>
          <w:sz w:val="24"/>
          <w:szCs w:val="24"/>
          <w:lang w:val="en-GB" w:eastAsia="en-US"/>
        </w:rPr>
        <w:footnoteReference w:id="1"/>
      </w:r>
      <w:r>
        <w:rPr>
          <w:rFonts w:ascii="Times New Roman" w:hAnsi="Times New Roman"/>
          <w:noProof/>
          <w:sz w:val="24"/>
        </w:rPr>
        <w:t xml:space="preserve"> în care a constatat că Republica Coreea asigură un nivel adecvat de protecție a datelor cu caracter personal transferate din Uniunea Europeană</w:t>
      </w:r>
      <w:r>
        <w:rPr>
          <w:rStyle w:val="FootnoteReference"/>
          <w:rFonts w:ascii="Times New Roman" w:eastAsiaTheme="minorHAnsi" w:hAnsi="Times New Roman" w:cs="Times New Roman"/>
          <w:noProof/>
          <w:sz w:val="24"/>
          <w:szCs w:val="24"/>
          <w:lang w:val="en-GB" w:eastAsia="en-US"/>
        </w:rPr>
        <w:footnoteReference w:id="2"/>
      </w:r>
      <w:r>
        <w:rPr>
          <w:rFonts w:ascii="Times New Roman" w:hAnsi="Times New Roman"/>
          <w:noProof/>
          <w:sz w:val="24"/>
        </w:rPr>
        <w:t xml:space="preserve"> („decizia privind caracterul adecvat”). Prin urmare, transferurile de date din UE către Republica Coreea pot avea loc fără impunerea unor cerințe suplimentare. </w:t>
      </w:r>
    </w:p>
    <w:p w14:paraId="37F683F6" w14:textId="39D11695" w:rsidR="00DE3F37" w:rsidRDefault="4D7E474A" w:rsidP="1ED76EEF">
      <w:pPr>
        <w:spacing w:after="200" w:line="276" w:lineRule="auto"/>
        <w:jc w:val="both"/>
        <w:rPr>
          <w:rFonts w:ascii="Times New Roman" w:hAnsi="Times New Roman" w:cs="Times New Roman"/>
          <w:noProof/>
          <w:sz w:val="24"/>
          <w:szCs w:val="24"/>
        </w:rPr>
      </w:pPr>
      <w:r>
        <w:rPr>
          <w:rFonts w:ascii="Times New Roman" w:hAnsi="Times New Roman"/>
          <w:noProof/>
          <w:sz w:val="24"/>
        </w:rPr>
        <w:t>Decizia Comisiei privind caracterul adecvat al nivelului de protecție se referă la Legea privind protecția informațiilor cu caracter personal (</w:t>
      </w:r>
      <w:r>
        <w:rPr>
          <w:rFonts w:ascii="Times New Roman" w:hAnsi="Times New Roman"/>
          <w:i/>
          <w:iCs/>
          <w:noProof/>
          <w:sz w:val="24"/>
        </w:rPr>
        <w:t>Personal Information Protection Act</w:t>
      </w:r>
      <w:r>
        <w:rPr>
          <w:rFonts w:ascii="Times New Roman" w:hAnsi="Times New Roman"/>
          <w:noProof/>
          <w:sz w:val="24"/>
        </w:rPr>
        <w:t xml:space="preserve"> - „PIPA”</w:t>
      </w:r>
      <w:r>
        <w:rPr>
          <w:rStyle w:val="FootnoteReference"/>
          <w:rFonts w:ascii="Times New Roman" w:hAnsi="Times New Roman" w:cs="Times New Roman"/>
          <w:noProof/>
          <w:sz w:val="24"/>
          <w:szCs w:val="24"/>
          <w:lang w:val="en-GB" w:eastAsia="en-US"/>
        </w:rPr>
        <w:footnoteReference w:id="3"/>
      </w:r>
      <w:r>
        <w:rPr>
          <w:rFonts w:ascii="Times New Roman" w:hAnsi="Times New Roman"/>
          <w:noProof/>
          <w:sz w:val="24"/>
        </w:rPr>
        <w:t>), astfel cum a fost completată prin garanțiile suplimentare stabilite în anexa I la decizia privind caracterul adecvat al nivelului de protecție („normele suplimentare”</w:t>
      </w:r>
      <w:r>
        <w:rPr>
          <w:rStyle w:val="FootnoteReference"/>
          <w:rFonts w:ascii="Times New Roman" w:hAnsi="Times New Roman" w:cs="Times New Roman"/>
          <w:noProof/>
          <w:sz w:val="24"/>
          <w:szCs w:val="24"/>
          <w:lang w:val="en-GB" w:eastAsia="en-US"/>
        </w:rPr>
        <w:footnoteReference w:id="4"/>
      </w:r>
      <w:r>
        <w:rPr>
          <w:rFonts w:ascii="Times New Roman" w:hAnsi="Times New Roman"/>
          <w:noProof/>
          <w:sz w:val="24"/>
        </w:rPr>
        <w:t>). Aceste garanții clarifică aplicarea principiului limitării scopului în contextul datelor transferate din UE către un operator coreean de date, introduc obligații de notificare în cazurile în care datele cu caracter personal nu sunt obținute direct de la persoana vizată în cauză și precizează condițiile în care Comisia pentru protecția informațiilor cu caracter personal (</w:t>
      </w:r>
      <w:r>
        <w:rPr>
          <w:rFonts w:ascii="Times New Roman" w:hAnsi="Times New Roman"/>
          <w:i/>
          <w:iCs/>
          <w:noProof/>
          <w:sz w:val="24"/>
        </w:rPr>
        <w:t>Personal Information Protection Commission</w:t>
      </w:r>
      <w:r>
        <w:rPr>
          <w:rFonts w:ascii="Times New Roman" w:hAnsi="Times New Roman"/>
          <w:noProof/>
          <w:sz w:val="24"/>
        </w:rPr>
        <w:t xml:space="preserve"> - PIPC) poate impune măsuri corective și modul în care se aplică PIPA în cazul prelucrării datelor cu caracter personal în scopuri legate de securitatea națională. Normele suplimentare sunt obligatorii din punct de vedere juridic pentru operatorii de informații cu caracter personal din Republica Coreea și executorii atât pentru PIPC, cât și pentru instanțe</w:t>
      </w:r>
      <w:r>
        <w:rPr>
          <w:rStyle w:val="FootnoteReference"/>
          <w:rFonts w:ascii="Times New Roman" w:hAnsi="Times New Roman" w:cs="Times New Roman"/>
          <w:noProof/>
          <w:sz w:val="24"/>
          <w:szCs w:val="24"/>
          <w:lang w:eastAsia="en-US"/>
        </w:rPr>
        <w:footnoteReference w:id="5"/>
      </w:r>
      <w:r>
        <w:rPr>
          <w:rFonts w:ascii="Times New Roman" w:hAnsi="Times New Roman"/>
          <w:noProof/>
          <w:sz w:val="24"/>
        </w:rPr>
        <w:t>.</w:t>
      </w:r>
    </w:p>
    <w:p w14:paraId="18D9813D" w14:textId="73D839CC" w:rsidR="00DE3F37" w:rsidRDefault="15CA88BF" w:rsidP="001E2827">
      <w:pPr>
        <w:spacing w:after="200" w:line="276" w:lineRule="auto"/>
        <w:jc w:val="both"/>
        <w:rPr>
          <w:rFonts w:ascii="Times New Roman" w:hAnsi="Times New Roman" w:cs="Times New Roman"/>
          <w:noProof/>
          <w:sz w:val="24"/>
          <w:szCs w:val="24"/>
        </w:rPr>
      </w:pPr>
      <w:r>
        <w:rPr>
          <w:rFonts w:ascii="Times New Roman" w:hAnsi="Times New Roman"/>
          <w:noProof/>
          <w:color w:val="000000" w:themeColor="text1"/>
          <w:sz w:val="24"/>
        </w:rPr>
        <w:t>În plus, guvernul coreean a furnizat Comisiei declarații, asigurări și angajamente oficiale cu privire la limitările și garanțiile aferente accesului la datele cu caracter personal și utilizării acestora de către autoritățile publice coreene în scopuri de asigurare a respectării dreptului penal și de securitate națională, clarificând faptul că orice astfel de prelucrare este</w:t>
      </w:r>
      <w:r>
        <w:rPr>
          <w:rFonts w:ascii="Times New Roman" w:hAnsi="Times New Roman"/>
          <w:noProof/>
          <w:sz w:val="24"/>
        </w:rPr>
        <w:t xml:space="preserve"> limitată la ceea ce este strict necesar pentru îndeplinirea obiectivului legitim și că există o protecție juridică eficace împotriva oricărei ingerințe</w:t>
      </w:r>
      <w:r>
        <w:rPr>
          <w:rStyle w:val="FootnoteReference"/>
          <w:rFonts w:ascii="Times New Roman" w:eastAsia="Times New Roman" w:hAnsi="Times New Roman" w:cs="Times New Roman"/>
          <w:noProof/>
          <w:sz w:val="24"/>
          <w:szCs w:val="24"/>
          <w:lang w:val="en-GB"/>
        </w:rPr>
        <w:footnoteReference w:id="6"/>
      </w:r>
      <w:r>
        <w:rPr>
          <w:rFonts w:ascii="Times New Roman" w:hAnsi="Times New Roman"/>
          <w:noProof/>
          <w:sz w:val="24"/>
        </w:rPr>
        <w:t>.</w:t>
      </w:r>
    </w:p>
    <w:p w14:paraId="08E39C55" w14:textId="7824FFB0" w:rsidR="007452F2" w:rsidRPr="00262979" w:rsidRDefault="5F56C140" w:rsidP="00262979">
      <w:pPr>
        <w:spacing w:after="200" w:line="276" w:lineRule="auto"/>
        <w:jc w:val="both"/>
        <w:rPr>
          <w:noProof/>
        </w:rPr>
      </w:pPr>
      <w:r>
        <w:rPr>
          <w:rFonts w:ascii="Times New Roman" w:hAnsi="Times New Roman"/>
          <w:noProof/>
          <w:sz w:val="24"/>
        </w:rPr>
        <w:t xml:space="preserve">De la adoptarea deciziei privind caracterul adecvat al nivelului de protecție, Republica Coreea și UE, în calitate de parteneri care împărtășesc aceeași viziune, și-au intensificat și mai mult cooperarea în ceea ce privește aspectele digitale, în general, și, mai precis, fluxurile de date. </w:t>
      </w:r>
    </w:p>
    <w:p w14:paraId="394B05E6" w14:textId="2531B5CB" w:rsidR="006F0A10" w:rsidRDefault="11902759" w:rsidP="1ED76EEF">
      <w:pPr>
        <w:spacing w:after="200" w:line="276" w:lineRule="auto"/>
        <w:jc w:val="both"/>
        <w:rPr>
          <w:rFonts w:ascii="Times New Roman" w:hAnsi="Times New Roman" w:cs="Times New Roman"/>
          <w:noProof/>
          <w:sz w:val="24"/>
          <w:szCs w:val="24"/>
        </w:rPr>
      </w:pPr>
      <w:r>
        <w:rPr>
          <w:rFonts w:ascii="Times New Roman" w:hAnsi="Times New Roman"/>
          <w:noProof/>
          <w:sz w:val="24"/>
        </w:rPr>
        <w:t>La nivel bilateral, această cooperare se reflectă în special prin adoptarea unei recunoașteri a echivalenței pentru Uniunea Europeană de către Republica Coreea, care recunoaște, în cadrul său juridic, că UE asigură un nivel de protecție a datelor cu caracter personal echivalent cu cel asigurat în Republica Coreea și care permite, astfel, libera circulație a datelor cu caracter personal din Republica Coreea către UE. Aceasta este prima recunoaștere a echivalenței adoptată de Republica</w:t>
      </w:r>
      <w:r w:rsidR="007903CE">
        <w:rPr>
          <w:rFonts w:ascii="Times New Roman" w:hAnsi="Times New Roman"/>
          <w:noProof/>
          <w:sz w:val="24"/>
        </w:rPr>
        <w:t> </w:t>
      </w:r>
      <w:r>
        <w:rPr>
          <w:rFonts w:ascii="Times New Roman" w:hAnsi="Times New Roman"/>
          <w:noProof/>
          <w:sz w:val="24"/>
        </w:rPr>
        <w:t xml:space="preserve">Coreea. A intrat în vigoare la </w:t>
      </w:r>
      <w:r w:rsidRPr="00261495">
        <w:rPr>
          <w:rFonts w:ascii="Times New Roman" w:hAnsi="Times New Roman"/>
          <w:noProof/>
          <w:sz w:val="24"/>
        </w:rPr>
        <w:t>16</w:t>
      </w:r>
      <w:r>
        <w:rPr>
          <w:rFonts w:ascii="Times New Roman" w:hAnsi="Times New Roman"/>
          <w:noProof/>
          <w:sz w:val="24"/>
        </w:rPr>
        <w:t xml:space="preserve"> septembrie </w:t>
      </w:r>
      <w:r w:rsidRPr="00261495">
        <w:rPr>
          <w:rFonts w:ascii="Times New Roman" w:hAnsi="Times New Roman"/>
          <w:noProof/>
          <w:sz w:val="24"/>
        </w:rPr>
        <w:t>2025</w:t>
      </w:r>
      <w:r>
        <w:rPr>
          <w:rFonts w:ascii="Times New Roman" w:hAnsi="Times New Roman"/>
          <w:noProof/>
          <w:sz w:val="24"/>
        </w:rPr>
        <w:t xml:space="preserve"> și a fost anunțată în comun la Seul de comisarul UE McGrath și de fostul președinte al PIPC, dl Haksoo Ko. Recunoașterea echivalenței vizează atât sectorul public, cât și pe cel privat și se extinde la întregul SEE</w:t>
      </w:r>
      <w:r>
        <w:rPr>
          <w:rStyle w:val="FootnoteReference"/>
          <w:rFonts w:ascii="Times New Roman" w:hAnsi="Times New Roman" w:cs="Times New Roman"/>
          <w:noProof/>
          <w:sz w:val="24"/>
          <w:szCs w:val="24"/>
          <w:lang w:val="en-GB" w:eastAsia="en-US"/>
        </w:rPr>
        <w:footnoteReference w:id="7"/>
      </w:r>
      <w:r>
        <w:rPr>
          <w:rFonts w:ascii="Times New Roman" w:hAnsi="Times New Roman"/>
          <w:noProof/>
          <w:sz w:val="24"/>
        </w:rPr>
        <w:t xml:space="preserve">. </w:t>
      </w:r>
    </w:p>
    <w:p w14:paraId="193143B8" w14:textId="0F0DA0B9" w:rsidR="007452F2" w:rsidRPr="00262979" w:rsidRDefault="0E0EE878" w:rsidP="1ED76EEF">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Acordul privind adecvarea reciprocă dintre UE și Coreea completează și amplifică avantajele de care beneficiază întreprinderile din UE și din Republica Coreea datorită Acordului de liber schimb dintre UE și Republica Coreea din </w:t>
      </w:r>
      <w:r w:rsidRPr="00261495">
        <w:rPr>
          <w:rFonts w:ascii="Times New Roman" w:hAnsi="Times New Roman"/>
          <w:noProof/>
          <w:sz w:val="24"/>
        </w:rPr>
        <w:t>2011</w:t>
      </w:r>
      <w:r>
        <w:rPr>
          <w:rFonts w:ascii="Times New Roman" w:hAnsi="Times New Roman"/>
          <w:noProof/>
          <w:sz w:val="24"/>
        </w:rPr>
        <w:t xml:space="preserve"> și Acordului din domeniul comerțului digital din </w:t>
      </w:r>
      <w:r w:rsidRPr="00261495">
        <w:rPr>
          <w:rFonts w:ascii="Times New Roman" w:hAnsi="Times New Roman"/>
          <w:noProof/>
          <w:sz w:val="24"/>
        </w:rPr>
        <w:t>10</w:t>
      </w:r>
      <w:r w:rsidR="00261495">
        <w:rPr>
          <w:rFonts w:ascii="Times New Roman" w:hAnsi="Times New Roman"/>
          <w:noProof/>
          <w:sz w:val="24"/>
        </w:rPr>
        <w:t> </w:t>
      </w:r>
      <w:r>
        <w:rPr>
          <w:rFonts w:ascii="Times New Roman" w:hAnsi="Times New Roman"/>
          <w:noProof/>
          <w:sz w:val="24"/>
        </w:rPr>
        <w:t>martie</w:t>
      </w:r>
      <w:r w:rsidR="00261495">
        <w:rPr>
          <w:rFonts w:ascii="Times New Roman" w:hAnsi="Times New Roman"/>
          <w:noProof/>
          <w:sz w:val="24"/>
        </w:rPr>
        <w:t> </w:t>
      </w:r>
      <w:r w:rsidRPr="00261495">
        <w:rPr>
          <w:rFonts w:ascii="Times New Roman" w:hAnsi="Times New Roman"/>
          <w:noProof/>
          <w:sz w:val="24"/>
        </w:rPr>
        <w:t>2025</w:t>
      </w:r>
      <w:r>
        <w:rPr>
          <w:rStyle w:val="FootnoteReference"/>
          <w:rFonts w:ascii="Times New Roman" w:hAnsi="Times New Roman" w:cs="Times New Roman"/>
          <w:noProof/>
          <w:sz w:val="24"/>
          <w:szCs w:val="24"/>
          <w:lang w:val="en-GB" w:eastAsia="en-US"/>
        </w:rPr>
        <w:footnoteReference w:id="8"/>
      </w:r>
      <w:r w:rsidR="007903CE">
        <w:rPr>
          <w:rStyle w:val="FootnoteReference"/>
          <w:rFonts w:ascii="Times New Roman" w:hAnsi="Times New Roman" w:cs="Times New Roman"/>
          <w:noProof/>
          <w:sz w:val="24"/>
          <w:szCs w:val="24"/>
          <w:lang w:eastAsia="en-US"/>
        </w:rPr>
        <w:t xml:space="preserve"> </w:t>
      </w:r>
      <w:r>
        <w:rPr>
          <w:rFonts w:ascii="Times New Roman" w:hAnsi="Times New Roman"/>
          <w:noProof/>
          <w:sz w:val="24"/>
        </w:rPr>
        <w:t xml:space="preserve">. Fluxul nerestricționat de date cu caracter personal dintre cele două jurisdicții facilitează și mai mult schimburile comerciale și deschide perspective economice datorită accesului privilegiat pe piață. Mai mult, în felul acesta se creează un precedent important, care demonstrează că standardele solide de protecție a datelor și facilitarea comerțului mondial nu sunt doar compatibile, ci și esențiale în economia digitală a prezentului. </w:t>
      </w:r>
    </w:p>
    <w:p w14:paraId="334E74A5" w14:textId="0F13BE28" w:rsidR="006C136B" w:rsidRPr="00262979" w:rsidRDefault="2125B410" w:rsidP="5EE83705">
      <w:pPr>
        <w:spacing w:after="200" w:line="276" w:lineRule="auto"/>
        <w:jc w:val="both"/>
        <w:rPr>
          <w:rFonts w:ascii="Times New Roman" w:eastAsia="Times New Roman" w:hAnsi="Times New Roman" w:cs="Times New Roman"/>
          <w:noProof/>
          <w:sz w:val="24"/>
          <w:szCs w:val="24"/>
        </w:rPr>
      </w:pPr>
      <w:r>
        <w:rPr>
          <w:rFonts w:ascii="Times New Roman" w:hAnsi="Times New Roman"/>
          <w:noProof/>
          <w:sz w:val="24"/>
        </w:rPr>
        <w:t>La nivel multilateral, Republica Coreea și UE au cooperat cu succes în cadrul forurilor internaționale, de exemplu în cadrul Organizației pentru Cooperare și Dezvoltare Economică (OCDE), unde această cooperare strânsă a fost esențială pentru adoptarea, pentru prima dată la nivel internațional, a unor principii comune privind accesul administrației publice la datele cu caracter personal deținute de sectorul privat</w:t>
      </w:r>
      <w:r>
        <w:rPr>
          <w:rStyle w:val="FootnoteReference"/>
          <w:rFonts w:ascii="Times New Roman" w:hAnsi="Times New Roman" w:cs="Times New Roman"/>
          <w:noProof/>
          <w:sz w:val="24"/>
          <w:szCs w:val="24"/>
          <w:lang w:val="en-GB" w:eastAsia="en-US"/>
        </w:rPr>
        <w:footnoteReference w:id="9"/>
      </w:r>
      <w:r>
        <w:rPr>
          <w:rFonts w:ascii="Times New Roman" w:hAnsi="Times New Roman"/>
          <w:noProof/>
          <w:sz w:val="24"/>
        </w:rPr>
        <w:t>. Aceste lucrări s-au bazat pe valorile și cerințele comune pe care se întemeiază acordul UE-Coreea privind adecvarea reciprocă. Mai mult, această colaborare strânsă se reflectă și în participarea activă a PIPC la Rețeaua Comisiei Europene privind adecvarea nivelului de protecție (</w:t>
      </w:r>
      <w:r>
        <w:rPr>
          <w:rFonts w:ascii="Times New Roman" w:hAnsi="Times New Roman"/>
          <w:i/>
          <w:iCs/>
          <w:noProof/>
          <w:sz w:val="24"/>
        </w:rPr>
        <w:t>Adequacy Network</w:t>
      </w:r>
      <w:r>
        <w:rPr>
          <w:rFonts w:ascii="Times New Roman" w:hAnsi="Times New Roman"/>
          <w:noProof/>
          <w:sz w:val="24"/>
        </w:rPr>
        <w:t xml:space="preserve">), din care PIPC face parte de la înființarea acestei rețele, la </w:t>
      </w:r>
      <w:r w:rsidRPr="00261495">
        <w:rPr>
          <w:rFonts w:ascii="Times New Roman" w:hAnsi="Times New Roman"/>
          <w:noProof/>
          <w:sz w:val="24"/>
        </w:rPr>
        <w:t>4</w:t>
      </w:r>
      <w:r>
        <w:rPr>
          <w:rFonts w:ascii="Times New Roman" w:hAnsi="Times New Roman"/>
          <w:noProof/>
          <w:sz w:val="24"/>
        </w:rPr>
        <w:t xml:space="preserve"> martie </w:t>
      </w:r>
      <w:r w:rsidRPr="00261495">
        <w:rPr>
          <w:rFonts w:ascii="Times New Roman" w:hAnsi="Times New Roman"/>
          <w:noProof/>
          <w:sz w:val="24"/>
        </w:rPr>
        <w:t>2024</w:t>
      </w:r>
      <w:r>
        <w:rPr>
          <w:rStyle w:val="FootnoteReference"/>
          <w:rFonts w:ascii="Times New Roman" w:eastAsia="Times New Roman" w:hAnsi="Times New Roman" w:cs="Times New Roman"/>
          <w:noProof/>
          <w:sz w:val="24"/>
          <w:szCs w:val="24"/>
        </w:rPr>
        <w:footnoteReference w:id="10"/>
      </w:r>
      <w:r>
        <w:rPr>
          <w:rFonts w:ascii="Times New Roman" w:hAnsi="Times New Roman"/>
          <w:noProof/>
          <w:sz w:val="24"/>
        </w:rPr>
        <w:t xml:space="preserve">. </w:t>
      </w:r>
    </w:p>
    <w:p w14:paraId="0574BA98" w14:textId="0E2E2219" w:rsidR="00D07BA5" w:rsidRPr="00262979" w:rsidRDefault="36C79CAA" w:rsidP="1ED76EEF">
      <w:pPr>
        <w:spacing w:after="200" w:line="276" w:lineRule="auto"/>
        <w:jc w:val="both"/>
        <w:rPr>
          <w:rFonts w:ascii="Times New Roman" w:hAnsi="Times New Roman" w:cs="Times New Roman"/>
          <w:noProof/>
          <w:sz w:val="24"/>
          <w:szCs w:val="24"/>
        </w:rPr>
      </w:pPr>
      <w:r>
        <w:rPr>
          <w:rFonts w:ascii="Times New Roman" w:hAnsi="Times New Roman"/>
          <w:noProof/>
          <w:sz w:val="24"/>
        </w:rPr>
        <w:t>Pentru a verifica periodic dacă constatările din decizia privind caracterul adecvat al nivelului de protecție continuă să fie justificate din punct de vedere factual și juridic, Comisia are obligația de a efectua o revizuire periodică și de a raporta rezultatele Parlamentului European și Consiliului. Prezentul raport, care abordează toate aspectele legate de funcționarea deciziei privind caracterul adecvat al nivelului de protecție, încheie prima revizuire periodică. Din partea Coreei, la revizuire au luat parte reprezentanți ai autorității coreene pentru protecția datelor, ai PIPC și ai Agenției Coreene pentru Internet și Securitate (Korea Internet and Security Agency - KISA). PIPC a fost în contact periodic și cu alte instituții coreene relevante, pentru a pregăti revizuirea și a colecta contribuții din partea acestora. Delegația UE a inclus patru reprezentanți ai Comitetului european pentru protecția datelor (CEPD), alături de reprezentanți ai Comisiei Europene.</w:t>
      </w:r>
    </w:p>
    <w:p w14:paraId="755AD3E2" w14:textId="62719D40" w:rsidR="009228A0" w:rsidRPr="00262979" w:rsidRDefault="000C75AE" w:rsidP="1ED76EEF">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La </w:t>
      </w:r>
      <w:r w:rsidRPr="00261495">
        <w:rPr>
          <w:rFonts w:ascii="Times New Roman" w:hAnsi="Times New Roman"/>
          <w:noProof/>
          <w:sz w:val="24"/>
        </w:rPr>
        <w:t>17</w:t>
      </w:r>
      <w:r>
        <w:rPr>
          <w:rFonts w:ascii="Times New Roman" w:hAnsi="Times New Roman"/>
          <w:noProof/>
          <w:sz w:val="24"/>
        </w:rPr>
        <w:t xml:space="preserve"> octombrie </w:t>
      </w:r>
      <w:r w:rsidRPr="00261495">
        <w:rPr>
          <w:rFonts w:ascii="Times New Roman" w:hAnsi="Times New Roman"/>
          <w:noProof/>
          <w:sz w:val="24"/>
        </w:rPr>
        <w:t>2025</w:t>
      </w:r>
      <w:r>
        <w:rPr>
          <w:rFonts w:ascii="Times New Roman" w:hAnsi="Times New Roman"/>
          <w:noProof/>
          <w:sz w:val="24"/>
        </w:rPr>
        <w:t xml:space="preserve"> a avut loc o reuniune a celor două delegații în scopul revizuirii, care a fost precedată și urmată de numeroase schimburi. Pentru a pregăti revizuirea, Comisia a colectat de la autoritățile coreene informații cu privire la funcționarea deciziei, în special la punerea în aplicare a normelor suplimentare. Comisia a solicitat informații și de la părțile interesate relevante și din surse publice. În urma reuniunii de evaluare, Comisia și PIPC au procedat la mai multe schimburi de opinii pentru a monitoriza în mod mai detaliat aspectele care au fost discutate în cursul reuniunii de revizuire, în special cele legate de modificările recente ale PIPA și de interacțiunea cu normele suplimentare. </w:t>
      </w:r>
    </w:p>
    <w:p w14:paraId="693DC86D" w14:textId="24D0EB09" w:rsidR="00C40A25" w:rsidRPr="009927D5" w:rsidRDefault="009228A0" w:rsidP="009927D5">
      <w:pPr>
        <w:pStyle w:val="ListParagraph"/>
        <w:numPr>
          <w:ilvl w:val="0"/>
          <w:numId w:val="2"/>
        </w:numPr>
        <w:spacing w:after="200" w:line="276" w:lineRule="auto"/>
        <w:rPr>
          <w:rFonts w:ascii="Times New Roman" w:eastAsiaTheme="minorHAnsi" w:hAnsi="Times New Roman" w:cs="Times New Roman"/>
          <w:b/>
          <w:bCs/>
          <w:noProof/>
          <w:sz w:val="24"/>
          <w:szCs w:val="24"/>
        </w:rPr>
      </w:pPr>
      <w:r>
        <w:rPr>
          <w:rFonts w:ascii="Times New Roman" w:hAnsi="Times New Roman"/>
          <w:b/>
          <w:noProof/>
          <w:sz w:val="24"/>
        </w:rPr>
        <w:t>PRINCIPALELE CONSTATĂRI</w:t>
      </w:r>
    </w:p>
    <w:p w14:paraId="03228711" w14:textId="76D019F5" w:rsidR="009228A0" w:rsidRPr="00EA3A28" w:rsidRDefault="00B67659" w:rsidP="00EA3A28">
      <w:pPr>
        <w:spacing w:after="200" w:line="276" w:lineRule="auto"/>
        <w:jc w:val="both"/>
        <w:rPr>
          <w:rFonts w:ascii="Times New Roman" w:eastAsiaTheme="minorHAnsi" w:hAnsi="Times New Roman" w:cs="Times New Roman"/>
          <w:noProof/>
          <w:sz w:val="24"/>
          <w:szCs w:val="24"/>
        </w:rPr>
      </w:pPr>
      <w:r>
        <w:rPr>
          <w:rFonts w:ascii="Times New Roman" w:hAnsi="Times New Roman"/>
          <w:noProof/>
          <w:sz w:val="24"/>
        </w:rPr>
        <w:t>Constatările detaliate referitoare la funcționarea tuturor aspectelor deciziei privind caracterul adecvat al nivelului de protecție sunt prezentate în documentul de lucru al serviciilor Comisiei [SWD (</w:t>
      </w:r>
      <w:r w:rsidRPr="00261495">
        <w:rPr>
          <w:rFonts w:ascii="Times New Roman" w:hAnsi="Times New Roman"/>
          <w:noProof/>
          <w:sz w:val="24"/>
        </w:rPr>
        <w:t>2026</w:t>
      </w:r>
      <w:r>
        <w:rPr>
          <w:rFonts w:ascii="Times New Roman" w:hAnsi="Times New Roman"/>
          <w:noProof/>
          <w:sz w:val="24"/>
        </w:rPr>
        <w:t xml:space="preserve">) </w:t>
      </w:r>
      <w:r w:rsidRPr="00261495">
        <w:rPr>
          <w:rFonts w:ascii="Times New Roman" w:hAnsi="Times New Roman"/>
          <w:noProof/>
          <w:sz w:val="24"/>
        </w:rPr>
        <w:t>231</w:t>
      </w:r>
      <w:r>
        <w:rPr>
          <w:rFonts w:ascii="Times New Roman" w:hAnsi="Times New Roman"/>
          <w:noProof/>
          <w:sz w:val="24"/>
        </w:rPr>
        <w:t>], care însoțește prezentul raport.</w:t>
      </w:r>
    </w:p>
    <w:p w14:paraId="08F1D14E" w14:textId="422D1F98" w:rsidR="00591356" w:rsidRPr="00EA3A28" w:rsidRDefault="77CEFAA2" w:rsidP="2E319265">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În special, prima revizuire a demonstrat că, de la adoptarea deciziei privind caracterul adecvat al nivelului de protecție, convergența cadrelor de protecție a datelor ale UE și ale Republicii Coreea a crescut. De atunci, Republica Coreea a modificat PIPA în două rânduri: în septembrie </w:t>
      </w:r>
      <w:r w:rsidRPr="00261495">
        <w:rPr>
          <w:rFonts w:ascii="Times New Roman" w:hAnsi="Times New Roman"/>
          <w:noProof/>
          <w:sz w:val="24"/>
        </w:rPr>
        <w:t>2023</w:t>
      </w:r>
      <w:r>
        <w:rPr>
          <w:rFonts w:ascii="Times New Roman" w:hAnsi="Times New Roman"/>
          <w:noProof/>
          <w:sz w:val="24"/>
        </w:rPr>
        <w:t xml:space="preserve"> și în aprilie </w:t>
      </w:r>
      <w:r w:rsidRPr="00261495">
        <w:rPr>
          <w:rFonts w:ascii="Times New Roman" w:hAnsi="Times New Roman"/>
          <w:noProof/>
          <w:sz w:val="24"/>
        </w:rPr>
        <w:t>2025</w:t>
      </w:r>
      <w:r>
        <w:rPr>
          <w:rStyle w:val="FootnoteReference"/>
          <w:rFonts w:ascii="Times New Roman" w:hAnsi="Times New Roman" w:cs="Times New Roman"/>
          <w:noProof/>
          <w:sz w:val="24"/>
          <w:szCs w:val="24"/>
          <w:lang w:val="en-GB" w:eastAsia="en-US"/>
        </w:rPr>
        <w:footnoteReference w:id="11"/>
      </w:r>
      <w:r>
        <w:rPr>
          <w:rFonts w:ascii="Times New Roman" w:hAnsi="Times New Roman"/>
          <w:noProof/>
          <w:sz w:val="24"/>
        </w:rPr>
        <w:t xml:space="preserve">. PIPC, în strânsă consultare cu Comisia, a adaptat normele suplimentare pentru a reflecta aceste modificări. </w:t>
      </w:r>
    </w:p>
    <w:p w14:paraId="1BF50A85" w14:textId="786C737D" w:rsidR="00604DAB" w:rsidRPr="006F0A10" w:rsidRDefault="17BDDDF6" w:rsidP="5EE83705">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Modificările aduse în </w:t>
      </w:r>
      <w:r w:rsidRPr="00261495">
        <w:rPr>
          <w:rFonts w:ascii="Times New Roman" w:hAnsi="Times New Roman"/>
          <w:noProof/>
          <w:sz w:val="24"/>
        </w:rPr>
        <w:t>2023</w:t>
      </w:r>
      <w:r>
        <w:rPr>
          <w:rFonts w:ascii="Times New Roman" w:hAnsi="Times New Roman"/>
          <w:noProof/>
          <w:sz w:val="24"/>
        </w:rPr>
        <w:t xml:space="preserve"> Legii coreene privind protecția informațiilor cu caracter personal au consolidat și mai mult cadrul de protecție a datelor al acestei țări prin extinderea domeniului de aplicare al legii, prin clarificarea principiilor fundamentale și prin introducerea unor noi garanții. Printre principalele domenii în care s-au adus îmbunătățiri se numără principiul legalității, prevăzându-se temeiuri juridice revizuite pentru prelucrarea datelor și dispoziții mai clare privind situațiile care necesită un consimțământ separat. S-au adus două îmbunătățiri esențiale în materie de transparență: în primul rând, se prevăd noi cerințe care obligă operatorii de date să avertizeze persoanele vizate cu privire la posibilele riscuri în materie de protecție a datelor; în al doilea rând, se impun obligații mai stricte pentru stat și administrațiile locale de a lua măsuri pentru a proteja datele cu caracter personal ale copiilor cu vârsta sub </w:t>
      </w:r>
      <w:r w:rsidRPr="00261495">
        <w:rPr>
          <w:rFonts w:ascii="Times New Roman" w:hAnsi="Times New Roman"/>
          <w:noProof/>
          <w:sz w:val="24"/>
        </w:rPr>
        <w:t>14</w:t>
      </w:r>
      <w:r>
        <w:rPr>
          <w:rFonts w:ascii="Times New Roman" w:hAnsi="Times New Roman"/>
          <w:noProof/>
          <w:sz w:val="24"/>
        </w:rPr>
        <w:t xml:space="preserve"> ani și de a se asigura că aceștia pot înțelege în mod clar impactul prelucrării datelor cu caracter personal și drepturile de care dispun în calitate de persoane vizate. S-a consolidat și respectarea principiului responsabilității, prin introducerea unei cerințe care prevede că operatorii străini trebuie să numească un agent național în Coreea. Mai mult, modificările au înăsprit restricțiile privind prelucrarea datelor pseudonimizate, au introdus noi obligații de distrugere a acestor date de îndată ce nu mai sunt necesare și au asigurat o mai mare transparență cu privire la prelucrarea datelor pseudonimizate. </w:t>
      </w:r>
    </w:p>
    <w:p w14:paraId="18452125" w14:textId="5431A90E" w:rsidR="00165D23" w:rsidRPr="00EA3A28" w:rsidRDefault="7B44E412" w:rsidP="5EE83705">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De la adoptarea deciziei privind caracterul adecvat al nivelului de protecție, au fost consolidate în continuare și drepturile persoanelor vizate. Reforma PIPA din </w:t>
      </w:r>
      <w:r w:rsidRPr="00261495">
        <w:rPr>
          <w:rFonts w:ascii="Times New Roman" w:hAnsi="Times New Roman"/>
          <w:noProof/>
          <w:sz w:val="24"/>
        </w:rPr>
        <w:t>2023</w:t>
      </w:r>
      <w:r>
        <w:rPr>
          <w:rFonts w:ascii="Times New Roman" w:hAnsi="Times New Roman"/>
          <w:noProof/>
          <w:sz w:val="24"/>
        </w:rPr>
        <w:t xml:space="preserve"> a introdus noi măsuri de protecție și le-a consolidat pe cele existente, printre care dreptul de retragere a consimțământului, garanțiile împotriva procesului decizional automatizat și dreptul la portabilitatea datelor, permițând în definitiv persoanelor fizice să exercite un control mai mare asupra propriilor date cu caracter personal. </w:t>
      </w:r>
    </w:p>
    <w:p w14:paraId="6E166B25" w14:textId="27CEB210" w:rsidR="00404D2C" w:rsidRDefault="380DCC68" w:rsidP="5EE83705">
      <w:pPr>
        <w:spacing w:after="200" w:line="276" w:lineRule="auto"/>
        <w:jc w:val="both"/>
        <w:rPr>
          <w:rFonts w:ascii="Times New Roman" w:hAnsi="Times New Roman" w:cs="Times New Roman"/>
          <w:noProof/>
          <w:sz w:val="24"/>
          <w:szCs w:val="24"/>
        </w:rPr>
      </w:pPr>
      <w:r>
        <w:rPr>
          <w:rFonts w:ascii="Times New Roman" w:hAnsi="Times New Roman"/>
          <w:noProof/>
          <w:sz w:val="24"/>
        </w:rPr>
        <w:t>Modificările aduse PIPA de la decizia privind caracterul adecvat al nivelului de protecție au consolidat și mai mult normele prevăzute de această lege cu privire la transferurile internaționale de date, introducând un cadru mai solid care oferă garanții mai puternice pentru protecția datelor cu caracter personal transferate în afara Republicii Coreea.</w:t>
      </w:r>
    </w:p>
    <w:p w14:paraId="00FD65B5" w14:textId="6CC458A8" w:rsidR="000008F1" w:rsidRDefault="5541DE3B" w:rsidP="003F7256">
      <w:pPr>
        <w:spacing w:after="200" w:line="276" w:lineRule="auto"/>
        <w:jc w:val="both"/>
        <w:rPr>
          <w:rFonts w:ascii="Times New Roman" w:hAnsi="Times New Roman" w:cs="Times New Roman"/>
          <w:noProof/>
          <w:sz w:val="24"/>
          <w:szCs w:val="24"/>
        </w:rPr>
      </w:pPr>
      <w:r>
        <w:rPr>
          <w:rFonts w:ascii="Times New Roman" w:hAnsi="Times New Roman"/>
          <w:noProof/>
          <w:sz w:val="24"/>
        </w:rPr>
        <w:t>În ceea ce privește supravegherea și asigurarea respectării normelor, Comisia constată că PIPC a pus în aplicare în mod activ PIPA de la adoptarea deciziei privind caracterul adecvat al nivelului de protecție, prin măsuri de asigurare a respectării legii care au inclus aplicarea de amenzi societăților Google și Meta pentru colectarea ilegală de date, prin investigarea transferurilor transfrontaliere de date efectuate de întreprinderi precum DeepSeek și AliExpress și prin asigurarea respectării normelor referitoare la securitatea cibernetică și la încălcarea securității datelor. De asemenea, PIPC a furnizat orientări în materie de reglementare, a efectuat verificări sectoriale și a participat la activități de sensibilizare și la cooperarea internațională cu autoritățile de protecție a datelor din UE, inclusiv cu Commission nationale de l’informatique et des libertés (CNIL) din Franța și cu CEPD, pentru a consolida și mai mult protecția datelor în Republica Coreea.</w:t>
      </w:r>
    </w:p>
    <w:p w14:paraId="755FF370" w14:textId="14196FA2" w:rsidR="003809A9" w:rsidRPr="003809A9" w:rsidRDefault="47B360CB" w:rsidP="5EE83705">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Merită subliniat în special faptul că unele dintre normele suplimentare existente cuprinse în anexa I la decizia privind caracterul adecvat al nivelului de protecție sunt reflectate în prezent în PIPA, fiind astfel general aplicabile tuturor datelor cu caracter personal, indiferent de originea lor sau de punctul lor de colectare. Prin urmare, normele suplimentare relevante vor fi revocate. Revocarea se va aplica, mai precis, normei suplimentare </w:t>
      </w:r>
      <w:r w:rsidRPr="00261495">
        <w:rPr>
          <w:rFonts w:ascii="Times New Roman" w:hAnsi="Times New Roman"/>
          <w:noProof/>
          <w:sz w:val="24"/>
        </w:rPr>
        <w:t>2</w:t>
      </w:r>
      <w:r>
        <w:rPr>
          <w:rFonts w:ascii="Times New Roman" w:hAnsi="Times New Roman"/>
          <w:noProof/>
          <w:sz w:val="24"/>
        </w:rPr>
        <w:t xml:space="preserve">, care a stabilit o limitare a transferurilor ulterioare de date cu caracter personal, normei suplimentare </w:t>
      </w:r>
      <w:r w:rsidRPr="00261495">
        <w:rPr>
          <w:rFonts w:ascii="Times New Roman" w:hAnsi="Times New Roman"/>
          <w:noProof/>
          <w:sz w:val="24"/>
        </w:rPr>
        <w:t>4</w:t>
      </w:r>
      <w:r>
        <w:rPr>
          <w:rFonts w:ascii="Times New Roman" w:hAnsi="Times New Roman"/>
          <w:noProof/>
          <w:sz w:val="24"/>
        </w:rPr>
        <w:t xml:space="preserve">, care a stabilit domeniul de aplicare al unei exceptări speciale pentru prelucrarea informațiilor pseudonimizate, și primei părți a normei suplimentare </w:t>
      </w:r>
      <w:r w:rsidRPr="00261495">
        <w:rPr>
          <w:rFonts w:ascii="Times New Roman" w:hAnsi="Times New Roman"/>
          <w:noProof/>
          <w:sz w:val="24"/>
        </w:rPr>
        <w:t>5</w:t>
      </w:r>
      <w:r>
        <w:rPr>
          <w:rFonts w:ascii="Times New Roman" w:hAnsi="Times New Roman"/>
          <w:noProof/>
          <w:sz w:val="24"/>
        </w:rPr>
        <w:t xml:space="preserve">, care s-a referit la posibilitatea oferită PIPC de a adopta măsuri corective. Celelalte norme suplimentare vor rămâne în vigoare. </w:t>
      </w:r>
    </w:p>
    <w:p w14:paraId="7DB6D5F3" w14:textId="43758661" w:rsidR="00CE7C36" w:rsidRDefault="346502E6" w:rsidP="5EE83705">
      <w:pPr>
        <w:spacing w:after="200" w:line="276" w:lineRule="auto"/>
        <w:jc w:val="both"/>
        <w:rPr>
          <w:rFonts w:ascii="Times New Roman" w:hAnsi="Times New Roman" w:cs="Times New Roman"/>
          <w:noProof/>
          <w:sz w:val="24"/>
          <w:szCs w:val="24"/>
        </w:rPr>
      </w:pPr>
      <w:r>
        <w:rPr>
          <w:rFonts w:ascii="Times New Roman" w:hAnsi="Times New Roman"/>
          <w:noProof/>
          <w:sz w:val="24"/>
        </w:rPr>
        <w:t>Revocarea acestor norme suplimentare specifice reprezintă o importantă evoluție pozitivă, deoarece reflectă convergența sporită dintre cadrele de protecție a datelor din UE și Coreea. Noile dispoziții din PIPA prin care se stabilesc cerințe mai stricte pentru transferurile transfrontaliere și se clarifică excepțiile privind transparența și drepturile individuale pentru datele pseudonimizate demonstrează angajamentul Coreei de a-și consolida în continuare cadrul de protecție a datelor. Comisia salută totodată faptul că PIPC a luat poziție în mod activ în ceea ce privește asigurarea respectării noilor dispoziții, adoptând decizii și sancțiuni pentru a asigura respectarea normelor privind transferurile internaționale de date și pseudonimizarea.</w:t>
      </w:r>
    </w:p>
    <w:p w14:paraId="293826A2" w14:textId="3865691D" w:rsidR="00832BB4" w:rsidRPr="006F0A10" w:rsidRDefault="35B3636C" w:rsidP="001E2827">
      <w:pPr>
        <w:spacing w:after="200" w:line="276" w:lineRule="auto"/>
        <w:jc w:val="both"/>
        <w:rPr>
          <w:rFonts w:ascii="Times New Roman" w:hAnsi="Times New Roman" w:cs="Times New Roman"/>
          <w:noProof/>
          <w:sz w:val="24"/>
          <w:szCs w:val="24"/>
        </w:rPr>
      </w:pPr>
      <w:r>
        <w:rPr>
          <w:rFonts w:ascii="Times New Roman" w:hAnsi="Times New Roman"/>
          <w:noProof/>
          <w:sz w:val="24"/>
        </w:rPr>
        <w:t>În ceea ce privește accesul la datele cu caracter personal și utilizarea acestora de către autoritățile din Republica Coreea, de la adoptarea deciziei privind caracterul adecvat al nivelului de protecție Coreea a modificat unele legi esențiale pentru a spori protecția datelor cu caracter personal, printre care Legea privind activitățile de telecomunicații și Legea privind protecția confidențialității comunicațiilor. Coreea a introdus în special noi cerințe de notificare, noi măsuri de supraveghere și noi garanții procedurale. În plus, PIPC și-a consolidat supravegherea și a promovat principiile protecției datelor prin orientări adresate autorităților publice. Aceste evoluții demonstrează eforturile continue ale Coreei de a consolida garanțiile pentru datele cu caracter personal, inclusiv atunci când acestea sunt prelucrate în scopuri de asigurare a respectării dreptului penal și de securitate națională.</w:t>
      </w:r>
    </w:p>
    <w:p w14:paraId="5AC6C09F" w14:textId="0DEF3C57" w:rsidR="00CE7C36" w:rsidRDefault="00CE7C36" w:rsidP="00CE7C36">
      <w:pPr>
        <w:pStyle w:val="ListParagraph"/>
        <w:numPr>
          <w:ilvl w:val="0"/>
          <w:numId w:val="2"/>
        </w:numPr>
        <w:spacing w:after="200" w:line="276" w:lineRule="auto"/>
        <w:rPr>
          <w:rFonts w:ascii="Times New Roman" w:eastAsiaTheme="minorHAnsi" w:hAnsi="Times New Roman" w:cs="Times New Roman"/>
          <w:b/>
          <w:bCs/>
          <w:noProof/>
          <w:sz w:val="24"/>
          <w:szCs w:val="24"/>
        </w:rPr>
      </w:pPr>
      <w:r>
        <w:rPr>
          <w:rFonts w:ascii="Times New Roman" w:hAnsi="Times New Roman"/>
          <w:b/>
          <w:noProof/>
          <w:sz w:val="24"/>
        </w:rPr>
        <w:t>CONCLUZII</w:t>
      </w:r>
    </w:p>
    <w:p w14:paraId="1E3D5475" w14:textId="4B2BBD5C" w:rsidR="005A47E2" w:rsidRDefault="652A9A8E" w:rsidP="1ED76EEF">
      <w:pPr>
        <w:spacing w:after="200" w:line="276" w:lineRule="auto"/>
        <w:jc w:val="both"/>
        <w:rPr>
          <w:rFonts w:ascii="Times New Roman" w:hAnsi="Times New Roman" w:cs="Times New Roman"/>
          <w:noProof/>
          <w:sz w:val="24"/>
          <w:szCs w:val="24"/>
        </w:rPr>
      </w:pPr>
      <w:r>
        <w:rPr>
          <w:rFonts w:ascii="Times New Roman" w:hAnsi="Times New Roman"/>
          <w:noProof/>
          <w:sz w:val="24"/>
        </w:rPr>
        <w:t>Pe baza constatărilor generale din cadrul acestei prime revizuiri, Comisia concluzionează că Republica Coreea continuă să asigure un nivel adecvat de protecție a datelor cu caracter personal transmise din Uniunea Europeană entităților din Republica Coreea care fac obiectul PIPA, astfel cum a fost completată prin garanțiile suplimentare prevăzute în normele suplimentare, precum și de declarațiile, asigurările și angajamentele oficiale cuprinse în anexa II la decizia privind caracterul adecvat al nivelului de protecție. În acest context, Comisia recunoaște și își exprimă aprecierea deosebită față de excelenta cooperare cu autoritățile coreene și, în special, cu PIPC, în cadrul revizuirii.</w:t>
      </w:r>
    </w:p>
    <w:p w14:paraId="1ABEEF1D" w14:textId="3EB1A1FC" w:rsidR="00CE7C36" w:rsidRDefault="0555A503" w:rsidP="5EE83705">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Având în vedere acest rezultat al revizuirii și în conformitate cu considerentele </w:t>
      </w:r>
      <w:r w:rsidRPr="00261495">
        <w:rPr>
          <w:rFonts w:ascii="Times New Roman" w:hAnsi="Times New Roman"/>
          <w:noProof/>
          <w:sz w:val="24"/>
        </w:rPr>
        <w:t>219</w:t>
      </w:r>
      <w:r>
        <w:rPr>
          <w:rFonts w:ascii="Times New Roman" w:hAnsi="Times New Roman"/>
          <w:noProof/>
          <w:sz w:val="24"/>
        </w:rPr>
        <w:t xml:space="preserve"> și </w:t>
      </w:r>
      <w:r w:rsidRPr="00261495">
        <w:rPr>
          <w:rFonts w:ascii="Times New Roman" w:hAnsi="Times New Roman"/>
          <w:noProof/>
          <w:sz w:val="24"/>
        </w:rPr>
        <w:t>220</w:t>
      </w:r>
      <w:r>
        <w:rPr>
          <w:rFonts w:ascii="Times New Roman" w:hAnsi="Times New Roman"/>
          <w:noProof/>
          <w:sz w:val="24"/>
        </w:rPr>
        <w:t xml:space="preserve"> din decizia privind caracterul adecvat al nivelului de protecție, Comisia consideră că nu este necesar să se mențină ciclul de trei ani pentru revizuirile viitoare și, prin urmare, consideră că este oportun să se treacă la un ciclu de patru ani în temeiul articolului </w:t>
      </w:r>
      <w:r w:rsidRPr="00261495">
        <w:rPr>
          <w:rFonts w:ascii="Times New Roman" w:hAnsi="Times New Roman"/>
          <w:noProof/>
          <w:sz w:val="24"/>
        </w:rPr>
        <w:t>45</w:t>
      </w:r>
      <w:r>
        <w:rPr>
          <w:rFonts w:ascii="Times New Roman" w:hAnsi="Times New Roman"/>
          <w:noProof/>
          <w:sz w:val="24"/>
        </w:rPr>
        <w:t xml:space="preserve"> alineatul (</w:t>
      </w:r>
      <w:r w:rsidRPr="00261495">
        <w:rPr>
          <w:rFonts w:ascii="Times New Roman" w:hAnsi="Times New Roman"/>
          <w:noProof/>
          <w:sz w:val="24"/>
        </w:rPr>
        <w:t>3</w:t>
      </w:r>
      <w:r>
        <w:rPr>
          <w:rFonts w:ascii="Times New Roman" w:hAnsi="Times New Roman"/>
          <w:noProof/>
          <w:sz w:val="24"/>
        </w:rPr>
        <w:t>) din RGPD. Comisia va consulta comitetul instituit în temeiul articolului </w:t>
      </w:r>
      <w:r w:rsidRPr="00261495">
        <w:rPr>
          <w:rFonts w:ascii="Times New Roman" w:hAnsi="Times New Roman"/>
          <w:noProof/>
          <w:sz w:val="24"/>
        </w:rPr>
        <w:t>93</w:t>
      </w:r>
      <w:r>
        <w:rPr>
          <w:rFonts w:ascii="Times New Roman" w:hAnsi="Times New Roman"/>
          <w:noProof/>
          <w:sz w:val="24"/>
        </w:rPr>
        <w:t xml:space="preserve"> alineatul (</w:t>
      </w:r>
      <w:r w:rsidRPr="00261495">
        <w:rPr>
          <w:rFonts w:ascii="Times New Roman" w:hAnsi="Times New Roman"/>
          <w:noProof/>
          <w:sz w:val="24"/>
        </w:rPr>
        <w:t>1</w:t>
      </w:r>
      <w:r>
        <w:rPr>
          <w:rFonts w:ascii="Times New Roman" w:hAnsi="Times New Roman"/>
          <w:noProof/>
          <w:sz w:val="24"/>
        </w:rPr>
        <w:t>) din RGPD cu privire la acest aspect</w:t>
      </w:r>
      <w:r>
        <w:rPr>
          <w:rStyle w:val="FootnoteReference"/>
          <w:rFonts w:ascii="Times New Roman" w:hAnsi="Times New Roman" w:cs="Times New Roman"/>
          <w:noProof/>
          <w:sz w:val="24"/>
          <w:szCs w:val="24"/>
          <w:lang w:eastAsia="en-US"/>
        </w:rPr>
        <w:footnoteReference w:id="12"/>
      </w:r>
      <w:r>
        <w:rPr>
          <w:rFonts w:ascii="Times New Roman" w:hAnsi="Times New Roman"/>
          <w:noProof/>
          <w:sz w:val="24"/>
        </w:rPr>
        <w:t>.</w:t>
      </w:r>
    </w:p>
    <w:p w14:paraId="27465324" w14:textId="3C3B2194" w:rsidR="00C02D50" w:rsidRDefault="160AA805" w:rsidP="5EE83705">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În același timp, îmbunătățirea anumitor aspecte ale cadrului coreean de protecție a datelor ar putea contribui la consolidarea în continuare a garanțiilor prevăzute de PIPA și de normele suplimentare. În acest scop, Comisia face următoarele recomandări: </w:t>
      </w:r>
    </w:p>
    <w:p w14:paraId="4BD6A885" w14:textId="23285E8D" w:rsidR="00C5468A" w:rsidRDefault="00434103" w:rsidP="3FFA563E">
      <w:pPr>
        <w:pStyle w:val="ListParagraph"/>
        <w:numPr>
          <w:ilvl w:val="0"/>
          <w:numId w:val="3"/>
        </w:numPr>
        <w:spacing w:after="200" w:line="276" w:lineRule="auto"/>
        <w:jc w:val="both"/>
        <w:rPr>
          <w:rFonts w:ascii="Times New Roman" w:hAnsi="Times New Roman" w:cs="Times New Roman"/>
          <w:noProof/>
          <w:sz w:val="24"/>
          <w:szCs w:val="24"/>
        </w:rPr>
      </w:pPr>
      <w:r>
        <w:rPr>
          <w:rFonts w:ascii="Times New Roman" w:hAnsi="Times New Roman"/>
          <w:noProof/>
          <w:sz w:val="24"/>
        </w:rPr>
        <w:t>Comisia încurajează PIPC să efectueze verificări aleatorii pentru a se asigura de respectarea normelor suplimentare. În opinia Comisiei, controalele aleatorii de acest tip ar fi importante pentru a se asigura detectarea și abordarea încălcărilor (potențiale) ale normelor suplimentare, asigurând astfel respectarea efectivă a acestor norme.</w:t>
      </w:r>
    </w:p>
    <w:p w14:paraId="3C93AAD4" w14:textId="77777777" w:rsidR="00C5468A" w:rsidRDefault="00C5468A" w:rsidP="00C5468A">
      <w:pPr>
        <w:pStyle w:val="ListParagraph"/>
        <w:spacing w:after="200" w:line="276" w:lineRule="auto"/>
        <w:jc w:val="both"/>
        <w:rPr>
          <w:rFonts w:ascii="Times New Roman" w:eastAsiaTheme="minorHAnsi" w:hAnsi="Times New Roman" w:cs="Times New Roman"/>
          <w:noProof/>
          <w:sz w:val="24"/>
          <w:szCs w:val="24"/>
          <w:lang w:eastAsia="en-US"/>
        </w:rPr>
      </w:pPr>
    </w:p>
    <w:p w14:paraId="468B1951" w14:textId="4020FB47" w:rsidR="00C5468A" w:rsidRDefault="397E2F6D" w:rsidP="5EE83705">
      <w:pPr>
        <w:pStyle w:val="ListParagraph"/>
        <w:numPr>
          <w:ilvl w:val="0"/>
          <w:numId w:val="3"/>
        </w:numPr>
        <w:spacing w:after="200" w:line="276" w:lineRule="auto"/>
        <w:jc w:val="both"/>
        <w:rPr>
          <w:rFonts w:ascii="Times New Roman" w:hAnsi="Times New Roman" w:cs="Times New Roman"/>
          <w:noProof/>
          <w:sz w:val="24"/>
          <w:szCs w:val="24"/>
        </w:rPr>
      </w:pPr>
      <w:r>
        <w:rPr>
          <w:rFonts w:ascii="Times New Roman" w:hAnsi="Times New Roman"/>
          <w:noProof/>
          <w:sz w:val="24"/>
        </w:rPr>
        <w:t>Comisia salută faptul că PIPC intenționează să publice orientări actualizate privind transferurile internaționale, deoarece acestea vor spori accesibilitatea normelor prevăzute de PIPA referitor la acest aspect și vor face aceste norme mai ușor de utilizat. Comisia invită PIPC să clarifice faptul că schemele de certificare ale Sistemului de norme transfrontaliere privind protecția confidențialității (CBPR) din cadrul APEC nu sunt recunoscute ca mecanism în cazul transferurilor de date cu caracter personal în temeiul normelor PIPA.</w:t>
      </w:r>
    </w:p>
    <w:p w14:paraId="5BAFDD55" w14:textId="77777777" w:rsidR="00A454FD" w:rsidRPr="00A454FD" w:rsidRDefault="00A454FD" w:rsidP="00A454FD">
      <w:pPr>
        <w:pStyle w:val="ListParagraph"/>
        <w:rPr>
          <w:rFonts w:ascii="Times New Roman" w:eastAsiaTheme="minorHAnsi" w:hAnsi="Times New Roman" w:cs="Times New Roman"/>
          <w:noProof/>
          <w:sz w:val="24"/>
          <w:szCs w:val="24"/>
          <w:lang w:eastAsia="en-US"/>
        </w:rPr>
      </w:pPr>
    </w:p>
    <w:p w14:paraId="709693C5" w14:textId="4E97A77F" w:rsidR="00A454FD" w:rsidRPr="00C5468A" w:rsidRDefault="00A454FD" w:rsidP="3FFA563E">
      <w:pPr>
        <w:pStyle w:val="ListParagraph"/>
        <w:numPr>
          <w:ilvl w:val="0"/>
          <w:numId w:val="3"/>
        </w:num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Astfel cum se menționează în documentul de lucru al serviciilor Comisiei care însoțește prezentul raport, este, de asemenea, important ca site-ul web al PIPC să afișeze în mod clar instrumentele valabile pentru transferurile internaționale de date, atât în limba engleză, cât și în limba coreeană, pentru a asigura claritatea în ceea ce privește normele aplicabile. </w:t>
      </w:r>
    </w:p>
    <w:p w14:paraId="2CAF0A93" w14:textId="760E5E8A" w:rsidR="00CE7C36" w:rsidRPr="00A04949" w:rsidRDefault="6E6FE138" w:rsidP="00CE7C36">
      <w:pPr>
        <w:spacing w:after="200" w:line="276" w:lineRule="auto"/>
        <w:jc w:val="both"/>
        <w:rPr>
          <w:noProof/>
        </w:rPr>
      </w:pPr>
      <w:r>
        <w:rPr>
          <w:rFonts w:ascii="Times New Roman" w:hAnsi="Times New Roman"/>
          <w:noProof/>
          <w:sz w:val="24"/>
        </w:rPr>
        <w:t>Revizuirea a permis și identificarea domeniilor pentru o posibilă cooperare viitoare. De exemplu, având în vedere importanța tot mai mare a clauzelor standard și potențialul acestora ca instrument mondial pentru transferurile de date, astfel cum au recunoscut, de exemplu, G</w:t>
      </w:r>
      <w:r w:rsidRPr="00261495">
        <w:rPr>
          <w:rFonts w:ascii="Times New Roman" w:hAnsi="Times New Roman"/>
          <w:noProof/>
          <w:sz w:val="24"/>
        </w:rPr>
        <w:t>7</w:t>
      </w:r>
      <w:r>
        <w:rPr>
          <w:rFonts w:ascii="Times New Roman" w:hAnsi="Times New Roman"/>
          <w:noProof/>
          <w:sz w:val="24"/>
        </w:rPr>
        <w:t xml:space="preserve"> și OCDE, Comisia și-a exprimat interesul de a coopera în viitor cu PIPC în scopul elaborării unor clauze de acest tip. </w:t>
      </w:r>
    </w:p>
    <w:p w14:paraId="2AAF6580" w14:textId="3A639B03" w:rsidR="00922A4B" w:rsidRDefault="7E52C7AA" w:rsidP="006F0A10">
      <w:pPr>
        <w:spacing w:after="200" w:line="276" w:lineRule="auto"/>
        <w:jc w:val="both"/>
        <w:rPr>
          <w:rFonts w:ascii="Times New Roman" w:hAnsi="Times New Roman" w:cs="Times New Roman"/>
          <w:noProof/>
        </w:rPr>
      </w:pPr>
      <w:r>
        <w:rPr>
          <w:rFonts w:ascii="Times New Roman" w:hAnsi="Times New Roman"/>
          <w:noProof/>
          <w:sz w:val="24"/>
        </w:rPr>
        <w:t>Comisia va continua să monitorizeze atent cadrul coreean de protecție a datelor și practicile curente. În acest sens, Comisia așteaptă cu interes viitoarele schimburi cu autoritățile coreene cu privire la evoluțiile relevante pentru decizie, precum și consolidarea în continuare a cooperării la nivel internațional într-un moment în care există o cerere tot mai mare de elaborare a unor standarde mondiale privind confidențialitatea și fluxurile de date.</w:t>
      </w:r>
    </w:p>
    <w:sectPr w:rsidR="00922A4B" w:rsidSect="00A76014">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B8A601" w14:textId="77777777" w:rsidR="002C713F" w:rsidRDefault="002C713F" w:rsidP="00A76014">
      <w:pPr>
        <w:spacing w:after="0" w:line="240" w:lineRule="auto"/>
      </w:pPr>
      <w:r>
        <w:separator/>
      </w:r>
    </w:p>
  </w:endnote>
  <w:endnote w:type="continuationSeparator" w:id="0">
    <w:p w14:paraId="013A38EB" w14:textId="77777777" w:rsidR="002C713F" w:rsidRDefault="002C713F" w:rsidP="00A76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0BCA9" w14:textId="0539482D" w:rsidR="00AD2EBD" w:rsidRPr="00AD2EBD" w:rsidRDefault="00AD2EBD" w:rsidP="00AD2EBD">
    <w:pPr>
      <w:pStyle w:val="FooterCoverPage"/>
      <w:rPr>
        <w:rFonts w:ascii="Arial" w:hAnsi="Arial" w:cs="Arial" w:hint="eastAsia"/>
        <w:b/>
        <w:sz w:val="48"/>
      </w:rPr>
    </w:pPr>
    <w:r w:rsidRPr="00AD2EBD">
      <w:rPr>
        <w:rFonts w:ascii="Arial" w:hAnsi="Arial" w:cs="Arial"/>
        <w:b/>
        <w:sz w:val="48"/>
      </w:rPr>
      <w:t>RO</w:t>
    </w:r>
    <w:r w:rsidRPr="00AD2EBD">
      <w:rPr>
        <w:rFonts w:ascii="Arial" w:hAnsi="Arial" w:cs="Arial"/>
        <w:b/>
        <w:sz w:val="48"/>
      </w:rPr>
      <w:tab/>
    </w:r>
    <w:r w:rsidRPr="00AD2EBD">
      <w:rPr>
        <w:rFonts w:ascii="Arial" w:hAnsi="Arial" w:cs="Arial"/>
        <w:b/>
        <w:sz w:val="48"/>
      </w:rPr>
      <w:tab/>
    </w:r>
    <w:r w:rsidRPr="00AD2EBD">
      <w:tab/>
    </w:r>
    <w:r w:rsidRPr="00AD2EB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CB105" w14:textId="1CE55F4D" w:rsidR="00AD2EBD" w:rsidRPr="00AD2EBD" w:rsidRDefault="00AD2EBD" w:rsidP="00AD2EBD">
    <w:pPr>
      <w:pStyle w:val="FooterCoverPage"/>
      <w:rPr>
        <w:rFonts w:ascii="Arial" w:hAnsi="Arial" w:cs="Arial" w:hint="eastAsia"/>
        <w:b/>
        <w:sz w:val="48"/>
      </w:rPr>
    </w:pPr>
    <w:r w:rsidRPr="00AD2EBD">
      <w:rPr>
        <w:rFonts w:ascii="Arial" w:hAnsi="Arial" w:cs="Arial"/>
        <w:b/>
        <w:sz w:val="48"/>
      </w:rPr>
      <w:t>RO</w:t>
    </w:r>
    <w:r w:rsidRPr="00AD2EBD">
      <w:rPr>
        <w:rFonts w:ascii="Arial" w:hAnsi="Arial" w:cs="Arial"/>
        <w:b/>
        <w:sz w:val="48"/>
      </w:rPr>
      <w:tab/>
    </w:r>
    <w:r w:rsidRPr="00AD2EBD">
      <w:rPr>
        <w:rFonts w:ascii="Arial" w:hAnsi="Arial" w:cs="Arial"/>
        <w:b/>
        <w:sz w:val="48"/>
      </w:rPr>
      <w:tab/>
    </w:r>
    <w:r w:rsidRPr="00AD2EBD">
      <w:tab/>
    </w:r>
    <w:r w:rsidRPr="00AD2EB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A37F6" w14:textId="77777777" w:rsidR="00AD2EBD" w:rsidRPr="00AD2EBD" w:rsidRDefault="00AD2EBD" w:rsidP="00AD2EBD">
    <w:pPr>
      <w:pStyle w:val="FooterCoverPage"/>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23734" w14:textId="77777777" w:rsidR="00A76014" w:rsidRDefault="00A760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0400038"/>
      <w:docPartObj>
        <w:docPartGallery w:val="Page Numbers (Bottom of Page)"/>
        <w:docPartUnique/>
      </w:docPartObj>
    </w:sdtPr>
    <w:sdtEndPr>
      <w:rPr>
        <w:noProof/>
      </w:rPr>
    </w:sdtEndPr>
    <w:sdtContent>
      <w:p w14:paraId="7D8A50A2" w14:textId="18F887D4" w:rsidR="00DB5CF1" w:rsidRDefault="00DB5CF1">
        <w:pPr>
          <w:pStyle w:val="Footer"/>
          <w:jc w:val="center"/>
        </w:pPr>
        <w:r>
          <w:fldChar w:fldCharType="begin"/>
        </w:r>
        <w:r>
          <w:instrText xml:space="preserve"> PAGE   \* MERGEFORMAT </w:instrText>
        </w:r>
        <w:r>
          <w:fldChar w:fldCharType="separate"/>
        </w:r>
        <w:r w:rsidR="00AD2EBD">
          <w:rPr>
            <w:rFonts w:hint="eastAsia"/>
            <w:noProof/>
          </w:rPr>
          <w:t>1</w:t>
        </w:r>
        <w:r>
          <w:fldChar w:fldCharType="end"/>
        </w:r>
      </w:p>
    </w:sdtContent>
  </w:sdt>
  <w:p w14:paraId="24CC165B" w14:textId="77777777" w:rsidR="00A76014" w:rsidRDefault="00A7601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7034E" w14:textId="77777777" w:rsidR="00A76014" w:rsidRDefault="00A760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89080" w14:textId="77777777" w:rsidR="002C713F" w:rsidRDefault="002C713F" w:rsidP="00A76014">
      <w:pPr>
        <w:spacing w:after="0" w:line="240" w:lineRule="auto"/>
      </w:pPr>
      <w:r>
        <w:separator/>
      </w:r>
    </w:p>
  </w:footnote>
  <w:footnote w:type="continuationSeparator" w:id="0">
    <w:p w14:paraId="0F0E57F0" w14:textId="77777777" w:rsidR="002C713F" w:rsidRDefault="002C713F" w:rsidP="00A76014">
      <w:pPr>
        <w:spacing w:after="0" w:line="240" w:lineRule="auto"/>
      </w:pPr>
      <w:r>
        <w:continuationSeparator/>
      </w:r>
    </w:p>
  </w:footnote>
  <w:footnote w:id="1">
    <w:p w14:paraId="1FF2566E" w14:textId="2C578BC3" w:rsidR="006D6FB3" w:rsidRPr="003208EB" w:rsidRDefault="006D6FB3" w:rsidP="006F0A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JO L </w:t>
      </w:r>
      <w:r w:rsidRPr="00261495">
        <w:rPr>
          <w:rFonts w:ascii="Times New Roman" w:hAnsi="Times New Roman"/>
        </w:rPr>
        <w:t>119</w:t>
      </w:r>
      <w:r>
        <w:rPr>
          <w:rFonts w:ascii="Times New Roman" w:hAnsi="Times New Roman"/>
        </w:rPr>
        <w:t xml:space="preserve">, </w:t>
      </w:r>
      <w:r w:rsidRPr="00261495">
        <w:rPr>
          <w:rFonts w:ascii="Times New Roman" w:hAnsi="Times New Roman"/>
        </w:rPr>
        <w:t>4</w:t>
      </w:r>
      <w:r>
        <w:rPr>
          <w:rFonts w:ascii="Times New Roman" w:hAnsi="Times New Roman"/>
        </w:rPr>
        <w:t>.</w:t>
      </w:r>
      <w:r w:rsidRPr="00261495">
        <w:rPr>
          <w:rFonts w:ascii="Times New Roman" w:hAnsi="Times New Roman"/>
        </w:rPr>
        <w:t>5</w:t>
      </w:r>
      <w:r>
        <w:rPr>
          <w:rFonts w:ascii="Times New Roman" w:hAnsi="Times New Roman"/>
        </w:rPr>
        <w:t>.</w:t>
      </w:r>
      <w:r w:rsidRPr="00261495">
        <w:rPr>
          <w:rFonts w:ascii="Times New Roman" w:hAnsi="Times New Roman"/>
        </w:rPr>
        <w:t>2016</w:t>
      </w:r>
      <w:r>
        <w:rPr>
          <w:rFonts w:ascii="Times New Roman" w:hAnsi="Times New Roman"/>
        </w:rPr>
        <w:t xml:space="preserve">, p. </w:t>
      </w:r>
      <w:r w:rsidRPr="00261495">
        <w:rPr>
          <w:rFonts w:ascii="Times New Roman" w:hAnsi="Times New Roman"/>
        </w:rPr>
        <w:t>1</w:t>
      </w:r>
      <w:r>
        <w:rPr>
          <w:rFonts w:ascii="Times New Roman" w:hAnsi="Times New Roman"/>
        </w:rPr>
        <w:t xml:space="preserve"> (RGPD).</w:t>
      </w:r>
    </w:p>
  </w:footnote>
  <w:footnote w:id="2">
    <w:p w14:paraId="7DBB9FFB" w14:textId="2DBEBA7B" w:rsidR="0045335C" w:rsidRPr="003208EB" w:rsidRDefault="0045335C" w:rsidP="006F0A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JO L </w:t>
      </w:r>
      <w:r w:rsidRPr="00261495">
        <w:rPr>
          <w:rFonts w:ascii="Times New Roman" w:hAnsi="Times New Roman"/>
        </w:rPr>
        <w:t>44</w:t>
      </w:r>
      <w:r>
        <w:rPr>
          <w:rFonts w:ascii="Times New Roman" w:hAnsi="Times New Roman"/>
        </w:rPr>
        <w:t xml:space="preserve">, </w:t>
      </w:r>
      <w:r w:rsidRPr="00261495">
        <w:rPr>
          <w:rFonts w:ascii="Times New Roman" w:hAnsi="Times New Roman"/>
        </w:rPr>
        <w:t>24</w:t>
      </w:r>
      <w:r>
        <w:rPr>
          <w:rFonts w:ascii="Times New Roman" w:hAnsi="Times New Roman"/>
        </w:rPr>
        <w:t>.</w:t>
      </w:r>
      <w:r w:rsidRPr="00261495">
        <w:rPr>
          <w:rFonts w:ascii="Times New Roman" w:hAnsi="Times New Roman"/>
        </w:rPr>
        <w:t>2</w:t>
      </w:r>
      <w:r>
        <w:rPr>
          <w:rFonts w:ascii="Times New Roman" w:hAnsi="Times New Roman"/>
        </w:rPr>
        <w:t>.</w:t>
      </w:r>
      <w:r w:rsidRPr="00261495">
        <w:rPr>
          <w:rFonts w:ascii="Times New Roman" w:hAnsi="Times New Roman"/>
        </w:rPr>
        <w:t>2022</w:t>
      </w:r>
      <w:r>
        <w:rPr>
          <w:rFonts w:ascii="Times New Roman" w:hAnsi="Times New Roman"/>
        </w:rPr>
        <w:t xml:space="preserve">, p. </w:t>
      </w:r>
      <w:r w:rsidRPr="00261495">
        <w:rPr>
          <w:rFonts w:ascii="Times New Roman" w:hAnsi="Times New Roman"/>
        </w:rPr>
        <w:t>1</w:t>
      </w:r>
      <w:r>
        <w:rPr>
          <w:rFonts w:ascii="Times New Roman" w:hAnsi="Times New Roman"/>
        </w:rPr>
        <w:t>. </w:t>
      </w:r>
    </w:p>
  </w:footnote>
  <w:footnote w:id="3">
    <w:p w14:paraId="542979F9" w14:textId="78E8C99D" w:rsidR="0045335C" w:rsidRPr="003208EB" w:rsidRDefault="0045335C" w:rsidP="006F0A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PIPA prevede cadrul juridic general pentru protecția datelor în Republica Coreea.</w:t>
      </w:r>
    </w:p>
  </w:footnote>
  <w:footnote w:id="4">
    <w:p w14:paraId="559CDAD0" w14:textId="51E888F7" w:rsidR="0045335C" w:rsidRPr="003208EB" w:rsidRDefault="0045335C" w:rsidP="006F0A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Norme specifice care au fost instituite de Coreea pentru a elimina anumite diferențe relevante dintre PIPA și RGPD, specificate în anexa I la decizia privind caracterul adecvat (Notificarea nr. </w:t>
      </w:r>
      <w:r w:rsidRPr="00261495">
        <w:rPr>
          <w:rFonts w:ascii="Times New Roman" w:hAnsi="Times New Roman"/>
        </w:rPr>
        <w:t>2021</w:t>
      </w:r>
      <w:r>
        <w:rPr>
          <w:rFonts w:ascii="Times New Roman" w:hAnsi="Times New Roman"/>
        </w:rPr>
        <w:t>-</w:t>
      </w:r>
      <w:r w:rsidRPr="00261495">
        <w:rPr>
          <w:rFonts w:ascii="Times New Roman" w:hAnsi="Times New Roman"/>
        </w:rPr>
        <w:t>5</w:t>
      </w:r>
      <w:r>
        <w:rPr>
          <w:rFonts w:ascii="Times New Roman" w:hAnsi="Times New Roman"/>
        </w:rPr>
        <w:t>).</w:t>
      </w:r>
    </w:p>
  </w:footnote>
  <w:footnote w:id="5">
    <w:p w14:paraId="30C883F6" w14:textId="5B7D31F2" w:rsidR="004A46D9" w:rsidRPr="003F7256" w:rsidRDefault="004A46D9" w:rsidP="006F0A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A se vedea considerentul </w:t>
      </w:r>
      <w:r w:rsidRPr="00261495">
        <w:rPr>
          <w:rFonts w:ascii="Times New Roman" w:hAnsi="Times New Roman"/>
        </w:rPr>
        <w:t>12</w:t>
      </w:r>
      <w:r>
        <w:rPr>
          <w:rFonts w:ascii="Times New Roman" w:hAnsi="Times New Roman"/>
        </w:rPr>
        <w:t xml:space="preserve"> din decizie. </w:t>
      </w:r>
    </w:p>
  </w:footnote>
  <w:footnote w:id="6">
    <w:p w14:paraId="24074C74" w14:textId="0C8A018C" w:rsidR="1ED76EEF" w:rsidRPr="001E2827" w:rsidRDefault="1ED76EEF" w:rsidP="006F0A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Considerentele </w:t>
      </w:r>
      <w:r w:rsidRPr="00261495">
        <w:rPr>
          <w:rFonts w:ascii="Times New Roman" w:hAnsi="Times New Roman"/>
        </w:rPr>
        <w:t>144</w:t>
      </w:r>
      <w:r>
        <w:rPr>
          <w:rFonts w:ascii="Times New Roman" w:hAnsi="Times New Roman"/>
        </w:rPr>
        <w:t>-</w:t>
      </w:r>
      <w:r w:rsidRPr="00261495">
        <w:rPr>
          <w:rFonts w:ascii="Times New Roman" w:hAnsi="Times New Roman"/>
        </w:rPr>
        <w:t>208</w:t>
      </w:r>
      <w:r>
        <w:rPr>
          <w:rFonts w:ascii="Times New Roman" w:hAnsi="Times New Roman"/>
        </w:rPr>
        <w:t xml:space="preserve"> și anexa II la decizie.</w:t>
      </w:r>
    </w:p>
  </w:footnote>
  <w:footnote w:id="7">
    <w:p w14:paraId="503B670D" w14:textId="071A79A4" w:rsidR="00D813B0" w:rsidRPr="003208EB" w:rsidRDefault="00D813B0" w:rsidP="006F0A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A se vedea declarația de presă comună din </w:t>
      </w:r>
      <w:r w:rsidRPr="00261495">
        <w:rPr>
          <w:rFonts w:ascii="Times New Roman" w:hAnsi="Times New Roman"/>
        </w:rPr>
        <w:t>16</w:t>
      </w:r>
      <w:r>
        <w:rPr>
          <w:rFonts w:ascii="Times New Roman" w:hAnsi="Times New Roman"/>
        </w:rPr>
        <w:t xml:space="preserve"> septembrie </w:t>
      </w:r>
      <w:r w:rsidRPr="00261495">
        <w:rPr>
          <w:rFonts w:ascii="Times New Roman" w:hAnsi="Times New Roman"/>
        </w:rPr>
        <w:t>2025</w:t>
      </w:r>
      <w:r>
        <w:rPr>
          <w:rFonts w:ascii="Times New Roman" w:hAnsi="Times New Roman"/>
        </w:rPr>
        <w:t xml:space="preserve"> a comisarului Michael McGrath și a președintelui Haksoo Ko referitoare la intrarea în vigoare a deciziei coreene privind caracterul adecvat al nivelului de protecție asigurat de UE, disponibilă la adresa: </w:t>
      </w:r>
      <w:hyperlink r:id="rId1" w:history="1">
        <w:r>
          <w:rPr>
            <w:rStyle w:val="Hyperlink"/>
            <w:rFonts w:ascii="Times New Roman" w:hAnsi="Times New Roman"/>
          </w:rPr>
          <w:t>https://commission.europa.eu/news-and-media/news/joint-press-statement-commissioner-michael-mcgrath-and-chairperson-haksoo-ko-entry-force-korean-</w:t>
        </w:r>
        <w:r w:rsidRPr="00261495">
          <w:rPr>
            <w:rStyle w:val="Hyperlink"/>
            <w:rFonts w:ascii="Times New Roman" w:hAnsi="Times New Roman"/>
          </w:rPr>
          <w:t>2025</w:t>
        </w:r>
        <w:r>
          <w:rPr>
            <w:rStyle w:val="Hyperlink"/>
            <w:rFonts w:ascii="Times New Roman" w:hAnsi="Times New Roman"/>
          </w:rPr>
          <w:t>-</w:t>
        </w:r>
        <w:r w:rsidRPr="00261495">
          <w:rPr>
            <w:rStyle w:val="Hyperlink"/>
            <w:rFonts w:ascii="Times New Roman" w:hAnsi="Times New Roman"/>
          </w:rPr>
          <w:t>09</w:t>
        </w:r>
        <w:r>
          <w:rPr>
            <w:rStyle w:val="Hyperlink"/>
            <w:rFonts w:ascii="Times New Roman" w:hAnsi="Times New Roman"/>
          </w:rPr>
          <w:t>-</w:t>
        </w:r>
        <w:r w:rsidRPr="00261495">
          <w:rPr>
            <w:rStyle w:val="Hyperlink"/>
            <w:rFonts w:ascii="Times New Roman" w:hAnsi="Times New Roman"/>
          </w:rPr>
          <w:t>16</w:t>
        </w:r>
        <w:r>
          <w:rPr>
            <w:rStyle w:val="Hyperlink"/>
            <w:rFonts w:ascii="Times New Roman" w:hAnsi="Times New Roman"/>
          </w:rPr>
          <w:t>_en</w:t>
        </w:r>
      </w:hyperlink>
    </w:p>
  </w:footnote>
  <w:footnote w:id="8">
    <w:p w14:paraId="21DC0942" w14:textId="66778E5D" w:rsidR="006F0FCD" w:rsidRPr="003208EB" w:rsidRDefault="006F0FCD" w:rsidP="006F0A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https://ec.europa.eu/commission/presscorner/detail/ro/ip_</w:t>
        </w:r>
        <w:r w:rsidRPr="00261495">
          <w:rPr>
            <w:rStyle w:val="Hyperlink"/>
            <w:rFonts w:ascii="Times New Roman" w:hAnsi="Times New Roman"/>
          </w:rPr>
          <w:t>25</w:t>
        </w:r>
        <w:r>
          <w:rPr>
            <w:rStyle w:val="Hyperlink"/>
            <w:rFonts w:ascii="Times New Roman" w:hAnsi="Times New Roman"/>
          </w:rPr>
          <w:t>_</w:t>
        </w:r>
        <w:r w:rsidRPr="00261495">
          <w:rPr>
            <w:rStyle w:val="Hyperlink"/>
            <w:rFonts w:ascii="Times New Roman" w:hAnsi="Times New Roman"/>
          </w:rPr>
          <w:t>732</w:t>
        </w:r>
      </w:hyperlink>
    </w:p>
  </w:footnote>
  <w:footnote w:id="9">
    <w:p w14:paraId="0D659EE5" w14:textId="042FDBF6" w:rsidR="006F0FCD" w:rsidRPr="003208EB" w:rsidRDefault="006F0FCD" w:rsidP="006F0A1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Declarația OCDE privind accesul administrației publice la datele cu caracter personal deținute de entitățile din sectorul privat din </w:t>
      </w:r>
      <w:r w:rsidRPr="00261495">
        <w:rPr>
          <w:rFonts w:ascii="Times New Roman" w:hAnsi="Times New Roman"/>
        </w:rPr>
        <w:t>14</w:t>
      </w:r>
      <w:r>
        <w:rPr>
          <w:rFonts w:ascii="Times New Roman" w:hAnsi="Times New Roman"/>
        </w:rPr>
        <w:t xml:space="preserve"> decembrie </w:t>
      </w:r>
      <w:r w:rsidRPr="00261495">
        <w:rPr>
          <w:rFonts w:ascii="Times New Roman" w:hAnsi="Times New Roman"/>
        </w:rPr>
        <w:t>2022</w:t>
      </w:r>
      <w:r>
        <w:rPr>
          <w:rFonts w:ascii="Times New Roman" w:hAnsi="Times New Roman"/>
        </w:rPr>
        <w:t xml:space="preserve">: </w:t>
      </w:r>
      <w:hyperlink r:id="rId3" w:history="1">
        <w:r>
          <w:rPr>
            <w:rStyle w:val="Hyperlink"/>
            <w:rFonts w:ascii="Times New Roman" w:hAnsi="Times New Roman"/>
          </w:rPr>
          <w:t>https://legalinstruments.oecd.org/en/instruments/OECD-LEGAL-</w:t>
        </w:r>
        <w:r w:rsidRPr="00261495">
          <w:rPr>
            <w:rStyle w:val="Hyperlink"/>
            <w:rFonts w:ascii="Times New Roman" w:hAnsi="Times New Roman"/>
          </w:rPr>
          <w:t>0487</w:t>
        </w:r>
      </w:hyperlink>
    </w:p>
  </w:footnote>
  <w:footnote w:id="10">
    <w:p w14:paraId="045C3342" w14:textId="057A5CE8" w:rsidR="00F1455F" w:rsidRPr="00F1455F" w:rsidRDefault="00F1455F" w:rsidP="006F0A10">
      <w:pPr>
        <w:pStyle w:val="FootnoteText"/>
        <w:jc w:val="both"/>
      </w:pPr>
      <w:r>
        <w:rPr>
          <w:rStyle w:val="FootnoteReference"/>
          <w:rFonts w:ascii="Times New Roman" w:hAnsi="Times New Roman" w:cs="Times New Roman"/>
        </w:rPr>
        <w:footnoteRef/>
      </w:r>
      <w:r>
        <w:rPr>
          <w:rFonts w:ascii="Times New Roman" w:hAnsi="Times New Roman"/>
        </w:rPr>
        <w:t xml:space="preserve"> La </w:t>
      </w:r>
      <w:r w:rsidRPr="00261495">
        <w:rPr>
          <w:rFonts w:ascii="Times New Roman" w:hAnsi="Times New Roman"/>
        </w:rPr>
        <w:t>4</w:t>
      </w:r>
      <w:r>
        <w:rPr>
          <w:rFonts w:ascii="Times New Roman" w:hAnsi="Times New Roman"/>
        </w:rPr>
        <w:t xml:space="preserve"> martie </w:t>
      </w:r>
      <w:r w:rsidRPr="00261495">
        <w:rPr>
          <w:rFonts w:ascii="Times New Roman" w:hAnsi="Times New Roman"/>
        </w:rPr>
        <w:t>2024</w:t>
      </w:r>
      <w:r>
        <w:rPr>
          <w:rFonts w:ascii="Times New Roman" w:hAnsi="Times New Roman"/>
        </w:rPr>
        <w:t xml:space="preserve">, Comisia a găzduit prima reuniune la nivel înalt privind fluxurile sigure de date, la care au participat, alături de președinta Comitetului european pentru protecția datelor, miniștri și șefi ai autorităților pentru protecția datelor din cele </w:t>
      </w:r>
      <w:r w:rsidRPr="00261495">
        <w:rPr>
          <w:rFonts w:ascii="Times New Roman" w:hAnsi="Times New Roman"/>
        </w:rPr>
        <w:t>15</w:t>
      </w:r>
      <w:r>
        <w:rPr>
          <w:rFonts w:ascii="Times New Roman" w:hAnsi="Times New Roman"/>
        </w:rPr>
        <w:t xml:space="preserve"> țări și teritorii în legătură cu care UE a adoptat, până la data respectivă, decizii privind caracterul adecvat al nivelului de protecție; reuniunea și-a propus să consolideze cooperarea în materie de asigurare a respectării protecției datelor și să sporească la maximum fluxurile transfrontaliere de date sigure și libere. Între timp au avut loc reuniuni ulterioare la nivel tehnic.</w:t>
      </w:r>
    </w:p>
    <w:p w14:paraId="23F9BDB9" w14:textId="60270E0B" w:rsidR="00F1455F" w:rsidRDefault="00F1455F">
      <w:pPr>
        <w:pStyle w:val="FootnoteText"/>
      </w:pPr>
    </w:p>
  </w:footnote>
  <w:footnote w:id="11">
    <w:p w14:paraId="308991D4" w14:textId="518CFC5E" w:rsidR="00EA3A28" w:rsidRPr="003208EB" w:rsidRDefault="00EA3A2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Modificări care au intrat în vigoare în septembrie </w:t>
      </w:r>
      <w:r w:rsidRPr="00261495">
        <w:rPr>
          <w:rFonts w:ascii="Times New Roman" w:hAnsi="Times New Roman"/>
        </w:rPr>
        <w:t>2023</w:t>
      </w:r>
      <w:r>
        <w:rPr>
          <w:rFonts w:ascii="Times New Roman" w:hAnsi="Times New Roman"/>
        </w:rPr>
        <w:t xml:space="preserve"> și, respectiv, în octombrie </w:t>
      </w:r>
      <w:r w:rsidRPr="00261495">
        <w:rPr>
          <w:rFonts w:ascii="Times New Roman" w:hAnsi="Times New Roman"/>
        </w:rPr>
        <w:t>2025</w:t>
      </w:r>
      <w:r>
        <w:rPr>
          <w:rFonts w:ascii="Times New Roman" w:hAnsi="Times New Roman"/>
        </w:rPr>
        <w:t>.</w:t>
      </w:r>
    </w:p>
  </w:footnote>
  <w:footnote w:id="12">
    <w:p w14:paraId="333521B0" w14:textId="39EC2745" w:rsidR="1ED76EEF" w:rsidRPr="001E2827" w:rsidRDefault="1ED76EEF" w:rsidP="001E282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A se vedea considerentul </w:t>
      </w:r>
      <w:r w:rsidRPr="00261495">
        <w:rPr>
          <w:rFonts w:ascii="Times New Roman" w:hAnsi="Times New Roman"/>
        </w:rPr>
        <w:t>220</w:t>
      </w:r>
      <w:r>
        <w:rPr>
          <w:rFonts w:ascii="Times New Roman" w:hAnsi="Times New Roman"/>
        </w:rPr>
        <w:t xml:space="preserve"> din decizie.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BB9C2" w14:textId="77777777" w:rsidR="00AD2EBD" w:rsidRPr="00AD2EBD" w:rsidRDefault="00AD2EBD" w:rsidP="00AD2EBD">
    <w:pPr>
      <w:pStyle w:val="HeaderCoverPag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A03E0" w14:textId="77777777" w:rsidR="00AD2EBD" w:rsidRPr="00AD2EBD" w:rsidRDefault="00AD2EBD" w:rsidP="00AD2EBD">
    <w:pPr>
      <w:pStyle w:val="HeaderCoverPag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24E75" w14:textId="77777777" w:rsidR="00AD2EBD" w:rsidRPr="00AD2EBD" w:rsidRDefault="00AD2EBD" w:rsidP="00AD2EBD">
    <w:pPr>
      <w:pStyle w:val="HeaderCoverPage"/>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68AC8" w14:textId="77777777" w:rsidR="00A76014" w:rsidRDefault="00A760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1E631" w14:textId="77777777" w:rsidR="00A76014" w:rsidRDefault="00A76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13E71" w14:textId="77777777" w:rsidR="00A76014" w:rsidRDefault="00A76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73356"/>
    <w:multiLevelType w:val="hybridMultilevel"/>
    <w:tmpl w:val="273C8C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B3D1A47"/>
    <w:multiLevelType w:val="hybridMultilevel"/>
    <w:tmpl w:val="7CCE7BD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76805550"/>
    <w:multiLevelType w:val="hybridMultilevel"/>
    <w:tmpl w:val="C2024E8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2601E97-B65F-432A-BBF4-341D5B8C8526"/>
    <w:docVar w:name="LW_COVERPAGE_TYPE" w:val="1"/>
    <w:docVar w:name="LW_CROSSREFERENCE" w:val="{SWD(2026) 231 final}"/>
    <w:docVar w:name="LW_DocType" w:val="NORMAL"/>
    <w:docVar w:name="LW_EMISSION" w:val="23.7.2026"/>
    <w:docVar w:name="LW_EMISSION_ISODATE" w:val="2026-07-23"/>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8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feritor la prima revizuire a func\u539?ion\u259?rii deciziei privind caracterul adecvat al nivelului de protec\u539?ie asigurat de Republica Coreea"/>
    <w:docVar w:name="LW_TYPE.DOC.CP" w:val="RAPORT AL COMISIEI C\u258?TRE PARLAMENTUL EUROPEAN \u536?I CONSILIU"/>
    <w:docVar w:name="LwApiVersions" w:val="LW4CoDe 1.24.5.0; LW 9.2, Build 20251112"/>
  </w:docVars>
  <w:rsids>
    <w:rsidRoot w:val="00A76014"/>
    <w:rsid w:val="000008F1"/>
    <w:rsid w:val="00015AB0"/>
    <w:rsid w:val="00016869"/>
    <w:rsid w:val="000333AF"/>
    <w:rsid w:val="00034497"/>
    <w:rsid w:val="00034A20"/>
    <w:rsid w:val="00036E2C"/>
    <w:rsid w:val="00057415"/>
    <w:rsid w:val="000632E4"/>
    <w:rsid w:val="00070FA7"/>
    <w:rsid w:val="00083635"/>
    <w:rsid w:val="000854E6"/>
    <w:rsid w:val="0009018D"/>
    <w:rsid w:val="0009169D"/>
    <w:rsid w:val="00091813"/>
    <w:rsid w:val="00095E7F"/>
    <w:rsid w:val="000A124F"/>
    <w:rsid w:val="000B17EF"/>
    <w:rsid w:val="000B1A65"/>
    <w:rsid w:val="000C28D6"/>
    <w:rsid w:val="000C75AE"/>
    <w:rsid w:val="000D4B53"/>
    <w:rsid w:val="000E561F"/>
    <w:rsid w:val="000F58B2"/>
    <w:rsid w:val="00102122"/>
    <w:rsid w:val="00105D2A"/>
    <w:rsid w:val="001100F6"/>
    <w:rsid w:val="00112BE6"/>
    <w:rsid w:val="00125C45"/>
    <w:rsid w:val="00133AFD"/>
    <w:rsid w:val="00140C67"/>
    <w:rsid w:val="00141649"/>
    <w:rsid w:val="0014286E"/>
    <w:rsid w:val="001432F5"/>
    <w:rsid w:val="001463F7"/>
    <w:rsid w:val="0015364F"/>
    <w:rsid w:val="00165D23"/>
    <w:rsid w:val="00170EE5"/>
    <w:rsid w:val="00171ED5"/>
    <w:rsid w:val="001779CD"/>
    <w:rsid w:val="001857F0"/>
    <w:rsid w:val="001953F6"/>
    <w:rsid w:val="00196C6F"/>
    <w:rsid w:val="001A3D55"/>
    <w:rsid w:val="001C0E68"/>
    <w:rsid w:val="001C3941"/>
    <w:rsid w:val="001C44F4"/>
    <w:rsid w:val="001D37E0"/>
    <w:rsid w:val="001E2827"/>
    <w:rsid w:val="001E45A0"/>
    <w:rsid w:val="001E7930"/>
    <w:rsid w:val="001F443B"/>
    <w:rsid w:val="001F538F"/>
    <w:rsid w:val="00200BB7"/>
    <w:rsid w:val="002069BA"/>
    <w:rsid w:val="00207DF1"/>
    <w:rsid w:val="00216032"/>
    <w:rsid w:val="00216988"/>
    <w:rsid w:val="0022025C"/>
    <w:rsid w:val="00247347"/>
    <w:rsid w:val="00261495"/>
    <w:rsid w:val="00262979"/>
    <w:rsid w:val="00271FCC"/>
    <w:rsid w:val="002761D1"/>
    <w:rsid w:val="002832CB"/>
    <w:rsid w:val="00286A33"/>
    <w:rsid w:val="00290154"/>
    <w:rsid w:val="00295A81"/>
    <w:rsid w:val="002A5BE9"/>
    <w:rsid w:val="002B4273"/>
    <w:rsid w:val="002B51DC"/>
    <w:rsid w:val="002C713F"/>
    <w:rsid w:val="002D4FBF"/>
    <w:rsid w:val="002D5299"/>
    <w:rsid w:val="002E03FA"/>
    <w:rsid w:val="002E4149"/>
    <w:rsid w:val="002E7DD9"/>
    <w:rsid w:val="002F1C25"/>
    <w:rsid w:val="002F75C2"/>
    <w:rsid w:val="0030504C"/>
    <w:rsid w:val="003208EB"/>
    <w:rsid w:val="003244EF"/>
    <w:rsid w:val="00332DCE"/>
    <w:rsid w:val="003343EC"/>
    <w:rsid w:val="003416E0"/>
    <w:rsid w:val="00342409"/>
    <w:rsid w:val="00342A59"/>
    <w:rsid w:val="00342B0A"/>
    <w:rsid w:val="003452C9"/>
    <w:rsid w:val="003473BE"/>
    <w:rsid w:val="00364420"/>
    <w:rsid w:val="003743AA"/>
    <w:rsid w:val="003809A9"/>
    <w:rsid w:val="00382E50"/>
    <w:rsid w:val="003946A2"/>
    <w:rsid w:val="00397BDE"/>
    <w:rsid w:val="003A1439"/>
    <w:rsid w:val="003A23D3"/>
    <w:rsid w:val="003A2EC3"/>
    <w:rsid w:val="003A4014"/>
    <w:rsid w:val="003A5F1E"/>
    <w:rsid w:val="003B784D"/>
    <w:rsid w:val="003C16AA"/>
    <w:rsid w:val="003C18E9"/>
    <w:rsid w:val="003D7A1E"/>
    <w:rsid w:val="003E0162"/>
    <w:rsid w:val="003E4114"/>
    <w:rsid w:val="003E4676"/>
    <w:rsid w:val="003F23B5"/>
    <w:rsid w:val="003F4F01"/>
    <w:rsid w:val="003F7256"/>
    <w:rsid w:val="00404D2C"/>
    <w:rsid w:val="00406FC4"/>
    <w:rsid w:val="00420EAF"/>
    <w:rsid w:val="004259B8"/>
    <w:rsid w:val="00427AAD"/>
    <w:rsid w:val="0043058E"/>
    <w:rsid w:val="00431F7D"/>
    <w:rsid w:val="00434103"/>
    <w:rsid w:val="004368B8"/>
    <w:rsid w:val="004411AA"/>
    <w:rsid w:val="0045335C"/>
    <w:rsid w:val="00453844"/>
    <w:rsid w:val="00454E1A"/>
    <w:rsid w:val="004633F0"/>
    <w:rsid w:val="00464C05"/>
    <w:rsid w:val="00472F0E"/>
    <w:rsid w:val="004756D6"/>
    <w:rsid w:val="0048247F"/>
    <w:rsid w:val="0048441D"/>
    <w:rsid w:val="004865A7"/>
    <w:rsid w:val="00487260"/>
    <w:rsid w:val="00490CFF"/>
    <w:rsid w:val="00496225"/>
    <w:rsid w:val="004966EF"/>
    <w:rsid w:val="00497254"/>
    <w:rsid w:val="004A46D9"/>
    <w:rsid w:val="004B1F21"/>
    <w:rsid w:val="004B3188"/>
    <w:rsid w:val="004B451B"/>
    <w:rsid w:val="004B46C7"/>
    <w:rsid w:val="004C6E1F"/>
    <w:rsid w:val="004D035C"/>
    <w:rsid w:val="004D4FD3"/>
    <w:rsid w:val="004E0503"/>
    <w:rsid w:val="004E5F99"/>
    <w:rsid w:val="004F3991"/>
    <w:rsid w:val="004F6480"/>
    <w:rsid w:val="004F6A5A"/>
    <w:rsid w:val="00505548"/>
    <w:rsid w:val="005123A6"/>
    <w:rsid w:val="005134C1"/>
    <w:rsid w:val="005138B7"/>
    <w:rsid w:val="00523250"/>
    <w:rsid w:val="005339C1"/>
    <w:rsid w:val="0053431A"/>
    <w:rsid w:val="00537770"/>
    <w:rsid w:val="00544E94"/>
    <w:rsid w:val="005554C9"/>
    <w:rsid w:val="00556410"/>
    <w:rsid w:val="00557970"/>
    <w:rsid w:val="0056236A"/>
    <w:rsid w:val="005627ED"/>
    <w:rsid w:val="00566930"/>
    <w:rsid w:val="00582367"/>
    <w:rsid w:val="005830BD"/>
    <w:rsid w:val="00591097"/>
    <w:rsid w:val="00591356"/>
    <w:rsid w:val="005A0A88"/>
    <w:rsid w:val="005A47E2"/>
    <w:rsid w:val="005A624B"/>
    <w:rsid w:val="005A6A32"/>
    <w:rsid w:val="005B4BB7"/>
    <w:rsid w:val="005B7DCC"/>
    <w:rsid w:val="005D6D75"/>
    <w:rsid w:val="005E0C5C"/>
    <w:rsid w:val="005E2BE1"/>
    <w:rsid w:val="005E4AB3"/>
    <w:rsid w:val="005F0668"/>
    <w:rsid w:val="00604DAB"/>
    <w:rsid w:val="006127B6"/>
    <w:rsid w:val="00614956"/>
    <w:rsid w:val="00614EF4"/>
    <w:rsid w:val="006260EB"/>
    <w:rsid w:val="00640EDA"/>
    <w:rsid w:val="00645FFB"/>
    <w:rsid w:val="006548BA"/>
    <w:rsid w:val="006558C5"/>
    <w:rsid w:val="00662FA3"/>
    <w:rsid w:val="00664874"/>
    <w:rsid w:val="00673D93"/>
    <w:rsid w:val="0068236E"/>
    <w:rsid w:val="0068425D"/>
    <w:rsid w:val="00694E49"/>
    <w:rsid w:val="00696D6C"/>
    <w:rsid w:val="006A2F7D"/>
    <w:rsid w:val="006B3614"/>
    <w:rsid w:val="006C136B"/>
    <w:rsid w:val="006C26FE"/>
    <w:rsid w:val="006D533A"/>
    <w:rsid w:val="006D6EE4"/>
    <w:rsid w:val="006D6FB3"/>
    <w:rsid w:val="006E3C36"/>
    <w:rsid w:val="006F0A10"/>
    <w:rsid w:val="006F0FCD"/>
    <w:rsid w:val="006F17BA"/>
    <w:rsid w:val="006F7CC6"/>
    <w:rsid w:val="00701345"/>
    <w:rsid w:val="0070195B"/>
    <w:rsid w:val="007062D2"/>
    <w:rsid w:val="00723E8A"/>
    <w:rsid w:val="00730822"/>
    <w:rsid w:val="0074526C"/>
    <w:rsid w:val="007452F2"/>
    <w:rsid w:val="0074593C"/>
    <w:rsid w:val="00746F05"/>
    <w:rsid w:val="0075373D"/>
    <w:rsid w:val="0076142B"/>
    <w:rsid w:val="00765D46"/>
    <w:rsid w:val="007667FF"/>
    <w:rsid w:val="00770202"/>
    <w:rsid w:val="00770822"/>
    <w:rsid w:val="0077420B"/>
    <w:rsid w:val="0078365A"/>
    <w:rsid w:val="007903CE"/>
    <w:rsid w:val="007A133B"/>
    <w:rsid w:val="007A47D8"/>
    <w:rsid w:val="007B64CE"/>
    <w:rsid w:val="007D1CAF"/>
    <w:rsid w:val="007D5FE2"/>
    <w:rsid w:val="007E0979"/>
    <w:rsid w:val="007E15A4"/>
    <w:rsid w:val="008120FB"/>
    <w:rsid w:val="008129E7"/>
    <w:rsid w:val="00817D98"/>
    <w:rsid w:val="008220BF"/>
    <w:rsid w:val="00822684"/>
    <w:rsid w:val="00823C96"/>
    <w:rsid w:val="00824AD6"/>
    <w:rsid w:val="00831B4B"/>
    <w:rsid w:val="00832BB4"/>
    <w:rsid w:val="00841C56"/>
    <w:rsid w:val="00865E9E"/>
    <w:rsid w:val="00866A0A"/>
    <w:rsid w:val="008758A8"/>
    <w:rsid w:val="008771B5"/>
    <w:rsid w:val="00881C27"/>
    <w:rsid w:val="00885376"/>
    <w:rsid w:val="00887819"/>
    <w:rsid w:val="00897C56"/>
    <w:rsid w:val="008A4EA1"/>
    <w:rsid w:val="008A63E8"/>
    <w:rsid w:val="008B2959"/>
    <w:rsid w:val="008C032B"/>
    <w:rsid w:val="008C190A"/>
    <w:rsid w:val="008C4110"/>
    <w:rsid w:val="008C6E27"/>
    <w:rsid w:val="008D1274"/>
    <w:rsid w:val="008D1610"/>
    <w:rsid w:val="008E4F19"/>
    <w:rsid w:val="008F5F8D"/>
    <w:rsid w:val="009107C3"/>
    <w:rsid w:val="00913762"/>
    <w:rsid w:val="00914F58"/>
    <w:rsid w:val="00916CD3"/>
    <w:rsid w:val="009228A0"/>
    <w:rsid w:val="00922A4B"/>
    <w:rsid w:val="0092443C"/>
    <w:rsid w:val="00925A44"/>
    <w:rsid w:val="0092698D"/>
    <w:rsid w:val="0093300A"/>
    <w:rsid w:val="00933F29"/>
    <w:rsid w:val="00935516"/>
    <w:rsid w:val="00950E2C"/>
    <w:rsid w:val="00952AA5"/>
    <w:rsid w:val="009547F5"/>
    <w:rsid w:val="00973F59"/>
    <w:rsid w:val="00975D79"/>
    <w:rsid w:val="00985101"/>
    <w:rsid w:val="009927D5"/>
    <w:rsid w:val="00996715"/>
    <w:rsid w:val="009967AB"/>
    <w:rsid w:val="00997B1C"/>
    <w:rsid w:val="009A3F15"/>
    <w:rsid w:val="009E5A44"/>
    <w:rsid w:val="00A01471"/>
    <w:rsid w:val="00A045B7"/>
    <w:rsid w:val="00A04949"/>
    <w:rsid w:val="00A149DF"/>
    <w:rsid w:val="00A16A88"/>
    <w:rsid w:val="00A17E6F"/>
    <w:rsid w:val="00A23307"/>
    <w:rsid w:val="00A24A3F"/>
    <w:rsid w:val="00A25252"/>
    <w:rsid w:val="00A432BE"/>
    <w:rsid w:val="00A433A1"/>
    <w:rsid w:val="00A454FD"/>
    <w:rsid w:val="00A469C0"/>
    <w:rsid w:val="00A56D5D"/>
    <w:rsid w:val="00A63543"/>
    <w:rsid w:val="00A63F98"/>
    <w:rsid w:val="00A70A6A"/>
    <w:rsid w:val="00A70E4F"/>
    <w:rsid w:val="00A76014"/>
    <w:rsid w:val="00A90DDA"/>
    <w:rsid w:val="00A92CB7"/>
    <w:rsid w:val="00A941EA"/>
    <w:rsid w:val="00A9BD5C"/>
    <w:rsid w:val="00AB0268"/>
    <w:rsid w:val="00AB3241"/>
    <w:rsid w:val="00AB5AE5"/>
    <w:rsid w:val="00AC5D6D"/>
    <w:rsid w:val="00AD2EBD"/>
    <w:rsid w:val="00AF2D77"/>
    <w:rsid w:val="00AF4043"/>
    <w:rsid w:val="00B1369C"/>
    <w:rsid w:val="00B205DE"/>
    <w:rsid w:val="00B209F5"/>
    <w:rsid w:val="00B23F61"/>
    <w:rsid w:val="00B270A8"/>
    <w:rsid w:val="00B36492"/>
    <w:rsid w:val="00B45057"/>
    <w:rsid w:val="00B518DE"/>
    <w:rsid w:val="00B5191E"/>
    <w:rsid w:val="00B56771"/>
    <w:rsid w:val="00B61706"/>
    <w:rsid w:val="00B63253"/>
    <w:rsid w:val="00B65526"/>
    <w:rsid w:val="00B66576"/>
    <w:rsid w:val="00B67659"/>
    <w:rsid w:val="00B71101"/>
    <w:rsid w:val="00B715AF"/>
    <w:rsid w:val="00B73EF7"/>
    <w:rsid w:val="00B809F9"/>
    <w:rsid w:val="00B84B18"/>
    <w:rsid w:val="00B86D75"/>
    <w:rsid w:val="00B90031"/>
    <w:rsid w:val="00B92690"/>
    <w:rsid w:val="00B9415C"/>
    <w:rsid w:val="00BA26C2"/>
    <w:rsid w:val="00BA2731"/>
    <w:rsid w:val="00BA2AF2"/>
    <w:rsid w:val="00BA6AF0"/>
    <w:rsid w:val="00BD0703"/>
    <w:rsid w:val="00BD14BB"/>
    <w:rsid w:val="00BD4DC0"/>
    <w:rsid w:val="00BE22BB"/>
    <w:rsid w:val="00BE332B"/>
    <w:rsid w:val="00BE3A67"/>
    <w:rsid w:val="00BE5CF9"/>
    <w:rsid w:val="00C01C30"/>
    <w:rsid w:val="00C02B4E"/>
    <w:rsid w:val="00C02D50"/>
    <w:rsid w:val="00C03AFB"/>
    <w:rsid w:val="00C05306"/>
    <w:rsid w:val="00C27645"/>
    <w:rsid w:val="00C40A25"/>
    <w:rsid w:val="00C4349D"/>
    <w:rsid w:val="00C47A12"/>
    <w:rsid w:val="00C5468A"/>
    <w:rsid w:val="00C55914"/>
    <w:rsid w:val="00C7171C"/>
    <w:rsid w:val="00C74CA9"/>
    <w:rsid w:val="00C74D5B"/>
    <w:rsid w:val="00C757F3"/>
    <w:rsid w:val="00C76B68"/>
    <w:rsid w:val="00CA635E"/>
    <w:rsid w:val="00CB0734"/>
    <w:rsid w:val="00CB4C95"/>
    <w:rsid w:val="00CC41E3"/>
    <w:rsid w:val="00CC5A8D"/>
    <w:rsid w:val="00CC6EEF"/>
    <w:rsid w:val="00CC744E"/>
    <w:rsid w:val="00CD4FFE"/>
    <w:rsid w:val="00CD594E"/>
    <w:rsid w:val="00CE041F"/>
    <w:rsid w:val="00CE79DA"/>
    <w:rsid w:val="00CE7C36"/>
    <w:rsid w:val="00D012FE"/>
    <w:rsid w:val="00D02B76"/>
    <w:rsid w:val="00D07BA5"/>
    <w:rsid w:val="00D102A8"/>
    <w:rsid w:val="00D103DB"/>
    <w:rsid w:val="00D21323"/>
    <w:rsid w:val="00D316EB"/>
    <w:rsid w:val="00D35F0A"/>
    <w:rsid w:val="00D458C0"/>
    <w:rsid w:val="00D46ED9"/>
    <w:rsid w:val="00D50ECF"/>
    <w:rsid w:val="00D62A70"/>
    <w:rsid w:val="00D674D1"/>
    <w:rsid w:val="00D813B0"/>
    <w:rsid w:val="00D84C93"/>
    <w:rsid w:val="00DA218B"/>
    <w:rsid w:val="00DB0A34"/>
    <w:rsid w:val="00DB1522"/>
    <w:rsid w:val="00DB5433"/>
    <w:rsid w:val="00DB5CF1"/>
    <w:rsid w:val="00DB6C31"/>
    <w:rsid w:val="00DC5365"/>
    <w:rsid w:val="00DD00B4"/>
    <w:rsid w:val="00DD3EBF"/>
    <w:rsid w:val="00DD414E"/>
    <w:rsid w:val="00DD4771"/>
    <w:rsid w:val="00DD592F"/>
    <w:rsid w:val="00DE39D3"/>
    <w:rsid w:val="00DE3F37"/>
    <w:rsid w:val="00DF39D5"/>
    <w:rsid w:val="00DF7597"/>
    <w:rsid w:val="00E06762"/>
    <w:rsid w:val="00E069C9"/>
    <w:rsid w:val="00E07B64"/>
    <w:rsid w:val="00E12247"/>
    <w:rsid w:val="00E15094"/>
    <w:rsid w:val="00E15C7A"/>
    <w:rsid w:val="00E16A51"/>
    <w:rsid w:val="00E34114"/>
    <w:rsid w:val="00E3632B"/>
    <w:rsid w:val="00E45709"/>
    <w:rsid w:val="00E45E26"/>
    <w:rsid w:val="00E51588"/>
    <w:rsid w:val="00E564D5"/>
    <w:rsid w:val="00E65EDD"/>
    <w:rsid w:val="00E67A02"/>
    <w:rsid w:val="00E73631"/>
    <w:rsid w:val="00E8095D"/>
    <w:rsid w:val="00E80FAF"/>
    <w:rsid w:val="00E820B0"/>
    <w:rsid w:val="00E92217"/>
    <w:rsid w:val="00EA0120"/>
    <w:rsid w:val="00EA0C19"/>
    <w:rsid w:val="00EA221B"/>
    <w:rsid w:val="00EA3A28"/>
    <w:rsid w:val="00EA60BA"/>
    <w:rsid w:val="00EB25D2"/>
    <w:rsid w:val="00EB312D"/>
    <w:rsid w:val="00EC0131"/>
    <w:rsid w:val="00EC0196"/>
    <w:rsid w:val="00EC2FC4"/>
    <w:rsid w:val="00EC6812"/>
    <w:rsid w:val="00ED0EA9"/>
    <w:rsid w:val="00ED271D"/>
    <w:rsid w:val="00EF2EED"/>
    <w:rsid w:val="00EF38D2"/>
    <w:rsid w:val="00F02D0E"/>
    <w:rsid w:val="00F1455F"/>
    <w:rsid w:val="00F20E4B"/>
    <w:rsid w:val="00F21F84"/>
    <w:rsid w:val="00F24EED"/>
    <w:rsid w:val="00F32D4F"/>
    <w:rsid w:val="00F35EC4"/>
    <w:rsid w:val="00F50F8C"/>
    <w:rsid w:val="00F52B30"/>
    <w:rsid w:val="00F538D7"/>
    <w:rsid w:val="00F53AFE"/>
    <w:rsid w:val="00F5451B"/>
    <w:rsid w:val="00F573B3"/>
    <w:rsid w:val="00F6147D"/>
    <w:rsid w:val="00F633D8"/>
    <w:rsid w:val="00F65870"/>
    <w:rsid w:val="00F67692"/>
    <w:rsid w:val="00F70F23"/>
    <w:rsid w:val="00F72473"/>
    <w:rsid w:val="00F82000"/>
    <w:rsid w:val="00F9184C"/>
    <w:rsid w:val="00F97DB4"/>
    <w:rsid w:val="00FA116C"/>
    <w:rsid w:val="00FA1875"/>
    <w:rsid w:val="00FA52B5"/>
    <w:rsid w:val="00FB1943"/>
    <w:rsid w:val="00FB3DF4"/>
    <w:rsid w:val="00FC66BB"/>
    <w:rsid w:val="00FD399F"/>
    <w:rsid w:val="00FE734D"/>
    <w:rsid w:val="00FE75B3"/>
    <w:rsid w:val="00FF299F"/>
    <w:rsid w:val="00FF2A6E"/>
    <w:rsid w:val="010C99BD"/>
    <w:rsid w:val="01734D8E"/>
    <w:rsid w:val="01A13C32"/>
    <w:rsid w:val="01B2C3D3"/>
    <w:rsid w:val="01BBC1C5"/>
    <w:rsid w:val="01CFED73"/>
    <w:rsid w:val="024BC795"/>
    <w:rsid w:val="02A0A6AB"/>
    <w:rsid w:val="02C9C5D4"/>
    <w:rsid w:val="02E315F5"/>
    <w:rsid w:val="0317B36F"/>
    <w:rsid w:val="03326C87"/>
    <w:rsid w:val="0343C2E6"/>
    <w:rsid w:val="03C0B167"/>
    <w:rsid w:val="03E39BC4"/>
    <w:rsid w:val="0439B6E7"/>
    <w:rsid w:val="04831FE6"/>
    <w:rsid w:val="0489F794"/>
    <w:rsid w:val="04982F57"/>
    <w:rsid w:val="04AFD68E"/>
    <w:rsid w:val="04D05DD7"/>
    <w:rsid w:val="0526321E"/>
    <w:rsid w:val="0528242C"/>
    <w:rsid w:val="0555A503"/>
    <w:rsid w:val="057C04B8"/>
    <w:rsid w:val="058AC0CB"/>
    <w:rsid w:val="05AD089D"/>
    <w:rsid w:val="05F43954"/>
    <w:rsid w:val="06A7BC49"/>
    <w:rsid w:val="06B395E0"/>
    <w:rsid w:val="0744B19D"/>
    <w:rsid w:val="07504DCE"/>
    <w:rsid w:val="07703F39"/>
    <w:rsid w:val="07B9B507"/>
    <w:rsid w:val="0857C971"/>
    <w:rsid w:val="0895028F"/>
    <w:rsid w:val="08A3EDBD"/>
    <w:rsid w:val="08B181AE"/>
    <w:rsid w:val="08D5EB47"/>
    <w:rsid w:val="091537C8"/>
    <w:rsid w:val="091EE3B8"/>
    <w:rsid w:val="095114B1"/>
    <w:rsid w:val="0A5C96BA"/>
    <w:rsid w:val="0AA37ADE"/>
    <w:rsid w:val="0ADBA380"/>
    <w:rsid w:val="0AF4F78F"/>
    <w:rsid w:val="0B0D0ED4"/>
    <w:rsid w:val="0B240FF9"/>
    <w:rsid w:val="0B4567A5"/>
    <w:rsid w:val="0BD1DD2C"/>
    <w:rsid w:val="0BFD7085"/>
    <w:rsid w:val="0C009824"/>
    <w:rsid w:val="0C2954C0"/>
    <w:rsid w:val="0C3881A5"/>
    <w:rsid w:val="0C979687"/>
    <w:rsid w:val="0D331019"/>
    <w:rsid w:val="0DE0A5E8"/>
    <w:rsid w:val="0DE98282"/>
    <w:rsid w:val="0E0EE878"/>
    <w:rsid w:val="0E2128CA"/>
    <w:rsid w:val="0E80460F"/>
    <w:rsid w:val="0EBE7D58"/>
    <w:rsid w:val="0F3066F7"/>
    <w:rsid w:val="0FC3B95A"/>
    <w:rsid w:val="0FD612E6"/>
    <w:rsid w:val="0FFC672E"/>
    <w:rsid w:val="100FADB6"/>
    <w:rsid w:val="1028062B"/>
    <w:rsid w:val="1035C7DF"/>
    <w:rsid w:val="109610FA"/>
    <w:rsid w:val="10E1C5E7"/>
    <w:rsid w:val="10F252CD"/>
    <w:rsid w:val="11232AD4"/>
    <w:rsid w:val="112581F8"/>
    <w:rsid w:val="11902759"/>
    <w:rsid w:val="11AC16B8"/>
    <w:rsid w:val="12226433"/>
    <w:rsid w:val="1262A5AE"/>
    <w:rsid w:val="126AD3AB"/>
    <w:rsid w:val="126E5914"/>
    <w:rsid w:val="12B081B5"/>
    <w:rsid w:val="12B75CEC"/>
    <w:rsid w:val="138603B5"/>
    <w:rsid w:val="14597420"/>
    <w:rsid w:val="14727BFB"/>
    <w:rsid w:val="149083ED"/>
    <w:rsid w:val="149F8CA9"/>
    <w:rsid w:val="14CF8EE8"/>
    <w:rsid w:val="14F1A623"/>
    <w:rsid w:val="1501933F"/>
    <w:rsid w:val="15351B26"/>
    <w:rsid w:val="1575D1AF"/>
    <w:rsid w:val="15CA88BF"/>
    <w:rsid w:val="160AA805"/>
    <w:rsid w:val="163E62D3"/>
    <w:rsid w:val="16FE0DA1"/>
    <w:rsid w:val="171995ED"/>
    <w:rsid w:val="1723E835"/>
    <w:rsid w:val="178B5754"/>
    <w:rsid w:val="17BDDDF6"/>
    <w:rsid w:val="18736CD7"/>
    <w:rsid w:val="1898EDD7"/>
    <w:rsid w:val="18C32D7B"/>
    <w:rsid w:val="18F19224"/>
    <w:rsid w:val="19200997"/>
    <w:rsid w:val="194747A7"/>
    <w:rsid w:val="1999C1A4"/>
    <w:rsid w:val="19B6BF7D"/>
    <w:rsid w:val="19F11D80"/>
    <w:rsid w:val="19F69DA6"/>
    <w:rsid w:val="1A5FB7DD"/>
    <w:rsid w:val="1AD77F67"/>
    <w:rsid w:val="1ADE528B"/>
    <w:rsid w:val="1AF11529"/>
    <w:rsid w:val="1B1DFA33"/>
    <w:rsid w:val="1B22A475"/>
    <w:rsid w:val="1B351913"/>
    <w:rsid w:val="1B7B1498"/>
    <w:rsid w:val="1B823AED"/>
    <w:rsid w:val="1B8861A0"/>
    <w:rsid w:val="1B91621C"/>
    <w:rsid w:val="1BC53876"/>
    <w:rsid w:val="1C43B9A9"/>
    <w:rsid w:val="1CA5632D"/>
    <w:rsid w:val="1CA710D1"/>
    <w:rsid w:val="1CECC8B3"/>
    <w:rsid w:val="1CFA0B71"/>
    <w:rsid w:val="1D0308E0"/>
    <w:rsid w:val="1D0F3384"/>
    <w:rsid w:val="1D91A4B1"/>
    <w:rsid w:val="1D9F8EB2"/>
    <w:rsid w:val="1DEE4C23"/>
    <w:rsid w:val="1DF750F6"/>
    <w:rsid w:val="1ED76EEF"/>
    <w:rsid w:val="1F67DAA5"/>
    <w:rsid w:val="1F72136E"/>
    <w:rsid w:val="1F84F757"/>
    <w:rsid w:val="1FB8A6F3"/>
    <w:rsid w:val="2015F0AE"/>
    <w:rsid w:val="20431C60"/>
    <w:rsid w:val="20525CCB"/>
    <w:rsid w:val="210AF382"/>
    <w:rsid w:val="21189E13"/>
    <w:rsid w:val="2125B410"/>
    <w:rsid w:val="2198C80F"/>
    <w:rsid w:val="22E5C7C3"/>
    <w:rsid w:val="232D5A2C"/>
    <w:rsid w:val="233DD6F0"/>
    <w:rsid w:val="2410E98E"/>
    <w:rsid w:val="241BEE9C"/>
    <w:rsid w:val="2495BD6A"/>
    <w:rsid w:val="24B3D3C4"/>
    <w:rsid w:val="24E00C6F"/>
    <w:rsid w:val="24F2246C"/>
    <w:rsid w:val="250A7186"/>
    <w:rsid w:val="250DB212"/>
    <w:rsid w:val="255A04F6"/>
    <w:rsid w:val="2574842B"/>
    <w:rsid w:val="258E6AAC"/>
    <w:rsid w:val="25D27D14"/>
    <w:rsid w:val="25D50EBC"/>
    <w:rsid w:val="25DBDDDC"/>
    <w:rsid w:val="26653A58"/>
    <w:rsid w:val="26700213"/>
    <w:rsid w:val="269EC181"/>
    <w:rsid w:val="2731554C"/>
    <w:rsid w:val="276ABBFF"/>
    <w:rsid w:val="278E5723"/>
    <w:rsid w:val="279B9C45"/>
    <w:rsid w:val="27D5D57A"/>
    <w:rsid w:val="281BF866"/>
    <w:rsid w:val="285C792C"/>
    <w:rsid w:val="28A06800"/>
    <w:rsid w:val="28A7EF3A"/>
    <w:rsid w:val="291039F4"/>
    <w:rsid w:val="293125C7"/>
    <w:rsid w:val="29607B16"/>
    <w:rsid w:val="2970AE68"/>
    <w:rsid w:val="2A652CA9"/>
    <w:rsid w:val="2A65716B"/>
    <w:rsid w:val="2AFFF9ED"/>
    <w:rsid w:val="2B4C8B55"/>
    <w:rsid w:val="2B8E1FA2"/>
    <w:rsid w:val="2B95E715"/>
    <w:rsid w:val="2C2E54F8"/>
    <w:rsid w:val="2C54FF65"/>
    <w:rsid w:val="2C880D91"/>
    <w:rsid w:val="2CC85740"/>
    <w:rsid w:val="2CCAC9D1"/>
    <w:rsid w:val="2D0280A0"/>
    <w:rsid w:val="2DAC4038"/>
    <w:rsid w:val="2DE14424"/>
    <w:rsid w:val="2E319265"/>
    <w:rsid w:val="2E9594ED"/>
    <w:rsid w:val="2E97E05F"/>
    <w:rsid w:val="2EC0D4C3"/>
    <w:rsid w:val="2F21A9CB"/>
    <w:rsid w:val="2F266071"/>
    <w:rsid w:val="2F481136"/>
    <w:rsid w:val="2FB3BEE5"/>
    <w:rsid w:val="2FEADDFB"/>
    <w:rsid w:val="2FF36395"/>
    <w:rsid w:val="3010FC75"/>
    <w:rsid w:val="30254973"/>
    <w:rsid w:val="30D23580"/>
    <w:rsid w:val="312D640E"/>
    <w:rsid w:val="316C9440"/>
    <w:rsid w:val="31F6497B"/>
    <w:rsid w:val="324B4D0C"/>
    <w:rsid w:val="32CB723D"/>
    <w:rsid w:val="331A8A24"/>
    <w:rsid w:val="33529239"/>
    <w:rsid w:val="33533050"/>
    <w:rsid w:val="33549245"/>
    <w:rsid w:val="336E934E"/>
    <w:rsid w:val="345CC162"/>
    <w:rsid w:val="346502E6"/>
    <w:rsid w:val="34675698"/>
    <w:rsid w:val="34A8B3FD"/>
    <w:rsid w:val="3569C907"/>
    <w:rsid w:val="35B3636C"/>
    <w:rsid w:val="35B7577E"/>
    <w:rsid w:val="36C79CAA"/>
    <w:rsid w:val="374ABBF3"/>
    <w:rsid w:val="377ECD5C"/>
    <w:rsid w:val="37F78303"/>
    <w:rsid w:val="380228C9"/>
    <w:rsid w:val="380DCC68"/>
    <w:rsid w:val="382A064F"/>
    <w:rsid w:val="3858A44A"/>
    <w:rsid w:val="3894862E"/>
    <w:rsid w:val="38A8BDF3"/>
    <w:rsid w:val="38B56B09"/>
    <w:rsid w:val="38CE0ABB"/>
    <w:rsid w:val="3921D9EE"/>
    <w:rsid w:val="397E2F6D"/>
    <w:rsid w:val="399132F6"/>
    <w:rsid w:val="39C2F582"/>
    <w:rsid w:val="39C94ED3"/>
    <w:rsid w:val="3AD0D1A5"/>
    <w:rsid w:val="3AF85164"/>
    <w:rsid w:val="3AFB0E5A"/>
    <w:rsid w:val="3B0068D4"/>
    <w:rsid w:val="3B051C91"/>
    <w:rsid w:val="3BA08570"/>
    <w:rsid w:val="3C01827C"/>
    <w:rsid w:val="3C1D3EEA"/>
    <w:rsid w:val="3CA75552"/>
    <w:rsid w:val="3CBA888C"/>
    <w:rsid w:val="3CCAE0F9"/>
    <w:rsid w:val="3D097463"/>
    <w:rsid w:val="3D611CFF"/>
    <w:rsid w:val="3D73772D"/>
    <w:rsid w:val="3D9EE86F"/>
    <w:rsid w:val="3D9F213A"/>
    <w:rsid w:val="3E736DFD"/>
    <w:rsid w:val="3E977A91"/>
    <w:rsid w:val="3E9D5851"/>
    <w:rsid w:val="3EE03DA8"/>
    <w:rsid w:val="3EEA45E5"/>
    <w:rsid w:val="3FEB0953"/>
    <w:rsid w:val="3FFA563E"/>
    <w:rsid w:val="4007507C"/>
    <w:rsid w:val="40117628"/>
    <w:rsid w:val="40389B86"/>
    <w:rsid w:val="407D29DC"/>
    <w:rsid w:val="40928066"/>
    <w:rsid w:val="40BD67BF"/>
    <w:rsid w:val="40F8A6F0"/>
    <w:rsid w:val="40FABF4A"/>
    <w:rsid w:val="414264F5"/>
    <w:rsid w:val="418EBBFB"/>
    <w:rsid w:val="41B3FF28"/>
    <w:rsid w:val="41D3F1C2"/>
    <w:rsid w:val="41EBF57E"/>
    <w:rsid w:val="420AAA2D"/>
    <w:rsid w:val="4211951D"/>
    <w:rsid w:val="4234C709"/>
    <w:rsid w:val="4245B211"/>
    <w:rsid w:val="4269438A"/>
    <w:rsid w:val="42FCBA7B"/>
    <w:rsid w:val="430A71BB"/>
    <w:rsid w:val="4326B33A"/>
    <w:rsid w:val="43AD014C"/>
    <w:rsid w:val="43BE18D9"/>
    <w:rsid w:val="4401B69E"/>
    <w:rsid w:val="44285719"/>
    <w:rsid w:val="4439C894"/>
    <w:rsid w:val="4471AE3D"/>
    <w:rsid w:val="449E2439"/>
    <w:rsid w:val="44B36F22"/>
    <w:rsid w:val="44D2F5E0"/>
    <w:rsid w:val="4565E6D9"/>
    <w:rsid w:val="4657E810"/>
    <w:rsid w:val="4659D4F1"/>
    <w:rsid w:val="469FC23F"/>
    <w:rsid w:val="46CA489E"/>
    <w:rsid w:val="47B360CB"/>
    <w:rsid w:val="47F2F7DA"/>
    <w:rsid w:val="47F65E85"/>
    <w:rsid w:val="484EC7DF"/>
    <w:rsid w:val="485CADFF"/>
    <w:rsid w:val="489B4D4E"/>
    <w:rsid w:val="494EF895"/>
    <w:rsid w:val="496BF050"/>
    <w:rsid w:val="49D70FC1"/>
    <w:rsid w:val="49D7E19C"/>
    <w:rsid w:val="49FCB856"/>
    <w:rsid w:val="4A2F280D"/>
    <w:rsid w:val="4A3BB26F"/>
    <w:rsid w:val="4A5D3D0E"/>
    <w:rsid w:val="4AFD4C5D"/>
    <w:rsid w:val="4B15635F"/>
    <w:rsid w:val="4B2B691C"/>
    <w:rsid w:val="4B3737D2"/>
    <w:rsid w:val="4B609960"/>
    <w:rsid w:val="4BD411C6"/>
    <w:rsid w:val="4C03ED07"/>
    <w:rsid w:val="4C7220B2"/>
    <w:rsid w:val="4CEE69A4"/>
    <w:rsid w:val="4D0E4330"/>
    <w:rsid w:val="4D519436"/>
    <w:rsid w:val="4D791AC4"/>
    <w:rsid w:val="4D7E474A"/>
    <w:rsid w:val="4DBFE9B1"/>
    <w:rsid w:val="4DF84287"/>
    <w:rsid w:val="4F131896"/>
    <w:rsid w:val="4F3F740D"/>
    <w:rsid w:val="4F515914"/>
    <w:rsid w:val="4FDFBD02"/>
    <w:rsid w:val="4FFBD808"/>
    <w:rsid w:val="5008573F"/>
    <w:rsid w:val="50579FC2"/>
    <w:rsid w:val="50DE938D"/>
    <w:rsid w:val="50E349B4"/>
    <w:rsid w:val="50EAC125"/>
    <w:rsid w:val="5148BADD"/>
    <w:rsid w:val="5188E73A"/>
    <w:rsid w:val="51A1DBFC"/>
    <w:rsid w:val="51BDDA76"/>
    <w:rsid w:val="51C087D0"/>
    <w:rsid w:val="51E32470"/>
    <w:rsid w:val="521E4CC2"/>
    <w:rsid w:val="524F2B48"/>
    <w:rsid w:val="526E7A37"/>
    <w:rsid w:val="52C291E4"/>
    <w:rsid w:val="52CD8141"/>
    <w:rsid w:val="52DFBAC1"/>
    <w:rsid w:val="53203355"/>
    <w:rsid w:val="53608A93"/>
    <w:rsid w:val="538E757F"/>
    <w:rsid w:val="53E441BD"/>
    <w:rsid w:val="5429B052"/>
    <w:rsid w:val="549C952D"/>
    <w:rsid w:val="54DA9E6A"/>
    <w:rsid w:val="5541DE3B"/>
    <w:rsid w:val="55F2B583"/>
    <w:rsid w:val="5601ADD3"/>
    <w:rsid w:val="560D84BA"/>
    <w:rsid w:val="5610DAD3"/>
    <w:rsid w:val="56404CD6"/>
    <w:rsid w:val="56599417"/>
    <w:rsid w:val="56728AA8"/>
    <w:rsid w:val="567C84E8"/>
    <w:rsid w:val="571E6C0F"/>
    <w:rsid w:val="573A6817"/>
    <w:rsid w:val="57584FE3"/>
    <w:rsid w:val="57AB205F"/>
    <w:rsid w:val="57CA9092"/>
    <w:rsid w:val="581E7B76"/>
    <w:rsid w:val="58B4214D"/>
    <w:rsid w:val="59D4000C"/>
    <w:rsid w:val="5A18F18A"/>
    <w:rsid w:val="5A3F103E"/>
    <w:rsid w:val="5A7B8DF8"/>
    <w:rsid w:val="5A838CD1"/>
    <w:rsid w:val="5AAB4BDC"/>
    <w:rsid w:val="5ADC4E1F"/>
    <w:rsid w:val="5AFC512D"/>
    <w:rsid w:val="5B1F5A55"/>
    <w:rsid w:val="5B236C72"/>
    <w:rsid w:val="5B2D4E9C"/>
    <w:rsid w:val="5B874D1D"/>
    <w:rsid w:val="5BA7A2D0"/>
    <w:rsid w:val="5C27A1B6"/>
    <w:rsid w:val="5D35A453"/>
    <w:rsid w:val="5DEB33E1"/>
    <w:rsid w:val="5DF587AA"/>
    <w:rsid w:val="5DF94388"/>
    <w:rsid w:val="5E034BD1"/>
    <w:rsid w:val="5E551D04"/>
    <w:rsid w:val="5EC3FCED"/>
    <w:rsid w:val="5EE83705"/>
    <w:rsid w:val="5F56C140"/>
    <w:rsid w:val="5F839460"/>
    <w:rsid w:val="5FE29062"/>
    <w:rsid w:val="60118990"/>
    <w:rsid w:val="601B0FDE"/>
    <w:rsid w:val="60F4E35F"/>
    <w:rsid w:val="62072FB7"/>
    <w:rsid w:val="624289E9"/>
    <w:rsid w:val="624E3932"/>
    <w:rsid w:val="62FFA3BE"/>
    <w:rsid w:val="634BFAC3"/>
    <w:rsid w:val="634E50B8"/>
    <w:rsid w:val="638F0865"/>
    <w:rsid w:val="6430C7C3"/>
    <w:rsid w:val="647AFFEE"/>
    <w:rsid w:val="6514C669"/>
    <w:rsid w:val="652A9A8E"/>
    <w:rsid w:val="65C4D313"/>
    <w:rsid w:val="661B5A83"/>
    <w:rsid w:val="6628CAA7"/>
    <w:rsid w:val="662EC833"/>
    <w:rsid w:val="66502B5E"/>
    <w:rsid w:val="66821E24"/>
    <w:rsid w:val="66E34BC6"/>
    <w:rsid w:val="6700F740"/>
    <w:rsid w:val="68100576"/>
    <w:rsid w:val="68B61D75"/>
    <w:rsid w:val="69A45485"/>
    <w:rsid w:val="69B490B7"/>
    <w:rsid w:val="69D38545"/>
    <w:rsid w:val="69E010CB"/>
    <w:rsid w:val="6A227297"/>
    <w:rsid w:val="6A539A72"/>
    <w:rsid w:val="6AB4BF3F"/>
    <w:rsid w:val="6AEDE9D6"/>
    <w:rsid w:val="6AF1A0C5"/>
    <w:rsid w:val="6B4B7F16"/>
    <w:rsid w:val="6B875DB2"/>
    <w:rsid w:val="6B98B878"/>
    <w:rsid w:val="6BC314B1"/>
    <w:rsid w:val="6BD6BF29"/>
    <w:rsid w:val="6C1C7BA8"/>
    <w:rsid w:val="6CA107FB"/>
    <w:rsid w:val="6CA8E5C7"/>
    <w:rsid w:val="6CAB2962"/>
    <w:rsid w:val="6CB875C3"/>
    <w:rsid w:val="6CC6728F"/>
    <w:rsid w:val="6CE0A6EC"/>
    <w:rsid w:val="6D7E9329"/>
    <w:rsid w:val="6D9E1E0D"/>
    <w:rsid w:val="6DB02F7D"/>
    <w:rsid w:val="6DE37F3E"/>
    <w:rsid w:val="6DF206C2"/>
    <w:rsid w:val="6E0AB338"/>
    <w:rsid w:val="6E6FE138"/>
    <w:rsid w:val="6F0EC53D"/>
    <w:rsid w:val="6F647D4D"/>
    <w:rsid w:val="6F747720"/>
    <w:rsid w:val="6F7CA031"/>
    <w:rsid w:val="6F99999C"/>
    <w:rsid w:val="6FF6BCC0"/>
    <w:rsid w:val="7009005F"/>
    <w:rsid w:val="709A4784"/>
    <w:rsid w:val="713DE4A5"/>
    <w:rsid w:val="71764620"/>
    <w:rsid w:val="71BCEEE6"/>
    <w:rsid w:val="71CB62C5"/>
    <w:rsid w:val="7213179B"/>
    <w:rsid w:val="72235AC8"/>
    <w:rsid w:val="7295CABE"/>
    <w:rsid w:val="731A409F"/>
    <w:rsid w:val="7329300B"/>
    <w:rsid w:val="742BF341"/>
    <w:rsid w:val="7446F3F0"/>
    <w:rsid w:val="74562B20"/>
    <w:rsid w:val="7491ACFF"/>
    <w:rsid w:val="749E3513"/>
    <w:rsid w:val="74DA4934"/>
    <w:rsid w:val="74DCDFBC"/>
    <w:rsid w:val="755F9200"/>
    <w:rsid w:val="757D87BB"/>
    <w:rsid w:val="759D4D6F"/>
    <w:rsid w:val="766F25CA"/>
    <w:rsid w:val="76AC2511"/>
    <w:rsid w:val="76BBFBA0"/>
    <w:rsid w:val="76C572C7"/>
    <w:rsid w:val="76EBEFBA"/>
    <w:rsid w:val="776F18AF"/>
    <w:rsid w:val="7772F64F"/>
    <w:rsid w:val="777B96BB"/>
    <w:rsid w:val="778F3A27"/>
    <w:rsid w:val="7792D5D4"/>
    <w:rsid w:val="77B39B3B"/>
    <w:rsid w:val="77CEFAA2"/>
    <w:rsid w:val="77F6465E"/>
    <w:rsid w:val="78052F9B"/>
    <w:rsid w:val="783933D2"/>
    <w:rsid w:val="78BDD6CB"/>
    <w:rsid w:val="78FABE00"/>
    <w:rsid w:val="7912AACE"/>
    <w:rsid w:val="792178C3"/>
    <w:rsid w:val="793438EF"/>
    <w:rsid w:val="79377FBC"/>
    <w:rsid w:val="795E19B6"/>
    <w:rsid w:val="7985FE57"/>
    <w:rsid w:val="79C5F0BC"/>
    <w:rsid w:val="79F9F17A"/>
    <w:rsid w:val="7A105C49"/>
    <w:rsid w:val="7A5F3454"/>
    <w:rsid w:val="7B03C4B3"/>
    <w:rsid w:val="7B33C76C"/>
    <w:rsid w:val="7B3B5A4D"/>
    <w:rsid w:val="7B44E412"/>
    <w:rsid w:val="7BD673D7"/>
    <w:rsid w:val="7C0A6A2E"/>
    <w:rsid w:val="7C317CAF"/>
    <w:rsid w:val="7C832F8B"/>
    <w:rsid w:val="7CE463A7"/>
    <w:rsid w:val="7CF34B2E"/>
    <w:rsid w:val="7D246391"/>
    <w:rsid w:val="7D2D7BCB"/>
    <w:rsid w:val="7D448B27"/>
    <w:rsid w:val="7D50B1FC"/>
    <w:rsid w:val="7D665518"/>
    <w:rsid w:val="7D756DA8"/>
    <w:rsid w:val="7DD4684F"/>
    <w:rsid w:val="7DE59A00"/>
    <w:rsid w:val="7E31D58A"/>
    <w:rsid w:val="7E52C7AA"/>
    <w:rsid w:val="7E7230BD"/>
    <w:rsid w:val="7EAD29C2"/>
    <w:rsid w:val="7EC59828"/>
    <w:rsid w:val="7ED3FD04"/>
    <w:rsid w:val="7EE51287"/>
    <w:rsid w:val="7F2E82D4"/>
    <w:rsid w:val="7F3BE223"/>
    <w:rsid w:val="7F40DACC"/>
    <w:rsid w:val="7F8661C7"/>
    <w:rsid w:val="7F8CCCC7"/>
    <w:rsid w:val="7FD69AA9"/>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F5225BB"/>
  <w15:chartTrackingRefBased/>
  <w15:docId w15:val="{ABA3157B-9C16-41A0-8E06-DF41FADD1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60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0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0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0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0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0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0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0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0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014"/>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uiPriority w:val="9"/>
    <w:semiHidden/>
    <w:rsid w:val="00A76014"/>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semiHidden/>
    <w:rsid w:val="00A76014"/>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A76014"/>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A76014"/>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A76014"/>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A76014"/>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A76014"/>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A76014"/>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A760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014"/>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A760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014"/>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A76014"/>
    <w:pPr>
      <w:spacing w:before="160"/>
      <w:jc w:val="center"/>
    </w:pPr>
    <w:rPr>
      <w:i/>
      <w:iCs/>
      <w:color w:val="404040" w:themeColor="text1" w:themeTint="BF"/>
    </w:rPr>
  </w:style>
  <w:style w:type="character" w:customStyle="1" w:styleId="QuoteChar">
    <w:name w:val="Quote Char"/>
    <w:basedOn w:val="DefaultParagraphFont"/>
    <w:link w:val="Quote"/>
    <w:uiPriority w:val="29"/>
    <w:rsid w:val="00A76014"/>
    <w:rPr>
      <w:i/>
      <w:iCs/>
      <w:color w:val="404040" w:themeColor="text1" w:themeTint="BF"/>
      <w:lang w:val="ro-RO"/>
    </w:rPr>
  </w:style>
  <w:style w:type="paragraph" w:styleId="ListParagraph">
    <w:name w:val="List Paragraph"/>
    <w:basedOn w:val="Normal"/>
    <w:uiPriority w:val="34"/>
    <w:qFormat/>
    <w:rsid w:val="00A76014"/>
    <w:pPr>
      <w:ind w:left="720"/>
      <w:contextualSpacing/>
    </w:pPr>
  </w:style>
  <w:style w:type="character" w:styleId="IntenseEmphasis">
    <w:name w:val="Intense Emphasis"/>
    <w:basedOn w:val="DefaultParagraphFont"/>
    <w:uiPriority w:val="21"/>
    <w:qFormat/>
    <w:rsid w:val="00A76014"/>
    <w:rPr>
      <w:i/>
      <w:iCs/>
      <w:color w:val="0F4761" w:themeColor="accent1" w:themeShade="BF"/>
    </w:rPr>
  </w:style>
  <w:style w:type="paragraph" w:styleId="IntenseQuote">
    <w:name w:val="Intense Quote"/>
    <w:basedOn w:val="Normal"/>
    <w:next w:val="Normal"/>
    <w:link w:val="IntenseQuoteChar"/>
    <w:uiPriority w:val="30"/>
    <w:qFormat/>
    <w:rsid w:val="00A760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014"/>
    <w:rPr>
      <w:i/>
      <w:iCs/>
      <w:color w:val="0F4761" w:themeColor="accent1" w:themeShade="BF"/>
      <w:lang w:val="ro-RO"/>
    </w:rPr>
  </w:style>
  <w:style w:type="character" w:styleId="IntenseReference">
    <w:name w:val="Intense Reference"/>
    <w:basedOn w:val="DefaultParagraphFont"/>
    <w:uiPriority w:val="32"/>
    <w:qFormat/>
    <w:rsid w:val="00A76014"/>
    <w:rPr>
      <w:b/>
      <w:bCs/>
      <w:smallCaps/>
      <w:color w:val="0F4761" w:themeColor="accent1" w:themeShade="BF"/>
      <w:spacing w:val="5"/>
    </w:rPr>
  </w:style>
  <w:style w:type="character" w:customStyle="1" w:styleId="Marker">
    <w:name w:val="Marker"/>
    <w:basedOn w:val="DefaultParagraphFont"/>
    <w:rsid w:val="00A76014"/>
    <w:rPr>
      <w:color w:val="0000FF"/>
      <w:shd w:val="clear" w:color="auto" w:fill="auto"/>
    </w:rPr>
  </w:style>
  <w:style w:type="paragraph" w:styleId="Header">
    <w:name w:val="header"/>
    <w:basedOn w:val="Normal"/>
    <w:link w:val="HeaderChar"/>
    <w:uiPriority w:val="99"/>
    <w:unhideWhenUsed/>
    <w:rsid w:val="00A760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6014"/>
    <w:rPr>
      <w:lang w:val="ro-RO"/>
    </w:rPr>
  </w:style>
  <w:style w:type="paragraph" w:styleId="Footer">
    <w:name w:val="footer"/>
    <w:basedOn w:val="Normal"/>
    <w:link w:val="FooterChar"/>
    <w:uiPriority w:val="99"/>
    <w:unhideWhenUsed/>
    <w:rsid w:val="00A760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6014"/>
    <w:rPr>
      <w:lang w:val="ro-RO"/>
    </w:rPr>
  </w:style>
  <w:style w:type="paragraph" w:customStyle="1" w:styleId="Pagedecouverture">
    <w:name w:val="Page de couverture"/>
    <w:basedOn w:val="Normal"/>
    <w:next w:val="Normal"/>
    <w:rsid w:val="00A76014"/>
    <w:pPr>
      <w:spacing w:after="0" w:line="240" w:lineRule="auto"/>
      <w:jc w:val="both"/>
    </w:pPr>
    <w:rPr>
      <w:rFonts w:ascii="Times New Roman" w:eastAsiaTheme="minorHAnsi" w:hAnsi="Times New Roman" w:cs="Times New Roman"/>
      <w:sz w:val="24"/>
      <w:lang w:eastAsia="en-US"/>
    </w:rPr>
  </w:style>
  <w:style w:type="paragraph" w:customStyle="1" w:styleId="FooterCoverPage">
    <w:name w:val="Footer Cover Page"/>
    <w:basedOn w:val="Normal"/>
    <w:link w:val="FooterCoverPageChar"/>
    <w:rsid w:val="00A7601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76014"/>
    <w:rPr>
      <w:rFonts w:ascii="Times New Roman" w:hAnsi="Times New Roman" w:cs="Times New Roman"/>
      <w:sz w:val="24"/>
    </w:rPr>
  </w:style>
  <w:style w:type="paragraph" w:customStyle="1" w:styleId="FooterSensitivity">
    <w:name w:val="Footer Sensitivity"/>
    <w:basedOn w:val="Normal"/>
    <w:link w:val="FooterSensitivityChar"/>
    <w:rsid w:val="00A7601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76014"/>
    <w:rPr>
      <w:rFonts w:ascii="Times New Roman" w:hAnsi="Times New Roman" w:cs="Times New Roman"/>
      <w:b/>
      <w:sz w:val="32"/>
    </w:rPr>
  </w:style>
  <w:style w:type="paragraph" w:customStyle="1" w:styleId="HeaderCoverPage">
    <w:name w:val="Header Cover Page"/>
    <w:basedOn w:val="Normal"/>
    <w:link w:val="HeaderCoverPageChar"/>
    <w:rsid w:val="00A7601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76014"/>
    <w:rPr>
      <w:rFonts w:ascii="Times New Roman" w:hAnsi="Times New Roman" w:cs="Times New Roman"/>
      <w:sz w:val="24"/>
    </w:rPr>
  </w:style>
  <w:style w:type="paragraph" w:customStyle="1" w:styleId="HeaderSensitivity">
    <w:name w:val="Header Sensitivity"/>
    <w:basedOn w:val="Normal"/>
    <w:link w:val="HeaderSensitivityChar"/>
    <w:rsid w:val="00A7601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76014"/>
    <w:rPr>
      <w:rFonts w:ascii="Times New Roman" w:hAnsi="Times New Roman" w:cs="Times New Roman"/>
      <w:b/>
      <w:sz w:val="32"/>
    </w:rPr>
  </w:style>
  <w:style w:type="paragraph" w:customStyle="1" w:styleId="HeaderSensitivityRight">
    <w:name w:val="Header Sensitivity Right"/>
    <w:basedOn w:val="Normal"/>
    <w:link w:val="HeaderSensitivityRightChar"/>
    <w:rsid w:val="00A7601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76014"/>
    <w:rPr>
      <w:rFonts w:ascii="Times New Roman" w:hAnsi="Times New Roman" w:cs="Times New Roman"/>
      <w:sz w:val="28"/>
    </w:rPr>
  </w:style>
  <w:style w:type="paragraph" w:styleId="FootnoteText">
    <w:name w:val="footnote text"/>
    <w:basedOn w:val="Normal"/>
    <w:link w:val="FootnoteTextChar"/>
    <w:uiPriority w:val="99"/>
    <w:semiHidden/>
    <w:unhideWhenUsed/>
    <w:rsid w:val="006D53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533A"/>
    <w:rPr>
      <w:sz w:val="20"/>
      <w:szCs w:val="20"/>
      <w:lang w:val="ro-RO"/>
    </w:rPr>
  </w:style>
  <w:style w:type="character" w:styleId="FootnoteReference">
    <w:name w:val="footnote reference"/>
    <w:basedOn w:val="DefaultParagraphFont"/>
    <w:semiHidden/>
    <w:unhideWhenUsed/>
    <w:rsid w:val="006D533A"/>
    <w:rPr>
      <w:vertAlign w:val="superscript"/>
    </w:rPr>
  </w:style>
  <w:style w:type="character" w:styleId="Hyperlink">
    <w:name w:val="Hyperlink"/>
    <w:basedOn w:val="DefaultParagraphFont"/>
    <w:uiPriority w:val="99"/>
    <w:unhideWhenUsed/>
    <w:rsid w:val="00F53AFE"/>
    <w:rPr>
      <w:color w:val="467886" w:themeColor="hyperlink"/>
      <w:u w:val="single"/>
    </w:rPr>
  </w:style>
  <w:style w:type="character" w:customStyle="1" w:styleId="UnresolvedMention">
    <w:name w:val="Unresolved Mention"/>
    <w:basedOn w:val="DefaultParagraphFont"/>
    <w:uiPriority w:val="99"/>
    <w:semiHidden/>
    <w:unhideWhenUsed/>
    <w:rsid w:val="004259B8"/>
    <w:rPr>
      <w:color w:val="605E5C"/>
      <w:shd w:val="clear" w:color="auto" w:fill="E1DFDD"/>
    </w:rPr>
  </w:style>
  <w:style w:type="paragraph" w:styleId="Revision">
    <w:name w:val="Revision"/>
    <w:hidden/>
    <w:uiPriority w:val="99"/>
    <w:semiHidden/>
    <w:rsid w:val="00453844"/>
    <w:pPr>
      <w:spacing w:after="0" w:line="240" w:lineRule="auto"/>
    </w:pPr>
  </w:style>
  <w:style w:type="paragraph" w:styleId="CommentText">
    <w:name w:val="annotation text"/>
    <w:basedOn w:val="Normal"/>
    <w:link w:val="CommentTextChar"/>
    <w:uiPriority w:val="99"/>
    <w:unhideWhenUsed/>
    <w:rsid w:val="00CA635E"/>
    <w:pPr>
      <w:spacing w:line="240" w:lineRule="auto"/>
    </w:pPr>
    <w:rPr>
      <w:sz w:val="20"/>
      <w:szCs w:val="20"/>
    </w:rPr>
  </w:style>
  <w:style w:type="character" w:customStyle="1" w:styleId="CommentTextChar">
    <w:name w:val="Comment Text Char"/>
    <w:basedOn w:val="DefaultParagraphFont"/>
    <w:link w:val="CommentText"/>
    <w:uiPriority w:val="99"/>
    <w:rsid w:val="00CA635E"/>
    <w:rPr>
      <w:sz w:val="20"/>
      <w:szCs w:val="20"/>
      <w:lang w:val="ro-RO"/>
    </w:rPr>
  </w:style>
  <w:style w:type="character" w:styleId="CommentReference">
    <w:name w:val="annotation reference"/>
    <w:basedOn w:val="DefaultParagraphFont"/>
    <w:uiPriority w:val="99"/>
    <w:semiHidden/>
    <w:unhideWhenUsed/>
    <w:rsid w:val="00CA635E"/>
    <w:rPr>
      <w:sz w:val="16"/>
      <w:szCs w:val="16"/>
    </w:rPr>
  </w:style>
  <w:style w:type="paragraph" w:styleId="CommentSubject">
    <w:name w:val="annotation subject"/>
    <w:basedOn w:val="CommentText"/>
    <w:next w:val="CommentText"/>
    <w:link w:val="CommentSubjectChar"/>
    <w:uiPriority w:val="99"/>
    <w:semiHidden/>
    <w:unhideWhenUsed/>
    <w:rsid w:val="009E5A44"/>
    <w:rPr>
      <w:b/>
      <w:bCs/>
    </w:rPr>
  </w:style>
  <w:style w:type="character" w:customStyle="1" w:styleId="CommentSubjectChar">
    <w:name w:val="Comment Subject Char"/>
    <w:basedOn w:val="CommentTextChar"/>
    <w:link w:val="CommentSubject"/>
    <w:uiPriority w:val="99"/>
    <w:semiHidden/>
    <w:rsid w:val="009E5A44"/>
    <w:rPr>
      <w:b/>
      <w:bCs/>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985715">
      <w:bodyDiv w:val="1"/>
      <w:marLeft w:val="0"/>
      <w:marRight w:val="0"/>
      <w:marTop w:val="0"/>
      <w:marBottom w:val="0"/>
      <w:divBdr>
        <w:top w:val="none" w:sz="0" w:space="0" w:color="auto"/>
        <w:left w:val="none" w:sz="0" w:space="0" w:color="auto"/>
        <w:bottom w:val="none" w:sz="0" w:space="0" w:color="auto"/>
        <w:right w:val="none" w:sz="0" w:space="0" w:color="auto"/>
      </w:divBdr>
      <w:divsChild>
        <w:div w:id="169834781">
          <w:marLeft w:val="0"/>
          <w:marRight w:val="0"/>
          <w:marTop w:val="0"/>
          <w:marBottom w:val="0"/>
          <w:divBdr>
            <w:top w:val="none" w:sz="0" w:space="0" w:color="auto"/>
            <w:left w:val="none" w:sz="0" w:space="0" w:color="auto"/>
            <w:bottom w:val="none" w:sz="0" w:space="0" w:color="auto"/>
            <w:right w:val="none" w:sz="0" w:space="0" w:color="auto"/>
          </w:divBdr>
          <w:divsChild>
            <w:div w:id="1234662779">
              <w:marLeft w:val="0"/>
              <w:marRight w:val="0"/>
              <w:marTop w:val="0"/>
              <w:marBottom w:val="0"/>
              <w:divBdr>
                <w:top w:val="none" w:sz="0" w:space="0" w:color="auto"/>
                <w:left w:val="none" w:sz="0" w:space="0" w:color="auto"/>
                <w:bottom w:val="none" w:sz="0" w:space="0" w:color="auto"/>
                <w:right w:val="none" w:sz="0" w:space="0" w:color="auto"/>
              </w:divBdr>
              <w:divsChild>
                <w:div w:id="100422904">
                  <w:marLeft w:val="0"/>
                  <w:marRight w:val="0"/>
                  <w:marTop w:val="0"/>
                  <w:marBottom w:val="0"/>
                  <w:divBdr>
                    <w:top w:val="none" w:sz="0" w:space="0" w:color="auto"/>
                    <w:left w:val="none" w:sz="0" w:space="0" w:color="auto"/>
                    <w:bottom w:val="none" w:sz="0" w:space="0" w:color="auto"/>
                    <w:right w:val="none" w:sz="0" w:space="0" w:color="auto"/>
                  </w:divBdr>
                  <w:divsChild>
                    <w:div w:id="777406222">
                      <w:marLeft w:val="0"/>
                      <w:marRight w:val="0"/>
                      <w:marTop w:val="0"/>
                      <w:marBottom w:val="0"/>
                      <w:divBdr>
                        <w:top w:val="none" w:sz="0" w:space="0" w:color="auto"/>
                        <w:left w:val="none" w:sz="0" w:space="0" w:color="auto"/>
                        <w:bottom w:val="none" w:sz="0" w:space="0" w:color="auto"/>
                        <w:right w:val="none" w:sz="0" w:space="0" w:color="auto"/>
                      </w:divBdr>
                      <w:divsChild>
                        <w:div w:id="117148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93321">
      <w:bodyDiv w:val="1"/>
      <w:marLeft w:val="0"/>
      <w:marRight w:val="0"/>
      <w:marTop w:val="0"/>
      <w:marBottom w:val="0"/>
      <w:divBdr>
        <w:top w:val="none" w:sz="0" w:space="0" w:color="auto"/>
        <w:left w:val="none" w:sz="0" w:space="0" w:color="auto"/>
        <w:bottom w:val="none" w:sz="0" w:space="0" w:color="auto"/>
        <w:right w:val="none" w:sz="0" w:space="0" w:color="auto"/>
      </w:divBdr>
    </w:div>
    <w:div w:id="171069709">
      <w:bodyDiv w:val="1"/>
      <w:marLeft w:val="0"/>
      <w:marRight w:val="0"/>
      <w:marTop w:val="0"/>
      <w:marBottom w:val="0"/>
      <w:divBdr>
        <w:top w:val="none" w:sz="0" w:space="0" w:color="auto"/>
        <w:left w:val="none" w:sz="0" w:space="0" w:color="auto"/>
        <w:bottom w:val="none" w:sz="0" w:space="0" w:color="auto"/>
        <w:right w:val="none" w:sz="0" w:space="0" w:color="auto"/>
      </w:divBdr>
    </w:div>
    <w:div w:id="198518983">
      <w:bodyDiv w:val="1"/>
      <w:marLeft w:val="0"/>
      <w:marRight w:val="0"/>
      <w:marTop w:val="0"/>
      <w:marBottom w:val="0"/>
      <w:divBdr>
        <w:top w:val="none" w:sz="0" w:space="0" w:color="auto"/>
        <w:left w:val="none" w:sz="0" w:space="0" w:color="auto"/>
        <w:bottom w:val="none" w:sz="0" w:space="0" w:color="auto"/>
        <w:right w:val="none" w:sz="0" w:space="0" w:color="auto"/>
      </w:divBdr>
    </w:div>
    <w:div w:id="253515414">
      <w:bodyDiv w:val="1"/>
      <w:marLeft w:val="0"/>
      <w:marRight w:val="0"/>
      <w:marTop w:val="0"/>
      <w:marBottom w:val="0"/>
      <w:divBdr>
        <w:top w:val="none" w:sz="0" w:space="0" w:color="auto"/>
        <w:left w:val="none" w:sz="0" w:space="0" w:color="auto"/>
        <w:bottom w:val="none" w:sz="0" w:space="0" w:color="auto"/>
        <w:right w:val="none" w:sz="0" w:space="0" w:color="auto"/>
      </w:divBdr>
    </w:div>
    <w:div w:id="360858828">
      <w:bodyDiv w:val="1"/>
      <w:marLeft w:val="0"/>
      <w:marRight w:val="0"/>
      <w:marTop w:val="0"/>
      <w:marBottom w:val="0"/>
      <w:divBdr>
        <w:top w:val="none" w:sz="0" w:space="0" w:color="auto"/>
        <w:left w:val="none" w:sz="0" w:space="0" w:color="auto"/>
        <w:bottom w:val="none" w:sz="0" w:space="0" w:color="auto"/>
        <w:right w:val="none" w:sz="0" w:space="0" w:color="auto"/>
      </w:divBdr>
    </w:div>
    <w:div w:id="476805703">
      <w:bodyDiv w:val="1"/>
      <w:marLeft w:val="0"/>
      <w:marRight w:val="0"/>
      <w:marTop w:val="0"/>
      <w:marBottom w:val="0"/>
      <w:divBdr>
        <w:top w:val="none" w:sz="0" w:space="0" w:color="auto"/>
        <w:left w:val="none" w:sz="0" w:space="0" w:color="auto"/>
        <w:bottom w:val="none" w:sz="0" w:space="0" w:color="auto"/>
        <w:right w:val="none" w:sz="0" w:space="0" w:color="auto"/>
      </w:divBdr>
    </w:div>
    <w:div w:id="561259735">
      <w:bodyDiv w:val="1"/>
      <w:marLeft w:val="0"/>
      <w:marRight w:val="0"/>
      <w:marTop w:val="0"/>
      <w:marBottom w:val="0"/>
      <w:divBdr>
        <w:top w:val="none" w:sz="0" w:space="0" w:color="auto"/>
        <w:left w:val="none" w:sz="0" w:space="0" w:color="auto"/>
        <w:bottom w:val="none" w:sz="0" w:space="0" w:color="auto"/>
        <w:right w:val="none" w:sz="0" w:space="0" w:color="auto"/>
      </w:divBdr>
    </w:div>
    <w:div w:id="686447449">
      <w:bodyDiv w:val="1"/>
      <w:marLeft w:val="0"/>
      <w:marRight w:val="0"/>
      <w:marTop w:val="0"/>
      <w:marBottom w:val="0"/>
      <w:divBdr>
        <w:top w:val="none" w:sz="0" w:space="0" w:color="auto"/>
        <w:left w:val="none" w:sz="0" w:space="0" w:color="auto"/>
        <w:bottom w:val="none" w:sz="0" w:space="0" w:color="auto"/>
        <w:right w:val="none" w:sz="0" w:space="0" w:color="auto"/>
      </w:divBdr>
    </w:div>
    <w:div w:id="696079846">
      <w:bodyDiv w:val="1"/>
      <w:marLeft w:val="0"/>
      <w:marRight w:val="0"/>
      <w:marTop w:val="0"/>
      <w:marBottom w:val="0"/>
      <w:divBdr>
        <w:top w:val="none" w:sz="0" w:space="0" w:color="auto"/>
        <w:left w:val="none" w:sz="0" w:space="0" w:color="auto"/>
        <w:bottom w:val="none" w:sz="0" w:space="0" w:color="auto"/>
        <w:right w:val="none" w:sz="0" w:space="0" w:color="auto"/>
      </w:divBdr>
    </w:div>
    <w:div w:id="801970289">
      <w:bodyDiv w:val="1"/>
      <w:marLeft w:val="0"/>
      <w:marRight w:val="0"/>
      <w:marTop w:val="0"/>
      <w:marBottom w:val="0"/>
      <w:divBdr>
        <w:top w:val="none" w:sz="0" w:space="0" w:color="auto"/>
        <w:left w:val="none" w:sz="0" w:space="0" w:color="auto"/>
        <w:bottom w:val="none" w:sz="0" w:space="0" w:color="auto"/>
        <w:right w:val="none" w:sz="0" w:space="0" w:color="auto"/>
      </w:divBdr>
      <w:divsChild>
        <w:div w:id="1899395782">
          <w:marLeft w:val="0"/>
          <w:marRight w:val="0"/>
          <w:marTop w:val="0"/>
          <w:marBottom w:val="0"/>
          <w:divBdr>
            <w:top w:val="none" w:sz="0" w:space="0" w:color="auto"/>
            <w:left w:val="none" w:sz="0" w:space="0" w:color="auto"/>
            <w:bottom w:val="none" w:sz="0" w:space="0" w:color="auto"/>
            <w:right w:val="none" w:sz="0" w:space="0" w:color="auto"/>
          </w:divBdr>
          <w:divsChild>
            <w:div w:id="1520201168">
              <w:marLeft w:val="0"/>
              <w:marRight w:val="0"/>
              <w:marTop w:val="0"/>
              <w:marBottom w:val="0"/>
              <w:divBdr>
                <w:top w:val="none" w:sz="0" w:space="0" w:color="auto"/>
                <w:left w:val="none" w:sz="0" w:space="0" w:color="auto"/>
                <w:bottom w:val="none" w:sz="0" w:space="0" w:color="auto"/>
                <w:right w:val="none" w:sz="0" w:space="0" w:color="auto"/>
              </w:divBdr>
              <w:divsChild>
                <w:div w:id="1036925461">
                  <w:marLeft w:val="0"/>
                  <w:marRight w:val="0"/>
                  <w:marTop w:val="0"/>
                  <w:marBottom w:val="0"/>
                  <w:divBdr>
                    <w:top w:val="none" w:sz="0" w:space="0" w:color="auto"/>
                    <w:left w:val="none" w:sz="0" w:space="0" w:color="auto"/>
                    <w:bottom w:val="none" w:sz="0" w:space="0" w:color="auto"/>
                    <w:right w:val="none" w:sz="0" w:space="0" w:color="auto"/>
                  </w:divBdr>
                  <w:divsChild>
                    <w:div w:id="797795220">
                      <w:marLeft w:val="0"/>
                      <w:marRight w:val="0"/>
                      <w:marTop w:val="0"/>
                      <w:marBottom w:val="0"/>
                      <w:divBdr>
                        <w:top w:val="none" w:sz="0" w:space="0" w:color="auto"/>
                        <w:left w:val="none" w:sz="0" w:space="0" w:color="auto"/>
                        <w:bottom w:val="none" w:sz="0" w:space="0" w:color="auto"/>
                        <w:right w:val="none" w:sz="0" w:space="0" w:color="auto"/>
                      </w:divBdr>
                      <w:divsChild>
                        <w:div w:id="171226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362353">
      <w:bodyDiv w:val="1"/>
      <w:marLeft w:val="0"/>
      <w:marRight w:val="0"/>
      <w:marTop w:val="0"/>
      <w:marBottom w:val="0"/>
      <w:divBdr>
        <w:top w:val="none" w:sz="0" w:space="0" w:color="auto"/>
        <w:left w:val="none" w:sz="0" w:space="0" w:color="auto"/>
        <w:bottom w:val="none" w:sz="0" w:space="0" w:color="auto"/>
        <w:right w:val="none" w:sz="0" w:space="0" w:color="auto"/>
      </w:divBdr>
    </w:div>
    <w:div w:id="953564077">
      <w:bodyDiv w:val="1"/>
      <w:marLeft w:val="0"/>
      <w:marRight w:val="0"/>
      <w:marTop w:val="0"/>
      <w:marBottom w:val="0"/>
      <w:divBdr>
        <w:top w:val="none" w:sz="0" w:space="0" w:color="auto"/>
        <w:left w:val="none" w:sz="0" w:space="0" w:color="auto"/>
        <w:bottom w:val="none" w:sz="0" w:space="0" w:color="auto"/>
        <w:right w:val="none" w:sz="0" w:space="0" w:color="auto"/>
      </w:divBdr>
    </w:div>
    <w:div w:id="1095588989">
      <w:bodyDiv w:val="1"/>
      <w:marLeft w:val="0"/>
      <w:marRight w:val="0"/>
      <w:marTop w:val="0"/>
      <w:marBottom w:val="0"/>
      <w:divBdr>
        <w:top w:val="none" w:sz="0" w:space="0" w:color="auto"/>
        <w:left w:val="none" w:sz="0" w:space="0" w:color="auto"/>
        <w:bottom w:val="none" w:sz="0" w:space="0" w:color="auto"/>
        <w:right w:val="none" w:sz="0" w:space="0" w:color="auto"/>
      </w:divBdr>
      <w:divsChild>
        <w:div w:id="220095113">
          <w:marLeft w:val="0"/>
          <w:marRight w:val="0"/>
          <w:marTop w:val="0"/>
          <w:marBottom w:val="0"/>
          <w:divBdr>
            <w:top w:val="none" w:sz="0" w:space="0" w:color="auto"/>
            <w:left w:val="none" w:sz="0" w:space="0" w:color="auto"/>
            <w:bottom w:val="none" w:sz="0" w:space="0" w:color="auto"/>
            <w:right w:val="none" w:sz="0" w:space="0" w:color="auto"/>
          </w:divBdr>
          <w:divsChild>
            <w:div w:id="1634435001">
              <w:marLeft w:val="0"/>
              <w:marRight w:val="0"/>
              <w:marTop w:val="0"/>
              <w:marBottom w:val="0"/>
              <w:divBdr>
                <w:top w:val="none" w:sz="0" w:space="0" w:color="auto"/>
                <w:left w:val="none" w:sz="0" w:space="0" w:color="auto"/>
                <w:bottom w:val="none" w:sz="0" w:space="0" w:color="auto"/>
                <w:right w:val="none" w:sz="0" w:space="0" w:color="auto"/>
              </w:divBdr>
              <w:divsChild>
                <w:div w:id="633023050">
                  <w:marLeft w:val="0"/>
                  <w:marRight w:val="0"/>
                  <w:marTop w:val="0"/>
                  <w:marBottom w:val="0"/>
                  <w:divBdr>
                    <w:top w:val="none" w:sz="0" w:space="0" w:color="auto"/>
                    <w:left w:val="none" w:sz="0" w:space="0" w:color="auto"/>
                    <w:bottom w:val="none" w:sz="0" w:space="0" w:color="auto"/>
                    <w:right w:val="none" w:sz="0" w:space="0" w:color="auto"/>
                  </w:divBdr>
                  <w:divsChild>
                    <w:div w:id="997419897">
                      <w:marLeft w:val="0"/>
                      <w:marRight w:val="0"/>
                      <w:marTop w:val="0"/>
                      <w:marBottom w:val="0"/>
                      <w:divBdr>
                        <w:top w:val="none" w:sz="0" w:space="0" w:color="auto"/>
                        <w:left w:val="none" w:sz="0" w:space="0" w:color="auto"/>
                        <w:bottom w:val="none" w:sz="0" w:space="0" w:color="auto"/>
                        <w:right w:val="none" w:sz="0" w:space="0" w:color="auto"/>
                      </w:divBdr>
                      <w:divsChild>
                        <w:div w:id="191759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9467573">
      <w:bodyDiv w:val="1"/>
      <w:marLeft w:val="0"/>
      <w:marRight w:val="0"/>
      <w:marTop w:val="0"/>
      <w:marBottom w:val="0"/>
      <w:divBdr>
        <w:top w:val="none" w:sz="0" w:space="0" w:color="auto"/>
        <w:left w:val="none" w:sz="0" w:space="0" w:color="auto"/>
        <w:bottom w:val="none" w:sz="0" w:space="0" w:color="auto"/>
        <w:right w:val="none" w:sz="0" w:space="0" w:color="auto"/>
      </w:divBdr>
    </w:div>
    <w:div w:id="1348676370">
      <w:bodyDiv w:val="1"/>
      <w:marLeft w:val="0"/>
      <w:marRight w:val="0"/>
      <w:marTop w:val="0"/>
      <w:marBottom w:val="0"/>
      <w:divBdr>
        <w:top w:val="none" w:sz="0" w:space="0" w:color="auto"/>
        <w:left w:val="none" w:sz="0" w:space="0" w:color="auto"/>
        <w:bottom w:val="none" w:sz="0" w:space="0" w:color="auto"/>
        <w:right w:val="none" w:sz="0" w:space="0" w:color="auto"/>
      </w:divBdr>
    </w:div>
    <w:div w:id="1518889610">
      <w:bodyDiv w:val="1"/>
      <w:marLeft w:val="0"/>
      <w:marRight w:val="0"/>
      <w:marTop w:val="0"/>
      <w:marBottom w:val="0"/>
      <w:divBdr>
        <w:top w:val="none" w:sz="0" w:space="0" w:color="auto"/>
        <w:left w:val="none" w:sz="0" w:space="0" w:color="auto"/>
        <w:bottom w:val="none" w:sz="0" w:space="0" w:color="auto"/>
        <w:right w:val="none" w:sz="0" w:space="0" w:color="auto"/>
      </w:divBdr>
    </w:div>
    <w:div w:id="1692339390">
      <w:bodyDiv w:val="1"/>
      <w:marLeft w:val="0"/>
      <w:marRight w:val="0"/>
      <w:marTop w:val="0"/>
      <w:marBottom w:val="0"/>
      <w:divBdr>
        <w:top w:val="none" w:sz="0" w:space="0" w:color="auto"/>
        <w:left w:val="none" w:sz="0" w:space="0" w:color="auto"/>
        <w:bottom w:val="none" w:sz="0" w:space="0" w:color="auto"/>
        <w:right w:val="none" w:sz="0" w:space="0" w:color="auto"/>
      </w:divBdr>
    </w:div>
    <w:div w:id="1895004428">
      <w:bodyDiv w:val="1"/>
      <w:marLeft w:val="0"/>
      <w:marRight w:val="0"/>
      <w:marTop w:val="0"/>
      <w:marBottom w:val="0"/>
      <w:divBdr>
        <w:top w:val="none" w:sz="0" w:space="0" w:color="auto"/>
        <w:left w:val="none" w:sz="0" w:space="0" w:color="auto"/>
        <w:bottom w:val="none" w:sz="0" w:space="0" w:color="auto"/>
        <w:right w:val="none" w:sz="0" w:space="0" w:color="auto"/>
      </w:divBdr>
    </w:div>
    <w:div w:id="2003506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egalinstruments.oecd.org/en/instruments/OECD-LEGAL-0487" TargetMode="External"/><Relationship Id="rId2" Type="http://schemas.openxmlformats.org/officeDocument/2006/relationships/hyperlink" Target="https://ec.europa.eu/commission/presscorner/detail/ro/ip_25_732" TargetMode="External"/><Relationship Id="rId1" Type="http://schemas.openxmlformats.org/officeDocument/2006/relationships/hyperlink" Target="https://commission.europa.eu/news-and-media/news/joint-press-statement-commissioner-michael-mcgrath-and-chairperson-haksoo-ko-entry-force-korean-2025-09-16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84AEE-E416-4DC1-96E0-235FAE3AA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2509</Words>
  <Characters>14307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2026-07-13T08:58:00Z</dcterms:created>
  <dcterms:modified xsi:type="dcterms:W3CDTF">2026-07-15T07:09:00Z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2026-04-21T08:48:01Z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0aa13577-884f-421c-94fe-f10962d91b78</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