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84C15" w14:textId="31A6A99E" w:rsidR="00433743" w:rsidRDefault="001C686D" w:rsidP="001C686D">
      <w:pPr>
        <w:pStyle w:val="Pagedecouverture"/>
        <w:rPr>
          <w:noProof/>
        </w:rPr>
      </w:pPr>
      <w:bookmarkStart w:id="0" w:name="_Hlk228961495"/>
      <w:bookmarkStart w:id="1" w:name="LW_BM_COVERPAGE"/>
      <w:r>
        <w:rPr>
          <w:noProof/>
        </w:rPr>
        <w:pict w14:anchorId="5A17E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A0CFA2-0138-4178-AA33-C02E931B1B5A" style="width:455.25pt;height:300pt">
            <v:imagedata r:id="rId11" o:title=""/>
          </v:shape>
        </w:pict>
      </w:r>
    </w:p>
    <w:bookmarkEnd w:id="1"/>
    <w:p w14:paraId="4ED156AD" w14:textId="77777777" w:rsidR="00433743" w:rsidRDefault="00433743" w:rsidP="00433743">
      <w:pPr>
        <w:rPr>
          <w:noProof/>
        </w:rPr>
        <w:sectPr w:rsidR="00433743" w:rsidSect="001C686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B530278" w14:textId="74A10A4B" w:rsidR="00BF60DB" w:rsidRPr="003509BD" w:rsidRDefault="00BF60DB" w:rsidP="40DD86B2">
      <w:pPr>
        <w:pStyle w:val="Heading1"/>
        <w:spacing w:after="240"/>
        <w:rPr>
          <w:rFonts w:cs="Times New Roman"/>
          <w:noProof/>
          <w:color w:val="auto"/>
        </w:rPr>
      </w:pPr>
      <w:bookmarkStart w:id="2" w:name="_GoBack"/>
      <w:bookmarkEnd w:id="2"/>
      <w:r w:rsidRPr="40DD86B2">
        <w:rPr>
          <w:rFonts w:ascii="Times New Roman" w:hAnsi="Times New Roman" w:cs="Times New Roman"/>
          <w:b/>
          <w:bCs/>
          <w:noProof/>
          <w:color w:val="auto"/>
          <w:sz w:val="28"/>
          <w:szCs w:val="28"/>
        </w:rPr>
        <w:lastRenderedPageBreak/>
        <w:t>1. INTRODUCTION</w:t>
      </w:r>
    </w:p>
    <w:p w14:paraId="2A927E20" w14:textId="2C4F3399" w:rsidR="00BF60DB" w:rsidRPr="0010331E" w:rsidRDefault="00BF60DB" w:rsidP="00BF60DB">
      <w:pPr>
        <w:pStyle w:val="paragraph"/>
        <w:spacing w:before="0" w:beforeAutospacing="0" w:after="240" w:afterAutospacing="0"/>
        <w:jc w:val="both"/>
        <w:textAlignment w:val="baseline"/>
        <w:rPr>
          <w:rStyle w:val="eop"/>
          <w:rFonts w:asciiTheme="minorHAnsi" w:eastAsiaTheme="minorHAnsi" w:hAnsiTheme="minorHAnsi"/>
          <w:noProof/>
          <w:kern w:val="2"/>
          <w:sz w:val="22"/>
        </w:rPr>
      </w:pPr>
      <w:r w:rsidRPr="004770B6">
        <w:rPr>
          <w:rStyle w:val="eop"/>
          <w:noProof/>
          <w:lang w:val="en-US"/>
        </w:rPr>
        <w:t>Decision (EU) 2017/899</w:t>
      </w:r>
      <w:r w:rsidRPr="004770B6">
        <w:rPr>
          <w:rStyle w:val="FootnoteReference"/>
          <w:noProof/>
          <w:lang w:val="en-US"/>
        </w:rPr>
        <w:footnoteReference w:id="1"/>
      </w:r>
      <w:r w:rsidRPr="004770B6">
        <w:rPr>
          <w:rStyle w:val="eop"/>
          <w:noProof/>
          <w:lang w:val="en-US"/>
        </w:rPr>
        <w:t xml:space="preserve"> </w:t>
      </w:r>
      <w:r w:rsidR="00F424E1">
        <w:rPr>
          <w:rStyle w:val="eop"/>
          <w:noProof/>
        </w:rPr>
        <w:t>of</w:t>
      </w:r>
      <w:r w:rsidRPr="31DD939E">
        <w:rPr>
          <w:rStyle w:val="eop"/>
          <w:noProof/>
        </w:rPr>
        <w:t xml:space="preserve"> </w:t>
      </w:r>
      <w:r>
        <w:rPr>
          <w:rStyle w:val="eop"/>
          <w:noProof/>
        </w:rPr>
        <w:t>(</w:t>
      </w:r>
      <w:r w:rsidR="00125D17">
        <w:rPr>
          <w:rStyle w:val="eop"/>
          <w:noProof/>
        </w:rPr>
        <w:t xml:space="preserve">the </w:t>
      </w:r>
      <w:r w:rsidRPr="004770B6">
        <w:rPr>
          <w:rStyle w:val="eop"/>
          <w:noProof/>
          <w:lang w:val="en-US"/>
        </w:rPr>
        <w:t>UHF Decision</w:t>
      </w:r>
      <w:r w:rsidRPr="00145E9B">
        <w:rPr>
          <w:rStyle w:val="eop"/>
          <w:noProof/>
        </w:rPr>
        <w:t>)</w:t>
      </w:r>
      <w:r w:rsidRPr="004770B6">
        <w:rPr>
          <w:rStyle w:val="eop"/>
          <w:noProof/>
          <w:lang w:val="en-US"/>
        </w:rPr>
        <w:t xml:space="preserve"> establishes the regulatory framework for the use of the </w:t>
      </w:r>
      <w:r w:rsidRPr="31DD939E">
        <w:rPr>
          <w:noProof/>
        </w:rPr>
        <w:t>470</w:t>
      </w:r>
      <w:r w:rsidR="00516125">
        <w:rPr>
          <w:noProof/>
        </w:rPr>
        <w:t>-</w:t>
      </w:r>
      <w:r w:rsidRPr="31DD939E">
        <w:rPr>
          <w:noProof/>
        </w:rPr>
        <w:t>694</w:t>
      </w:r>
      <w:r w:rsidR="003B563B">
        <w:rPr>
          <w:noProof/>
        </w:rPr>
        <w:t> </w:t>
      </w:r>
      <w:r w:rsidRPr="31DD939E">
        <w:rPr>
          <w:noProof/>
        </w:rPr>
        <w:t>MHz</w:t>
      </w:r>
      <w:r>
        <w:rPr>
          <w:noProof/>
        </w:rPr>
        <w:t xml:space="preserve"> (</w:t>
      </w:r>
      <w:r w:rsidRPr="0010331E">
        <w:rPr>
          <w:rStyle w:val="eop"/>
          <w:noProof/>
        </w:rPr>
        <w:t>sub-700</w:t>
      </w:r>
      <w:r w:rsidR="00E130FA" w:rsidRPr="0010331E">
        <w:rPr>
          <w:rStyle w:val="eop"/>
          <w:noProof/>
        </w:rPr>
        <w:t> </w:t>
      </w:r>
      <w:r w:rsidR="003B563B">
        <w:rPr>
          <w:rStyle w:val="eop"/>
          <w:noProof/>
        </w:rPr>
        <w:t>MHz</w:t>
      </w:r>
      <w:r w:rsidRPr="00145E9B">
        <w:rPr>
          <w:rStyle w:val="eop"/>
          <w:noProof/>
        </w:rPr>
        <w:t>)</w:t>
      </w:r>
      <w:r w:rsidRPr="004770B6">
        <w:rPr>
          <w:rStyle w:val="eop"/>
          <w:noProof/>
          <w:lang w:val="en-US"/>
        </w:rPr>
        <w:t xml:space="preserve"> band across the EU. </w:t>
      </w:r>
      <w:r>
        <w:rPr>
          <w:noProof/>
        </w:rPr>
        <w:t>The</w:t>
      </w:r>
      <w:r w:rsidRPr="00516125">
        <w:rPr>
          <w:noProof/>
        </w:rPr>
        <w:t xml:space="preserve"> UH</w:t>
      </w:r>
      <w:r>
        <w:rPr>
          <w:noProof/>
        </w:rPr>
        <w:t xml:space="preserve"> Ultra High Frequency (UHF) band is a valuable part of the radio spectrum thanks to its favourable propagation characteristics, offering both wide-area coverage and strong indoor signal penetration.</w:t>
      </w:r>
      <w:r w:rsidRPr="004770B6">
        <w:rPr>
          <w:rStyle w:val="eop"/>
          <w:noProof/>
          <w:lang w:val="en-US"/>
        </w:rPr>
        <w:t xml:space="preserve"> </w:t>
      </w:r>
      <w:bookmarkStart w:id="3" w:name="_Hlk222145081"/>
      <w:r w:rsidRPr="004770B6">
        <w:rPr>
          <w:rStyle w:val="eop"/>
          <w:noProof/>
          <w:lang w:val="en-US"/>
        </w:rPr>
        <w:t>As technological and market conditions evolve</w:t>
      </w:r>
      <w:r w:rsidRPr="0010331E">
        <w:rPr>
          <w:rStyle w:val="eop"/>
          <w:noProof/>
        </w:rPr>
        <w:t>,</w:t>
      </w:r>
      <w:r w:rsidRPr="004770B6">
        <w:rPr>
          <w:rStyle w:val="eop"/>
          <w:noProof/>
          <w:lang w:val="en-US"/>
        </w:rPr>
        <w:t xml:space="preserve"> </w:t>
      </w:r>
      <w:r w:rsidR="00A81A1D">
        <w:rPr>
          <w:rStyle w:val="eop"/>
          <w:noProof/>
        </w:rPr>
        <w:t xml:space="preserve">so does </w:t>
      </w:r>
      <w:r w:rsidRPr="004770B6">
        <w:rPr>
          <w:rStyle w:val="eop"/>
          <w:noProof/>
          <w:lang w:val="en-US"/>
        </w:rPr>
        <w:t xml:space="preserve">the demand for </w:t>
      </w:r>
      <w:r w:rsidRPr="0010331E">
        <w:rPr>
          <w:rStyle w:val="eop"/>
          <w:noProof/>
        </w:rPr>
        <w:t xml:space="preserve">this </w:t>
      </w:r>
      <w:r w:rsidRPr="004770B6">
        <w:rPr>
          <w:rStyle w:val="eop"/>
          <w:noProof/>
          <w:lang w:val="en-US"/>
        </w:rPr>
        <w:t>spectrum</w:t>
      </w:r>
      <w:r w:rsidRPr="00145E9B">
        <w:rPr>
          <w:rStyle w:val="eop"/>
          <w:noProof/>
        </w:rPr>
        <w:t>. T</w:t>
      </w:r>
      <w:r>
        <w:rPr>
          <w:noProof/>
        </w:rPr>
        <w:t xml:space="preserve">o ensure </w:t>
      </w:r>
      <w:r w:rsidRPr="00652941">
        <w:rPr>
          <w:noProof/>
        </w:rPr>
        <w:t xml:space="preserve">the </w:t>
      </w:r>
      <w:r w:rsidRPr="004770B6">
        <w:rPr>
          <w:noProof/>
          <w:lang w:val="en-US"/>
        </w:rPr>
        <w:t>efficient use of th</w:t>
      </w:r>
      <w:r w:rsidRPr="0010331E">
        <w:rPr>
          <w:noProof/>
        </w:rPr>
        <w:t>e sub-700</w:t>
      </w:r>
      <w:r w:rsidR="003B563B">
        <w:rPr>
          <w:noProof/>
        </w:rPr>
        <w:t> </w:t>
      </w:r>
      <w:r w:rsidRPr="00145E9B">
        <w:rPr>
          <w:noProof/>
        </w:rPr>
        <w:t>MHz band</w:t>
      </w:r>
      <w:r w:rsidR="00A81A1D">
        <w:rPr>
          <w:noProof/>
        </w:rPr>
        <w:t xml:space="preserve"> and </w:t>
      </w:r>
      <w:r w:rsidR="00A81A1D" w:rsidRPr="00516125">
        <w:rPr>
          <w:noProof/>
        </w:rPr>
        <w:t xml:space="preserve">in view of EU </w:t>
      </w:r>
      <w:r w:rsidR="00A81A1D" w:rsidRPr="00516125">
        <w:rPr>
          <w:rStyle w:val="eop"/>
          <w:noProof/>
        </w:rPr>
        <w:t xml:space="preserve">spectrum policy </w:t>
      </w:r>
      <w:r w:rsidR="00A81A1D" w:rsidRPr="00516125" w:rsidDel="00292715">
        <w:rPr>
          <w:rStyle w:val="eop"/>
          <w:noProof/>
        </w:rPr>
        <w:t>need</w:t>
      </w:r>
      <w:r w:rsidR="00A81A1D" w:rsidRPr="00516125">
        <w:rPr>
          <w:rStyle w:val="eop"/>
          <w:noProof/>
        </w:rPr>
        <w:t>s</w:t>
      </w:r>
      <w:r w:rsidRPr="004770B6">
        <w:rPr>
          <w:noProof/>
          <w:lang w:val="en-US"/>
        </w:rPr>
        <w:t>, the Commission</w:t>
      </w:r>
      <w:r w:rsidRPr="00145E9B">
        <w:rPr>
          <w:rStyle w:val="eop"/>
          <w:noProof/>
          <w:lang w:val="en-US"/>
        </w:rPr>
        <w:t xml:space="preserve"> is required </w:t>
      </w:r>
      <w:r w:rsidRPr="00145E9B" w:rsidDel="00292715">
        <w:rPr>
          <w:rStyle w:val="eop"/>
          <w:noProof/>
          <w:lang w:val="en-US"/>
        </w:rPr>
        <w:t>to re</w:t>
      </w:r>
      <w:r w:rsidRPr="0010331E">
        <w:rPr>
          <w:rStyle w:val="eop"/>
          <w:noProof/>
        </w:rPr>
        <w:t>assess</w:t>
      </w:r>
      <w:r w:rsidRPr="004770B6" w:rsidDel="00292715">
        <w:rPr>
          <w:rStyle w:val="eop"/>
          <w:noProof/>
          <w:lang w:val="en-US"/>
        </w:rPr>
        <w:t xml:space="preserve"> </w:t>
      </w:r>
      <w:r w:rsidRPr="0010331E">
        <w:rPr>
          <w:rStyle w:val="eop"/>
          <w:noProof/>
        </w:rPr>
        <w:t>in due time the appropriateness of existing spectrum allocations</w:t>
      </w:r>
      <w:r w:rsidRPr="004770B6" w:rsidDel="00A1769A">
        <w:rPr>
          <w:rStyle w:val="eop"/>
          <w:noProof/>
          <w:lang w:val="en-US"/>
        </w:rPr>
        <w:t>.</w:t>
      </w:r>
    </w:p>
    <w:bookmarkEnd w:id="3"/>
    <w:p w14:paraId="50FD64DF" w14:textId="10935B35" w:rsidR="00BF60DB" w:rsidRPr="004770B6" w:rsidRDefault="00BF60DB" w:rsidP="00BF60DB">
      <w:pPr>
        <w:spacing w:after="240" w:line="240" w:lineRule="auto"/>
        <w:jc w:val="both"/>
        <w:textAlignment w:val="baseline"/>
        <w:rPr>
          <w:noProof/>
          <w:lang w:val="en-US"/>
        </w:rPr>
      </w:pPr>
      <w:r w:rsidRPr="004770B6">
        <w:rPr>
          <w:rFonts w:ascii="Times New Roman" w:hAnsi="Times New Roman"/>
          <w:noProof/>
          <w:lang w:val="en-US"/>
        </w:rPr>
        <w:t xml:space="preserve">The UHF Decision provides long-term investment predictability and stimulates innovation by safeguarding </w:t>
      </w:r>
      <w:r w:rsidR="00A81A1D">
        <w:rPr>
          <w:rFonts w:ascii="Times New Roman" w:eastAsia="Times New Roman" w:hAnsi="Times New Roman" w:cs="Times New Roman"/>
          <w:noProof/>
        </w:rPr>
        <w:t>(</w:t>
      </w:r>
      <w:r w:rsidRPr="004770B6">
        <w:rPr>
          <w:rFonts w:ascii="Times New Roman" w:hAnsi="Times New Roman"/>
          <w:noProof/>
          <w:lang w:val="en-US"/>
        </w:rPr>
        <w:t>under Article</w:t>
      </w:r>
      <w:r w:rsidR="00516125">
        <w:rPr>
          <w:rFonts w:ascii="Times New Roman" w:eastAsia="Times New Roman" w:hAnsi="Times New Roman" w:cs="Times New Roman"/>
          <w:noProof/>
        </w:rPr>
        <w:t> </w:t>
      </w:r>
      <w:r w:rsidRPr="004770B6">
        <w:rPr>
          <w:rFonts w:ascii="Times New Roman" w:hAnsi="Times New Roman"/>
          <w:noProof/>
          <w:lang w:val="en-US"/>
        </w:rPr>
        <w:t>4</w:t>
      </w:r>
      <w:r w:rsidR="00A81A1D">
        <w:rPr>
          <w:rFonts w:ascii="Times New Roman" w:eastAsia="Times New Roman" w:hAnsi="Times New Roman" w:cs="Times New Roman"/>
          <w:noProof/>
        </w:rPr>
        <w:t>)</w:t>
      </w:r>
      <w:r w:rsidRPr="00145E9B">
        <w:rPr>
          <w:rFonts w:ascii="Times New Roman" w:hAnsi="Times New Roman"/>
          <w:noProof/>
          <w:lang w:val="en-US"/>
        </w:rPr>
        <w:t xml:space="preserve"> the availability of the sub-700</w:t>
      </w:r>
      <w:r w:rsidR="003B563B">
        <w:rPr>
          <w:rFonts w:ascii="Times New Roman" w:eastAsia="Times New Roman" w:hAnsi="Times New Roman" w:cs="Times New Roman"/>
          <w:noProof/>
        </w:rPr>
        <w:t> </w:t>
      </w:r>
      <w:r w:rsidRPr="00145E9B">
        <w:rPr>
          <w:rFonts w:ascii="Times New Roman" w:hAnsi="Times New Roman"/>
          <w:noProof/>
          <w:lang w:val="en-US"/>
        </w:rPr>
        <w:t xml:space="preserve">MHz band for </w:t>
      </w:r>
      <w:r w:rsidRPr="29C3FA4B">
        <w:rPr>
          <w:rFonts w:ascii="Times New Roman" w:eastAsia="Times New Roman" w:hAnsi="Times New Roman" w:cs="Times New Roman"/>
          <w:noProof/>
          <w:lang w:val="en-US"/>
        </w:rPr>
        <w:t xml:space="preserve">Digital Terrestrial </w:t>
      </w:r>
      <w:r w:rsidRPr="00145E9B">
        <w:rPr>
          <w:rFonts w:ascii="Times New Roman" w:hAnsi="Times New Roman"/>
          <w:noProof/>
        </w:rPr>
        <w:t xml:space="preserve">Television (DTT) and </w:t>
      </w:r>
      <w:r w:rsidRPr="00516125">
        <w:rPr>
          <w:rFonts w:ascii="Times New Roman" w:eastAsia="Times New Roman" w:hAnsi="Times New Roman" w:cs="Times New Roman"/>
          <w:noProof/>
        </w:rPr>
        <w:t>P</w:t>
      </w:r>
      <w:r w:rsidRPr="29C3FA4B">
        <w:rPr>
          <w:rFonts w:ascii="Times New Roman" w:eastAsia="Times New Roman" w:hAnsi="Times New Roman" w:cs="Times New Roman"/>
          <w:noProof/>
          <w:lang w:val="en-US"/>
        </w:rPr>
        <w:t xml:space="preserve">rogramme </w:t>
      </w:r>
      <w:r w:rsidRPr="00145E9B">
        <w:rPr>
          <w:rFonts w:ascii="Times New Roman" w:hAnsi="Times New Roman"/>
          <w:noProof/>
        </w:rPr>
        <w:t xml:space="preserve">Making and </w:t>
      </w:r>
      <w:r w:rsidRPr="00516125">
        <w:rPr>
          <w:rFonts w:ascii="Times New Roman" w:eastAsia="Times New Roman" w:hAnsi="Times New Roman" w:cs="Times New Roman"/>
          <w:noProof/>
        </w:rPr>
        <w:t>S</w:t>
      </w:r>
      <w:r w:rsidRPr="29C3FA4B">
        <w:rPr>
          <w:rFonts w:ascii="Times New Roman" w:eastAsia="Times New Roman" w:hAnsi="Times New Roman" w:cs="Times New Roman"/>
          <w:noProof/>
          <w:lang w:val="en-US"/>
        </w:rPr>
        <w:t xml:space="preserve">pecial </w:t>
      </w:r>
      <w:r w:rsidRPr="00145E9B">
        <w:rPr>
          <w:rFonts w:ascii="Times New Roman" w:hAnsi="Times New Roman"/>
          <w:noProof/>
        </w:rPr>
        <w:t xml:space="preserve">Events (PMSE) services until at least 2030 in all Member States. This protection is </w:t>
      </w:r>
      <w:r w:rsidR="00A81A1D">
        <w:rPr>
          <w:rFonts w:ascii="Times New Roman" w:eastAsia="Times New Roman" w:hAnsi="Times New Roman" w:cs="Times New Roman"/>
          <w:noProof/>
        </w:rPr>
        <w:t>provided</w:t>
      </w:r>
      <w:r w:rsidR="00A81A1D" w:rsidRPr="00516125">
        <w:rPr>
          <w:rFonts w:ascii="Times New Roman" w:eastAsia="Times New Roman" w:hAnsi="Times New Roman" w:cs="Times New Roman"/>
          <w:noProof/>
        </w:rPr>
        <w:t xml:space="preserve"> </w:t>
      </w:r>
      <w:r w:rsidRPr="004770B6">
        <w:rPr>
          <w:rFonts w:ascii="Times New Roman" w:hAnsi="Times New Roman"/>
          <w:noProof/>
          <w:lang w:val="en-US"/>
        </w:rPr>
        <w:t xml:space="preserve">while respecting the principle of technological neutrality. Furthermore, the UHF Decision allows alternative uses of the band within a Member State, provided </w:t>
      </w:r>
      <w:r w:rsidR="00125D17">
        <w:rPr>
          <w:rFonts w:ascii="Times New Roman" w:eastAsia="Times New Roman" w:hAnsi="Times New Roman" w:cs="Times New Roman"/>
          <w:noProof/>
        </w:rPr>
        <w:t>those</w:t>
      </w:r>
      <w:r w:rsidRPr="004770B6">
        <w:rPr>
          <w:rFonts w:ascii="Times New Roman" w:hAnsi="Times New Roman"/>
          <w:noProof/>
          <w:lang w:val="en-US"/>
        </w:rPr>
        <w:t xml:space="preserve"> uses are compatible with national broadcasting requirements and ensure the continued provision of broadcasting services in </w:t>
      </w:r>
      <w:r w:rsidRPr="004770B6">
        <w:rPr>
          <w:rFonts w:ascii="Times New Roman" w:hAnsi="Times New Roman"/>
          <w:noProof/>
          <w:lang w:val="en-GB"/>
        </w:rPr>
        <w:t>neighbouring</w:t>
      </w:r>
      <w:r w:rsidRPr="004770B6">
        <w:rPr>
          <w:rFonts w:ascii="Times New Roman" w:hAnsi="Times New Roman"/>
          <w:noProof/>
          <w:lang w:val="en-US"/>
        </w:rPr>
        <w:t xml:space="preserve"> </w:t>
      </w:r>
      <w:r w:rsidR="005154C0">
        <w:rPr>
          <w:rFonts w:ascii="Times New Roman" w:hAnsi="Times New Roman"/>
          <w:noProof/>
          <w:lang w:val="en-US"/>
        </w:rPr>
        <w:t>Member States</w:t>
      </w:r>
      <w:r w:rsidRPr="004770B6">
        <w:rPr>
          <w:rFonts w:ascii="Times New Roman" w:hAnsi="Times New Roman"/>
          <w:noProof/>
          <w:lang w:val="en-US"/>
        </w:rPr>
        <w:t>.</w:t>
      </w:r>
    </w:p>
    <w:p w14:paraId="24139149" w14:textId="0FDE082F" w:rsidR="00BF60DB" w:rsidDel="003509BD" w:rsidRDefault="00BF60DB" w:rsidP="00BF60DB">
      <w:pPr>
        <w:pStyle w:val="paragraph"/>
        <w:spacing w:before="0" w:beforeAutospacing="0" w:after="0" w:afterAutospacing="0"/>
        <w:jc w:val="both"/>
        <w:rPr>
          <w:noProof/>
        </w:rPr>
      </w:pPr>
      <w:r w:rsidRPr="2094BAD0">
        <w:rPr>
          <w:noProof/>
        </w:rPr>
        <w:t>Under Article</w:t>
      </w:r>
      <w:r w:rsidR="00516125">
        <w:rPr>
          <w:noProof/>
        </w:rPr>
        <w:t> </w:t>
      </w:r>
      <w:r w:rsidRPr="2094BAD0">
        <w:rPr>
          <w:noProof/>
        </w:rPr>
        <w:t xml:space="preserve">7 of the UHF Decision, the Commission is required </w:t>
      </w:r>
      <w:r w:rsidR="000E3DC4">
        <w:rPr>
          <w:noProof/>
        </w:rPr>
        <w:t>-</w:t>
      </w:r>
      <w:r w:rsidR="00A81A1D" w:rsidRPr="00A81A1D">
        <w:rPr>
          <w:noProof/>
        </w:rPr>
        <w:t xml:space="preserve"> </w:t>
      </w:r>
      <w:r w:rsidRPr="2094BAD0">
        <w:rPr>
          <w:noProof/>
        </w:rPr>
        <w:t xml:space="preserve">in cooperation with the Member States </w:t>
      </w:r>
      <w:r w:rsidR="000E3DC4">
        <w:rPr>
          <w:noProof/>
        </w:rPr>
        <w:t>-</w:t>
      </w:r>
      <w:r w:rsidR="00A81A1D">
        <w:rPr>
          <w:noProof/>
        </w:rPr>
        <w:t xml:space="preserve"> </w:t>
      </w:r>
      <w:r w:rsidRPr="2094BAD0">
        <w:rPr>
          <w:noProof/>
        </w:rPr>
        <w:t xml:space="preserve">to report to the European Parliament and the Council on developments </w:t>
      </w:r>
      <w:r w:rsidR="00125D17">
        <w:rPr>
          <w:noProof/>
        </w:rPr>
        <w:t>in the</w:t>
      </w:r>
      <w:r w:rsidR="00125D17" w:rsidRPr="00516125">
        <w:rPr>
          <w:noProof/>
        </w:rPr>
        <w:t xml:space="preserve"> </w:t>
      </w:r>
      <w:r>
        <w:rPr>
          <w:noProof/>
        </w:rPr>
        <w:t>us</w:t>
      </w:r>
      <w:r w:rsidRPr="2094BAD0">
        <w:rPr>
          <w:noProof/>
        </w:rPr>
        <w:t>e of the sub-700</w:t>
      </w:r>
      <w:r w:rsidR="003B563B">
        <w:rPr>
          <w:noProof/>
        </w:rPr>
        <w:t> </w:t>
      </w:r>
      <w:r w:rsidRPr="2094BAD0">
        <w:rPr>
          <w:noProof/>
        </w:rPr>
        <w:t>MHz frequency band with a view to ensuring efficient spectrum use. The purpose of this report is therefore to examine the use of the sub-700</w:t>
      </w:r>
      <w:r w:rsidR="003B563B">
        <w:rPr>
          <w:noProof/>
        </w:rPr>
        <w:t> </w:t>
      </w:r>
      <w:r w:rsidRPr="2094BAD0">
        <w:rPr>
          <w:noProof/>
        </w:rPr>
        <w:t xml:space="preserve">MHz frequency band in the </w:t>
      </w:r>
      <w:r w:rsidR="00A81A1D">
        <w:rPr>
          <w:noProof/>
        </w:rPr>
        <w:t>EU</w:t>
      </w:r>
      <w:r w:rsidRPr="2094BAD0">
        <w:rPr>
          <w:noProof/>
        </w:rPr>
        <w:t>, taking into account</w:t>
      </w:r>
      <w:r w:rsidR="00C603D3">
        <w:rPr>
          <w:noProof/>
        </w:rPr>
        <w:t>:</w:t>
      </w:r>
      <w:r w:rsidR="00A81A1D">
        <w:rPr>
          <w:noProof/>
        </w:rPr>
        <w:t xml:space="preserve"> (i)</w:t>
      </w:r>
      <w:r w:rsidRPr="2094BAD0">
        <w:rPr>
          <w:noProof/>
        </w:rPr>
        <w:t xml:space="preserve"> social, economic, cultural and international aspects</w:t>
      </w:r>
      <w:r w:rsidR="00C603D3">
        <w:rPr>
          <w:noProof/>
        </w:rPr>
        <w:t>;</w:t>
      </w:r>
      <w:r w:rsidRPr="2094BAD0">
        <w:rPr>
          <w:noProof/>
        </w:rPr>
        <w:t xml:space="preserve"> </w:t>
      </w:r>
      <w:r w:rsidR="00A81A1D">
        <w:rPr>
          <w:noProof/>
        </w:rPr>
        <w:t xml:space="preserve">(ii) </w:t>
      </w:r>
      <w:r w:rsidRPr="2094BAD0">
        <w:rPr>
          <w:noProof/>
        </w:rPr>
        <w:t>technological developments</w:t>
      </w:r>
      <w:r w:rsidR="00C603D3">
        <w:rPr>
          <w:noProof/>
        </w:rPr>
        <w:t>;</w:t>
      </w:r>
      <w:r w:rsidRPr="00516125">
        <w:rPr>
          <w:noProof/>
        </w:rPr>
        <w:t xml:space="preserve"> </w:t>
      </w:r>
      <w:r w:rsidR="00A81A1D">
        <w:rPr>
          <w:noProof/>
        </w:rPr>
        <w:t>(iii)</w:t>
      </w:r>
      <w:r w:rsidRPr="2094BAD0">
        <w:rPr>
          <w:noProof/>
        </w:rPr>
        <w:t xml:space="preserve"> changes in consumer behaviour</w:t>
      </w:r>
      <w:r w:rsidR="00C603D3">
        <w:rPr>
          <w:noProof/>
        </w:rPr>
        <w:t>;</w:t>
      </w:r>
      <w:r w:rsidRPr="2094BAD0">
        <w:rPr>
          <w:noProof/>
        </w:rPr>
        <w:t xml:space="preserve"> and</w:t>
      </w:r>
      <w:r w:rsidR="00A81A1D">
        <w:rPr>
          <w:noProof/>
        </w:rPr>
        <w:t xml:space="preserve"> (iv) </w:t>
      </w:r>
      <w:r w:rsidRPr="2094BAD0">
        <w:rPr>
          <w:noProof/>
        </w:rPr>
        <w:t>connectivity</w:t>
      </w:r>
      <w:r w:rsidR="00A81A1D" w:rsidRPr="00A81A1D">
        <w:rPr>
          <w:noProof/>
        </w:rPr>
        <w:t xml:space="preserve"> </w:t>
      </w:r>
      <w:r w:rsidR="00A81A1D" w:rsidRPr="00516125">
        <w:rPr>
          <w:noProof/>
        </w:rPr>
        <w:t>requirements</w:t>
      </w:r>
      <w:r w:rsidRPr="2094BAD0">
        <w:rPr>
          <w:noProof/>
        </w:rPr>
        <w:t xml:space="preserve"> to foster growth and innovation in the </w:t>
      </w:r>
      <w:r w:rsidR="00A81A1D">
        <w:rPr>
          <w:noProof/>
        </w:rPr>
        <w:t>EU</w:t>
      </w:r>
      <w:r w:rsidRPr="2094BAD0">
        <w:rPr>
          <w:noProof/>
        </w:rPr>
        <w:t xml:space="preserve">. </w:t>
      </w:r>
      <w:r>
        <w:rPr>
          <w:noProof/>
        </w:rPr>
        <w:t xml:space="preserve">The </w:t>
      </w:r>
      <w:r w:rsidR="00722106">
        <w:rPr>
          <w:noProof/>
        </w:rPr>
        <w:t>r</w:t>
      </w:r>
      <w:r>
        <w:rPr>
          <w:noProof/>
        </w:rPr>
        <w:t>eport takes d</w:t>
      </w:r>
      <w:r w:rsidRPr="2094BAD0">
        <w:rPr>
          <w:noProof/>
        </w:rPr>
        <w:t xml:space="preserve">ue account of </w:t>
      </w:r>
      <w:r>
        <w:rPr>
          <w:noProof/>
        </w:rPr>
        <w:t xml:space="preserve">the </w:t>
      </w:r>
      <w:r w:rsidRPr="2094BAD0">
        <w:rPr>
          <w:noProof/>
        </w:rPr>
        <w:t xml:space="preserve">relevant deliverables </w:t>
      </w:r>
      <w:r w:rsidR="00206F7D">
        <w:rPr>
          <w:noProof/>
        </w:rPr>
        <w:t>from</w:t>
      </w:r>
      <w:r w:rsidR="00206F7D" w:rsidRPr="00516125">
        <w:rPr>
          <w:noProof/>
        </w:rPr>
        <w:t xml:space="preserve"> </w:t>
      </w:r>
      <w:r w:rsidRPr="2094BAD0">
        <w:rPr>
          <w:noProof/>
        </w:rPr>
        <w:t>the Radio Spectrum Policy Group (RSPG)</w:t>
      </w:r>
      <w:r>
        <w:rPr>
          <w:noProof/>
        </w:rPr>
        <w:t xml:space="preserve">, namely the </w:t>
      </w:r>
      <w:r w:rsidR="00206F7D">
        <w:rPr>
          <w:noProof/>
        </w:rPr>
        <w:t xml:space="preserve">2023 </w:t>
      </w:r>
      <w:r>
        <w:rPr>
          <w:noProof/>
        </w:rPr>
        <w:t>RSPG Opinion</w:t>
      </w:r>
      <w:r>
        <w:rPr>
          <w:rStyle w:val="FootnoteReference"/>
          <w:noProof/>
        </w:rPr>
        <w:footnoteReference w:id="2"/>
      </w:r>
      <w:r>
        <w:rPr>
          <w:noProof/>
        </w:rPr>
        <w:t xml:space="preserve"> and a </w:t>
      </w:r>
      <w:r w:rsidR="00206F7D">
        <w:rPr>
          <w:noProof/>
        </w:rPr>
        <w:t xml:space="preserve">2025 </w:t>
      </w:r>
      <w:r>
        <w:rPr>
          <w:noProof/>
        </w:rPr>
        <w:t>RSPG Report</w:t>
      </w:r>
      <w:r w:rsidRPr="00CC7CF9">
        <w:rPr>
          <w:rStyle w:val="FootnoteReference"/>
          <w:noProof/>
        </w:rPr>
        <w:footnoteReference w:id="3"/>
      </w:r>
      <w:r>
        <w:rPr>
          <w:noProof/>
        </w:rPr>
        <w:t xml:space="preserve">, as well as </w:t>
      </w:r>
      <w:r w:rsidR="00F424E1">
        <w:rPr>
          <w:noProof/>
        </w:rPr>
        <w:t xml:space="preserve">of </w:t>
      </w:r>
      <w:r>
        <w:rPr>
          <w:noProof/>
        </w:rPr>
        <w:t xml:space="preserve">the </w:t>
      </w:r>
      <w:r w:rsidR="00A81A1D">
        <w:rPr>
          <w:noProof/>
        </w:rPr>
        <w:t xml:space="preserve">2024 </w:t>
      </w:r>
      <w:r>
        <w:rPr>
          <w:noProof/>
        </w:rPr>
        <w:t xml:space="preserve">Commission study on the use of the sub-700 MHz band in the </w:t>
      </w:r>
      <w:r w:rsidR="00A81A1D">
        <w:rPr>
          <w:noProof/>
        </w:rPr>
        <w:t>EU</w:t>
      </w:r>
      <w:r w:rsidRPr="00FD5ED5">
        <w:rPr>
          <w:rStyle w:val="FootnoteReference"/>
          <w:noProof/>
        </w:rPr>
        <w:footnoteReference w:id="4"/>
      </w:r>
      <w:r>
        <w:rPr>
          <w:noProof/>
        </w:rPr>
        <w:t>.</w:t>
      </w:r>
    </w:p>
    <w:p w14:paraId="1DB961EE" w14:textId="56A09A83" w:rsidR="00BF60DB" w:rsidRPr="00BF60DB" w:rsidRDefault="00BF60DB" w:rsidP="00BF60DB">
      <w:pPr>
        <w:pStyle w:val="Heading1"/>
        <w:spacing w:after="240"/>
        <w:rPr>
          <w:rFonts w:ascii="Times New Roman" w:hAnsi="Times New Roman" w:cs="Times New Roman"/>
          <w:b/>
          <w:noProof/>
          <w:color w:val="auto"/>
          <w:sz w:val="28"/>
          <w:szCs w:val="32"/>
        </w:rPr>
      </w:pPr>
      <w:r w:rsidRPr="00BF60DB">
        <w:rPr>
          <w:rFonts w:ascii="Times New Roman" w:hAnsi="Times New Roman" w:cs="Times New Roman"/>
          <w:b/>
          <w:noProof/>
          <w:color w:val="auto"/>
          <w:sz w:val="28"/>
          <w:szCs w:val="32"/>
        </w:rPr>
        <w:t>2. ALLOCATIONS IN THE 470-694</w:t>
      </w:r>
      <w:r w:rsidR="003B563B">
        <w:rPr>
          <w:rFonts w:ascii="Times New Roman" w:hAnsi="Times New Roman" w:cs="Times New Roman"/>
          <w:b/>
          <w:noProof/>
          <w:color w:val="auto"/>
          <w:sz w:val="28"/>
          <w:szCs w:val="32"/>
        </w:rPr>
        <w:t> </w:t>
      </w:r>
      <w:r w:rsidRPr="00BF60DB">
        <w:rPr>
          <w:rFonts w:ascii="Times New Roman" w:hAnsi="Times New Roman" w:cs="Times New Roman"/>
          <w:b/>
          <w:noProof/>
          <w:color w:val="auto"/>
          <w:sz w:val="28"/>
          <w:szCs w:val="32"/>
        </w:rPr>
        <w:t>MHz BAND AND INTERNATIONAL DEVELOPMENTS</w:t>
      </w:r>
    </w:p>
    <w:p w14:paraId="6BEEBB14" w14:textId="2D6B6C48" w:rsidR="00BF60DB" w:rsidRDefault="00A81A1D" w:rsidP="00BF60DB">
      <w:pPr>
        <w:pStyle w:val="paragraph"/>
        <w:spacing w:before="0" w:beforeAutospacing="0" w:after="240" w:afterAutospacing="0"/>
        <w:jc w:val="both"/>
        <w:rPr>
          <w:rStyle w:val="eop"/>
          <w:noProof/>
        </w:rPr>
      </w:pPr>
      <w:r>
        <w:rPr>
          <w:rStyle w:val="eop"/>
          <w:noProof/>
        </w:rPr>
        <w:t>For decades, t</w:t>
      </w:r>
      <w:r w:rsidR="00BF60DB" w:rsidRPr="00516125">
        <w:rPr>
          <w:rStyle w:val="eop"/>
          <w:noProof/>
        </w:rPr>
        <w:t>he</w:t>
      </w:r>
      <w:r w:rsidR="00BF60DB" w:rsidRPr="00C50EF2">
        <w:rPr>
          <w:rStyle w:val="eop"/>
          <w:noProof/>
        </w:rPr>
        <w:t xml:space="preserve"> sub-700</w:t>
      </w:r>
      <w:r w:rsidR="003B563B">
        <w:rPr>
          <w:rStyle w:val="eop"/>
          <w:noProof/>
        </w:rPr>
        <w:t> </w:t>
      </w:r>
      <w:r w:rsidR="00BF60DB" w:rsidRPr="00C50EF2">
        <w:rPr>
          <w:rStyle w:val="eop"/>
          <w:noProof/>
        </w:rPr>
        <w:t xml:space="preserve">MHz </w:t>
      </w:r>
      <w:r w:rsidR="00BF60DB">
        <w:rPr>
          <w:rStyle w:val="eop"/>
          <w:noProof/>
        </w:rPr>
        <w:t>band</w:t>
      </w:r>
      <w:r w:rsidR="00BF60DB" w:rsidRPr="00C50EF2">
        <w:rPr>
          <w:rStyle w:val="eop"/>
          <w:noProof/>
        </w:rPr>
        <w:t xml:space="preserve"> </w:t>
      </w:r>
      <w:r w:rsidR="00BF60DB" w:rsidRPr="2FE2965B">
        <w:rPr>
          <w:rStyle w:val="eop"/>
          <w:noProof/>
        </w:rPr>
        <w:t>has</w:t>
      </w:r>
      <w:r w:rsidR="00BF60DB">
        <w:rPr>
          <w:rStyle w:val="eop"/>
          <w:noProof/>
        </w:rPr>
        <w:t xml:space="preserve"> been</w:t>
      </w:r>
      <w:r w:rsidR="00BF60DB" w:rsidRPr="00C50EF2">
        <w:rPr>
          <w:rStyle w:val="eop"/>
          <w:noProof/>
        </w:rPr>
        <w:t xml:space="preserve">  </w:t>
      </w:r>
      <w:r w:rsidR="00BF60DB">
        <w:rPr>
          <w:rStyle w:val="eop"/>
          <w:noProof/>
        </w:rPr>
        <w:t>allocated</w:t>
      </w:r>
      <w:r w:rsidR="00BF60DB">
        <w:rPr>
          <w:rStyle w:val="FootnoteReference"/>
          <w:noProof/>
        </w:rPr>
        <w:footnoteReference w:id="5"/>
      </w:r>
      <w:r w:rsidR="00BF60DB" w:rsidRPr="00C50EF2">
        <w:rPr>
          <w:rStyle w:val="eop"/>
          <w:noProof/>
        </w:rPr>
        <w:t xml:space="preserve"> on a primary basis </w:t>
      </w:r>
      <w:r w:rsidR="00BF60DB" w:rsidRPr="00057FCD" w:rsidDel="00762441">
        <w:rPr>
          <w:rStyle w:val="eop"/>
          <w:noProof/>
        </w:rPr>
        <w:t>to broadcasting</w:t>
      </w:r>
      <w:r w:rsidR="00BF60DB">
        <w:rPr>
          <w:rStyle w:val="eop"/>
          <w:noProof/>
        </w:rPr>
        <w:t xml:space="preserve">, including </w:t>
      </w:r>
      <w:r w:rsidR="00BF60DB" w:rsidRPr="34B08AA1">
        <w:rPr>
          <w:rStyle w:val="eop"/>
          <w:noProof/>
        </w:rPr>
        <w:t xml:space="preserve">in </w:t>
      </w:r>
      <w:r w:rsidR="00C238F3">
        <w:rPr>
          <w:rStyle w:val="eop"/>
          <w:noProof/>
        </w:rPr>
        <w:t xml:space="preserve">the </w:t>
      </w:r>
      <w:r w:rsidR="00BF60DB">
        <w:rPr>
          <w:rStyle w:val="eop"/>
          <w:noProof/>
        </w:rPr>
        <w:t>International Telecommunication Union (ITU</w:t>
      </w:r>
      <w:r w:rsidR="00F424E1">
        <w:rPr>
          <w:rStyle w:val="eop"/>
          <w:noProof/>
        </w:rPr>
        <w:t>)</w:t>
      </w:r>
      <w:r w:rsidR="00BF60DB">
        <w:rPr>
          <w:rStyle w:val="eop"/>
          <w:noProof/>
        </w:rPr>
        <w:t xml:space="preserve"> Region 1</w:t>
      </w:r>
      <w:r w:rsidR="00BF60DB">
        <w:rPr>
          <w:rStyle w:val="FootnoteReference"/>
          <w:noProof/>
        </w:rPr>
        <w:footnoteReference w:id="6"/>
      </w:r>
      <w:r w:rsidR="00BF60DB">
        <w:rPr>
          <w:rStyle w:val="eop"/>
          <w:noProof/>
        </w:rPr>
        <w:t xml:space="preserve">, which </w:t>
      </w:r>
      <w:r w:rsidR="005805E8">
        <w:rPr>
          <w:rStyle w:val="eop"/>
          <w:noProof/>
        </w:rPr>
        <w:t>includes</w:t>
      </w:r>
      <w:r w:rsidR="005805E8" w:rsidRPr="00516125">
        <w:rPr>
          <w:rStyle w:val="eop"/>
          <w:noProof/>
        </w:rPr>
        <w:t xml:space="preserve"> </w:t>
      </w:r>
      <w:r w:rsidR="00BF60DB">
        <w:rPr>
          <w:rStyle w:val="eop"/>
          <w:noProof/>
        </w:rPr>
        <w:t>all EU Member States</w:t>
      </w:r>
      <w:r w:rsidR="00BF60DB" w:rsidRPr="7482D136">
        <w:rPr>
          <w:rStyle w:val="eop"/>
          <w:noProof/>
        </w:rPr>
        <w:t>. It is the primary band for terrestrial broadcasting in the EU.</w:t>
      </w:r>
    </w:p>
    <w:p w14:paraId="408BE361" w14:textId="2443ECF5" w:rsidR="00BF60DB" w:rsidRPr="00C50EF2" w:rsidRDefault="70802917">
      <w:pPr>
        <w:pStyle w:val="paragraph"/>
        <w:spacing w:before="0" w:beforeAutospacing="0" w:after="240" w:afterAutospacing="0"/>
        <w:jc w:val="both"/>
        <w:rPr>
          <w:noProof/>
        </w:rPr>
      </w:pPr>
      <w:r>
        <w:rPr>
          <w:noProof/>
        </w:rPr>
        <w:t>I</w:t>
      </w:r>
      <w:r w:rsidR="29E18438">
        <w:rPr>
          <w:noProof/>
        </w:rPr>
        <w:t>n a number of countries in ITU Region 1, including 24 EU Member States</w:t>
      </w:r>
      <w:r w:rsidR="00BF60DB" w:rsidRPr="00516125">
        <w:rPr>
          <w:rStyle w:val="FootnoteReference"/>
          <w:noProof/>
        </w:rPr>
        <w:footnoteReference w:id="7"/>
      </w:r>
      <w:r w:rsidR="29E18438">
        <w:rPr>
          <w:noProof/>
        </w:rPr>
        <w:t xml:space="preserve">, </w:t>
      </w:r>
      <w:r>
        <w:rPr>
          <w:noProof/>
        </w:rPr>
        <w:t>this band is allocated on a secondary basis</w:t>
      </w:r>
      <w:r w:rsidR="29E18438">
        <w:rPr>
          <w:noProof/>
        </w:rPr>
        <w:t xml:space="preserve"> </w:t>
      </w:r>
      <w:r>
        <w:rPr>
          <w:noProof/>
        </w:rPr>
        <w:t xml:space="preserve">to </w:t>
      </w:r>
      <w:r w:rsidR="29E18438">
        <w:rPr>
          <w:noProof/>
        </w:rPr>
        <w:t xml:space="preserve">the land mobile service for audio </w:t>
      </w:r>
      <w:r w:rsidR="00CC7CF9">
        <w:rPr>
          <w:rStyle w:val="eop"/>
          <w:noProof/>
        </w:rPr>
        <w:t>P</w:t>
      </w:r>
      <w:r w:rsidR="0B259B97" w:rsidRPr="463B461D">
        <w:rPr>
          <w:rStyle w:val="eop"/>
          <w:noProof/>
        </w:rPr>
        <w:t xml:space="preserve">rogramme </w:t>
      </w:r>
      <w:r w:rsidR="51067B8C" w:rsidRPr="463B461D">
        <w:rPr>
          <w:rStyle w:val="eop"/>
          <w:noProof/>
        </w:rPr>
        <w:t>M</w:t>
      </w:r>
      <w:r w:rsidR="0B259B97" w:rsidRPr="463B461D">
        <w:rPr>
          <w:rStyle w:val="eop"/>
          <w:noProof/>
        </w:rPr>
        <w:t xml:space="preserve">aking and </w:t>
      </w:r>
      <w:r w:rsidR="1A041B3D" w:rsidRPr="463B461D">
        <w:rPr>
          <w:rStyle w:val="eop"/>
          <w:noProof/>
        </w:rPr>
        <w:t>S</w:t>
      </w:r>
      <w:r w:rsidR="0B259B97" w:rsidRPr="463B461D">
        <w:rPr>
          <w:rStyle w:val="eop"/>
          <w:noProof/>
        </w:rPr>
        <w:t xml:space="preserve">pecial </w:t>
      </w:r>
      <w:r w:rsidR="1EE568C9" w:rsidRPr="463B461D">
        <w:rPr>
          <w:rStyle w:val="eop"/>
          <w:noProof/>
        </w:rPr>
        <w:t>E</w:t>
      </w:r>
      <w:r w:rsidR="0B259B97" w:rsidRPr="463B461D">
        <w:rPr>
          <w:rStyle w:val="eop"/>
          <w:noProof/>
        </w:rPr>
        <w:t>vents</w:t>
      </w:r>
      <w:r w:rsidR="0B259B97">
        <w:rPr>
          <w:noProof/>
        </w:rPr>
        <w:t xml:space="preserve"> (</w:t>
      </w:r>
      <w:r w:rsidR="29E18438">
        <w:rPr>
          <w:noProof/>
        </w:rPr>
        <w:t>PMSE</w:t>
      </w:r>
      <w:r w:rsidR="0B259B97">
        <w:rPr>
          <w:noProof/>
        </w:rPr>
        <w:t>)</w:t>
      </w:r>
      <w:r w:rsidR="29E18438">
        <w:rPr>
          <w:noProof/>
        </w:rPr>
        <w:t xml:space="preserve"> applications,</w:t>
      </w:r>
      <w:r w:rsidR="29E18438" w:rsidRPr="463B461D">
        <w:rPr>
          <w:rStyle w:val="eop"/>
          <w:noProof/>
        </w:rPr>
        <w:t xml:space="preserve"> such as wireless microphones and in-ear monitoring systems</w:t>
      </w:r>
      <w:r w:rsidR="29E18438">
        <w:rPr>
          <w:noProof/>
        </w:rPr>
        <w:t xml:space="preserve">. </w:t>
      </w:r>
      <w:r w:rsidR="29E18438" w:rsidRPr="463B461D">
        <w:rPr>
          <w:noProof/>
          <w:lang w:val="en-US"/>
        </w:rPr>
        <w:t>Terrestrial television has shared spectrum with</w:t>
      </w:r>
      <w:r w:rsidR="01E6454C" w:rsidRPr="463B461D">
        <w:rPr>
          <w:noProof/>
          <w:lang w:val="en-US"/>
        </w:rPr>
        <w:t xml:space="preserve"> </w:t>
      </w:r>
      <w:r w:rsidR="29E18438">
        <w:rPr>
          <w:noProof/>
        </w:rPr>
        <w:t>PMSE applications for decades,</w:t>
      </w:r>
      <w:r w:rsidR="01E6454C">
        <w:rPr>
          <w:noProof/>
        </w:rPr>
        <w:t xml:space="preserve"> </w:t>
      </w:r>
      <w:r w:rsidR="29E18438">
        <w:rPr>
          <w:noProof/>
        </w:rPr>
        <w:t>thanks</w:t>
      </w:r>
      <w:r w:rsidR="01E6454C">
        <w:rPr>
          <w:noProof/>
        </w:rPr>
        <w:t xml:space="preserve"> </w:t>
      </w:r>
      <w:r w:rsidR="29E18438">
        <w:rPr>
          <w:noProof/>
        </w:rPr>
        <w:t>to</w:t>
      </w:r>
      <w:r w:rsidR="28712AFB">
        <w:rPr>
          <w:noProof/>
        </w:rPr>
        <w:t>:</w:t>
      </w:r>
      <w:r w:rsidR="29E18438">
        <w:rPr>
          <w:noProof/>
        </w:rPr>
        <w:t xml:space="preserve"> </w:t>
      </w:r>
      <w:r w:rsidR="6AFF04AB">
        <w:rPr>
          <w:noProof/>
        </w:rPr>
        <w:t>(i)</w:t>
      </w:r>
      <w:r w:rsidR="29E18438">
        <w:rPr>
          <w:noProof/>
        </w:rPr>
        <w:t xml:space="preserve"> the inherent availability of </w:t>
      </w:r>
      <w:r>
        <w:rPr>
          <w:noProof/>
        </w:rPr>
        <w:t>‘</w:t>
      </w:r>
      <w:r w:rsidR="29E18438">
        <w:rPr>
          <w:noProof/>
        </w:rPr>
        <w:t>white spots</w:t>
      </w:r>
      <w:r>
        <w:rPr>
          <w:noProof/>
        </w:rPr>
        <w:t>’</w:t>
      </w:r>
      <w:r w:rsidR="29E18438">
        <w:rPr>
          <w:noProof/>
        </w:rPr>
        <w:t xml:space="preserve"> (geographical areas of unused spectrum), </w:t>
      </w:r>
      <w:r w:rsidR="6AFF04AB">
        <w:rPr>
          <w:noProof/>
        </w:rPr>
        <w:t xml:space="preserve">(ii) </w:t>
      </w:r>
      <w:r w:rsidR="01E6454C">
        <w:rPr>
          <w:noProof/>
        </w:rPr>
        <w:t xml:space="preserve"> </w:t>
      </w:r>
      <w:r w:rsidR="29E18438">
        <w:rPr>
          <w:noProof/>
        </w:rPr>
        <w:t xml:space="preserve">well-established sharing conditions and </w:t>
      </w:r>
      <w:r w:rsidR="6AFF04AB">
        <w:rPr>
          <w:noProof/>
        </w:rPr>
        <w:t xml:space="preserve">(iii) </w:t>
      </w:r>
      <w:r w:rsidR="29E18438">
        <w:rPr>
          <w:noProof/>
        </w:rPr>
        <w:t xml:space="preserve">PMSE equipment availability. </w:t>
      </w:r>
      <w:r w:rsidR="29E18438" w:rsidRPr="463B461D">
        <w:rPr>
          <w:rStyle w:val="eop"/>
          <w:noProof/>
        </w:rPr>
        <w:t xml:space="preserve">PMSE use must not cause harmful interference to </w:t>
      </w:r>
      <w:r w:rsidR="29E18438">
        <w:rPr>
          <w:noProof/>
        </w:rPr>
        <w:t>broadcasting or claim protection from harmful interference caused by broadcasting.</w:t>
      </w:r>
    </w:p>
    <w:p w14:paraId="519ED67B" w14:textId="6FBB3C74" w:rsidR="00BF60DB" w:rsidRDefault="7E270F48" w:rsidP="00BF60DB">
      <w:pPr>
        <w:pStyle w:val="paragraph"/>
        <w:spacing w:before="0" w:beforeAutospacing="0" w:after="240" w:afterAutospacing="0"/>
        <w:jc w:val="both"/>
        <w:textAlignment w:val="baseline"/>
        <w:rPr>
          <w:noProof/>
        </w:rPr>
      </w:pPr>
      <w:r w:rsidRPr="463B461D">
        <w:rPr>
          <w:rFonts w:eastAsiaTheme="minorEastAsia"/>
          <w:noProof/>
        </w:rPr>
        <w:t>I</w:t>
      </w:r>
      <w:r w:rsidRPr="463B461D">
        <w:rPr>
          <w:rStyle w:val="eop"/>
          <w:rFonts w:eastAsiaTheme="minorEastAsia"/>
          <w:noProof/>
        </w:rPr>
        <w:t>n addition, portions of the sub-700 band are also allocated within the EU to other radiocommunication services, namely radioastronomy on a secondary basis (608-614</w:t>
      </w:r>
      <w:r w:rsidR="34CD1EBA" w:rsidRPr="463B461D">
        <w:rPr>
          <w:rStyle w:val="eop"/>
          <w:rFonts w:eastAsiaTheme="minorEastAsia"/>
          <w:noProof/>
        </w:rPr>
        <w:t> </w:t>
      </w:r>
      <w:r w:rsidRPr="463B461D">
        <w:rPr>
          <w:rStyle w:val="eop"/>
          <w:rFonts w:eastAsiaTheme="minorEastAsia"/>
          <w:noProof/>
        </w:rPr>
        <w:t>MHz) and radiolocation on a secondary basis (470-494</w:t>
      </w:r>
      <w:r w:rsidR="34CD1EBA" w:rsidRPr="463B461D">
        <w:rPr>
          <w:rStyle w:val="eop"/>
          <w:rFonts w:eastAsiaTheme="minorEastAsia"/>
          <w:noProof/>
        </w:rPr>
        <w:t> </w:t>
      </w:r>
      <w:r w:rsidRPr="463B461D">
        <w:rPr>
          <w:rStyle w:val="eop"/>
          <w:rFonts w:eastAsiaTheme="minorEastAsia"/>
          <w:noProof/>
        </w:rPr>
        <w:t>MHz)</w:t>
      </w:r>
      <w:r w:rsidR="39FF4107" w:rsidRPr="463B461D">
        <w:rPr>
          <w:rStyle w:val="eop"/>
          <w:rFonts w:eastAsiaTheme="minorEastAsia"/>
          <w:noProof/>
        </w:rPr>
        <w:t>.</w:t>
      </w:r>
      <w:r w:rsidRPr="463B461D">
        <w:rPr>
          <w:rStyle w:val="eop"/>
          <w:rFonts w:eastAsiaTheme="minorEastAsia"/>
          <w:noProof/>
        </w:rPr>
        <w:t xml:space="preserve"> </w:t>
      </w:r>
      <w:r w:rsidR="00DB21C3">
        <w:rPr>
          <w:rStyle w:val="eop"/>
          <w:rFonts w:eastAsiaTheme="minorEastAsia"/>
          <w:noProof/>
        </w:rPr>
        <w:t>The latter</w:t>
      </w:r>
      <w:r w:rsidR="0054202E">
        <w:rPr>
          <w:rStyle w:val="eop"/>
          <w:rFonts w:eastAsiaTheme="minorEastAsia"/>
          <w:noProof/>
        </w:rPr>
        <w:t xml:space="preserve"> </w:t>
      </w:r>
      <w:r w:rsidR="000930D1">
        <w:rPr>
          <w:rStyle w:val="eop"/>
          <w:rFonts w:eastAsiaTheme="minorEastAsia"/>
          <w:noProof/>
        </w:rPr>
        <w:t>u</w:t>
      </w:r>
      <w:r w:rsidRPr="463B461D">
        <w:rPr>
          <w:rStyle w:val="eop"/>
          <w:rFonts w:eastAsiaTheme="minorEastAsia"/>
          <w:noProof/>
        </w:rPr>
        <w:t>se</w:t>
      </w:r>
      <w:r w:rsidR="3B328D38" w:rsidRPr="463B461D">
        <w:rPr>
          <w:rStyle w:val="eop"/>
          <w:rFonts w:eastAsiaTheme="minorEastAsia"/>
          <w:noProof/>
        </w:rPr>
        <w:t xml:space="preserve"> </w:t>
      </w:r>
      <w:r w:rsidR="39FF4107" w:rsidRPr="463B461D">
        <w:rPr>
          <w:rStyle w:val="eop"/>
          <w:rFonts w:eastAsiaTheme="minorEastAsia"/>
          <w:noProof/>
        </w:rPr>
        <w:t>is limited to</w:t>
      </w:r>
      <w:r w:rsidRPr="463B461D">
        <w:rPr>
          <w:rStyle w:val="eop"/>
          <w:rFonts w:eastAsiaTheme="minorEastAsia"/>
          <w:noProof/>
        </w:rPr>
        <w:t xml:space="preserve"> wind profiler radars only in certain EU Member States</w:t>
      </w:r>
      <w:r w:rsidR="00BF60DB" w:rsidRPr="463B461D">
        <w:rPr>
          <w:rStyle w:val="FootnoteReference"/>
          <w:rFonts w:eastAsiaTheme="minorEastAsia"/>
          <w:noProof/>
        </w:rPr>
        <w:footnoteReference w:id="8"/>
      </w:r>
      <w:r w:rsidRPr="463B461D">
        <w:rPr>
          <w:rStyle w:val="eop"/>
          <w:rFonts w:eastAsiaTheme="minorEastAsia"/>
          <w:noProof/>
        </w:rPr>
        <w:t xml:space="preserve"> (see</w:t>
      </w:r>
      <w:r w:rsidR="00DA5AD5">
        <w:rPr>
          <w:rStyle w:val="eop"/>
          <w:rFonts w:eastAsiaTheme="minorEastAsia"/>
          <w:noProof/>
        </w:rPr>
        <w:t xml:space="preserve"> Figure 1</w:t>
      </w:r>
      <w:r w:rsidRPr="463B461D">
        <w:rPr>
          <w:rStyle w:val="eop"/>
          <w:rFonts w:eastAsiaTheme="minorEastAsia"/>
          <w:noProof/>
        </w:rPr>
        <w:t>).</w:t>
      </w:r>
    </w:p>
    <w:p w14:paraId="55970925" w14:textId="1A4184C1" w:rsidR="00BF60DB" w:rsidRPr="00B54ECF" w:rsidDel="0010032D" w:rsidRDefault="00BF60DB" w:rsidP="00BF60DB">
      <w:pPr>
        <w:pStyle w:val="Caption"/>
        <w:jc w:val="center"/>
        <w:rPr>
          <w:rStyle w:val="eop"/>
          <w:rFonts w:ascii="Times New Roman" w:eastAsiaTheme="minorEastAsia" w:hAnsi="Times New Roman" w:cs="Times New Roman"/>
          <w:i w:val="0"/>
          <w:iCs w:val="0"/>
          <w:noProof/>
          <w:color w:val="auto"/>
          <w:sz w:val="24"/>
          <w:szCs w:val="24"/>
        </w:rPr>
      </w:pPr>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w:t>
      </w:r>
      <w:r w:rsidRPr="00B54ECF">
        <w:rPr>
          <w:rFonts w:ascii="Times New Roman" w:hAnsi="Times New Roman" w:cs="Times New Roman"/>
          <w:noProof/>
          <w:color w:val="auto"/>
          <w:sz w:val="24"/>
          <w:szCs w:val="24"/>
        </w:rPr>
        <w:fldChar w:fldCharType="end"/>
      </w:r>
      <w:r w:rsidRPr="00B54ECF">
        <w:rPr>
          <w:rStyle w:val="eop"/>
          <w:rFonts w:ascii="Times New Roman" w:eastAsiaTheme="minorEastAsia" w:hAnsi="Times New Roman" w:cs="Times New Roman"/>
          <w:noProof/>
          <w:color w:val="auto"/>
          <w:sz w:val="24"/>
          <w:szCs w:val="24"/>
        </w:rPr>
        <w:t>: Allocations in the sub-700</w:t>
      </w:r>
      <w:r w:rsidR="003B563B">
        <w:rPr>
          <w:rStyle w:val="eop"/>
          <w:rFonts w:ascii="Times New Roman" w:eastAsiaTheme="minorEastAsia" w:hAnsi="Times New Roman" w:cs="Times New Roman"/>
          <w:noProof/>
          <w:color w:val="auto"/>
          <w:sz w:val="24"/>
          <w:szCs w:val="24"/>
        </w:rPr>
        <w:t> </w:t>
      </w:r>
      <w:r w:rsidRPr="00B54ECF">
        <w:rPr>
          <w:rStyle w:val="eop"/>
          <w:rFonts w:ascii="Times New Roman" w:eastAsiaTheme="minorEastAsia" w:hAnsi="Times New Roman" w:cs="Times New Roman"/>
          <w:noProof/>
          <w:color w:val="auto"/>
          <w:sz w:val="24"/>
          <w:szCs w:val="24"/>
        </w:rPr>
        <w:t>MHz band in ITU Region 1</w:t>
      </w:r>
    </w:p>
    <w:p w14:paraId="1E46AFD4" w14:textId="77777777" w:rsidR="00BF60DB" w:rsidRDefault="00BF60DB" w:rsidP="00BF60DB">
      <w:pPr>
        <w:pStyle w:val="paragraph"/>
        <w:spacing w:before="120" w:beforeAutospacing="0" w:after="120" w:afterAutospacing="0"/>
        <w:jc w:val="center"/>
        <w:rPr>
          <w:noProof/>
        </w:rPr>
      </w:pPr>
      <w:r>
        <w:rPr>
          <w:noProof/>
          <w:lang w:val="en-GB" w:eastAsia="en-GB"/>
        </w:rPr>
        <w:drawing>
          <wp:inline distT="0" distB="0" distL="0" distR="0" wp14:anchorId="3CD17621" wp14:editId="331B0D8F">
            <wp:extent cx="5175250" cy="1193800"/>
            <wp:effectExtent l="0" t="0" r="0" b="0"/>
            <wp:docPr id="1178775581" name="drawing" descr="A close-up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75581" name="drawing" descr="A close-up of a screen&#10;&#10;AI-generated content may be incorrect."/>
                    <pic:cNvPicPr/>
                  </pic:nvPicPr>
                  <pic:blipFill>
                    <a:blip r:embed="rId18">
                      <a:extLst>
                        <a:ext uri="{28A0092B-C50C-407E-A947-70E740481C1C}">
                          <a14:useLocalDpi xmlns:a14="http://schemas.microsoft.com/office/drawing/2010/main"/>
                        </a:ext>
                      </a:extLst>
                    </a:blip>
                    <a:stretch>
                      <a:fillRect/>
                    </a:stretch>
                  </pic:blipFill>
                  <pic:spPr>
                    <a:xfrm>
                      <a:off x="0" y="0"/>
                      <a:ext cx="5175250" cy="1193800"/>
                    </a:xfrm>
                    <a:prstGeom prst="rect">
                      <a:avLst/>
                    </a:prstGeom>
                  </pic:spPr>
                </pic:pic>
              </a:graphicData>
            </a:graphic>
          </wp:inline>
        </w:drawing>
      </w:r>
    </w:p>
    <w:p w14:paraId="18D41443" w14:textId="6F76D07F" w:rsidR="00BF60DB" w:rsidRPr="00ED5A11" w:rsidRDefault="00BF60DB" w:rsidP="00BF60DB">
      <w:pPr>
        <w:pStyle w:val="paragraph"/>
        <w:spacing w:before="240" w:beforeAutospacing="0" w:after="240" w:afterAutospacing="0"/>
        <w:jc w:val="both"/>
        <w:textAlignment w:val="baseline"/>
        <w:rPr>
          <w:rFonts w:eastAsiaTheme="minorEastAsia"/>
          <w:noProof/>
        </w:rPr>
      </w:pPr>
      <w:r w:rsidRPr="00065324">
        <w:rPr>
          <w:rFonts w:eastAsiaTheme="minorEastAsia"/>
          <w:noProof/>
        </w:rPr>
        <w:t>At the</w:t>
      </w:r>
      <w:r w:rsidRPr="00516125">
        <w:rPr>
          <w:rFonts w:eastAsiaTheme="minorEastAsia"/>
          <w:noProof/>
        </w:rPr>
        <w:t xml:space="preserve"> </w:t>
      </w:r>
      <w:r w:rsidR="003E00D5">
        <w:rPr>
          <w:rFonts w:eastAsiaTheme="minorEastAsia"/>
          <w:noProof/>
        </w:rPr>
        <w:t>2023</w:t>
      </w:r>
      <w:r w:rsidRPr="00065324">
        <w:rPr>
          <w:rFonts w:eastAsiaTheme="minorEastAsia"/>
          <w:noProof/>
        </w:rPr>
        <w:t xml:space="preserve"> World Radiocommunication Conference (WRC-23), a secondary allocation to mobile services (except aeronautical mobile) was introduced across the entire 470</w:t>
      </w:r>
      <w:r w:rsidR="00516125">
        <w:rPr>
          <w:rFonts w:eastAsiaTheme="minorEastAsia"/>
          <w:noProof/>
        </w:rPr>
        <w:t>-</w:t>
      </w:r>
      <w:r w:rsidRPr="00065324">
        <w:rPr>
          <w:rFonts w:eastAsiaTheme="minorEastAsia"/>
          <w:noProof/>
        </w:rPr>
        <w:t>694</w:t>
      </w:r>
      <w:r w:rsidR="003B563B">
        <w:rPr>
          <w:rFonts w:eastAsiaTheme="minorEastAsia"/>
          <w:noProof/>
        </w:rPr>
        <w:t> </w:t>
      </w:r>
      <w:r w:rsidRPr="00065324">
        <w:rPr>
          <w:rFonts w:eastAsiaTheme="minorEastAsia"/>
          <w:noProof/>
        </w:rPr>
        <w:t>MHz band in 43 CEPT countries, including all EU Member States except Italy and Spain.</w:t>
      </w:r>
    </w:p>
    <w:p w14:paraId="1B1A0351" w14:textId="2A7C730B" w:rsidR="00BF60DB" w:rsidRDefault="5E5879E6" w:rsidP="00BF60DB">
      <w:pPr>
        <w:pStyle w:val="paragraph"/>
        <w:spacing w:before="0" w:beforeAutospacing="0" w:after="240" w:afterAutospacing="0"/>
        <w:jc w:val="both"/>
        <w:textAlignment w:val="baseline"/>
        <w:rPr>
          <w:rFonts w:eastAsiaTheme="minorEastAsia"/>
          <w:noProof/>
        </w:rPr>
      </w:pPr>
      <w:r w:rsidRPr="76B3D0EC">
        <w:rPr>
          <w:rFonts w:eastAsiaTheme="minorEastAsia"/>
          <w:noProof/>
        </w:rPr>
        <w:t>In certain countries of ITU Region 1 o</w:t>
      </w:r>
      <w:r w:rsidR="00BF60DB" w:rsidRPr="76B3D0EC">
        <w:rPr>
          <w:rFonts w:eastAsiaTheme="minorEastAsia"/>
          <w:noProof/>
        </w:rPr>
        <w:t xml:space="preserve">utside the EU, portions of </w:t>
      </w:r>
      <w:r w:rsidR="43C7420D" w:rsidRPr="76B3D0EC">
        <w:rPr>
          <w:rFonts w:eastAsiaTheme="minorEastAsia"/>
          <w:noProof/>
        </w:rPr>
        <w:t xml:space="preserve">the </w:t>
      </w:r>
      <w:r w:rsidR="00BF60DB" w:rsidRPr="76B3D0EC">
        <w:rPr>
          <w:rFonts w:eastAsiaTheme="minorEastAsia"/>
          <w:noProof/>
        </w:rPr>
        <w:t>sub-700</w:t>
      </w:r>
      <w:r w:rsidR="003B563B" w:rsidRPr="76B3D0EC">
        <w:rPr>
          <w:rFonts w:eastAsiaTheme="minorEastAsia"/>
          <w:noProof/>
        </w:rPr>
        <w:t> </w:t>
      </w:r>
      <w:r w:rsidR="00BF60DB" w:rsidRPr="76B3D0EC">
        <w:rPr>
          <w:rFonts w:eastAsiaTheme="minorEastAsia"/>
          <w:noProof/>
        </w:rPr>
        <w:t xml:space="preserve">MHz band are </w:t>
      </w:r>
      <w:r w:rsidRPr="76B3D0EC">
        <w:rPr>
          <w:rFonts w:eastAsiaTheme="minorEastAsia"/>
          <w:noProof/>
        </w:rPr>
        <w:t xml:space="preserve">also </w:t>
      </w:r>
      <w:r w:rsidR="00BF60DB" w:rsidRPr="76B3D0EC">
        <w:rPr>
          <w:rFonts w:eastAsiaTheme="minorEastAsia"/>
          <w:noProof/>
        </w:rPr>
        <w:t>allocated</w:t>
      </w:r>
      <w:r w:rsidRPr="76B3D0EC">
        <w:rPr>
          <w:rFonts w:eastAsiaTheme="minorEastAsia"/>
          <w:noProof/>
        </w:rPr>
        <w:t xml:space="preserve"> </w:t>
      </w:r>
      <w:r w:rsidR="00BF60DB" w:rsidRPr="76B3D0EC">
        <w:rPr>
          <w:rFonts w:eastAsiaTheme="minorEastAsia"/>
          <w:noProof/>
        </w:rPr>
        <w:t>to</w:t>
      </w:r>
      <w:r w:rsidR="4298E38D" w:rsidRPr="76B3D0EC">
        <w:rPr>
          <w:rFonts w:eastAsiaTheme="minorEastAsia"/>
          <w:noProof/>
        </w:rPr>
        <w:t>:</w:t>
      </w:r>
      <w:r w:rsidR="00BF60DB" w:rsidRPr="76B3D0EC">
        <w:rPr>
          <w:rFonts w:eastAsiaTheme="minorEastAsia"/>
          <w:noProof/>
        </w:rPr>
        <w:t xml:space="preserve"> </w:t>
      </w:r>
      <w:r w:rsidR="4298E38D" w:rsidRPr="76B3D0EC">
        <w:rPr>
          <w:rFonts w:eastAsiaTheme="minorEastAsia"/>
          <w:noProof/>
        </w:rPr>
        <w:t>(i)</w:t>
      </w:r>
      <w:r w:rsidR="00BF60DB" w:rsidRPr="76B3D0EC">
        <w:rPr>
          <w:rFonts w:eastAsiaTheme="minorEastAsia"/>
          <w:noProof/>
        </w:rPr>
        <w:t xml:space="preserve"> the aeronautical radionavigation service on a primary basis</w:t>
      </w:r>
      <w:r w:rsidR="00BF60DB" w:rsidRPr="76B3D0EC">
        <w:rPr>
          <w:rStyle w:val="FootnoteReference"/>
          <w:rFonts w:eastAsiaTheme="minorEastAsia"/>
          <w:noProof/>
        </w:rPr>
        <w:footnoteReference w:id="9"/>
      </w:r>
      <w:r w:rsidR="00BF60DB" w:rsidRPr="76B3D0EC">
        <w:rPr>
          <w:rFonts w:eastAsiaTheme="minorEastAsia"/>
          <w:noProof/>
        </w:rPr>
        <w:t xml:space="preserve"> (646-862</w:t>
      </w:r>
      <w:r w:rsidR="003B563B" w:rsidRPr="76B3D0EC">
        <w:rPr>
          <w:rFonts w:eastAsiaTheme="minorEastAsia"/>
          <w:noProof/>
        </w:rPr>
        <w:t> </w:t>
      </w:r>
      <w:r w:rsidR="00BF60DB" w:rsidRPr="76B3D0EC">
        <w:rPr>
          <w:rFonts w:eastAsiaTheme="minorEastAsia"/>
          <w:noProof/>
        </w:rPr>
        <w:t>MHz)</w:t>
      </w:r>
      <w:r w:rsidR="4298E38D" w:rsidRPr="76B3D0EC">
        <w:rPr>
          <w:rFonts w:eastAsiaTheme="minorEastAsia"/>
          <w:noProof/>
        </w:rPr>
        <w:t>;</w:t>
      </w:r>
      <w:r w:rsidR="00BF60DB" w:rsidRPr="76B3D0EC">
        <w:rPr>
          <w:rFonts w:eastAsiaTheme="minorEastAsia"/>
          <w:noProof/>
        </w:rPr>
        <w:t xml:space="preserve"> and </w:t>
      </w:r>
      <w:r w:rsidR="4298E38D" w:rsidRPr="76B3D0EC">
        <w:rPr>
          <w:rFonts w:eastAsiaTheme="minorEastAsia"/>
          <w:noProof/>
        </w:rPr>
        <w:t xml:space="preserve">(ii) </w:t>
      </w:r>
      <w:r w:rsidR="00BF60DB" w:rsidRPr="76B3D0EC">
        <w:rPr>
          <w:rFonts w:eastAsiaTheme="minorEastAsia"/>
          <w:noProof/>
        </w:rPr>
        <w:t>on a secondary basis to the</w:t>
      </w:r>
      <w:r w:rsidR="00BF60DB" w:rsidRPr="76B3D0EC" w:rsidDel="004411F8">
        <w:rPr>
          <w:rFonts w:eastAsiaTheme="minorEastAsia"/>
          <w:noProof/>
        </w:rPr>
        <w:t xml:space="preserve"> fixed </w:t>
      </w:r>
      <w:r w:rsidR="00BF60DB" w:rsidRPr="76B3D0EC">
        <w:rPr>
          <w:rFonts w:eastAsiaTheme="minorEastAsia"/>
          <w:noProof/>
        </w:rPr>
        <w:t>service</w:t>
      </w:r>
      <w:r w:rsidR="00BF60DB" w:rsidRPr="76B3D0EC">
        <w:rPr>
          <w:rStyle w:val="FootnoteReference"/>
          <w:rFonts w:eastAsiaTheme="minorEastAsia"/>
          <w:noProof/>
        </w:rPr>
        <w:footnoteReference w:id="10"/>
      </w:r>
      <w:r w:rsidR="00BF60DB" w:rsidRPr="76B3D0EC">
        <w:rPr>
          <w:rFonts w:eastAsiaTheme="minorEastAsia"/>
          <w:noProof/>
        </w:rPr>
        <w:t xml:space="preserve"> (470</w:t>
      </w:r>
      <w:r w:rsidR="6F6480FC" w:rsidRPr="76B3D0EC">
        <w:rPr>
          <w:rFonts w:eastAsiaTheme="minorEastAsia"/>
          <w:noProof/>
        </w:rPr>
        <w:t>-</w:t>
      </w:r>
      <w:r w:rsidR="00BF60DB" w:rsidRPr="76B3D0EC">
        <w:rPr>
          <w:rFonts w:eastAsiaTheme="minorEastAsia"/>
          <w:noProof/>
        </w:rPr>
        <w:t>582</w:t>
      </w:r>
      <w:r w:rsidR="003B563B" w:rsidRPr="76B3D0EC">
        <w:rPr>
          <w:rFonts w:eastAsiaTheme="minorEastAsia"/>
          <w:noProof/>
        </w:rPr>
        <w:t> </w:t>
      </w:r>
      <w:r w:rsidR="00BF60DB" w:rsidRPr="76B3D0EC">
        <w:rPr>
          <w:rFonts w:eastAsiaTheme="minorEastAsia"/>
          <w:noProof/>
        </w:rPr>
        <w:t>MHz) or the fixed and mobile (excluding aeronautical mobile) service</w:t>
      </w:r>
      <w:r w:rsidR="00BF60DB" w:rsidRPr="76B3D0EC">
        <w:rPr>
          <w:rStyle w:val="FootnoteReference"/>
          <w:rFonts w:eastAsiaTheme="minorEastAsia"/>
          <w:noProof/>
        </w:rPr>
        <w:footnoteReference w:id="11"/>
      </w:r>
      <w:r w:rsidR="00BF60DB" w:rsidRPr="76B3D0EC">
        <w:rPr>
          <w:rFonts w:eastAsiaTheme="minorEastAsia"/>
          <w:noProof/>
        </w:rPr>
        <w:t xml:space="preserve"> (582</w:t>
      </w:r>
      <w:r w:rsidR="6F6480FC" w:rsidRPr="76B3D0EC">
        <w:rPr>
          <w:rFonts w:eastAsiaTheme="minorEastAsia"/>
          <w:noProof/>
        </w:rPr>
        <w:t>-</w:t>
      </w:r>
      <w:r w:rsidR="00BF60DB" w:rsidRPr="76B3D0EC">
        <w:rPr>
          <w:rFonts w:eastAsiaTheme="minorEastAsia"/>
          <w:noProof/>
        </w:rPr>
        <w:t>790</w:t>
      </w:r>
      <w:r w:rsidR="003B563B" w:rsidRPr="76B3D0EC">
        <w:rPr>
          <w:rFonts w:eastAsiaTheme="minorEastAsia"/>
          <w:noProof/>
        </w:rPr>
        <w:t> </w:t>
      </w:r>
      <w:r w:rsidR="00BF60DB" w:rsidRPr="76B3D0EC">
        <w:rPr>
          <w:rFonts w:eastAsiaTheme="minorEastAsia"/>
          <w:noProof/>
        </w:rPr>
        <w:t>MHz). At WRC-23, a primary allocation to the mobile service (excluding aeronautical mobile) was introduced in the 614</w:t>
      </w:r>
      <w:r w:rsidR="6F6480FC" w:rsidRPr="76B3D0EC">
        <w:rPr>
          <w:rFonts w:eastAsiaTheme="minorEastAsia"/>
          <w:noProof/>
        </w:rPr>
        <w:t>-</w:t>
      </w:r>
      <w:r w:rsidR="00BF60DB" w:rsidRPr="76B3D0EC">
        <w:rPr>
          <w:rFonts w:eastAsiaTheme="minorEastAsia"/>
          <w:noProof/>
        </w:rPr>
        <w:t>694</w:t>
      </w:r>
      <w:r w:rsidR="4298E38D" w:rsidRPr="76B3D0EC">
        <w:rPr>
          <w:rFonts w:eastAsiaTheme="minorEastAsia"/>
          <w:noProof/>
        </w:rPr>
        <w:t> </w:t>
      </w:r>
      <w:r w:rsidR="003B563B" w:rsidRPr="76B3D0EC">
        <w:rPr>
          <w:rFonts w:eastAsiaTheme="minorEastAsia"/>
          <w:noProof/>
        </w:rPr>
        <w:t> MHz</w:t>
      </w:r>
      <w:r w:rsidR="00BF60DB" w:rsidRPr="76B3D0EC">
        <w:rPr>
          <w:rFonts w:eastAsiaTheme="minorEastAsia"/>
          <w:noProof/>
        </w:rPr>
        <w:t xml:space="preserve"> frequency range for </w:t>
      </w:r>
      <w:r w:rsidR="43C7420D" w:rsidRPr="76B3D0EC">
        <w:rPr>
          <w:rFonts w:eastAsiaTheme="minorEastAsia"/>
          <w:noProof/>
        </w:rPr>
        <w:t xml:space="preserve">11 </w:t>
      </w:r>
      <w:r w:rsidR="00BF60DB" w:rsidRPr="76B3D0EC">
        <w:rPr>
          <w:rFonts w:eastAsiaTheme="minorEastAsia"/>
          <w:noProof/>
        </w:rPr>
        <w:t>Arab countries</w:t>
      </w:r>
      <w:r w:rsidR="00BF60DB" w:rsidRPr="76B3D0EC">
        <w:rPr>
          <w:rStyle w:val="FootnoteReference"/>
          <w:rFonts w:eastAsiaTheme="minorEastAsia"/>
          <w:noProof/>
        </w:rPr>
        <w:footnoteReference w:id="12"/>
      </w:r>
      <w:r w:rsidR="00BF60DB" w:rsidRPr="76B3D0EC">
        <w:rPr>
          <w:rFonts w:eastAsiaTheme="minorEastAsia"/>
          <w:noProof/>
        </w:rPr>
        <w:t>. In addition, a secondary allocation to the mobile service (excluding aeronautical mobile) was introduced in the 614</w:t>
      </w:r>
      <w:r w:rsidR="6F6480FC" w:rsidRPr="76B3D0EC">
        <w:rPr>
          <w:rFonts w:eastAsiaTheme="minorEastAsia"/>
          <w:noProof/>
        </w:rPr>
        <w:t>-</w:t>
      </w:r>
      <w:r w:rsidR="00BF60DB" w:rsidRPr="76B3D0EC">
        <w:rPr>
          <w:rFonts w:eastAsiaTheme="minorEastAsia"/>
          <w:noProof/>
        </w:rPr>
        <w:t>694 MHz frequency range for eight African countries</w:t>
      </w:r>
      <w:r w:rsidR="00BF60DB" w:rsidRPr="76B3D0EC">
        <w:rPr>
          <w:rStyle w:val="FootnoteReference"/>
          <w:rFonts w:eastAsiaTheme="minorEastAsia"/>
          <w:noProof/>
        </w:rPr>
        <w:footnoteReference w:id="13"/>
      </w:r>
      <w:r w:rsidR="00BF60DB" w:rsidRPr="76B3D0EC">
        <w:rPr>
          <w:rFonts w:eastAsiaTheme="minorEastAsia"/>
          <w:noProof/>
        </w:rPr>
        <w:t>.</w:t>
      </w:r>
    </w:p>
    <w:p w14:paraId="4FFDFE03" w14:textId="6734F4CB" w:rsidR="00BF60DB" w:rsidRDefault="00BF60DB" w:rsidP="00BF60DB">
      <w:pPr>
        <w:pStyle w:val="paragraph"/>
        <w:spacing w:before="0" w:beforeAutospacing="0" w:after="240" w:afterAutospacing="0"/>
        <w:jc w:val="both"/>
        <w:rPr>
          <w:noProof/>
        </w:rPr>
      </w:pPr>
      <w:r w:rsidRPr="220295B1">
        <w:rPr>
          <w:noProof/>
        </w:rPr>
        <w:t xml:space="preserve">The usage of the sub-700 frequency band in ITU Region 2 (the Americas) and ITU Region 3 (Asia-Pacific) has traditionally been very similar to ITU Region 1 due to a primary allocation to broadcasting. However, allocations </w:t>
      </w:r>
      <w:r w:rsidR="00D84D94">
        <w:rPr>
          <w:noProof/>
        </w:rPr>
        <w:t>vary</w:t>
      </w:r>
      <w:r w:rsidRPr="220295B1">
        <w:rPr>
          <w:noProof/>
        </w:rPr>
        <w:t xml:space="preserve"> (some </w:t>
      </w:r>
      <w:r w:rsidR="00D84D94">
        <w:rPr>
          <w:noProof/>
        </w:rPr>
        <w:t>were</w:t>
      </w:r>
      <w:r w:rsidRPr="00516125">
        <w:rPr>
          <w:noProof/>
        </w:rPr>
        <w:t xml:space="preserve"> </w:t>
      </w:r>
      <w:r w:rsidRPr="220295B1">
        <w:rPr>
          <w:noProof/>
        </w:rPr>
        <w:t xml:space="preserve">introduced only </w:t>
      </w:r>
      <w:r w:rsidR="00D84D94">
        <w:rPr>
          <w:noProof/>
        </w:rPr>
        <w:t>a</w:t>
      </w:r>
      <w:r w:rsidR="00501914">
        <w:rPr>
          <w:noProof/>
        </w:rPr>
        <w:t>t</w:t>
      </w:r>
      <w:r w:rsidR="00D84D94" w:rsidRPr="00516125">
        <w:rPr>
          <w:noProof/>
        </w:rPr>
        <w:t xml:space="preserve"> </w:t>
      </w:r>
      <w:r w:rsidRPr="220295B1">
        <w:rPr>
          <w:noProof/>
        </w:rPr>
        <w:t>WRC-23), particularly due to mobile allocations and IMT</w:t>
      </w:r>
      <w:r>
        <w:rPr>
          <w:rStyle w:val="FootnoteReference"/>
          <w:noProof/>
        </w:rPr>
        <w:footnoteReference w:id="14"/>
      </w:r>
      <w:r w:rsidRPr="220295B1">
        <w:rPr>
          <w:noProof/>
        </w:rPr>
        <w:t xml:space="preserve"> identifications within the band.</w:t>
      </w:r>
    </w:p>
    <w:p w14:paraId="5E068CC9" w14:textId="3247A8A8" w:rsidR="00BF60DB" w:rsidRDefault="24B4208A" w:rsidP="00BF60DB">
      <w:pPr>
        <w:spacing w:after="240" w:line="240" w:lineRule="auto"/>
        <w:jc w:val="both"/>
        <w:rPr>
          <w:rFonts w:ascii="Times New Roman" w:eastAsia="Times New Roman" w:hAnsi="Times New Roman" w:cs="Times New Roman"/>
          <w:noProof/>
        </w:rPr>
      </w:pPr>
      <w:r w:rsidRPr="463B461D">
        <w:rPr>
          <w:rFonts w:ascii="Times New Roman" w:eastAsia="Times New Roman" w:hAnsi="Times New Roman" w:cs="Times New Roman"/>
          <w:noProof/>
        </w:rPr>
        <w:t>G</w:t>
      </w:r>
      <w:r w:rsidR="7E270F48" w:rsidRPr="463B461D">
        <w:rPr>
          <w:rFonts w:ascii="Times New Roman" w:eastAsia="Times New Roman" w:hAnsi="Times New Roman" w:cs="Times New Roman"/>
          <w:noProof/>
        </w:rPr>
        <w:t>enerally</w:t>
      </w:r>
      <w:r w:rsidR="3B328D38" w:rsidRPr="463B461D">
        <w:rPr>
          <w:rFonts w:ascii="Times New Roman" w:eastAsia="Times New Roman" w:hAnsi="Times New Roman" w:cs="Times New Roman"/>
          <w:noProof/>
        </w:rPr>
        <w:t>,</w:t>
      </w:r>
      <w:r w:rsidR="7E270F48" w:rsidRPr="220295B1">
        <w:rPr>
          <w:rFonts w:ascii="Times New Roman" w:eastAsia="Times New Roman" w:hAnsi="Times New Roman" w:cs="Times New Roman"/>
          <w:noProof/>
        </w:rPr>
        <w:t xml:space="preserve"> mobile and fixed allocations in the 470</w:t>
      </w:r>
      <w:r w:rsidR="61B57DD0" w:rsidRPr="463B461D">
        <w:rPr>
          <w:rFonts w:ascii="Times New Roman" w:eastAsia="Times New Roman" w:hAnsi="Times New Roman" w:cs="Times New Roman"/>
          <w:noProof/>
        </w:rPr>
        <w:t>-</w:t>
      </w:r>
      <w:r w:rsidR="7E270F48" w:rsidRPr="220295B1">
        <w:rPr>
          <w:rFonts w:ascii="Times New Roman" w:eastAsia="Times New Roman" w:hAnsi="Times New Roman" w:cs="Times New Roman"/>
          <w:noProof/>
        </w:rPr>
        <w:t>512</w:t>
      </w:r>
      <w:r w:rsidR="34CD1EBA" w:rsidRPr="463B461D">
        <w:rPr>
          <w:rFonts w:ascii="Times New Roman" w:eastAsia="Times New Roman" w:hAnsi="Times New Roman" w:cs="Times New Roman"/>
          <w:noProof/>
        </w:rPr>
        <w:t> </w:t>
      </w:r>
      <w:r w:rsidR="7E270F48" w:rsidRPr="220295B1">
        <w:rPr>
          <w:rFonts w:ascii="Times New Roman" w:eastAsia="Times New Roman" w:hAnsi="Times New Roman" w:cs="Times New Roman"/>
          <w:noProof/>
        </w:rPr>
        <w:t>MHz and 614</w:t>
      </w:r>
      <w:r w:rsidR="61B57DD0" w:rsidRPr="463B461D">
        <w:rPr>
          <w:rFonts w:ascii="Times New Roman" w:eastAsia="Times New Roman" w:hAnsi="Times New Roman" w:cs="Times New Roman"/>
          <w:noProof/>
        </w:rPr>
        <w:t>-</w:t>
      </w:r>
      <w:r w:rsidR="7E270F48" w:rsidRPr="220295B1">
        <w:rPr>
          <w:rFonts w:ascii="Times New Roman" w:eastAsia="Times New Roman" w:hAnsi="Times New Roman" w:cs="Times New Roman"/>
          <w:noProof/>
        </w:rPr>
        <w:t>698</w:t>
      </w:r>
      <w:r w:rsidR="34CD1EBA" w:rsidRPr="463B461D">
        <w:rPr>
          <w:rFonts w:ascii="Times New Roman" w:eastAsia="Times New Roman" w:hAnsi="Times New Roman" w:cs="Times New Roman"/>
          <w:noProof/>
        </w:rPr>
        <w:t> </w:t>
      </w:r>
      <w:r w:rsidR="7E270F48" w:rsidRPr="220295B1">
        <w:rPr>
          <w:rFonts w:ascii="Times New Roman" w:eastAsia="Times New Roman" w:hAnsi="Times New Roman" w:cs="Times New Roman"/>
          <w:noProof/>
        </w:rPr>
        <w:t>MHz frequency bands</w:t>
      </w:r>
      <w:r w:rsidR="7E270F48" w:rsidRPr="006A0052">
        <w:rPr>
          <w:rFonts w:ascii="Times New Roman" w:eastAsia="Times New Roman" w:hAnsi="Times New Roman" w:cs="Times New Roman"/>
          <w:noProof/>
        </w:rPr>
        <w:t xml:space="preserve"> </w:t>
      </w:r>
      <w:r w:rsidR="7E270F48" w:rsidRPr="220295B1">
        <w:rPr>
          <w:rFonts w:ascii="Times New Roman" w:eastAsia="Times New Roman" w:hAnsi="Times New Roman" w:cs="Times New Roman"/>
          <w:noProof/>
        </w:rPr>
        <w:t>are secondary</w:t>
      </w:r>
      <w:r w:rsidR="3B328D38" w:rsidRPr="463B461D">
        <w:rPr>
          <w:rFonts w:ascii="Times New Roman" w:eastAsia="Times New Roman" w:hAnsi="Times New Roman" w:cs="Times New Roman"/>
          <w:noProof/>
        </w:rPr>
        <w:t xml:space="preserve"> in ITU Region 2</w:t>
      </w:r>
      <w:r w:rsidRPr="463B461D">
        <w:rPr>
          <w:rFonts w:ascii="Times New Roman" w:eastAsia="Times New Roman" w:hAnsi="Times New Roman" w:cs="Times New Roman"/>
          <w:noProof/>
        </w:rPr>
        <w:t>. However</w:t>
      </w:r>
      <w:r w:rsidR="7E270F48" w:rsidRPr="463B461D">
        <w:rPr>
          <w:rFonts w:ascii="Times New Roman" w:eastAsia="Times New Roman" w:hAnsi="Times New Roman" w:cs="Times New Roman"/>
          <w:noProof/>
        </w:rPr>
        <w:t>,</w:t>
      </w:r>
      <w:r w:rsidR="7E270F48" w:rsidRPr="220295B1">
        <w:rPr>
          <w:rFonts w:ascii="Times New Roman" w:eastAsia="Times New Roman" w:hAnsi="Times New Roman" w:cs="Times New Roman"/>
          <w:noProof/>
        </w:rPr>
        <w:t xml:space="preserve"> certain countries have primary allocations</w:t>
      </w:r>
      <w:r w:rsidR="7E270F48">
        <w:rPr>
          <w:rFonts w:ascii="Times New Roman" w:eastAsia="Times New Roman" w:hAnsi="Times New Roman" w:cs="Times New Roman"/>
          <w:noProof/>
        </w:rPr>
        <w:t xml:space="preserve"> </w:t>
      </w:r>
      <w:r w:rsidR="7E270F48" w:rsidRPr="064E9491">
        <w:rPr>
          <w:rFonts w:ascii="Times New Roman" w:eastAsia="Times New Roman" w:hAnsi="Times New Roman" w:cs="Times New Roman"/>
          <w:noProof/>
        </w:rPr>
        <w:t>f</w:t>
      </w:r>
      <w:r w:rsidR="7E270F48">
        <w:rPr>
          <w:rFonts w:ascii="Times New Roman" w:eastAsia="Times New Roman" w:hAnsi="Times New Roman" w:cs="Times New Roman"/>
          <w:noProof/>
        </w:rPr>
        <w:t>or</w:t>
      </w:r>
      <w:r w:rsidR="7E270F48" w:rsidRPr="220295B1">
        <w:rPr>
          <w:rFonts w:ascii="Times New Roman" w:eastAsia="Times New Roman" w:hAnsi="Times New Roman" w:cs="Times New Roman"/>
          <w:noProof/>
        </w:rPr>
        <w:t xml:space="preserve"> both the 470-512</w:t>
      </w:r>
      <w:r w:rsidR="34CD1EBA" w:rsidRPr="463B461D">
        <w:rPr>
          <w:rFonts w:ascii="Times New Roman" w:eastAsia="Times New Roman" w:hAnsi="Times New Roman" w:cs="Times New Roman"/>
          <w:noProof/>
        </w:rPr>
        <w:t> </w:t>
      </w:r>
      <w:r w:rsidR="7E270F48" w:rsidRPr="220295B1">
        <w:rPr>
          <w:rFonts w:ascii="Times New Roman" w:eastAsia="Times New Roman" w:hAnsi="Times New Roman" w:cs="Times New Roman"/>
          <w:noProof/>
        </w:rPr>
        <w:t>MHz band and the 614</w:t>
      </w:r>
      <w:r w:rsidR="61B57DD0" w:rsidRPr="463B461D">
        <w:rPr>
          <w:rFonts w:ascii="Times New Roman" w:eastAsia="Times New Roman" w:hAnsi="Times New Roman" w:cs="Times New Roman"/>
          <w:noProof/>
        </w:rPr>
        <w:t>-</w:t>
      </w:r>
      <w:r w:rsidR="7E270F48" w:rsidRPr="220295B1">
        <w:rPr>
          <w:rFonts w:ascii="Times New Roman" w:eastAsia="Times New Roman" w:hAnsi="Times New Roman" w:cs="Times New Roman"/>
          <w:noProof/>
        </w:rPr>
        <w:t>698</w:t>
      </w:r>
      <w:r w:rsidR="34CD1EBA" w:rsidRPr="463B461D">
        <w:rPr>
          <w:rFonts w:ascii="Times New Roman" w:eastAsia="Times New Roman" w:hAnsi="Times New Roman" w:cs="Times New Roman"/>
          <w:noProof/>
        </w:rPr>
        <w:t> </w:t>
      </w:r>
      <w:r w:rsidR="7E270F48" w:rsidRPr="220295B1">
        <w:rPr>
          <w:rFonts w:ascii="Times New Roman" w:eastAsia="Times New Roman" w:hAnsi="Times New Roman" w:cs="Times New Roman"/>
          <w:noProof/>
        </w:rPr>
        <w:t>MHz (600</w:t>
      </w:r>
      <w:r w:rsidR="34CD1EBA" w:rsidRPr="463B461D">
        <w:rPr>
          <w:rFonts w:ascii="Times New Roman" w:eastAsia="Times New Roman" w:hAnsi="Times New Roman" w:cs="Times New Roman"/>
          <w:noProof/>
        </w:rPr>
        <w:t> </w:t>
      </w:r>
      <w:r w:rsidR="7E270F48" w:rsidRPr="220295B1">
        <w:rPr>
          <w:rFonts w:ascii="Times New Roman" w:eastAsia="Times New Roman" w:hAnsi="Times New Roman" w:cs="Times New Roman"/>
          <w:noProof/>
        </w:rPr>
        <w:t>MHz) band</w:t>
      </w:r>
      <w:r w:rsidR="7E270F48">
        <w:rPr>
          <w:rFonts w:ascii="Times New Roman" w:eastAsia="Times New Roman" w:hAnsi="Times New Roman" w:cs="Times New Roman"/>
          <w:noProof/>
        </w:rPr>
        <w:t>s for mobile service</w:t>
      </w:r>
      <w:r w:rsidR="0037122D">
        <w:rPr>
          <w:rFonts w:ascii="Times New Roman" w:eastAsia="Times New Roman" w:hAnsi="Times New Roman" w:cs="Times New Roman"/>
          <w:noProof/>
        </w:rPr>
        <w:t>s</w:t>
      </w:r>
      <w:r w:rsidR="00BF60DB" w:rsidRPr="220295B1">
        <w:rPr>
          <w:rStyle w:val="FootnoteReference"/>
          <w:rFonts w:ascii="Times New Roman" w:eastAsia="Times New Roman" w:hAnsi="Times New Roman" w:cs="Times New Roman"/>
          <w:noProof/>
        </w:rPr>
        <w:footnoteReference w:id="15"/>
      </w:r>
      <w:r w:rsidR="7E270F48" w:rsidRPr="220295B1">
        <w:rPr>
          <w:rFonts w:ascii="Times New Roman" w:eastAsia="Times New Roman" w:hAnsi="Times New Roman" w:cs="Times New Roman"/>
          <w:noProof/>
        </w:rPr>
        <w:t>. In most of these countries</w:t>
      </w:r>
      <w:r w:rsidR="00BF60DB" w:rsidRPr="220295B1">
        <w:rPr>
          <w:rStyle w:val="FootnoteReference"/>
          <w:rFonts w:ascii="Times New Roman" w:eastAsia="Times New Roman" w:hAnsi="Times New Roman" w:cs="Times New Roman"/>
          <w:noProof/>
        </w:rPr>
        <w:footnoteReference w:id="16"/>
      </w:r>
      <w:r w:rsidR="628C6829" w:rsidRPr="463B461D">
        <w:rPr>
          <w:rFonts w:ascii="Times New Roman" w:eastAsia="Times New Roman" w:hAnsi="Times New Roman" w:cs="Times New Roman"/>
          <w:noProof/>
        </w:rPr>
        <w:t xml:space="preserve"> (and also some others)</w:t>
      </w:r>
      <w:r w:rsidR="7E270F48" w:rsidRPr="463B461D">
        <w:rPr>
          <w:rFonts w:ascii="Times New Roman" w:eastAsia="Times New Roman" w:hAnsi="Times New Roman" w:cs="Times New Roman"/>
          <w:noProof/>
        </w:rPr>
        <w:t>,</w:t>
      </w:r>
      <w:r w:rsidR="7E270F48" w:rsidRPr="220295B1">
        <w:rPr>
          <w:rFonts w:ascii="Times New Roman" w:eastAsia="Times New Roman" w:hAnsi="Times New Roman" w:cs="Times New Roman"/>
          <w:noProof/>
        </w:rPr>
        <w:t xml:space="preserve"> the 600</w:t>
      </w:r>
      <w:r w:rsidR="34CD1EBA" w:rsidRPr="463B461D">
        <w:rPr>
          <w:rFonts w:ascii="Times New Roman" w:eastAsia="Times New Roman" w:hAnsi="Times New Roman" w:cs="Times New Roman"/>
          <w:noProof/>
        </w:rPr>
        <w:t> </w:t>
      </w:r>
      <w:r w:rsidR="7E270F48" w:rsidRPr="220295B1">
        <w:rPr>
          <w:rFonts w:ascii="Times New Roman" w:eastAsia="Times New Roman" w:hAnsi="Times New Roman" w:cs="Times New Roman"/>
          <w:noProof/>
        </w:rPr>
        <w:t>MHz band, or portions</w:t>
      </w:r>
      <w:r w:rsidR="18C493C8" w:rsidRPr="463B461D">
        <w:rPr>
          <w:rFonts w:ascii="Times New Roman" w:eastAsia="Times New Roman" w:hAnsi="Times New Roman" w:cs="Times New Roman"/>
          <w:noProof/>
        </w:rPr>
        <w:t xml:space="preserve"> of it</w:t>
      </w:r>
      <w:r w:rsidR="7E270F48" w:rsidRPr="220295B1">
        <w:rPr>
          <w:rFonts w:ascii="Times New Roman" w:eastAsia="Times New Roman" w:hAnsi="Times New Roman" w:cs="Times New Roman"/>
          <w:noProof/>
        </w:rPr>
        <w:t>, is identified for IMT</w:t>
      </w:r>
      <w:r w:rsidR="00BF60DB" w:rsidRPr="220295B1">
        <w:rPr>
          <w:rStyle w:val="FootnoteReference"/>
          <w:rFonts w:ascii="Times New Roman" w:eastAsia="Times New Roman" w:hAnsi="Times New Roman" w:cs="Times New Roman"/>
          <w:noProof/>
        </w:rPr>
        <w:footnoteReference w:id="17"/>
      </w:r>
      <w:r w:rsidR="7E270F48" w:rsidRPr="220295B1">
        <w:rPr>
          <w:rFonts w:ascii="Times New Roman" w:eastAsia="Times New Roman" w:hAnsi="Times New Roman" w:cs="Times New Roman"/>
          <w:noProof/>
        </w:rPr>
        <w:t xml:space="preserve">. The </w:t>
      </w:r>
      <w:r w:rsidRPr="463B461D">
        <w:rPr>
          <w:rFonts w:ascii="Times New Roman" w:eastAsia="Times New Roman" w:hAnsi="Times New Roman" w:cs="Times New Roman"/>
          <w:noProof/>
        </w:rPr>
        <w:t>United States</w:t>
      </w:r>
      <w:r w:rsidR="7E270F48" w:rsidRPr="220295B1">
        <w:rPr>
          <w:rFonts w:ascii="Times New Roman" w:eastAsia="Times New Roman" w:hAnsi="Times New Roman" w:cs="Times New Roman"/>
          <w:noProof/>
        </w:rPr>
        <w:t>, Canada and Mexico already use the 600</w:t>
      </w:r>
      <w:r w:rsidR="34CD1EBA" w:rsidRPr="463B461D">
        <w:rPr>
          <w:rFonts w:ascii="Times New Roman" w:eastAsia="Times New Roman" w:hAnsi="Times New Roman" w:cs="Times New Roman"/>
          <w:noProof/>
        </w:rPr>
        <w:t> </w:t>
      </w:r>
      <w:r w:rsidR="7E270F48" w:rsidRPr="220295B1">
        <w:rPr>
          <w:rFonts w:ascii="Times New Roman" w:eastAsia="Times New Roman" w:hAnsi="Times New Roman" w:cs="Times New Roman"/>
          <w:noProof/>
        </w:rPr>
        <w:t xml:space="preserve">MHz band for mobile broadband (4G/5G), whereas in most Caribbean and Latin American countries the band </w:t>
      </w:r>
      <w:r w:rsidR="18C493C8" w:rsidRPr="463B461D">
        <w:rPr>
          <w:rFonts w:ascii="Times New Roman" w:eastAsia="Times New Roman" w:hAnsi="Times New Roman" w:cs="Times New Roman"/>
          <w:noProof/>
        </w:rPr>
        <w:t xml:space="preserve">is </w:t>
      </w:r>
      <w:r w:rsidR="7E270F48" w:rsidRPr="220295B1">
        <w:rPr>
          <w:rFonts w:ascii="Times New Roman" w:eastAsia="Times New Roman" w:hAnsi="Times New Roman" w:cs="Times New Roman"/>
          <w:noProof/>
        </w:rPr>
        <w:t xml:space="preserve">still </w:t>
      </w:r>
      <w:r w:rsidR="7E270F48" w:rsidRPr="463B461D">
        <w:rPr>
          <w:rFonts w:ascii="Times New Roman" w:eastAsia="Times New Roman" w:hAnsi="Times New Roman" w:cs="Times New Roman"/>
          <w:noProof/>
        </w:rPr>
        <w:t>use</w:t>
      </w:r>
      <w:r w:rsidR="18C493C8" w:rsidRPr="463B461D">
        <w:rPr>
          <w:rFonts w:ascii="Times New Roman" w:eastAsia="Times New Roman" w:hAnsi="Times New Roman" w:cs="Times New Roman"/>
          <w:noProof/>
        </w:rPr>
        <w:t>d</w:t>
      </w:r>
      <w:r w:rsidR="7E270F48" w:rsidRPr="000B2891">
        <w:rPr>
          <w:rFonts w:ascii="Times New Roman" w:eastAsia="Times New Roman" w:hAnsi="Times New Roman" w:cs="Times New Roman"/>
          <w:noProof/>
        </w:rPr>
        <w:t xml:space="preserve"> for terrestrial broadcasting, with a future potential for mobile broadband. </w:t>
      </w:r>
      <w:r w:rsidRPr="463B461D">
        <w:rPr>
          <w:rFonts w:ascii="Times New Roman" w:eastAsia="Times New Roman" w:hAnsi="Times New Roman" w:cs="Times New Roman"/>
          <w:noProof/>
        </w:rPr>
        <w:t>Throughout</w:t>
      </w:r>
      <w:r w:rsidR="7E270F48" w:rsidRPr="000B2891">
        <w:rPr>
          <w:rFonts w:ascii="Times New Roman" w:eastAsia="Times New Roman" w:hAnsi="Times New Roman" w:cs="Times New Roman"/>
          <w:noProof/>
        </w:rPr>
        <w:t xml:space="preserve"> Region 2, the 608-614</w:t>
      </w:r>
      <w:r w:rsidR="34CD1EBA" w:rsidRPr="463B461D">
        <w:rPr>
          <w:rFonts w:ascii="Times New Roman" w:eastAsia="Times New Roman" w:hAnsi="Times New Roman" w:cs="Times New Roman"/>
          <w:noProof/>
        </w:rPr>
        <w:t> </w:t>
      </w:r>
      <w:r w:rsidR="7E270F48" w:rsidRPr="000B2891">
        <w:rPr>
          <w:rFonts w:ascii="Times New Roman" w:eastAsia="Times New Roman" w:hAnsi="Times New Roman" w:cs="Times New Roman"/>
          <w:noProof/>
        </w:rPr>
        <w:t>MHz frequency band has an exclusive primary allocation to radio astronomy.</w:t>
      </w:r>
    </w:p>
    <w:p w14:paraId="767BB4B4" w14:textId="492DBFCC" w:rsidR="00BF60DB" w:rsidRDefault="00BF60DB" w:rsidP="00BF60DB">
      <w:pPr>
        <w:spacing w:after="240" w:line="240" w:lineRule="auto"/>
        <w:jc w:val="both"/>
        <w:rPr>
          <w:rFonts w:ascii="Times New Roman" w:eastAsia="Times New Roman" w:hAnsi="Times New Roman" w:cs="Times New Roman"/>
          <w:noProof/>
        </w:rPr>
      </w:pPr>
      <w:r w:rsidRPr="0327305E">
        <w:rPr>
          <w:rFonts w:ascii="Times New Roman" w:eastAsia="Times New Roman" w:hAnsi="Times New Roman" w:cs="Times New Roman"/>
          <w:noProof/>
        </w:rPr>
        <w:t>In ITU Region 3, the entire sub-700</w:t>
      </w:r>
      <w:r w:rsidR="003B563B" w:rsidRPr="0327305E">
        <w:rPr>
          <w:rFonts w:ascii="Times New Roman" w:eastAsia="Times New Roman" w:hAnsi="Times New Roman" w:cs="Times New Roman"/>
          <w:noProof/>
        </w:rPr>
        <w:t> </w:t>
      </w:r>
      <w:r w:rsidRPr="0327305E">
        <w:rPr>
          <w:rFonts w:ascii="Times New Roman" w:eastAsia="Times New Roman" w:hAnsi="Times New Roman" w:cs="Times New Roman"/>
          <w:noProof/>
        </w:rPr>
        <w:t>MHz band has an additional primary allocation to the fixed and mobile service, while the 585</w:t>
      </w:r>
      <w:r w:rsidR="00516125" w:rsidRPr="0327305E">
        <w:rPr>
          <w:rFonts w:ascii="Times New Roman" w:eastAsia="Times New Roman" w:hAnsi="Times New Roman" w:cs="Times New Roman"/>
          <w:noProof/>
        </w:rPr>
        <w:t>-</w:t>
      </w:r>
      <w:r w:rsidRPr="0327305E">
        <w:rPr>
          <w:rFonts w:ascii="Times New Roman" w:eastAsia="Times New Roman" w:hAnsi="Times New Roman" w:cs="Times New Roman"/>
          <w:noProof/>
        </w:rPr>
        <w:t>610</w:t>
      </w:r>
      <w:r w:rsidR="003B563B" w:rsidRPr="0327305E">
        <w:rPr>
          <w:rFonts w:ascii="Times New Roman" w:eastAsia="Times New Roman" w:hAnsi="Times New Roman" w:cs="Times New Roman"/>
          <w:noProof/>
        </w:rPr>
        <w:t> </w:t>
      </w:r>
      <w:r w:rsidRPr="0327305E">
        <w:rPr>
          <w:rFonts w:ascii="Times New Roman" w:eastAsia="Times New Roman" w:hAnsi="Times New Roman" w:cs="Times New Roman"/>
          <w:noProof/>
        </w:rPr>
        <w:t>MHz range has an additional primary allocation to the radionavigation service. A number of countries have an IMT identification either within the 600</w:t>
      </w:r>
      <w:r w:rsidR="003B563B" w:rsidRPr="0327305E">
        <w:rPr>
          <w:rFonts w:ascii="Times New Roman" w:eastAsia="Times New Roman" w:hAnsi="Times New Roman" w:cs="Times New Roman"/>
          <w:noProof/>
        </w:rPr>
        <w:t> </w:t>
      </w:r>
      <w:r w:rsidRPr="0327305E">
        <w:rPr>
          <w:rFonts w:ascii="Times New Roman" w:eastAsia="Times New Roman" w:hAnsi="Times New Roman" w:cs="Times New Roman"/>
          <w:noProof/>
        </w:rPr>
        <w:t>MHz band (</w:t>
      </w:r>
      <w:r w:rsidR="00501914" w:rsidRPr="0327305E">
        <w:rPr>
          <w:rFonts w:ascii="Times New Roman" w:eastAsia="Times New Roman" w:hAnsi="Times New Roman" w:cs="Times New Roman"/>
          <w:noProof/>
        </w:rPr>
        <w:t xml:space="preserve">or </w:t>
      </w:r>
      <w:r w:rsidRPr="0327305E">
        <w:rPr>
          <w:rFonts w:ascii="Times New Roman" w:eastAsia="Times New Roman" w:hAnsi="Times New Roman" w:cs="Times New Roman"/>
          <w:noProof/>
        </w:rPr>
        <w:t>portions</w:t>
      </w:r>
      <w:r w:rsidR="00501914" w:rsidRPr="0327305E">
        <w:rPr>
          <w:rFonts w:ascii="Times New Roman" w:eastAsia="Times New Roman" w:hAnsi="Times New Roman" w:cs="Times New Roman"/>
          <w:noProof/>
        </w:rPr>
        <w:t xml:space="preserve"> of it</w:t>
      </w:r>
      <w:r w:rsidRPr="0327305E">
        <w:rPr>
          <w:rFonts w:ascii="Times New Roman" w:eastAsia="Times New Roman" w:hAnsi="Times New Roman" w:cs="Times New Roman"/>
          <w:noProof/>
        </w:rPr>
        <w:t>) or within the sub-700</w:t>
      </w:r>
      <w:r w:rsidR="003B563B" w:rsidRPr="0327305E">
        <w:rPr>
          <w:rFonts w:ascii="Times New Roman" w:eastAsia="Times New Roman" w:hAnsi="Times New Roman" w:cs="Times New Roman"/>
          <w:noProof/>
        </w:rPr>
        <w:t> </w:t>
      </w:r>
      <w:r w:rsidRPr="0327305E">
        <w:rPr>
          <w:rFonts w:ascii="Times New Roman" w:eastAsia="Times New Roman" w:hAnsi="Times New Roman" w:cs="Times New Roman"/>
          <w:noProof/>
        </w:rPr>
        <w:t>MHz band (</w:t>
      </w:r>
      <w:r w:rsidR="00501914" w:rsidRPr="0327305E">
        <w:rPr>
          <w:rFonts w:ascii="Times New Roman" w:eastAsia="Times New Roman" w:hAnsi="Times New Roman" w:cs="Times New Roman"/>
          <w:noProof/>
        </w:rPr>
        <w:t xml:space="preserve">or </w:t>
      </w:r>
      <w:r w:rsidRPr="0327305E">
        <w:rPr>
          <w:rFonts w:ascii="Times New Roman" w:eastAsia="Times New Roman" w:hAnsi="Times New Roman" w:cs="Times New Roman"/>
          <w:noProof/>
        </w:rPr>
        <w:t xml:space="preserve">portions </w:t>
      </w:r>
      <w:r w:rsidR="00501914" w:rsidRPr="0327305E">
        <w:rPr>
          <w:rFonts w:ascii="Times New Roman" w:eastAsia="Times New Roman" w:hAnsi="Times New Roman" w:cs="Times New Roman"/>
          <w:noProof/>
        </w:rPr>
        <w:t>of it</w:t>
      </w:r>
      <w:r w:rsidRPr="0327305E">
        <w:rPr>
          <w:rFonts w:ascii="Times New Roman" w:eastAsia="Times New Roman" w:hAnsi="Times New Roman" w:cs="Times New Roman"/>
          <w:noProof/>
        </w:rPr>
        <w:t>). China uses the 600</w:t>
      </w:r>
      <w:r w:rsidR="003B563B" w:rsidRPr="0327305E">
        <w:rPr>
          <w:rFonts w:ascii="Times New Roman" w:eastAsia="Times New Roman" w:hAnsi="Times New Roman" w:cs="Times New Roman"/>
          <w:noProof/>
        </w:rPr>
        <w:t> </w:t>
      </w:r>
      <w:r w:rsidRPr="0327305E">
        <w:rPr>
          <w:rFonts w:ascii="Times New Roman" w:eastAsia="Times New Roman" w:hAnsi="Times New Roman" w:cs="Times New Roman"/>
          <w:noProof/>
        </w:rPr>
        <w:t xml:space="preserve">MHz band for 5G (covering rural areas), and India, Australia, New Zealand and South Korea are </w:t>
      </w:r>
      <w:r w:rsidR="00501914" w:rsidRPr="0327305E">
        <w:rPr>
          <w:rFonts w:ascii="Times New Roman" w:eastAsia="Times New Roman" w:hAnsi="Times New Roman" w:cs="Times New Roman"/>
          <w:noProof/>
        </w:rPr>
        <w:t xml:space="preserve">moving </w:t>
      </w:r>
      <w:r w:rsidRPr="0327305E">
        <w:rPr>
          <w:rFonts w:ascii="Times New Roman" w:eastAsia="Times New Roman" w:hAnsi="Times New Roman" w:cs="Times New Roman"/>
          <w:noProof/>
        </w:rPr>
        <w:t>towards mobile use of th</w:t>
      </w:r>
      <w:r w:rsidR="009713D8" w:rsidRPr="0327305E">
        <w:rPr>
          <w:rFonts w:ascii="Times New Roman" w:eastAsia="Times New Roman" w:hAnsi="Times New Roman" w:cs="Times New Roman"/>
          <w:noProof/>
        </w:rPr>
        <w:t>e</w:t>
      </w:r>
      <w:r w:rsidRPr="0327305E">
        <w:rPr>
          <w:rFonts w:ascii="Times New Roman" w:eastAsia="Times New Roman" w:hAnsi="Times New Roman" w:cs="Times New Roman"/>
          <w:noProof/>
        </w:rPr>
        <w:t xml:space="preserve"> band</w:t>
      </w:r>
      <w:r w:rsidR="009713D8" w:rsidRPr="0327305E">
        <w:rPr>
          <w:rFonts w:ascii="Times New Roman" w:eastAsia="Times New Roman" w:hAnsi="Times New Roman" w:cs="Times New Roman"/>
          <w:noProof/>
        </w:rPr>
        <w:t>. However</w:t>
      </w:r>
      <w:r w:rsidRPr="0327305E">
        <w:rPr>
          <w:rFonts w:ascii="Times New Roman" w:eastAsia="Times New Roman" w:hAnsi="Times New Roman" w:cs="Times New Roman"/>
          <w:noProof/>
        </w:rPr>
        <w:t>, most other countries</w:t>
      </w:r>
      <w:r w:rsidR="00E60ACB" w:rsidRPr="0327305E">
        <w:rPr>
          <w:rFonts w:ascii="Times New Roman" w:eastAsia="Times New Roman" w:hAnsi="Times New Roman" w:cs="Times New Roman"/>
          <w:noProof/>
        </w:rPr>
        <w:t xml:space="preserve"> </w:t>
      </w:r>
      <w:r w:rsidR="1D3862CD" w:rsidRPr="0E3B612F">
        <w:rPr>
          <w:rFonts w:ascii="Times New Roman" w:eastAsia="Times New Roman" w:hAnsi="Times New Roman" w:cs="Times New Roman"/>
          <w:noProof/>
        </w:rPr>
        <w:t xml:space="preserve">- </w:t>
      </w:r>
      <w:r w:rsidRPr="0327305E">
        <w:rPr>
          <w:rFonts w:ascii="Times New Roman" w:eastAsia="Times New Roman" w:hAnsi="Times New Roman" w:cs="Times New Roman"/>
          <w:noProof/>
        </w:rPr>
        <w:t>particularly in Southeast and East Asia</w:t>
      </w:r>
      <w:r w:rsidR="00E60ACB" w:rsidRPr="0327305E">
        <w:rPr>
          <w:rFonts w:ascii="Times New Roman" w:eastAsia="Times New Roman" w:hAnsi="Times New Roman" w:cs="Times New Roman"/>
          <w:noProof/>
        </w:rPr>
        <w:t xml:space="preserve"> </w:t>
      </w:r>
      <w:r w:rsidR="4720D481" w:rsidRPr="0E3B612F">
        <w:rPr>
          <w:rFonts w:ascii="Times New Roman" w:eastAsia="Times New Roman" w:hAnsi="Times New Roman" w:cs="Times New Roman"/>
          <w:noProof/>
        </w:rPr>
        <w:t>-</w:t>
      </w:r>
      <w:r w:rsidR="4720D481" w:rsidRPr="31A7C780">
        <w:rPr>
          <w:rFonts w:ascii="Times New Roman" w:eastAsia="Times New Roman" w:hAnsi="Times New Roman" w:cs="Times New Roman"/>
          <w:noProof/>
        </w:rPr>
        <w:t xml:space="preserve"> </w:t>
      </w:r>
      <w:r w:rsidRPr="0327305E">
        <w:rPr>
          <w:rFonts w:ascii="Times New Roman" w:eastAsia="Times New Roman" w:hAnsi="Times New Roman" w:cs="Times New Roman"/>
          <w:noProof/>
        </w:rPr>
        <w:t>continue to use the band mainly for terrestrial broadcasting.</w:t>
      </w:r>
    </w:p>
    <w:p w14:paraId="02D059A0" w14:textId="3DFC21CB" w:rsidR="00BF60DB" w:rsidRPr="00BF60DB" w:rsidRDefault="00BF60DB" w:rsidP="00BF60DB">
      <w:pPr>
        <w:pStyle w:val="Heading1"/>
        <w:spacing w:after="240"/>
        <w:rPr>
          <w:rFonts w:ascii="Times New Roman" w:hAnsi="Times New Roman" w:cs="Times New Roman"/>
          <w:b/>
          <w:noProof/>
          <w:color w:val="auto"/>
          <w:sz w:val="28"/>
          <w:szCs w:val="32"/>
        </w:rPr>
      </w:pPr>
      <w:r w:rsidRPr="00BF60DB">
        <w:rPr>
          <w:rFonts w:ascii="Times New Roman" w:hAnsi="Times New Roman" w:cs="Times New Roman"/>
          <w:b/>
          <w:noProof/>
          <w:color w:val="auto"/>
          <w:sz w:val="28"/>
          <w:szCs w:val="32"/>
        </w:rPr>
        <w:t>3. USE OF THE 470-694</w:t>
      </w:r>
      <w:r w:rsidR="003B563B">
        <w:rPr>
          <w:rFonts w:ascii="Times New Roman" w:hAnsi="Times New Roman" w:cs="Times New Roman"/>
          <w:b/>
          <w:noProof/>
          <w:color w:val="auto"/>
          <w:sz w:val="28"/>
          <w:szCs w:val="32"/>
        </w:rPr>
        <w:t> </w:t>
      </w:r>
      <w:r w:rsidRPr="00BF60DB">
        <w:rPr>
          <w:rFonts w:ascii="Times New Roman" w:hAnsi="Times New Roman" w:cs="Times New Roman"/>
          <w:b/>
          <w:noProof/>
          <w:color w:val="auto"/>
          <w:sz w:val="28"/>
          <w:szCs w:val="32"/>
        </w:rPr>
        <w:t>MHz BAND IN THE EU</w:t>
      </w:r>
    </w:p>
    <w:p w14:paraId="0E0B08E6" w14:textId="2169FEC4" w:rsidR="00BF60DB" w:rsidRDefault="00BF60DB" w:rsidP="00BF60DB">
      <w:pPr>
        <w:pStyle w:val="paragraph"/>
        <w:spacing w:before="0" w:beforeAutospacing="0" w:after="240" w:afterAutospacing="0"/>
        <w:rPr>
          <w:rStyle w:val="normaltextrun"/>
          <w:b/>
          <w:bCs/>
          <w:noProof/>
        </w:rPr>
      </w:pPr>
      <w:r w:rsidRPr="7482D136">
        <w:rPr>
          <w:rStyle w:val="normaltextrun"/>
          <w:b/>
          <w:bCs/>
          <w:noProof/>
        </w:rPr>
        <w:t xml:space="preserve">Digital </w:t>
      </w:r>
      <w:r w:rsidRPr="00516125">
        <w:rPr>
          <w:rStyle w:val="normaltextrun"/>
          <w:b/>
          <w:bCs/>
          <w:noProof/>
        </w:rPr>
        <w:t>T</w:t>
      </w:r>
      <w:r w:rsidRPr="7482D136">
        <w:rPr>
          <w:rStyle w:val="normaltextrun"/>
          <w:b/>
          <w:bCs/>
          <w:noProof/>
        </w:rPr>
        <w:t>errestrial Television (DTT)</w:t>
      </w:r>
    </w:p>
    <w:p w14:paraId="586114C1" w14:textId="74EFFAF4" w:rsidR="00BF60DB" w:rsidRPr="00D22FEC" w:rsidRDefault="00BF60DB" w:rsidP="00BF60DB">
      <w:pPr>
        <w:pStyle w:val="paragraph"/>
        <w:spacing w:before="0" w:beforeAutospacing="0" w:after="240" w:afterAutospacing="0"/>
        <w:jc w:val="both"/>
        <w:rPr>
          <w:rStyle w:val="eop"/>
          <w:noProof/>
          <w:shd w:val="clear" w:color="auto" w:fill="FFFFFF"/>
        </w:rPr>
      </w:pPr>
      <w:r w:rsidRPr="00D22FEC">
        <w:rPr>
          <w:rStyle w:val="normaltextrun"/>
          <w:noProof/>
          <w:shd w:val="clear" w:color="auto" w:fill="FFFFFF"/>
        </w:rPr>
        <w:t>In the EU,</w:t>
      </w:r>
      <w:r w:rsidR="00F34AD0">
        <w:rPr>
          <w:rStyle w:val="normaltextrun"/>
          <w:noProof/>
          <w:shd w:val="clear" w:color="auto" w:fill="FFFFFF"/>
        </w:rPr>
        <w:t xml:space="preserve"> </w:t>
      </w:r>
      <w:r w:rsidRPr="004770B6">
        <w:rPr>
          <w:rStyle w:val="normaltextrun"/>
          <w:noProof/>
          <w:shd w:val="clear" w:color="auto" w:fill="FFFFFF"/>
          <w:lang w:val="en-US"/>
        </w:rPr>
        <w:t>the sub-700</w:t>
      </w:r>
      <w:r w:rsidR="003B563B">
        <w:rPr>
          <w:rStyle w:val="normaltextrun"/>
          <w:noProof/>
          <w:shd w:val="clear" w:color="auto" w:fill="FFFFFF"/>
        </w:rPr>
        <w:t> </w:t>
      </w:r>
      <w:r w:rsidRPr="00B00547">
        <w:rPr>
          <w:rStyle w:val="normaltextrun"/>
          <w:noProof/>
          <w:shd w:val="clear" w:color="auto" w:fill="FFFFFF"/>
          <w:lang w:val="en-US"/>
        </w:rPr>
        <w:t>MHz band</w:t>
      </w:r>
      <w:r w:rsidR="00F34AD0">
        <w:rPr>
          <w:rStyle w:val="normaltextrun"/>
          <w:noProof/>
          <w:shd w:val="clear" w:color="auto" w:fill="FFFFFF"/>
          <w:lang w:val="en-US"/>
        </w:rPr>
        <w:t xml:space="preserve"> </w:t>
      </w:r>
      <w:r w:rsidRPr="00B00547">
        <w:rPr>
          <w:rStyle w:val="normaltextrun"/>
          <w:noProof/>
          <w:shd w:val="clear" w:color="auto" w:fill="FFFFFF"/>
          <w:lang w:val="en-US"/>
        </w:rPr>
        <w:t>has traditionally</w:t>
      </w:r>
      <w:r w:rsidR="00F34AD0">
        <w:rPr>
          <w:rStyle w:val="normaltextrun"/>
          <w:noProof/>
          <w:shd w:val="clear" w:color="auto" w:fill="FFFFFF"/>
          <w:lang w:val="en-US"/>
        </w:rPr>
        <w:t xml:space="preserve"> </w:t>
      </w:r>
      <w:r w:rsidRPr="00B00547">
        <w:rPr>
          <w:rStyle w:val="normaltextrun"/>
          <w:noProof/>
          <w:shd w:val="clear" w:color="auto" w:fill="FFFFFF"/>
          <w:lang w:val="en-US"/>
        </w:rPr>
        <w:t>been used</w:t>
      </w:r>
      <w:r w:rsidRPr="004770B6">
        <w:rPr>
          <w:rStyle w:val="normaltextrun"/>
          <w:noProof/>
          <w:lang w:val="en-US"/>
        </w:rPr>
        <w:t xml:space="preserve"> </w:t>
      </w:r>
      <w:r w:rsidR="00F34AD0" w:rsidRPr="004770B6">
        <w:rPr>
          <w:rStyle w:val="normaltextrun"/>
          <w:noProof/>
          <w:lang w:val="en-US"/>
        </w:rPr>
        <w:t xml:space="preserve">for free-to-air </w:t>
      </w:r>
      <w:r w:rsidRPr="004770B6">
        <w:rPr>
          <w:rStyle w:val="normaltextrun"/>
          <w:noProof/>
          <w:lang w:val="en-US"/>
        </w:rPr>
        <w:t>(FTA</w:t>
      </w:r>
      <w:r w:rsidR="00BE3E37">
        <w:rPr>
          <w:rStyle w:val="normaltextrun"/>
          <w:noProof/>
        </w:rPr>
        <w:t>)</w:t>
      </w:r>
      <w:r w:rsidRPr="004770B6">
        <w:rPr>
          <w:rStyle w:val="normaltextrun"/>
          <w:noProof/>
          <w:lang w:val="en-US"/>
        </w:rPr>
        <w:t xml:space="preserve"> </w:t>
      </w:r>
      <w:r w:rsidRPr="004770B6">
        <w:rPr>
          <w:rStyle w:val="normaltextrun"/>
          <w:noProof/>
          <w:shd w:val="clear" w:color="auto" w:fill="FFFFFF"/>
          <w:lang w:val="en-US"/>
        </w:rPr>
        <w:t>terrestrial television broadcasting, which has more recently switched over from analogue format to DTT.</w:t>
      </w:r>
    </w:p>
    <w:p w14:paraId="1F661F9C" w14:textId="3FADFCA8" w:rsidR="00BF60DB" w:rsidRPr="00FD5ED5" w:rsidRDefault="00BF60DB" w:rsidP="00BF60DB">
      <w:pPr>
        <w:pStyle w:val="paragraph"/>
        <w:spacing w:before="0" w:beforeAutospacing="0" w:after="240" w:afterAutospacing="0"/>
        <w:jc w:val="both"/>
        <w:rPr>
          <w:noProof/>
        </w:rPr>
      </w:pPr>
      <w:r w:rsidRPr="004770B6">
        <w:rPr>
          <w:rStyle w:val="eop"/>
          <w:noProof/>
          <w:lang w:val="en-US"/>
        </w:rPr>
        <w:t>The digital switchover process began on 17</w:t>
      </w:r>
      <w:r w:rsidR="00516125">
        <w:rPr>
          <w:rStyle w:val="eop"/>
          <w:noProof/>
        </w:rPr>
        <w:t> </w:t>
      </w:r>
      <w:r w:rsidRPr="004770B6">
        <w:rPr>
          <w:rStyle w:val="eop"/>
          <w:noProof/>
          <w:lang w:val="en-US"/>
        </w:rPr>
        <w:t>June 2006 and was completed on 17</w:t>
      </w:r>
      <w:r w:rsidR="00516125">
        <w:rPr>
          <w:rStyle w:val="eop"/>
          <w:noProof/>
        </w:rPr>
        <w:t> </w:t>
      </w:r>
      <w:r w:rsidRPr="004770B6">
        <w:rPr>
          <w:rStyle w:val="eop"/>
          <w:noProof/>
          <w:lang w:val="en-US"/>
        </w:rPr>
        <w:t>June 2015, in accordance with the ITU’s Geneva 2006 (GE06) Agreement</w:t>
      </w:r>
      <w:r w:rsidRPr="0010331E">
        <w:rPr>
          <w:rStyle w:val="FootnoteReference"/>
          <w:noProof/>
        </w:rPr>
        <w:footnoteReference w:id="18"/>
      </w:r>
      <w:r w:rsidRPr="004770B6">
        <w:rPr>
          <w:rStyle w:val="eop"/>
          <w:noProof/>
          <w:lang w:val="en-US"/>
        </w:rPr>
        <w:t xml:space="preserve">. </w:t>
      </w:r>
      <w:r>
        <w:rPr>
          <w:noProof/>
        </w:rPr>
        <w:t>The transition from analogue to digital terrestrial TV has significantly increased the efficiency of spectrum use, enabling more services to be transmitted within the same bandwidth. With analogue TV, one television service was transmitted per frequency. In DTT, multiple services can be carried on a single frequency. This is achieved through a multiplex, enabled by the DVB-T standard</w:t>
      </w:r>
      <w:r w:rsidR="00FF66D6">
        <w:rPr>
          <w:noProof/>
        </w:rPr>
        <w:t>.</w:t>
      </w:r>
      <w:r>
        <w:rPr>
          <w:noProof/>
        </w:rPr>
        <w:t xml:space="preserve"> </w:t>
      </w:r>
      <w:r w:rsidR="00FF66D6">
        <w:rPr>
          <w:noProof/>
        </w:rPr>
        <w:t>A multiplex</w:t>
      </w:r>
      <w:r>
        <w:rPr>
          <w:noProof/>
        </w:rPr>
        <w:t xml:space="preserve"> combines several services (channels) into a single digital stream transmitted within an 8 MHz channel (in the EU).</w:t>
      </w:r>
    </w:p>
    <w:p w14:paraId="2BD761F0" w14:textId="152C5891" w:rsidR="00BF60DB" w:rsidRDefault="00BF60DB" w:rsidP="00BF60DB">
      <w:pPr>
        <w:pStyle w:val="paragraph"/>
        <w:spacing w:before="0" w:beforeAutospacing="0" w:after="240" w:afterAutospacing="0"/>
        <w:jc w:val="both"/>
        <w:rPr>
          <w:rStyle w:val="eop"/>
          <w:noProof/>
        </w:rPr>
      </w:pPr>
      <w:r w:rsidRPr="220295B1">
        <w:rPr>
          <w:rStyle w:val="eop"/>
          <w:noProof/>
        </w:rPr>
        <w:t>The extent to which the sub-700</w:t>
      </w:r>
      <w:r w:rsidR="003B563B">
        <w:rPr>
          <w:rStyle w:val="eop"/>
          <w:noProof/>
        </w:rPr>
        <w:t> </w:t>
      </w:r>
      <w:r w:rsidRPr="220295B1">
        <w:rPr>
          <w:rStyle w:val="eop"/>
          <w:noProof/>
        </w:rPr>
        <w:t xml:space="preserve">MHz band is used for DTT varies significantly across the Member States. </w:t>
      </w:r>
      <w:r>
        <w:rPr>
          <w:rStyle w:val="eop"/>
          <w:noProof/>
        </w:rPr>
        <w:t>A</w:t>
      </w:r>
      <w:r w:rsidRPr="220295B1">
        <w:rPr>
          <w:rStyle w:val="eop"/>
          <w:noProof/>
        </w:rPr>
        <w:t xml:space="preserve"> Commission study</w:t>
      </w:r>
      <w:r w:rsidRPr="284150F8">
        <w:rPr>
          <w:rStyle w:val="FootnoteReference"/>
          <w:noProof/>
        </w:rPr>
        <w:footnoteReference w:id="19"/>
      </w:r>
      <w:r w:rsidRPr="220295B1">
        <w:rPr>
          <w:rStyle w:val="eop"/>
          <w:noProof/>
        </w:rPr>
        <w:t xml:space="preserve"> </w:t>
      </w:r>
      <w:r w:rsidR="006079A9">
        <w:rPr>
          <w:rStyle w:val="eop"/>
          <w:noProof/>
        </w:rPr>
        <w:t>used</w:t>
      </w:r>
      <w:r w:rsidRPr="220295B1">
        <w:rPr>
          <w:rStyle w:val="eop"/>
          <w:noProof/>
        </w:rPr>
        <w:t xml:space="preserve"> a targeted questionnaire</w:t>
      </w:r>
      <w:r w:rsidR="006079A9">
        <w:rPr>
          <w:rStyle w:val="eop"/>
          <w:noProof/>
        </w:rPr>
        <w:t xml:space="preserve"> to collect </w:t>
      </w:r>
      <w:r w:rsidRPr="220295B1">
        <w:rPr>
          <w:rStyle w:val="eop"/>
          <w:noProof/>
        </w:rPr>
        <w:t xml:space="preserve">viewpoints from national regulators in the Member States </w:t>
      </w:r>
      <w:r w:rsidR="00B7246A">
        <w:rPr>
          <w:rStyle w:val="eop"/>
          <w:noProof/>
        </w:rPr>
        <w:t xml:space="preserve">on </w:t>
      </w:r>
      <w:r w:rsidR="00FF66D6">
        <w:rPr>
          <w:rStyle w:val="eop"/>
          <w:noProof/>
        </w:rPr>
        <w:t>the</w:t>
      </w:r>
      <w:r w:rsidR="00FF66D6" w:rsidRPr="00516125">
        <w:rPr>
          <w:rStyle w:val="eop"/>
          <w:noProof/>
        </w:rPr>
        <w:t xml:space="preserve"> </w:t>
      </w:r>
      <w:r w:rsidRPr="220295B1">
        <w:rPr>
          <w:rStyle w:val="eop"/>
          <w:noProof/>
        </w:rPr>
        <w:t xml:space="preserve">current use </w:t>
      </w:r>
      <w:r w:rsidR="00FF66D6">
        <w:rPr>
          <w:rStyle w:val="eop"/>
          <w:noProof/>
        </w:rPr>
        <w:t xml:space="preserve">of the band </w:t>
      </w:r>
      <w:r w:rsidRPr="220295B1">
        <w:rPr>
          <w:rStyle w:val="eop"/>
          <w:noProof/>
        </w:rPr>
        <w:t xml:space="preserve">for DTT </w:t>
      </w:r>
      <w:r w:rsidR="006079A9">
        <w:rPr>
          <w:rStyle w:val="eop"/>
          <w:noProof/>
        </w:rPr>
        <w:t>and</w:t>
      </w:r>
      <w:r w:rsidRPr="220295B1">
        <w:rPr>
          <w:rStyle w:val="eop"/>
          <w:noProof/>
        </w:rPr>
        <w:t xml:space="preserve"> its planned future use. Furthermore, </w:t>
      </w:r>
      <w:r>
        <w:rPr>
          <w:rStyle w:val="eop"/>
          <w:noProof/>
        </w:rPr>
        <w:t xml:space="preserve">replies to </w:t>
      </w:r>
      <w:r w:rsidRPr="220295B1">
        <w:rPr>
          <w:rStyle w:val="eop"/>
          <w:noProof/>
        </w:rPr>
        <w:t xml:space="preserve">a </w:t>
      </w:r>
      <w:r w:rsidR="006079A9">
        <w:rPr>
          <w:rStyle w:val="eop"/>
          <w:noProof/>
        </w:rPr>
        <w:t>2024</w:t>
      </w:r>
      <w:r w:rsidRPr="00516125">
        <w:rPr>
          <w:rStyle w:val="eop"/>
          <w:noProof/>
        </w:rPr>
        <w:t xml:space="preserve"> </w:t>
      </w:r>
      <w:r w:rsidRPr="220295B1">
        <w:rPr>
          <w:rStyle w:val="eop"/>
          <w:noProof/>
        </w:rPr>
        <w:t xml:space="preserve">RSPG questionnaire </w:t>
      </w:r>
      <w:r w:rsidRPr="064E9491">
        <w:rPr>
          <w:rStyle w:val="eop"/>
          <w:noProof/>
        </w:rPr>
        <w:t xml:space="preserve">and a </w:t>
      </w:r>
      <w:r>
        <w:rPr>
          <w:rStyle w:val="eop"/>
          <w:noProof/>
        </w:rPr>
        <w:t>subsequent</w:t>
      </w:r>
      <w:r w:rsidRPr="220295B1">
        <w:rPr>
          <w:rStyle w:val="eop"/>
          <w:noProof/>
        </w:rPr>
        <w:t xml:space="preserve"> RSPG </w:t>
      </w:r>
      <w:r w:rsidR="00FF66D6">
        <w:rPr>
          <w:rStyle w:val="eop"/>
          <w:noProof/>
        </w:rPr>
        <w:t>r</w:t>
      </w:r>
      <w:r w:rsidRPr="220295B1">
        <w:rPr>
          <w:rStyle w:val="eop"/>
          <w:noProof/>
        </w:rPr>
        <w:t>eport</w:t>
      </w:r>
      <w:r w:rsidRPr="284150F8">
        <w:rPr>
          <w:rStyle w:val="FootnoteReference"/>
          <w:noProof/>
        </w:rPr>
        <w:footnoteReference w:id="20"/>
      </w:r>
      <w:r w:rsidRPr="220295B1">
        <w:rPr>
          <w:rStyle w:val="eop"/>
          <w:noProof/>
        </w:rPr>
        <w:t xml:space="preserve"> provided updated viewpoints </w:t>
      </w:r>
      <w:r w:rsidR="00FF66D6">
        <w:rPr>
          <w:rStyle w:val="eop"/>
          <w:noProof/>
        </w:rPr>
        <w:t>from</w:t>
      </w:r>
      <w:r w:rsidR="00FF66D6" w:rsidRPr="00516125">
        <w:rPr>
          <w:rStyle w:val="eop"/>
          <w:noProof/>
        </w:rPr>
        <w:t xml:space="preserve"> </w:t>
      </w:r>
      <w:r w:rsidRPr="220295B1">
        <w:rPr>
          <w:rStyle w:val="eop"/>
          <w:noProof/>
        </w:rPr>
        <w:t>the Member States on the use of the sub-700</w:t>
      </w:r>
      <w:r w:rsidR="00E130FA">
        <w:rPr>
          <w:rStyle w:val="eop"/>
          <w:noProof/>
        </w:rPr>
        <w:t> </w:t>
      </w:r>
      <w:r w:rsidR="003B563B">
        <w:rPr>
          <w:rStyle w:val="eop"/>
          <w:noProof/>
        </w:rPr>
        <w:t> MHz</w:t>
      </w:r>
      <w:r w:rsidRPr="220295B1">
        <w:rPr>
          <w:rStyle w:val="eop"/>
          <w:noProof/>
        </w:rPr>
        <w:t xml:space="preserve"> band.</w:t>
      </w:r>
    </w:p>
    <w:p w14:paraId="00D50BDC" w14:textId="28F3A00C" w:rsidR="00BF60DB" w:rsidRPr="00C32E13" w:rsidRDefault="00FF66D6" w:rsidP="00BF60DB">
      <w:pPr>
        <w:pStyle w:val="paragraph"/>
        <w:spacing w:before="0" w:beforeAutospacing="0" w:after="240" w:afterAutospacing="0"/>
        <w:jc w:val="both"/>
        <w:rPr>
          <w:rStyle w:val="eop"/>
          <w:noProof/>
        </w:rPr>
      </w:pPr>
      <w:r>
        <w:rPr>
          <w:rStyle w:val="eop"/>
          <w:noProof/>
        </w:rPr>
        <w:t>On the basis of</w:t>
      </w:r>
      <w:r w:rsidR="006079A9" w:rsidRPr="00516125">
        <w:rPr>
          <w:rStyle w:val="eop"/>
          <w:noProof/>
        </w:rPr>
        <w:t xml:space="preserve"> evidence from the replies to the RSPG questionnaire,</w:t>
      </w:r>
      <w:r w:rsidR="006079A9">
        <w:rPr>
          <w:rStyle w:val="eop"/>
          <w:noProof/>
        </w:rPr>
        <w:t xml:space="preserve"> a</w:t>
      </w:r>
      <w:r w:rsidR="00BF60DB" w:rsidRPr="29C3FA4B">
        <w:rPr>
          <w:rStyle w:val="eop"/>
          <w:noProof/>
        </w:rPr>
        <w:t xml:space="preserve"> focused assessment of developments in </w:t>
      </w:r>
      <w:r>
        <w:rPr>
          <w:rStyle w:val="eop"/>
          <w:noProof/>
        </w:rPr>
        <w:t>10</w:t>
      </w:r>
      <w:r w:rsidRPr="00516125">
        <w:rPr>
          <w:rStyle w:val="eop"/>
          <w:noProof/>
        </w:rPr>
        <w:t xml:space="preserve"> </w:t>
      </w:r>
      <w:r w:rsidR="00BF60DB" w:rsidRPr="29C3FA4B">
        <w:rPr>
          <w:rStyle w:val="eop"/>
          <w:noProof/>
        </w:rPr>
        <w:t>selected Member States</w:t>
      </w:r>
      <w:r w:rsidR="009B6067">
        <w:rPr>
          <w:rStyle w:val="eop"/>
          <w:noProof/>
        </w:rPr>
        <w:t xml:space="preserve"> </w:t>
      </w:r>
      <w:r w:rsidR="09BE2F54" w:rsidRPr="22D7985B">
        <w:rPr>
          <w:rStyle w:val="eop"/>
          <w:noProof/>
        </w:rPr>
        <w:t>-</w:t>
      </w:r>
      <w:r w:rsidR="00B02E49">
        <w:rPr>
          <w:rStyle w:val="eop"/>
          <w:noProof/>
        </w:rPr>
        <w:t> </w:t>
      </w:r>
      <w:r w:rsidR="00BF60DB" w:rsidRPr="29C3FA4B">
        <w:rPr>
          <w:rStyle w:val="eop"/>
          <w:noProof/>
        </w:rPr>
        <w:t>namely Croatia, Finland, France, Germany, Italy, Portugal, Slovenia, Spain, Sweden and the Netherlands</w:t>
      </w:r>
      <w:r w:rsidR="00B7246A">
        <w:rPr>
          <w:rStyle w:val="eop"/>
          <w:noProof/>
        </w:rPr>
        <w:t xml:space="preserve"> </w:t>
      </w:r>
      <w:r w:rsidR="3AC4ED4C" w:rsidRPr="2D6CB0A7">
        <w:rPr>
          <w:rStyle w:val="eop"/>
          <w:noProof/>
        </w:rPr>
        <w:t xml:space="preserve"> - </w:t>
      </w:r>
      <w:r w:rsidR="00BF60DB" w:rsidRPr="29C3FA4B">
        <w:rPr>
          <w:rStyle w:val="eop"/>
          <w:noProof/>
        </w:rPr>
        <w:t>is presented below to illustrate the significant differences in the use of the sub-700</w:t>
      </w:r>
      <w:r w:rsidR="003B563B">
        <w:rPr>
          <w:rStyle w:val="eop"/>
          <w:noProof/>
        </w:rPr>
        <w:t> </w:t>
      </w:r>
      <w:r w:rsidR="00BF60DB" w:rsidRPr="29C3FA4B">
        <w:rPr>
          <w:rStyle w:val="eop"/>
          <w:noProof/>
        </w:rPr>
        <w:t xml:space="preserve">MHz band across the </w:t>
      </w:r>
      <w:r w:rsidR="006079A9">
        <w:rPr>
          <w:rStyle w:val="eop"/>
          <w:noProof/>
        </w:rPr>
        <w:t>EU</w:t>
      </w:r>
      <w:r w:rsidR="00BF60DB" w:rsidRPr="29C3FA4B">
        <w:rPr>
          <w:rStyle w:val="eop"/>
          <w:noProof/>
        </w:rPr>
        <w:t>.</w:t>
      </w:r>
    </w:p>
    <w:p w14:paraId="083497F8" w14:textId="77777777" w:rsidR="00BF60DB" w:rsidRDefault="00BF60DB" w:rsidP="00BF60DB">
      <w:pPr>
        <w:pStyle w:val="paragraph"/>
        <w:spacing w:before="0" w:beforeAutospacing="0" w:after="240" w:afterAutospacing="0"/>
        <w:jc w:val="both"/>
        <w:rPr>
          <w:rStyle w:val="eop"/>
          <w:noProof/>
        </w:rPr>
      </w:pPr>
      <w:r w:rsidRPr="7482D136">
        <w:rPr>
          <w:rStyle w:val="eop"/>
          <w:noProof/>
        </w:rPr>
        <w:t>The share of households using DTT to access linear television varies widely across the EU, ranging from very low levels in countries such as the Netherlands, Germany and Slovenia to very high levels in Italy and Spain. In addition, the proportion of households that are solely dependent on DTT differs across Member States. The number of multiplexes (8 MHz channels) indicates how much capacity is available to carry television services on the DTT platform and is further analysed below. Taken together, these measures show that the use of DTT differs significantly across Member States.</w:t>
      </w:r>
    </w:p>
    <w:p w14:paraId="64B6BC8A" w14:textId="2A8A1BF6" w:rsidR="00BF60DB" w:rsidRPr="00B54ECF" w:rsidDel="003509BD" w:rsidRDefault="00BF60DB" w:rsidP="00BF60DB">
      <w:pPr>
        <w:pStyle w:val="Caption"/>
        <w:spacing w:after="240" w:line="257" w:lineRule="auto"/>
        <w:jc w:val="center"/>
        <w:rPr>
          <w:rStyle w:val="eop"/>
          <w:rFonts w:ascii="Times New Roman" w:eastAsiaTheme="minorEastAsia" w:hAnsi="Times New Roman" w:cs="Times New Roman"/>
          <w:i w:val="0"/>
          <w:iCs w:val="0"/>
          <w:noProof/>
          <w:color w:val="auto"/>
          <w:sz w:val="24"/>
          <w:szCs w:val="24"/>
        </w:rPr>
      </w:pPr>
      <w:r w:rsidRPr="00B54ECF">
        <w:rPr>
          <w:rFonts w:ascii="Times New Roman" w:hAnsi="Times New Roman" w:cs="Times New Roman"/>
          <w:noProof/>
          <w:color w:val="auto"/>
          <w:sz w:val="24"/>
          <w:szCs w:val="24"/>
        </w:rPr>
        <w:t xml:space="preserve">Table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Table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w:t>
      </w:r>
      <w:r w:rsidRPr="00B54ECF">
        <w:rPr>
          <w:rFonts w:ascii="Times New Roman" w:hAnsi="Times New Roman" w:cs="Times New Roman"/>
          <w:noProof/>
          <w:color w:val="auto"/>
          <w:sz w:val="24"/>
          <w:szCs w:val="24"/>
        </w:rPr>
        <w:fldChar w:fldCharType="end"/>
      </w:r>
      <w:r w:rsidRPr="00B54ECF">
        <w:rPr>
          <w:rFonts w:ascii="Times New Roman" w:hAnsi="Times New Roman" w:cs="Times New Roman"/>
          <w:noProof/>
          <w:color w:val="auto"/>
          <w:sz w:val="24"/>
          <w:szCs w:val="24"/>
        </w:rPr>
        <w:t xml:space="preserve">: Usage of the sub-700 MHz band in the EU (Source: RSPG </w:t>
      </w:r>
      <w:r w:rsidR="002A7AC0">
        <w:rPr>
          <w:rFonts w:ascii="Times New Roman" w:hAnsi="Times New Roman" w:cs="Times New Roman"/>
          <w:noProof/>
          <w:color w:val="auto"/>
          <w:sz w:val="24"/>
          <w:szCs w:val="24"/>
        </w:rPr>
        <w:t>q</w:t>
      </w:r>
      <w:r w:rsidRPr="00B54ECF">
        <w:rPr>
          <w:rFonts w:ascii="Times New Roman" w:hAnsi="Times New Roman" w:cs="Times New Roman"/>
          <w:noProof/>
          <w:color w:val="auto"/>
          <w:sz w:val="24"/>
          <w:szCs w:val="24"/>
        </w:rPr>
        <w:t>uestionnaire, 2024)</w:t>
      </w:r>
    </w:p>
    <w:tbl>
      <w:tblPr>
        <w:tblW w:w="0" w:type="auto"/>
        <w:jc w:val="center"/>
        <w:tblLook w:val="06A0" w:firstRow="1" w:lastRow="0" w:firstColumn="1" w:lastColumn="0" w:noHBand="1" w:noVBand="1"/>
      </w:tblPr>
      <w:tblGrid>
        <w:gridCol w:w="1775"/>
        <w:gridCol w:w="2350"/>
        <w:gridCol w:w="2512"/>
        <w:gridCol w:w="2317"/>
      </w:tblGrid>
      <w:tr w:rsidR="00BF60DB" w:rsidRPr="0010032D" w14:paraId="078F3175" w14:textId="77777777" w:rsidTr="002E741B">
        <w:trPr>
          <w:trHeight w:val="870"/>
          <w:jc w:val="center"/>
        </w:trPr>
        <w:tc>
          <w:tcPr>
            <w:tcW w:w="177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516BEF5B"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Country</w:t>
            </w:r>
          </w:p>
        </w:tc>
        <w:tc>
          <w:tcPr>
            <w:tcW w:w="2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34CA69E6"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Maximum number of 8 MHz channels per coverage area</w:t>
            </w:r>
          </w:p>
        </w:tc>
        <w:tc>
          <w:tcPr>
            <w:tcW w:w="2512"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544D6F59"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Percentage of households actually using only DTT for accessing linear TV</w:t>
            </w:r>
          </w:p>
        </w:tc>
        <w:tc>
          <w:tcPr>
            <w:tcW w:w="231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Mar>
              <w:top w:w="15" w:type="dxa"/>
              <w:left w:w="15" w:type="dxa"/>
              <w:right w:w="15" w:type="dxa"/>
            </w:tcMar>
            <w:vAlign w:val="center"/>
          </w:tcPr>
          <w:p w14:paraId="39B59E85" w14:textId="76CE7B9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 xml:space="preserve">Percentage of households </w:t>
            </w:r>
            <w:r w:rsidR="002A7AC0">
              <w:rPr>
                <w:rStyle w:val="eop"/>
                <w:rFonts w:ascii="Times New Roman" w:eastAsiaTheme="minorEastAsia" w:hAnsi="Times New Roman" w:cs="Times New Roman"/>
                <w:noProof/>
                <w:lang w:eastAsia="en-IE"/>
              </w:rPr>
              <w:t xml:space="preserve"> solely </w:t>
            </w:r>
            <w:r w:rsidRPr="7482D136">
              <w:rPr>
                <w:rStyle w:val="eop"/>
                <w:rFonts w:ascii="Times New Roman" w:eastAsiaTheme="minorEastAsia" w:hAnsi="Times New Roman" w:cs="Times New Roman"/>
                <w:noProof/>
                <w:lang w:eastAsia="en-IE"/>
              </w:rPr>
              <w:t>dependent on DTT</w:t>
            </w:r>
          </w:p>
        </w:tc>
      </w:tr>
      <w:tr w:rsidR="00BF60DB" w:rsidRPr="0010032D" w14:paraId="7B928FEA"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690084"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Croatia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458579"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5</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1E2B4D"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45%</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701998"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45%</w:t>
            </w:r>
          </w:p>
        </w:tc>
      </w:tr>
      <w:tr w:rsidR="00BF60DB" w:rsidRPr="0010032D" w14:paraId="1F0CCDB8"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A810F3"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Finland</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9F0762"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7</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EAEA8F"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42%</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352D03"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30%</w:t>
            </w:r>
          </w:p>
        </w:tc>
      </w:tr>
      <w:tr w:rsidR="00BF60DB" w:rsidRPr="0010032D" w14:paraId="550ED066"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3CC89C"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France</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E8EE6D"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8</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0F98B2"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18.4%</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61E158"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18.4%</w:t>
            </w:r>
          </w:p>
        </w:tc>
      </w:tr>
      <w:tr w:rsidR="00BF60DB" w:rsidRPr="0010032D" w14:paraId="58DD7AAA"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5DB452"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Germany</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DB6A69"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7</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8DEF99"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6%</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2D95EC"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6%</w:t>
            </w:r>
          </w:p>
        </w:tc>
      </w:tr>
      <w:tr w:rsidR="00BF60DB" w:rsidRPr="0010032D" w14:paraId="71426222"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B7B662"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Italy</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DC9348"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14</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0B2E84"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92.1%</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042D16"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75%</w:t>
            </w:r>
          </w:p>
        </w:tc>
      </w:tr>
      <w:tr w:rsidR="00BF60DB" w:rsidRPr="0010032D" w14:paraId="0924033C"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BB9496"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Portugal</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93FF711"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2</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F5FFF9"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8.3%</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69C129"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5.8%</w:t>
            </w:r>
          </w:p>
        </w:tc>
      </w:tr>
      <w:tr w:rsidR="00BF60DB" w:rsidRPr="0010032D" w14:paraId="73503BA5"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9CD742"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Slovenia</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FADD3D"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2</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0633F8"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0.3%</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047D86"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0.3%</w:t>
            </w:r>
          </w:p>
        </w:tc>
      </w:tr>
      <w:tr w:rsidR="00BF60DB" w:rsidRPr="0010032D" w14:paraId="32680E6B"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0D0B18"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Spain</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6F961F"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11</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DF0D82"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99.5%</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1623CB" w14:textId="6A685873" w:rsidR="00BF60DB" w:rsidRPr="00ED5A11" w:rsidRDefault="00BF60DB" w:rsidP="002E741B">
            <w:pPr>
              <w:spacing w:after="0"/>
              <w:jc w:val="center"/>
              <w:rPr>
                <w:rStyle w:val="eop"/>
                <w:rFonts w:ascii="Times New Roman" w:hAnsi="Times New Roman" w:cs="Times New Roman"/>
                <w:noProof/>
              </w:rPr>
            </w:pPr>
          </w:p>
        </w:tc>
      </w:tr>
      <w:tr w:rsidR="00BF60DB" w:rsidRPr="0010032D" w14:paraId="7EC5FEF8"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FDF975" w14:textId="77777777"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Sweden</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57EE80" w14:textId="77777777" w:rsidR="00BF60DB" w:rsidRPr="00ED5A11" w:rsidRDefault="00BF60DB" w:rsidP="002E741B">
            <w:pPr>
              <w:spacing w:after="0"/>
              <w:jc w:val="center"/>
              <w:rPr>
                <w:rStyle w:val="eop"/>
                <w:rFonts w:ascii="Times New Roman" w:hAnsi="Times New Roman" w:cs="Times New Roman"/>
                <w:noProof/>
              </w:rPr>
            </w:pPr>
            <w:r w:rsidRPr="29C3FA4B">
              <w:rPr>
                <w:rStyle w:val="eop"/>
                <w:rFonts w:ascii="Times New Roman" w:eastAsiaTheme="minorEastAsia" w:hAnsi="Times New Roman" w:cs="Times New Roman"/>
                <w:noProof/>
                <w:lang w:eastAsia="en-IE"/>
              </w:rPr>
              <w:t>6*</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6554AE"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10%</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6E692F"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10%</w:t>
            </w:r>
          </w:p>
        </w:tc>
      </w:tr>
      <w:tr w:rsidR="00BF60DB" w:rsidRPr="0010032D" w14:paraId="06B4D24D" w14:textId="77777777" w:rsidTr="002E741B">
        <w:trPr>
          <w:trHeight w:val="285"/>
          <w:jc w:val="center"/>
        </w:trPr>
        <w:tc>
          <w:tcPr>
            <w:tcW w:w="177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D37A91" w14:textId="401612B6" w:rsidR="00BF60DB" w:rsidRPr="00ED5A11" w:rsidRDefault="00BF60DB" w:rsidP="002E741B">
            <w:pPr>
              <w:spacing w:after="0"/>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Netherlands</w:t>
            </w:r>
          </w:p>
        </w:tc>
        <w:tc>
          <w:tcPr>
            <w:tcW w:w="23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11B391"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5</w:t>
            </w:r>
          </w:p>
        </w:tc>
        <w:tc>
          <w:tcPr>
            <w:tcW w:w="25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227F91" w14:textId="77777777" w:rsidR="00BF60DB" w:rsidRPr="00ED5A11" w:rsidRDefault="00BF60DB" w:rsidP="002E741B">
            <w:pPr>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3%</w:t>
            </w:r>
          </w:p>
        </w:tc>
        <w:tc>
          <w:tcPr>
            <w:tcW w:w="23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84B8DE" w14:textId="77777777" w:rsidR="00BF60DB" w:rsidRPr="00ED5A11" w:rsidRDefault="00BF60DB" w:rsidP="002E741B">
            <w:pPr>
              <w:keepNext/>
              <w:spacing w:after="0"/>
              <w:jc w:val="center"/>
              <w:rPr>
                <w:rStyle w:val="eop"/>
                <w:rFonts w:ascii="Times New Roman" w:hAnsi="Times New Roman" w:cs="Times New Roman"/>
                <w:noProof/>
              </w:rPr>
            </w:pPr>
            <w:r w:rsidRPr="7482D136">
              <w:rPr>
                <w:rStyle w:val="eop"/>
                <w:rFonts w:ascii="Times New Roman" w:eastAsiaTheme="minorEastAsia" w:hAnsi="Times New Roman" w:cs="Times New Roman"/>
                <w:noProof/>
                <w:lang w:eastAsia="en-IE"/>
              </w:rPr>
              <w:t>unknown, very low</w:t>
            </w:r>
          </w:p>
        </w:tc>
      </w:tr>
    </w:tbl>
    <w:p w14:paraId="61F4898B" w14:textId="119DA24C" w:rsidR="00BF60DB" w:rsidRPr="00ED5A11" w:rsidRDefault="00BF60DB" w:rsidP="00BF60DB">
      <w:pPr>
        <w:pStyle w:val="paragraph"/>
        <w:spacing w:before="0" w:beforeAutospacing="0" w:after="120" w:afterAutospacing="0" w:line="257" w:lineRule="auto"/>
        <w:jc w:val="center"/>
        <w:rPr>
          <w:rStyle w:val="eop"/>
          <w:rFonts w:eastAsiaTheme="minorEastAsia"/>
          <w:i/>
          <w:iCs/>
          <w:noProof/>
          <w:sz w:val="20"/>
          <w:szCs w:val="20"/>
        </w:rPr>
      </w:pPr>
      <w:r w:rsidRPr="29C3FA4B">
        <w:rPr>
          <w:rStyle w:val="eop"/>
          <w:rFonts w:eastAsiaTheme="minorEastAsia"/>
          <w:i/>
          <w:iCs/>
          <w:noProof/>
          <w:sz w:val="20"/>
          <w:szCs w:val="20"/>
        </w:rPr>
        <w:t>* In Sweden, the number of multiplexes was reduced from six to two as of 1</w:t>
      </w:r>
      <w:r w:rsidR="003B563B">
        <w:rPr>
          <w:rStyle w:val="eop"/>
          <w:rFonts w:eastAsiaTheme="minorEastAsia"/>
          <w:i/>
          <w:iCs/>
          <w:noProof/>
          <w:sz w:val="20"/>
          <w:szCs w:val="20"/>
        </w:rPr>
        <w:t> </w:t>
      </w:r>
      <w:r w:rsidRPr="29C3FA4B">
        <w:rPr>
          <w:rStyle w:val="eop"/>
          <w:rFonts w:eastAsiaTheme="minorEastAsia"/>
          <w:i/>
          <w:iCs/>
          <w:noProof/>
          <w:sz w:val="20"/>
          <w:szCs w:val="20"/>
        </w:rPr>
        <w:t>January</w:t>
      </w:r>
      <w:r w:rsidR="003B563B">
        <w:rPr>
          <w:rStyle w:val="eop"/>
          <w:rFonts w:eastAsiaTheme="minorEastAsia"/>
          <w:i/>
          <w:iCs/>
          <w:noProof/>
          <w:sz w:val="20"/>
          <w:szCs w:val="20"/>
        </w:rPr>
        <w:t> </w:t>
      </w:r>
      <w:r w:rsidRPr="29C3FA4B">
        <w:rPr>
          <w:rStyle w:val="eop"/>
          <w:rFonts w:eastAsiaTheme="minorEastAsia"/>
          <w:i/>
          <w:iCs/>
          <w:noProof/>
          <w:sz w:val="20"/>
          <w:szCs w:val="20"/>
        </w:rPr>
        <w:t xml:space="preserve">2025, </w:t>
      </w:r>
      <w:r w:rsidR="00FF66D6">
        <w:rPr>
          <w:rStyle w:val="eop"/>
          <w:rFonts w:eastAsiaTheme="minorEastAsia"/>
          <w:i/>
          <w:iCs/>
          <w:noProof/>
          <w:sz w:val="20"/>
          <w:szCs w:val="20"/>
        </w:rPr>
        <w:t>with</w:t>
      </w:r>
      <w:r w:rsidRPr="00516125">
        <w:rPr>
          <w:rStyle w:val="eop"/>
          <w:rFonts w:eastAsiaTheme="minorEastAsia"/>
          <w:i/>
          <w:iCs/>
          <w:noProof/>
          <w:sz w:val="20"/>
          <w:szCs w:val="20"/>
        </w:rPr>
        <w:t xml:space="preserve"> </w:t>
      </w:r>
      <w:r w:rsidRPr="29C3FA4B">
        <w:rPr>
          <w:rStyle w:val="eop"/>
          <w:rFonts w:eastAsiaTheme="minorEastAsia"/>
          <w:i/>
          <w:iCs/>
          <w:noProof/>
          <w:sz w:val="20"/>
          <w:szCs w:val="20"/>
        </w:rPr>
        <w:t>only four public service channels and two private ones</w:t>
      </w:r>
      <w:r w:rsidR="00FF66D6">
        <w:rPr>
          <w:rStyle w:val="eop"/>
          <w:rFonts w:eastAsiaTheme="minorEastAsia"/>
          <w:i/>
          <w:iCs/>
          <w:noProof/>
          <w:sz w:val="20"/>
          <w:szCs w:val="20"/>
        </w:rPr>
        <w:t xml:space="preserve"> being retained</w:t>
      </w:r>
      <w:r w:rsidRPr="00516125">
        <w:rPr>
          <w:rStyle w:val="eop"/>
          <w:rFonts w:eastAsiaTheme="minorEastAsia"/>
          <w:i/>
          <w:iCs/>
          <w:noProof/>
          <w:sz w:val="20"/>
          <w:szCs w:val="20"/>
        </w:rPr>
        <w:t>.</w:t>
      </w:r>
      <w:r w:rsidRPr="29C3FA4B">
        <w:rPr>
          <w:rStyle w:val="eop"/>
          <w:rFonts w:eastAsiaTheme="minorEastAsia"/>
          <w:i/>
          <w:iCs/>
          <w:noProof/>
          <w:sz w:val="20"/>
          <w:szCs w:val="20"/>
        </w:rPr>
        <w:t xml:space="preserve"> According to information presented at a RSPG workshop in April 2025, a likely scenario is that Sweden’s DTT service may eventually be reduced to a single multiplex carrying only the two main national public channels and then </w:t>
      </w:r>
      <w:r w:rsidR="00FF66D6">
        <w:rPr>
          <w:rStyle w:val="eop"/>
          <w:rFonts w:eastAsiaTheme="minorEastAsia"/>
          <w:i/>
          <w:iCs/>
          <w:noProof/>
          <w:sz w:val="20"/>
          <w:szCs w:val="20"/>
        </w:rPr>
        <w:t>be</w:t>
      </w:r>
      <w:r w:rsidRPr="00516125">
        <w:rPr>
          <w:rStyle w:val="eop"/>
          <w:rFonts w:eastAsiaTheme="minorEastAsia"/>
          <w:i/>
          <w:iCs/>
          <w:noProof/>
          <w:sz w:val="20"/>
          <w:szCs w:val="20"/>
        </w:rPr>
        <w:t xml:space="preserve"> </w:t>
      </w:r>
      <w:r w:rsidRPr="29C3FA4B">
        <w:rPr>
          <w:rStyle w:val="eop"/>
          <w:rFonts w:eastAsiaTheme="minorEastAsia"/>
          <w:i/>
          <w:iCs/>
          <w:noProof/>
          <w:sz w:val="20"/>
          <w:szCs w:val="20"/>
        </w:rPr>
        <w:t>completely phased out in the short</w:t>
      </w:r>
      <w:r w:rsidR="00FF66D6">
        <w:rPr>
          <w:rStyle w:val="eop"/>
          <w:rFonts w:eastAsiaTheme="minorEastAsia"/>
          <w:i/>
          <w:iCs/>
          <w:noProof/>
          <w:sz w:val="20"/>
          <w:szCs w:val="20"/>
        </w:rPr>
        <w:t xml:space="preserve"> </w:t>
      </w:r>
      <w:r w:rsidRPr="29C3FA4B">
        <w:rPr>
          <w:rStyle w:val="eop"/>
          <w:rFonts w:eastAsiaTheme="minorEastAsia"/>
          <w:i/>
          <w:iCs/>
          <w:noProof/>
          <w:sz w:val="20"/>
          <w:szCs w:val="20"/>
        </w:rPr>
        <w:t>term.</w:t>
      </w:r>
    </w:p>
    <w:p w14:paraId="7D4D94D3" w14:textId="7ACFBB5A" w:rsidR="00BF60DB" w:rsidRPr="00ED5A11" w:rsidRDefault="00BF60DB" w:rsidP="00BF60DB">
      <w:pPr>
        <w:pStyle w:val="paragraph"/>
        <w:spacing w:before="0" w:beforeAutospacing="0" w:after="120" w:afterAutospacing="0" w:line="257" w:lineRule="auto"/>
        <w:jc w:val="center"/>
        <w:rPr>
          <w:rStyle w:val="eop"/>
          <w:rFonts w:eastAsiaTheme="minorEastAsia"/>
          <w:i/>
          <w:iCs/>
          <w:noProof/>
          <w:sz w:val="20"/>
          <w:szCs w:val="20"/>
        </w:rPr>
      </w:pPr>
    </w:p>
    <w:p w14:paraId="2453621B" w14:textId="015FB9C4" w:rsidR="00BF60DB" w:rsidRDefault="00DA5AD5" w:rsidP="00BF60DB">
      <w:pPr>
        <w:pStyle w:val="paragraph"/>
        <w:spacing w:before="0" w:beforeAutospacing="0" w:after="240" w:afterAutospacing="0"/>
        <w:jc w:val="both"/>
        <w:rPr>
          <w:rStyle w:val="eop"/>
          <w:rFonts w:eastAsiaTheme="minorEastAsia"/>
          <w:noProof/>
        </w:rPr>
      </w:pPr>
      <w:r>
        <w:rPr>
          <w:rStyle w:val="eop"/>
          <w:rFonts w:eastAsiaTheme="minorEastAsia"/>
          <w:noProof/>
        </w:rPr>
        <w:t xml:space="preserve">Figure 2 </w:t>
      </w:r>
      <w:r w:rsidR="00BF60DB" w:rsidRPr="7482D136">
        <w:rPr>
          <w:rStyle w:val="eop"/>
          <w:rFonts w:eastAsiaTheme="minorEastAsia"/>
          <w:noProof/>
        </w:rPr>
        <w:t xml:space="preserve">presents the maximum number of multiplexes (8 MHz channels) per coverage area in each country, which reflects the available DTT capacity within a given geographical area and </w:t>
      </w:r>
      <w:r w:rsidR="00FF66D6">
        <w:rPr>
          <w:rStyle w:val="eop"/>
          <w:rFonts w:eastAsiaTheme="minorEastAsia"/>
          <w:noProof/>
        </w:rPr>
        <w:t>gives an idea of</w:t>
      </w:r>
      <w:r w:rsidR="00BF60DB" w:rsidRPr="7482D136">
        <w:rPr>
          <w:rStyle w:val="eop"/>
          <w:rFonts w:eastAsiaTheme="minorEastAsia"/>
          <w:noProof/>
        </w:rPr>
        <w:t xml:space="preserve"> the overall national density of multiplex deployment.</w:t>
      </w:r>
    </w:p>
    <w:p w14:paraId="2DE77E9A" w14:textId="3C98209C" w:rsidR="00BF60DB" w:rsidRPr="00B54ECF" w:rsidDel="0051226E" w:rsidRDefault="00BF60DB" w:rsidP="00BF60DB">
      <w:pPr>
        <w:pStyle w:val="Caption"/>
        <w:jc w:val="center"/>
        <w:rPr>
          <w:rStyle w:val="eop"/>
          <w:rFonts w:ascii="Times New Roman" w:eastAsiaTheme="minorEastAsia" w:hAnsi="Times New Roman" w:cs="Times New Roman"/>
          <w:i w:val="0"/>
          <w:iCs w:val="0"/>
          <w:noProof/>
          <w:color w:val="auto"/>
          <w:kern w:val="0"/>
          <w:sz w:val="24"/>
          <w:szCs w:val="24"/>
          <w:lang w:eastAsia="en-IE"/>
        </w:rPr>
      </w:pPr>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2</w:t>
      </w:r>
      <w:r w:rsidRPr="00B54ECF">
        <w:rPr>
          <w:rFonts w:ascii="Times New Roman" w:hAnsi="Times New Roman" w:cs="Times New Roman"/>
          <w:noProof/>
          <w:color w:val="auto"/>
          <w:sz w:val="24"/>
          <w:szCs w:val="24"/>
        </w:rPr>
        <w:fldChar w:fldCharType="end"/>
      </w:r>
      <w:r w:rsidRPr="00B54ECF">
        <w:rPr>
          <w:rStyle w:val="eop"/>
          <w:rFonts w:ascii="Times New Roman" w:eastAsiaTheme="minorEastAsia" w:hAnsi="Times New Roman" w:cs="Times New Roman"/>
          <w:noProof/>
          <w:color w:val="auto"/>
          <w:sz w:val="24"/>
          <w:szCs w:val="24"/>
          <w:lang w:eastAsia="en-IE"/>
        </w:rPr>
        <w:t>: Maximum number of 8 MHz channels received per coverage area (Source: RSPG Report)</w:t>
      </w:r>
    </w:p>
    <w:p w14:paraId="24F096CA" w14:textId="59F9B6F0" w:rsidR="00BF60DB" w:rsidRDefault="00BF60DB" w:rsidP="00BF60DB">
      <w:pPr>
        <w:spacing w:after="240" w:line="257" w:lineRule="auto"/>
        <w:jc w:val="center"/>
        <w:rPr>
          <w:rStyle w:val="eop"/>
          <w:rFonts w:eastAsiaTheme="minorEastAsia"/>
          <w:noProof/>
        </w:rPr>
      </w:pPr>
      <w:r>
        <w:rPr>
          <w:noProof/>
          <w:lang w:val="en-GB" w:eastAsia="en-GB"/>
        </w:rPr>
        <w:drawing>
          <wp:inline distT="0" distB="0" distL="0" distR="0" wp14:anchorId="00CF58EB" wp14:editId="2FE3EAE9">
            <wp:extent cx="3377766" cy="3165530"/>
            <wp:effectExtent l="0" t="0" r="0" b="0"/>
            <wp:docPr id="1524380815" name="drawing" descr="A map of europe with blue and green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380815" name="drawing" descr="A map of europe with blue and green colors&#10;&#10;AI-generated content may be incorrect."/>
                    <pic:cNvPicPr/>
                  </pic:nvPicPr>
                  <pic:blipFill>
                    <a:blip r:embed="rId19">
                      <a:extLst>
                        <a:ext uri="{28A0092B-C50C-407E-A947-70E740481C1C}">
                          <a14:useLocalDpi xmlns:a14="http://schemas.microsoft.com/office/drawing/2010/main"/>
                        </a:ext>
                      </a:extLst>
                    </a:blip>
                    <a:stretch>
                      <a:fillRect/>
                    </a:stretch>
                  </pic:blipFill>
                  <pic:spPr>
                    <a:xfrm>
                      <a:off x="0" y="0"/>
                      <a:ext cx="3402740" cy="3188935"/>
                    </a:xfrm>
                    <a:prstGeom prst="rect">
                      <a:avLst/>
                    </a:prstGeom>
                  </pic:spPr>
                </pic:pic>
              </a:graphicData>
            </a:graphic>
          </wp:inline>
        </w:drawing>
      </w:r>
    </w:p>
    <w:p w14:paraId="3CD589BE" w14:textId="537A66B0" w:rsidR="00BF60DB" w:rsidRPr="0010331E" w:rsidRDefault="00FF66D6" w:rsidP="00BF60DB">
      <w:pPr>
        <w:spacing w:after="240" w:line="240" w:lineRule="auto"/>
        <w:jc w:val="both"/>
        <w:rPr>
          <w:rFonts w:ascii="Times New Roman" w:hAnsi="Times New Roman"/>
          <w:noProof/>
        </w:rPr>
      </w:pPr>
      <w:r>
        <w:rPr>
          <w:rFonts w:ascii="Times New Roman" w:eastAsiaTheme="minorEastAsia" w:hAnsi="Times New Roman" w:cs="Times New Roman"/>
          <w:noProof/>
        </w:rPr>
        <w:t xml:space="preserve">The </w:t>
      </w:r>
      <w:r w:rsidR="00BF60DB" w:rsidRPr="004770B6">
        <w:rPr>
          <w:rFonts w:ascii="Times New Roman" w:hAnsi="Times New Roman"/>
          <w:noProof/>
          <w:lang w:val="en-GB"/>
        </w:rPr>
        <w:t xml:space="preserve">EBU </w:t>
      </w:r>
      <w:r w:rsidR="006B3114">
        <w:rPr>
          <w:rFonts w:ascii="Times New Roman" w:eastAsiaTheme="minorEastAsia" w:hAnsi="Times New Roman" w:cs="Times New Roman"/>
          <w:noProof/>
        </w:rPr>
        <w:t>(</w:t>
      </w:r>
      <w:r w:rsidR="006B3114" w:rsidRPr="00516125">
        <w:rPr>
          <w:rStyle w:val="eop"/>
          <w:rFonts w:ascii="Times New Roman" w:eastAsia="Times New Roman" w:hAnsi="Times New Roman" w:cs="Times New Roman"/>
          <w:noProof/>
          <w:lang w:eastAsia="en-IE"/>
        </w:rPr>
        <w:t>European Broadcasting Union</w:t>
      </w:r>
      <w:r w:rsidR="006B3114">
        <w:rPr>
          <w:rStyle w:val="eop"/>
          <w:rFonts w:ascii="Times New Roman" w:eastAsia="Times New Roman" w:hAnsi="Times New Roman" w:cs="Times New Roman"/>
          <w:noProof/>
          <w:lang w:eastAsia="en-IE"/>
        </w:rPr>
        <w:t>)</w:t>
      </w:r>
      <w:r w:rsidR="00BF60DB" w:rsidRPr="00516125">
        <w:rPr>
          <w:rFonts w:ascii="Times New Roman" w:eastAsiaTheme="minorEastAsia" w:hAnsi="Times New Roman" w:cs="Times New Roman"/>
          <w:noProof/>
        </w:rPr>
        <w:t xml:space="preserve"> and BNE </w:t>
      </w:r>
      <w:r w:rsidR="006B3114">
        <w:rPr>
          <w:rFonts w:ascii="Times New Roman" w:eastAsiaTheme="minorEastAsia" w:hAnsi="Times New Roman" w:cs="Times New Roman"/>
          <w:noProof/>
        </w:rPr>
        <w:t>(</w:t>
      </w:r>
      <w:r w:rsidR="006B3114" w:rsidRPr="006B3114">
        <w:rPr>
          <w:rFonts w:ascii="Times New Roman" w:eastAsiaTheme="minorEastAsia" w:hAnsi="Times New Roman" w:cs="Times New Roman"/>
          <w:noProof/>
        </w:rPr>
        <w:t>Broadcast Networks Europe</w:t>
      </w:r>
      <w:r w:rsidR="006B3114">
        <w:rPr>
          <w:rFonts w:ascii="Times New Roman" w:eastAsiaTheme="minorEastAsia" w:hAnsi="Times New Roman" w:cs="Times New Roman"/>
          <w:noProof/>
        </w:rPr>
        <w:t>)</w:t>
      </w:r>
      <w:r w:rsidR="00BF60DB" w:rsidRPr="004770B6">
        <w:rPr>
          <w:rFonts w:ascii="Times New Roman" w:hAnsi="Times New Roman"/>
          <w:noProof/>
          <w:lang w:val="en-GB"/>
        </w:rPr>
        <w:t xml:space="preserve"> estimate that 40-42% of European TV households receive DTT on at least one TV set in the household</w:t>
      </w:r>
      <w:r w:rsidR="00BF60DB" w:rsidRPr="004770B6">
        <w:rPr>
          <w:rStyle w:val="FootnoteReference"/>
          <w:rFonts w:ascii="Times New Roman" w:hAnsi="Times New Roman"/>
          <w:noProof/>
          <w:lang w:val="en-GB"/>
        </w:rPr>
        <w:footnoteReference w:id="21"/>
      </w:r>
      <w:r w:rsidR="00BF60DB" w:rsidRPr="004770B6">
        <w:rPr>
          <w:rFonts w:ascii="Times New Roman" w:hAnsi="Times New Roman"/>
          <w:noProof/>
          <w:lang w:val="en-GB"/>
        </w:rPr>
        <w:t>. According to the EBU</w:t>
      </w:r>
      <w:r w:rsidR="003B563B">
        <w:rPr>
          <w:rFonts w:ascii="Times New Roman" w:eastAsia="Calibri" w:hAnsi="Times New Roman" w:cs="Times New Roman"/>
          <w:noProof/>
        </w:rPr>
        <w:t>-</w:t>
      </w:r>
      <w:r w:rsidR="00BF60DB" w:rsidRPr="00B00547">
        <w:rPr>
          <w:rFonts w:ascii="Times New Roman" w:hAnsi="Times New Roman"/>
          <w:noProof/>
          <w:lang w:val="en-GB"/>
        </w:rPr>
        <w:t>BNE database</w:t>
      </w:r>
      <w:r w:rsidR="00BF60DB" w:rsidRPr="0010331E">
        <w:rPr>
          <w:rFonts w:ascii="Times New Roman" w:hAnsi="Times New Roman"/>
          <w:noProof/>
        </w:rPr>
        <w:t>,</w:t>
      </w:r>
      <w:r w:rsidR="00BF60DB" w:rsidRPr="004770B6">
        <w:rPr>
          <w:rFonts w:ascii="Times New Roman" w:hAnsi="Times New Roman"/>
          <w:noProof/>
          <w:lang w:val="en-GB"/>
        </w:rPr>
        <w:t xml:space="preserve"> approximately 183.5 million households </w:t>
      </w:r>
      <w:r w:rsidR="00705478" w:rsidRPr="00516125">
        <w:rPr>
          <w:rFonts w:ascii="Times New Roman" w:eastAsia="Calibri" w:hAnsi="Times New Roman" w:cs="Times New Roman"/>
          <w:noProof/>
        </w:rPr>
        <w:t>across the EU27</w:t>
      </w:r>
      <w:r w:rsidR="00705478">
        <w:rPr>
          <w:rFonts w:ascii="Times New Roman" w:eastAsia="Calibri" w:hAnsi="Times New Roman" w:cs="Times New Roman"/>
          <w:noProof/>
        </w:rPr>
        <w:t xml:space="preserve"> </w:t>
      </w:r>
      <w:r w:rsidR="00BF60DB" w:rsidRPr="004770B6">
        <w:rPr>
          <w:rFonts w:ascii="Times New Roman" w:hAnsi="Times New Roman"/>
          <w:noProof/>
          <w:lang w:val="en-GB"/>
        </w:rPr>
        <w:t>have at least one television set, of which around 74.8</w:t>
      </w:r>
      <w:r w:rsidR="00E130FA" w:rsidRPr="0010331E">
        <w:rPr>
          <w:rFonts w:ascii="Times New Roman" w:hAnsi="Times New Roman"/>
          <w:noProof/>
        </w:rPr>
        <w:t> </w:t>
      </w:r>
      <w:r w:rsidR="00BF60DB" w:rsidRPr="004770B6">
        <w:rPr>
          <w:rFonts w:ascii="Times New Roman" w:hAnsi="Times New Roman"/>
          <w:noProof/>
          <w:lang w:val="en-GB"/>
        </w:rPr>
        <w:t>million receive DTT</w:t>
      </w:r>
      <w:r w:rsidR="00BF60DB" w:rsidRPr="004770B6">
        <w:rPr>
          <w:rStyle w:val="FootnoteReference"/>
          <w:rFonts w:ascii="Times New Roman" w:hAnsi="Times New Roman"/>
          <w:noProof/>
          <w:lang w:val="en-GB"/>
        </w:rPr>
        <w:footnoteReference w:id="22"/>
      </w:r>
      <w:r w:rsidR="00BF60DB" w:rsidRPr="004770B6">
        <w:rPr>
          <w:rFonts w:ascii="Times New Roman" w:hAnsi="Times New Roman"/>
          <w:noProof/>
          <w:lang w:val="en-GB"/>
        </w:rPr>
        <w:t>.</w:t>
      </w:r>
    </w:p>
    <w:p w14:paraId="67120700" w14:textId="23F1BC29" w:rsidR="00E130FA" w:rsidRPr="0010331E" w:rsidRDefault="00BF60DB" w:rsidP="00BF60DB">
      <w:pPr>
        <w:spacing w:after="240" w:line="240" w:lineRule="auto"/>
        <w:jc w:val="both"/>
        <w:rPr>
          <w:rFonts w:ascii="Times New Roman" w:hAnsi="Times New Roman"/>
          <w:noProof/>
        </w:rPr>
      </w:pPr>
      <w:r w:rsidRPr="004770B6">
        <w:rPr>
          <w:rFonts w:ascii="Times New Roman" w:hAnsi="Times New Roman"/>
          <w:noProof/>
          <w:lang w:val="en-GB"/>
        </w:rPr>
        <w:fldChar w:fldCharType="begin"/>
      </w:r>
      <w:r w:rsidRPr="00B00547">
        <w:rPr>
          <w:rFonts w:ascii="Times New Roman" w:hAnsi="Times New Roman"/>
          <w:noProof/>
          <w:lang w:val="en-GB"/>
        </w:rPr>
        <w:instrText xml:space="preserve"> REF _Ref216881565 \h  \* MERGEFORMAT </w:instrText>
      </w:r>
      <w:r w:rsidRPr="004770B6">
        <w:rPr>
          <w:rFonts w:ascii="Times New Roman" w:hAnsi="Times New Roman"/>
          <w:noProof/>
          <w:lang w:val="en-GB"/>
        </w:rPr>
      </w:r>
      <w:r w:rsidRPr="004770B6">
        <w:rPr>
          <w:rFonts w:ascii="Times New Roman" w:hAnsi="Times New Roman"/>
          <w:noProof/>
          <w:lang w:val="en-GB"/>
        </w:rPr>
        <w:fldChar w:fldCharType="separate"/>
      </w:r>
      <w:r w:rsidR="009B3399" w:rsidRPr="00B54ECF">
        <w:rPr>
          <w:rFonts w:ascii="Times New Roman" w:hAnsi="Times New Roman" w:cs="Times New Roman"/>
          <w:noProof/>
        </w:rPr>
        <w:t xml:space="preserve">Figure </w:t>
      </w:r>
      <w:r w:rsidR="009B3399">
        <w:rPr>
          <w:rFonts w:ascii="Times New Roman" w:hAnsi="Times New Roman" w:cs="Times New Roman"/>
          <w:noProof/>
        </w:rPr>
        <w:t>3</w:t>
      </w:r>
      <w:r w:rsidRPr="004770B6">
        <w:rPr>
          <w:rFonts w:ascii="Times New Roman" w:hAnsi="Times New Roman"/>
          <w:noProof/>
          <w:lang w:val="en-GB"/>
        </w:rPr>
        <w:fldChar w:fldCharType="end"/>
      </w:r>
      <w:r w:rsidRPr="004770B6">
        <w:rPr>
          <w:rFonts w:ascii="Times New Roman" w:hAnsi="Times New Roman"/>
          <w:noProof/>
          <w:lang w:val="en-GB"/>
        </w:rPr>
        <w:t xml:space="preserve"> shows the portion of households that actually use DTT broadcasting to access linear TV</w:t>
      </w:r>
      <w:r w:rsidRPr="0010331E">
        <w:rPr>
          <w:rFonts w:ascii="Times New Roman" w:hAnsi="Times New Roman"/>
          <w:noProof/>
        </w:rPr>
        <w:t>.</w:t>
      </w:r>
      <w:r w:rsidR="00516125" w:rsidRPr="00516125">
        <w:rPr>
          <w:rFonts w:ascii="Times New Roman" w:eastAsia="Calibri" w:hAnsi="Times New Roman" w:cs="Times New Roman"/>
          <w:noProof/>
        </w:rPr>
        <w:t xml:space="preserve"> </w:t>
      </w:r>
      <w:r w:rsidRPr="004770B6">
        <w:rPr>
          <w:rFonts w:ascii="Times New Roman" w:hAnsi="Times New Roman"/>
          <w:noProof/>
          <w:lang w:val="en-GB"/>
        </w:rPr>
        <w:t xml:space="preserve">As mentioned above, the percentage of households that </w:t>
      </w:r>
      <w:r w:rsidR="006079A9">
        <w:rPr>
          <w:rFonts w:ascii="Times New Roman" w:eastAsia="Calibri" w:hAnsi="Times New Roman" w:cs="Times New Roman"/>
          <w:noProof/>
        </w:rPr>
        <w:t>choose</w:t>
      </w:r>
      <w:r w:rsidR="006079A9" w:rsidRPr="00516125">
        <w:rPr>
          <w:rFonts w:ascii="Times New Roman" w:eastAsia="Calibri" w:hAnsi="Times New Roman" w:cs="Times New Roman"/>
          <w:noProof/>
        </w:rPr>
        <w:t xml:space="preserve"> </w:t>
      </w:r>
      <w:r w:rsidRPr="004770B6">
        <w:rPr>
          <w:rFonts w:ascii="Times New Roman" w:hAnsi="Times New Roman"/>
          <w:noProof/>
          <w:lang w:val="en-GB"/>
        </w:rPr>
        <w:t xml:space="preserve">to access linear TV through DTT </w:t>
      </w:r>
      <w:r w:rsidR="006079A9">
        <w:rPr>
          <w:rFonts w:ascii="Times New Roman" w:eastAsia="Calibri" w:hAnsi="Times New Roman" w:cs="Times New Roman"/>
          <w:noProof/>
        </w:rPr>
        <w:t>varies</w:t>
      </w:r>
      <w:r w:rsidRPr="004770B6">
        <w:rPr>
          <w:rFonts w:ascii="Times New Roman" w:hAnsi="Times New Roman"/>
          <w:noProof/>
          <w:lang w:val="en-GB"/>
        </w:rPr>
        <w:t xml:space="preserve"> among EU countries, ranging from a low </w:t>
      </w:r>
      <w:r w:rsidR="006079A9">
        <w:rPr>
          <w:rFonts w:ascii="Times New Roman" w:eastAsia="Calibri" w:hAnsi="Times New Roman" w:cs="Times New Roman"/>
          <w:noProof/>
        </w:rPr>
        <w:t>of</w:t>
      </w:r>
      <w:r w:rsidRPr="00516125">
        <w:rPr>
          <w:rFonts w:ascii="Times New Roman" w:eastAsia="Calibri" w:hAnsi="Times New Roman" w:cs="Times New Roman"/>
          <w:noProof/>
        </w:rPr>
        <w:t xml:space="preserve"> </w:t>
      </w:r>
      <w:r w:rsidRPr="004770B6">
        <w:rPr>
          <w:rFonts w:ascii="Times New Roman" w:hAnsi="Times New Roman"/>
          <w:noProof/>
          <w:lang w:val="en-GB"/>
        </w:rPr>
        <w:t xml:space="preserve">3% to a high </w:t>
      </w:r>
      <w:r w:rsidR="006079A9">
        <w:rPr>
          <w:rFonts w:ascii="Times New Roman" w:eastAsia="Calibri" w:hAnsi="Times New Roman" w:cs="Times New Roman"/>
          <w:noProof/>
        </w:rPr>
        <w:t xml:space="preserve">of </w:t>
      </w:r>
      <w:r w:rsidRPr="004770B6">
        <w:rPr>
          <w:rFonts w:ascii="Times New Roman" w:hAnsi="Times New Roman"/>
          <w:noProof/>
          <w:lang w:val="en-GB"/>
        </w:rPr>
        <w:t>92%.</w:t>
      </w:r>
    </w:p>
    <w:p w14:paraId="39A3880E" w14:textId="4013C986" w:rsidR="00BF60DB" w:rsidRPr="00B00547" w:rsidRDefault="00BF60DB" w:rsidP="00BF60DB">
      <w:pPr>
        <w:pStyle w:val="Caption"/>
        <w:jc w:val="center"/>
        <w:rPr>
          <w:rFonts w:ascii="Times New Roman" w:hAnsi="Times New Roman"/>
          <w:noProof/>
          <w:color w:val="auto"/>
          <w:sz w:val="24"/>
        </w:rPr>
      </w:pPr>
      <w:bookmarkStart w:id="4" w:name="_Ref216881565"/>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3</w:t>
      </w:r>
      <w:r w:rsidRPr="00B54ECF">
        <w:rPr>
          <w:rFonts w:ascii="Times New Roman" w:hAnsi="Times New Roman" w:cs="Times New Roman"/>
          <w:noProof/>
          <w:color w:val="auto"/>
          <w:sz w:val="24"/>
          <w:szCs w:val="24"/>
        </w:rPr>
        <w:fldChar w:fldCharType="end"/>
      </w:r>
      <w:bookmarkEnd w:id="4"/>
      <w:r w:rsidRPr="00B00547">
        <w:rPr>
          <w:rFonts w:ascii="Times New Roman" w:hAnsi="Times New Roman"/>
          <w:noProof/>
          <w:color w:val="auto"/>
          <w:sz w:val="24"/>
        </w:rPr>
        <w:t>: Percentage of households that actually use DTT broadcasting to access linear TV per EU Member State in 2024-2025 (source: RSPG Opinion)</w:t>
      </w:r>
    </w:p>
    <w:p w14:paraId="51A760FE" w14:textId="77777777" w:rsidR="00BF60DB" w:rsidRDefault="00BF60DB" w:rsidP="00BF60DB">
      <w:pPr>
        <w:spacing w:line="257" w:lineRule="auto"/>
        <w:jc w:val="center"/>
        <w:rPr>
          <w:noProof/>
        </w:rPr>
      </w:pPr>
      <w:r>
        <w:rPr>
          <w:noProof/>
          <w:lang w:val="en-GB" w:eastAsia="en-GB"/>
        </w:rPr>
        <w:drawing>
          <wp:inline distT="0" distB="0" distL="0" distR="0" wp14:anchorId="789C5EEA" wp14:editId="55B7BCD1">
            <wp:extent cx="3681412" cy="3207119"/>
            <wp:effectExtent l="0" t="0" r="0" b="0"/>
            <wp:docPr id="1671565814" name="drawing" descr="A map of europe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65814" name="drawing" descr="A map of europe with different colored areas&#10;&#10;AI-generated content may be incorrect."/>
                    <pic:cNvPicPr/>
                  </pic:nvPicPr>
                  <pic:blipFill>
                    <a:blip r:embed="rId20">
                      <a:extLst>
                        <a:ext uri="{28A0092B-C50C-407E-A947-70E740481C1C}">
                          <a14:useLocalDpi xmlns:a14="http://schemas.microsoft.com/office/drawing/2010/main"/>
                        </a:ext>
                      </a:extLst>
                    </a:blip>
                    <a:stretch>
                      <a:fillRect/>
                    </a:stretch>
                  </pic:blipFill>
                  <pic:spPr>
                    <a:xfrm>
                      <a:off x="0" y="0"/>
                      <a:ext cx="3686281" cy="3211360"/>
                    </a:xfrm>
                    <a:prstGeom prst="rect">
                      <a:avLst/>
                    </a:prstGeom>
                  </pic:spPr>
                </pic:pic>
              </a:graphicData>
            </a:graphic>
          </wp:inline>
        </w:drawing>
      </w:r>
    </w:p>
    <w:p w14:paraId="1D40DD4C" w14:textId="13D0B359" w:rsidR="00BF60DB" w:rsidRDefault="00BF60DB" w:rsidP="00BF60DB">
      <w:pPr>
        <w:spacing w:after="240" w:line="240" w:lineRule="auto"/>
        <w:jc w:val="both"/>
        <w:rPr>
          <w:rFonts w:ascii="Times New Roman" w:eastAsiaTheme="minorEastAsia" w:hAnsi="Times New Roman" w:cs="Times New Roman"/>
          <w:noProof/>
        </w:rPr>
      </w:pPr>
      <w:r w:rsidRPr="7482D136">
        <w:rPr>
          <w:rFonts w:ascii="Times New Roman" w:eastAsiaTheme="minorEastAsia" w:hAnsi="Times New Roman" w:cs="Times New Roman"/>
          <w:noProof/>
        </w:rPr>
        <w:fldChar w:fldCharType="begin"/>
      </w:r>
      <w:r w:rsidRPr="7482D136">
        <w:rPr>
          <w:rFonts w:ascii="Times New Roman" w:eastAsiaTheme="minorEastAsia" w:hAnsi="Times New Roman" w:cs="Times New Roman"/>
          <w:noProof/>
        </w:rPr>
        <w:instrText xml:space="preserve"> REF _Ref216881600 \h  \* MERGEFORMAT </w:instrText>
      </w:r>
      <w:r w:rsidRPr="7482D136">
        <w:rPr>
          <w:rFonts w:ascii="Times New Roman" w:eastAsiaTheme="minorEastAsia" w:hAnsi="Times New Roman" w:cs="Times New Roman"/>
          <w:noProof/>
        </w:rPr>
      </w:r>
      <w:r w:rsidRPr="7482D136">
        <w:rPr>
          <w:rFonts w:ascii="Times New Roman" w:eastAsiaTheme="minorEastAsia" w:hAnsi="Times New Roman" w:cs="Times New Roman"/>
          <w:noProof/>
        </w:rPr>
        <w:fldChar w:fldCharType="separate"/>
      </w:r>
      <w:r w:rsidR="009B3399" w:rsidRPr="00B54ECF">
        <w:rPr>
          <w:rFonts w:ascii="Times New Roman" w:hAnsi="Times New Roman" w:cs="Times New Roman"/>
          <w:noProof/>
        </w:rPr>
        <w:t xml:space="preserve">Figure </w:t>
      </w:r>
      <w:r w:rsidR="009B3399">
        <w:rPr>
          <w:rFonts w:ascii="Times New Roman" w:hAnsi="Times New Roman" w:cs="Times New Roman"/>
          <w:noProof/>
        </w:rPr>
        <w:t>4</w:t>
      </w:r>
      <w:r w:rsidRPr="7482D136">
        <w:rPr>
          <w:rFonts w:ascii="Times New Roman" w:eastAsiaTheme="minorEastAsia" w:hAnsi="Times New Roman" w:cs="Times New Roman"/>
          <w:noProof/>
        </w:rPr>
        <w:fldChar w:fldCharType="end"/>
      </w:r>
      <w:r w:rsidRPr="7482D136">
        <w:rPr>
          <w:rFonts w:ascii="Times New Roman" w:eastAsiaTheme="minorEastAsia" w:hAnsi="Times New Roman" w:cs="Times New Roman"/>
          <w:noProof/>
        </w:rPr>
        <w:t xml:space="preserve"> shows DTT penetration across EU Member States in 2025. The results vary considerably: some countries display very low levels of DTT usage, while others reach penetration levels above 70%.</w:t>
      </w:r>
    </w:p>
    <w:p w14:paraId="5C766B19" w14:textId="29F300A2" w:rsidR="00BF60DB" w:rsidRPr="00A7582A" w:rsidRDefault="00BF60DB" w:rsidP="00BF60DB">
      <w:pPr>
        <w:pStyle w:val="Caption"/>
        <w:jc w:val="center"/>
        <w:rPr>
          <w:rFonts w:ascii="Times New Roman" w:hAnsi="Times New Roman"/>
          <w:i w:val="0"/>
          <w:noProof/>
          <w:color w:val="auto"/>
          <w:sz w:val="24"/>
        </w:rPr>
      </w:pPr>
      <w:bookmarkStart w:id="5" w:name="_Ref216881600"/>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4</w:t>
      </w:r>
      <w:r w:rsidRPr="00B54ECF">
        <w:rPr>
          <w:rFonts w:ascii="Times New Roman" w:hAnsi="Times New Roman" w:cs="Times New Roman"/>
          <w:noProof/>
          <w:color w:val="auto"/>
          <w:sz w:val="24"/>
          <w:szCs w:val="24"/>
        </w:rPr>
        <w:fldChar w:fldCharType="end"/>
      </w:r>
      <w:bookmarkEnd w:id="5"/>
      <w:r w:rsidRPr="00B00547">
        <w:rPr>
          <w:rFonts w:ascii="Times New Roman" w:hAnsi="Times New Roman"/>
          <w:noProof/>
          <w:color w:val="auto"/>
          <w:sz w:val="24"/>
        </w:rPr>
        <w:t>:</w:t>
      </w:r>
      <w:r w:rsidR="00516125" w:rsidRPr="00516125">
        <w:rPr>
          <w:rFonts w:ascii="Times New Roman" w:eastAsia="Calibri" w:hAnsi="Times New Roman" w:cs="Times New Roman"/>
          <w:noProof/>
          <w:color w:val="auto"/>
          <w:sz w:val="24"/>
          <w:szCs w:val="24"/>
          <w:lang w:eastAsia="el-GR"/>
        </w:rPr>
        <w:t xml:space="preserve"> </w:t>
      </w:r>
      <w:r w:rsidRPr="00B00547">
        <w:rPr>
          <w:rFonts w:ascii="Times New Roman" w:hAnsi="Times New Roman"/>
          <w:noProof/>
          <w:color w:val="auto"/>
          <w:sz w:val="24"/>
        </w:rPr>
        <w:t xml:space="preserve">DTT </w:t>
      </w:r>
      <w:r w:rsidR="002A7AC0">
        <w:rPr>
          <w:rFonts w:ascii="Times New Roman" w:eastAsia="Calibri" w:hAnsi="Times New Roman" w:cs="Times New Roman"/>
          <w:noProof/>
          <w:color w:val="auto"/>
          <w:sz w:val="24"/>
          <w:szCs w:val="24"/>
          <w:lang w:eastAsia="el-GR"/>
        </w:rPr>
        <w:t>p</w:t>
      </w:r>
      <w:r w:rsidRPr="00B00547">
        <w:rPr>
          <w:rFonts w:ascii="Times New Roman" w:hAnsi="Times New Roman"/>
          <w:noProof/>
          <w:color w:val="auto"/>
          <w:sz w:val="24"/>
        </w:rPr>
        <w:t xml:space="preserve">enetration in EU Member States in 2025 (source: </w:t>
      </w:r>
      <w:r w:rsidRPr="00B54ECF">
        <w:rPr>
          <w:rFonts w:ascii="Times New Roman" w:eastAsiaTheme="minorEastAsia" w:hAnsi="Times New Roman" w:cs="Times New Roman"/>
          <w:noProof/>
          <w:color w:val="auto"/>
          <w:sz w:val="24"/>
          <w:szCs w:val="24"/>
          <w:lang w:eastAsia="el-GR"/>
        </w:rPr>
        <w:t xml:space="preserve">EBU-BNE </w:t>
      </w:r>
      <w:r w:rsidR="00AE3C82" w:rsidRPr="00AE3C82">
        <w:rPr>
          <w:rFonts w:ascii="Times New Roman" w:eastAsiaTheme="minorEastAsia" w:hAnsi="Times New Roman" w:cs="Times New Roman"/>
          <w:noProof/>
          <w:color w:val="auto"/>
          <w:sz w:val="24"/>
          <w:szCs w:val="24"/>
          <w:lang w:eastAsia="el-GR"/>
        </w:rPr>
        <w:t xml:space="preserve"> </w:t>
      </w:r>
      <w:r w:rsidR="00AE3C82">
        <w:rPr>
          <w:rFonts w:ascii="Times New Roman" w:eastAsiaTheme="minorEastAsia" w:hAnsi="Times New Roman" w:cs="Times New Roman"/>
          <w:noProof/>
          <w:color w:val="auto"/>
          <w:sz w:val="24"/>
          <w:szCs w:val="24"/>
          <w:lang w:val="en-US" w:eastAsia="el-GR"/>
        </w:rPr>
        <w:t xml:space="preserve">DPM </w:t>
      </w:r>
      <w:r w:rsidRPr="00B54ECF">
        <w:rPr>
          <w:rFonts w:ascii="Times New Roman" w:eastAsiaTheme="minorEastAsia" w:hAnsi="Times New Roman" w:cs="Times New Roman"/>
          <w:noProof/>
          <w:color w:val="auto"/>
          <w:sz w:val="24"/>
          <w:szCs w:val="24"/>
          <w:lang w:eastAsia="el-GR"/>
        </w:rPr>
        <w:t>database</w:t>
      </w:r>
      <w:r w:rsidRPr="00A7582A">
        <w:rPr>
          <w:rFonts w:ascii="Times New Roman" w:hAnsi="Times New Roman"/>
          <w:noProof/>
          <w:color w:val="auto"/>
          <w:sz w:val="24"/>
        </w:rPr>
        <w:t>)</w:t>
      </w:r>
    </w:p>
    <w:p w14:paraId="45F78AA7" w14:textId="77777777" w:rsidR="00BF60DB" w:rsidRDefault="00BF60DB" w:rsidP="00BF60DB">
      <w:pPr>
        <w:spacing w:after="240" w:line="240" w:lineRule="auto"/>
        <w:jc w:val="both"/>
        <w:rPr>
          <w:rFonts w:ascii="Times New Roman" w:eastAsia="Calibri" w:hAnsi="Times New Roman" w:cs="Times New Roman"/>
          <w:noProof/>
        </w:rPr>
      </w:pPr>
      <w:r>
        <w:rPr>
          <w:noProof/>
          <w:lang w:val="en-GB" w:eastAsia="en-GB"/>
        </w:rPr>
        <w:drawing>
          <wp:inline distT="0" distB="0" distL="0" distR="0" wp14:anchorId="626409AC" wp14:editId="04D38568">
            <wp:extent cx="5019040" cy="2881146"/>
            <wp:effectExtent l="0" t="0" r="0" b="0"/>
            <wp:docPr id="827571757" name="drawing" descr="A graph with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71757" name="drawing" descr="A graph with blue and white bars&#10;&#10;AI-generated content may be incorrect."/>
                    <pic:cNvPicPr/>
                  </pic:nvPicPr>
                  <pic:blipFill>
                    <a:blip r:embed="rId21">
                      <a:extLst>
                        <a:ext uri="{28A0092B-C50C-407E-A947-70E740481C1C}">
                          <a14:useLocalDpi xmlns:a14="http://schemas.microsoft.com/office/drawing/2010/main"/>
                        </a:ext>
                      </a:extLst>
                    </a:blip>
                    <a:stretch>
                      <a:fillRect/>
                    </a:stretch>
                  </pic:blipFill>
                  <pic:spPr>
                    <a:xfrm>
                      <a:off x="0" y="0"/>
                      <a:ext cx="5025387" cy="2884789"/>
                    </a:xfrm>
                    <a:prstGeom prst="rect">
                      <a:avLst/>
                    </a:prstGeom>
                  </pic:spPr>
                </pic:pic>
              </a:graphicData>
            </a:graphic>
          </wp:inline>
        </w:drawing>
      </w:r>
    </w:p>
    <w:p w14:paraId="448F0A13" w14:textId="77777777" w:rsidR="00BF60DB" w:rsidRPr="00A7582A" w:rsidRDefault="00BF60DB" w:rsidP="00BF60DB">
      <w:pPr>
        <w:spacing w:line="257" w:lineRule="auto"/>
        <w:jc w:val="center"/>
        <w:rPr>
          <w:noProof/>
        </w:rPr>
      </w:pPr>
    </w:p>
    <w:p w14:paraId="3E8259D6" w14:textId="2FDDE8D9" w:rsidR="00BF60DB" w:rsidRDefault="00BF60DB" w:rsidP="00BF60DB">
      <w:pPr>
        <w:spacing w:after="240" w:line="240" w:lineRule="auto"/>
        <w:jc w:val="both"/>
        <w:rPr>
          <w:rStyle w:val="eop"/>
          <w:rFonts w:ascii="Times New Roman" w:eastAsiaTheme="minorEastAsia" w:hAnsi="Times New Roman" w:cs="Times New Roman"/>
          <w:noProof/>
          <w:lang w:eastAsia="en-IE"/>
        </w:rPr>
      </w:pPr>
      <w:r w:rsidRPr="7482D136">
        <w:rPr>
          <w:rStyle w:val="eop"/>
          <w:rFonts w:ascii="Times New Roman" w:eastAsiaTheme="minorEastAsia" w:hAnsi="Times New Roman" w:cs="Times New Roman"/>
          <w:noProof/>
          <w:lang w:eastAsia="en-IE"/>
        </w:rPr>
        <w:fldChar w:fldCharType="begin"/>
      </w:r>
      <w:r w:rsidRPr="7482D136">
        <w:rPr>
          <w:rStyle w:val="eop"/>
          <w:rFonts w:ascii="Times New Roman" w:eastAsiaTheme="minorEastAsia" w:hAnsi="Times New Roman" w:cs="Times New Roman"/>
          <w:noProof/>
          <w:lang w:eastAsia="en-IE"/>
        </w:rPr>
        <w:instrText xml:space="preserve"> REF _Ref216794457 \h  \* MERGEFORMAT </w:instrText>
      </w:r>
      <w:r w:rsidRPr="7482D136">
        <w:rPr>
          <w:rStyle w:val="eop"/>
          <w:rFonts w:ascii="Times New Roman" w:eastAsiaTheme="minorEastAsia" w:hAnsi="Times New Roman" w:cs="Times New Roman"/>
          <w:noProof/>
          <w:lang w:eastAsia="en-IE"/>
        </w:rPr>
      </w:r>
      <w:r w:rsidRPr="7482D136">
        <w:rPr>
          <w:rStyle w:val="eop"/>
          <w:rFonts w:ascii="Times New Roman" w:eastAsiaTheme="minorEastAsia" w:hAnsi="Times New Roman" w:cs="Times New Roman"/>
          <w:noProof/>
          <w:lang w:eastAsia="en-IE"/>
        </w:rPr>
        <w:fldChar w:fldCharType="separate"/>
      </w:r>
      <w:r w:rsidR="009B3399" w:rsidRPr="00B54ECF">
        <w:rPr>
          <w:rFonts w:ascii="Times New Roman" w:hAnsi="Times New Roman" w:cs="Times New Roman"/>
          <w:noProof/>
        </w:rPr>
        <w:t xml:space="preserve">Figure </w:t>
      </w:r>
      <w:r w:rsidR="009B3399">
        <w:rPr>
          <w:rFonts w:ascii="Times New Roman" w:hAnsi="Times New Roman" w:cs="Times New Roman"/>
          <w:noProof/>
        </w:rPr>
        <w:t>5</w:t>
      </w:r>
      <w:r w:rsidRPr="7482D136">
        <w:rPr>
          <w:rStyle w:val="eop"/>
          <w:rFonts w:ascii="Times New Roman" w:eastAsiaTheme="minorEastAsia" w:hAnsi="Times New Roman" w:cs="Times New Roman"/>
          <w:noProof/>
          <w:lang w:eastAsia="en-IE"/>
        </w:rPr>
        <w:fldChar w:fldCharType="end"/>
      </w:r>
      <w:r w:rsidRPr="7482D136">
        <w:rPr>
          <w:rStyle w:val="eop"/>
          <w:rFonts w:ascii="Times New Roman" w:eastAsiaTheme="minorEastAsia" w:hAnsi="Times New Roman" w:cs="Times New Roman"/>
          <w:noProof/>
          <w:lang w:eastAsia="en-IE"/>
        </w:rPr>
        <w:t xml:space="preserve"> provides an overview of the expiration year of DTT licences across 21 EU Member States (for which data </w:t>
      </w:r>
      <w:r w:rsidR="003B563B">
        <w:rPr>
          <w:rStyle w:val="eop"/>
          <w:rFonts w:ascii="Times New Roman" w:eastAsiaTheme="minorEastAsia" w:hAnsi="Times New Roman" w:cs="Times New Roman"/>
          <w:noProof/>
          <w:lang w:eastAsia="en-IE"/>
        </w:rPr>
        <w:t>are</w:t>
      </w:r>
      <w:r w:rsidR="003B563B" w:rsidRPr="00516125">
        <w:rPr>
          <w:rStyle w:val="eop"/>
          <w:rFonts w:ascii="Times New Roman" w:eastAsiaTheme="minorEastAsia" w:hAnsi="Times New Roman" w:cs="Times New Roman"/>
          <w:noProof/>
          <w:lang w:eastAsia="en-IE"/>
        </w:rPr>
        <w:t xml:space="preserve"> </w:t>
      </w:r>
      <w:r w:rsidRPr="7482D136">
        <w:rPr>
          <w:rStyle w:val="eop"/>
          <w:rFonts w:ascii="Times New Roman" w:eastAsiaTheme="minorEastAsia" w:hAnsi="Times New Roman" w:cs="Times New Roman"/>
          <w:noProof/>
          <w:lang w:eastAsia="en-IE"/>
        </w:rPr>
        <w:t>available)</w:t>
      </w:r>
      <w:bookmarkStart w:id="6" w:name="_Ref216090772"/>
      <w:r w:rsidRPr="7482D136">
        <w:rPr>
          <w:rStyle w:val="FootnoteReference"/>
          <w:rFonts w:ascii="Times New Roman" w:eastAsiaTheme="minorEastAsia" w:hAnsi="Times New Roman" w:cs="Times New Roman"/>
          <w:noProof/>
          <w:lang w:eastAsia="en-IE"/>
        </w:rPr>
        <w:footnoteReference w:id="23"/>
      </w:r>
      <w:bookmarkEnd w:id="6"/>
      <w:r w:rsidRPr="7482D136">
        <w:rPr>
          <w:rStyle w:val="eop"/>
          <w:rFonts w:ascii="Times New Roman" w:eastAsiaTheme="minorEastAsia" w:hAnsi="Times New Roman" w:cs="Times New Roman"/>
          <w:noProof/>
          <w:lang w:eastAsia="en-IE"/>
        </w:rPr>
        <w:t>. Most of the Member States have licences that expire around or beyond 2030, and several Member States</w:t>
      </w:r>
      <w:r w:rsidRPr="7482D136">
        <w:rPr>
          <w:rStyle w:val="FootnoteReference"/>
          <w:rFonts w:ascii="Times New Roman" w:eastAsiaTheme="minorEastAsia" w:hAnsi="Times New Roman" w:cs="Times New Roman"/>
          <w:noProof/>
          <w:lang w:eastAsia="en-IE"/>
        </w:rPr>
        <w:footnoteReference w:id="24"/>
      </w:r>
      <w:r w:rsidRPr="7482D136">
        <w:rPr>
          <w:rStyle w:val="eop"/>
          <w:rFonts w:ascii="Times New Roman" w:eastAsiaTheme="minorEastAsia" w:hAnsi="Times New Roman" w:cs="Times New Roman"/>
          <w:noProof/>
          <w:lang w:eastAsia="en-IE"/>
        </w:rPr>
        <w:t xml:space="preserve"> are considering renewing them.</w:t>
      </w:r>
    </w:p>
    <w:p w14:paraId="29BD45E7" w14:textId="44769736" w:rsidR="00BF60DB" w:rsidRPr="00B54ECF" w:rsidRDefault="00BF60DB" w:rsidP="00BF60DB">
      <w:pPr>
        <w:pStyle w:val="Caption"/>
        <w:jc w:val="center"/>
        <w:rPr>
          <w:rStyle w:val="eop"/>
          <w:rFonts w:ascii="Times New Roman" w:hAnsi="Times New Roman" w:cs="Times New Roman"/>
          <w:noProof/>
          <w:sz w:val="24"/>
          <w:szCs w:val="24"/>
        </w:rPr>
      </w:pPr>
      <w:bookmarkStart w:id="7" w:name="_Ref216794457"/>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5</w:t>
      </w:r>
      <w:r w:rsidRPr="00B54ECF">
        <w:rPr>
          <w:rFonts w:ascii="Times New Roman" w:hAnsi="Times New Roman" w:cs="Times New Roman"/>
          <w:noProof/>
          <w:color w:val="auto"/>
          <w:sz w:val="24"/>
          <w:szCs w:val="24"/>
        </w:rPr>
        <w:fldChar w:fldCharType="end"/>
      </w:r>
      <w:bookmarkEnd w:id="7"/>
      <w:r w:rsidRPr="00B54ECF">
        <w:rPr>
          <w:rStyle w:val="eop"/>
          <w:rFonts w:ascii="Times New Roman" w:eastAsiaTheme="minorEastAsia" w:hAnsi="Times New Roman" w:cs="Times New Roman"/>
          <w:noProof/>
          <w:color w:val="auto"/>
          <w:sz w:val="24"/>
          <w:szCs w:val="24"/>
          <w:lang w:eastAsia="en-IE"/>
        </w:rPr>
        <w:t>: Expiration year of DTT licences</w:t>
      </w:r>
      <w:r w:rsidRPr="00B54ECF">
        <w:rPr>
          <w:rStyle w:val="eop"/>
          <w:rFonts w:ascii="Times New Roman" w:eastAsiaTheme="minorEastAsia" w:hAnsi="Times New Roman" w:cs="Times New Roman"/>
          <w:i w:val="0"/>
          <w:iCs w:val="0"/>
          <w:noProof/>
          <w:color w:val="auto"/>
          <w:sz w:val="24"/>
          <w:szCs w:val="24"/>
          <w:lang w:eastAsia="en-IE"/>
        </w:rPr>
        <w:fldChar w:fldCharType="begin"/>
      </w:r>
      <w:r w:rsidRPr="00B54ECF">
        <w:rPr>
          <w:rStyle w:val="eop"/>
          <w:rFonts w:ascii="Times New Roman" w:eastAsiaTheme="minorEastAsia" w:hAnsi="Times New Roman" w:cs="Times New Roman"/>
          <w:noProof/>
          <w:color w:val="auto"/>
          <w:sz w:val="24"/>
          <w:szCs w:val="24"/>
          <w:lang w:eastAsia="en-IE"/>
        </w:rPr>
        <w:instrText xml:space="preserve"> NOTEREF _Ref216090772 \f \h </w:instrText>
      </w:r>
      <w:r w:rsidRPr="00B54ECF">
        <w:rPr>
          <w:rStyle w:val="eop"/>
          <w:rFonts w:ascii="Times New Roman" w:eastAsiaTheme="minorEastAsia" w:hAnsi="Times New Roman" w:cs="Times New Roman"/>
          <w:i w:val="0"/>
          <w:iCs w:val="0"/>
          <w:noProof/>
          <w:color w:val="auto"/>
          <w:sz w:val="24"/>
          <w:szCs w:val="24"/>
          <w:lang w:eastAsia="en-IE"/>
        </w:rPr>
        <w:instrText xml:space="preserve"> \* MERGEFORMAT </w:instrText>
      </w:r>
      <w:r w:rsidRPr="00B54ECF">
        <w:rPr>
          <w:rStyle w:val="eop"/>
          <w:rFonts w:ascii="Times New Roman" w:eastAsiaTheme="minorEastAsia" w:hAnsi="Times New Roman" w:cs="Times New Roman"/>
          <w:i w:val="0"/>
          <w:iCs w:val="0"/>
          <w:noProof/>
          <w:color w:val="auto"/>
          <w:sz w:val="24"/>
          <w:szCs w:val="24"/>
          <w:lang w:eastAsia="en-IE"/>
        </w:rPr>
      </w:r>
      <w:r w:rsidRPr="00B54ECF">
        <w:rPr>
          <w:rStyle w:val="eop"/>
          <w:rFonts w:ascii="Times New Roman" w:eastAsiaTheme="minorEastAsia" w:hAnsi="Times New Roman" w:cs="Times New Roman"/>
          <w:i w:val="0"/>
          <w:iCs w:val="0"/>
          <w:noProof/>
          <w:color w:val="auto"/>
          <w:sz w:val="24"/>
          <w:szCs w:val="24"/>
          <w:lang w:eastAsia="en-IE"/>
        </w:rPr>
        <w:fldChar w:fldCharType="separate"/>
      </w:r>
      <w:r w:rsidR="009B3399" w:rsidRPr="009B3399">
        <w:rPr>
          <w:rStyle w:val="FootnoteReference"/>
          <w:rFonts w:ascii="Times New Roman" w:hAnsi="Times New Roman" w:cs="Times New Roman"/>
          <w:noProof/>
          <w:color w:val="auto"/>
          <w:sz w:val="24"/>
          <w:szCs w:val="24"/>
        </w:rPr>
        <w:t>23</w:t>
      </w:r>
      <w:r w:rsidRPr="00B54ECF">
        <w:rPr>
          <w:rStyle w:val="eop"/>
          <w:rFonts w:ascii="Times New Roman" w:eastAsiaTheme="minorEastAsia" w:hAnsi="Times New Roman" w:cs="Times New Roman"/>
          <w:i w:val="0"/>
          <w:iCs w:val="0"/>
          <w:noProof/>
          <w:color w:val="auto"/>
          <w:sz w:val="24"/>
          <w:szCs w:val="24"/>
          <w:lang w:eastAsia="en-IE"/>
        </w:rPr>
        <w:fldChar w:fldCharType="end"/>
      </w:r>
    </w:p>
    <w:p w14:paraId="5D2F7C9E" w14:textId="77777777" w:rsidR="00BF60DB" w:rsidRDefault="00BF60DB" w:rsidP="00BF60DB">
      <w:pPr>
        <w:spacing w:after="240" w:line="240" w:lineRule="auto"/>
        <w:jc w:val="both"/>
        <w:rPr>
          <w:noProof/>
        </w:rPr>
      </w:pPr>
      <w:r>
        <w:rPr>
          <w:noProof/>
          <w:lang w:val="en-GB" w:eastAsia="en-GB"/>
        </w:rPr>
        <w:drawing>
          <wp:inline distT="0" distB="0" distL="0" distR="0" wp14:anchorId="0B6C9524" wp14:editId="41B19456">
            <wp:extent cx="5467540" cy="2483473"/>
            <wp:effectExtent l="0" t="0" r="0" b="0"/>
            <wp:docPr id="1783850977" name="drawing" descr="A graph of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50977" name="drawing" descr="A graph of numbers and symbols&#10;&#10;AI-generated content may be incorrect."/>
                    <pic:cNvPicPr/>
                  </pic:nvPicPr>
                  <pic:blipFill>
                    <a:blip r:embed="rId22">
                      <a:extLst>
                        <a:ext uri="{28A0092B-C50C-407E-A947-70E740481C1C}">
                          <a14:useLocalDpi xmlns:a14="http://schemas.microsoft.com/office/drawing/2010/main"/>
                        </a:ext>
                      </a:extLst>
                    </a:blip>
                    <a:stretch>
                      <a:fillRect/>
                    </a:stretch>
                  </pic:blipFill>
                  <pic:spPr>
                    <a:xfrm>
                      <a:off x="0" y="0"/>
                      <a:ext cx="5467540" cy="2483473"/>
                    </a:xfrm>
                    <a:prstGeom prst="rect">
                      <a:avLst/>
                    </a:prstGeom>
                  </pic:spPr>
                </pic:pic>
              </a:graphicData>
            </a:graphic>
          </wp:inline>
        </w:drawing>
      </w:r>
    </w:p>
    <w:p w14:paraId="01CCA11A" w14:textId="4CE14D45" w:rsidR="00BF60DB" w:rsidRPr="00E130FA" w:rsidRDefault="00BF60DB" w:rsidP="00BF60DB">
      <w:pPr>
        <w:spacing w:after="0" w:line="257" w:lineRule="auto"/>
        <w:jc w:val="both"/>
        <w:rPr>
          <w:rFonts w:ascii="Times New Roman" w:hAnsi="Times New Roman" w:cs="Times New Roman"/>
          <w:i/>
          <w:iCs/>
          <w:noProof/>
          <w:sz w:val="20"/>
          <w:szCs w:val="20"/>
        </w:rPr>
      </w:pPr>
      <w:r w:rsidRPr="00E130FA">
        <w:rPr>
          <w:rFonts w:ascii="Times New Roman" w:hAnsi="Times New Roman" w:cs="Times New Roman"/>
          <w:i/>
          <w:iCs/>
          <w:noProof/>
          <w:sz w:val="20"/>
          <w:szCs w:val="20"/>
        </w:rPr>
        <w:t xml:space="preserve">*Note: FR - possible further extension of up to </w:t>
      </w:r>
      <w:r w:rsidR="004D0872">
        <w:rPr>
          <w:rFonts w:ascii="Times New Roman" w:hAnsi="Times New Roman" w:cs="Times New Roman"/>
          <w:i/>
          <w:iCs/>
          <w:noProof/>
          <w:sz w:val="20"/>
          <w:szCs w:val="20"/>
        </w:rPr>
        <w:t>five</w:t>
      </w:r>
      <w:r w:rsidR="004D0872" w:rsidRPr="00516125">
        <w:rPr>
          <w:rFonts w:ascii="Times New Roman" w:hAnsi="Times New Roman" w:cs="Times New Roman"/>
          <w:i/>
          <w:iCs/>
          <w:noProof/>
          <w:sz w:val="20"/>
          <w:szCs w:val="20"/>
        </w:rPr>
        <w:t xml:space="preserve"> </w:t>
      </w:r>
      <w:r w:rsidRPr="00E130FA">
        <w:rPr>
          <w:rFonts w:ascii="Times New Roman" w:hAnsi="Times New Roman" w:cs="Times New Roman"/>
          <w:i/>
          <w:iCs/>
          <w:noProof/>
          <w:sz w:val="20"/>
          <w:szCs w:val="20"/>
        </w:rPr>
        <w:t>years for national licences granted in 2025, MT - licence is valid indefinitely.</w:t>
      </w:r>
    </w:p>
    <w:p w14:paraId="224D24E9" w14:textId="77777777" w:rsidR="00BF60DB" w:rsidRPr="00ED5A11" w:rsidRDefault="00BF60DB" w:rsidP="00BF60DB">
      <w:pPr>
        <w:spacing w:after="0" w:line="257" w:lineRule="auto"/>
        <w:rPr>
          <w:rFonts w:ascii="Times New Roman" w:hAnsi="Times New Roman" w:cs="Times New Roman"/>
          <w:i/>
          <w:iCs/>
          <w:noProof/>
          <w:color w:val="0E2841" w:themeColor="text2"/>
        </w:rPr>
      </w:pPr>
    </w:p>
    <w:p w14:paraId="048DB68C" w14:textId="135E6E89" w:rsidR="00BF60DB" w:rsidRDefault="7E270F48" w:rsidP="463B461D">
      <w:pPr>
        <w:pStyle w:val="paragraph"/>
        <w:spacing w:before="0" w:beforeAutospacing="0" w:after="240" w:afterAutospacing="0"/>
        <w:rPr>
          <w:rStyle w:val="normaltextrun"/>
          <w:rFonts w:eastAsiaTheme="minorEastAsia"/>
          <w:b/>
          <w:bCs/>
          <w:noProof/>
        </w:rPr>
      </w:pPr>
      <w:r w:rsidRPr="463B461D">
        <w:rPr>
          <w:rStyle w:val="normaltextrun"/>
          <w:b/>
          <w:bCs/>
          <w:noProof/>
        </w:rPr>
        <w:t xml:space="preserve">PMSE </w:t>
      </w:r>
      <w:r w:rsidR="607A3419" w:rsidRPr="463B461D">
        <w:rPr>
          <w:rStyle w:val="normaltextrun"/>
          <w:b/>
          <w:bCs/>
          <w:noProof/>
        </w:rPr>
        <w:t>(</w:t>
      </w:r>
      <w:r w:rsidR="5617AFF7" w:rsidRPr="463B461D">
        <w:rPr>
          <w:rStyle w:val="normaltextrun"/>
          <w:b/>
          <w:bCs/>
          <w:noProof/>
        </w:rPr>
        <w:t>P</w:t>
      </w:r>
      <w:r w:rsidR="607A3419" w:rsidRPr="463B461D">
        <w:rPr>
          <w:rStyle w:val="normaltextrun"/>
          <w:b/>
          <w:bCs/>
          <w:noProof/>
        </w:rPr>
        <w:t xml:space="preserve">rogramme </w:t>
      </w:r>
      <w:r w:rsidR="197BF853" w:rsidRPr="463B461D">
        <w:rPr>
          <w:rStyle w:val="normaltextrun"/>
          <w:b/>
          <w:bCs/>
          <w:noProof/>
        </w:rPr>
        <w:t>M</w:t>
      </w:r>
      <w:r w:rsidR="607A3419" w:rsidRPr="463B461D">
        <w:rPr>
          <w:rStyle w:val="normaltextrun"/>
          <w:b/>
          <w:bCs/>
          <w:noProof/>
        </w:rPr>
        <w:t xml:space="preserve">aking </w:t>
      </w:r>
      <w:r w:rsidRPr="463B461D">
        <w:rPr>
          <w:rStyle w:val="normaltextrun"/>
          <w:b/>
          <w:bCs/>
          <w:noProof/>
        </w:rPr>
        <w:t>and</w:t>
      </w:r>
      <w:r w:rsidR="008D0C54">
        <w:rPr>
          <w:rStyle w:val="normaltextrun"/>
          <w:b/>
          <w:bCs/>
          <w:noProof/>
        </w:rPr>
        <w:t xml:space="preserve"> </w:t>
      </w:r>
      <w:r w:rsidR="366015F2" w:rsidRPr="463B461D">
        <w:rPr>
          <w:rStyle w:val="normaltextrun"/>
          <w:b/>
          <w:bCs/>
          <w:noProof/>
        </w:rPr>
        <w:t>S</w:t>
      </w:r>
      <w:r w:rsidR="607A3419" w:rsidRPr="463B461D">
        <w:rPr>
          <w:rStyle w:val="normaltextrun"/>
          <w:b/>
          <w:bCs/>
          <w:noProof/>
        </w:rPr>
        <w:t xml:space="preserve">pecial </w:t>
      </w:r>
      <w:r w:rsidR="381D7409" w:rsidRPr="463B461D">
        <w:rPr>
          <w:rStyle w:val="normaltextrun"/>
          <w:b/>
          <w:bCs/>
          <w:noProof/>
        </w:rPr>
        <w:t>E</w:t>
      </w:r>
      <w:r w:rsidR="607A3419" w:rsidRPr="463B461D">
        <w:rPr>
          <w:rStyle w:val="normaltextrun"/>
          <w:b/>
          <w:bCs/>
          <w:noProof/>
        </w:rPr>
        <w:t xml:space="preserve">vents) </w:t>
      </w:r>
      <w:r w:rsidRPr="463B461D">
        <w:rPr>
          <w:rStyle w:val="normaltextrun"/>
          <w:b/>
          <w:bCs/>
          <w:noProof/>
        </w:rPr>
        <w:t xml:space="preserve">and </w:t>
      </w:r>
      <w:r w:rsidR="607A3419" w:rsidRPr="463B461D">
        <w:rPr>
          <w:rStyle w:val="normaltextrun"/>
          <w:b/>
          <w:bCs/>
          <w:noProof/>
        </w:rPr>
        <w:t>o</w:t>
      </w:r>
      <w:r w:rsidRPr="463B461D">
        <w:rPr>
          <w:rStyle w:val="normaltextrun"/>
          <w:b/>
          <w:bCs/>
          <w:noProof/>
        </w:rPr>
        <w:t xml:space="preserve">ther </w:t>
      </w:r>
      <w:r w:rsidR="607A3419" w:rsidRPr="463B461D">
        <w:rPr>
          <w:rStyle w:val="normaltextrun"/>
          <w:b/>
          <w:bCs/>
          <w:noProof/>
        </w:rPr>
        <w:t>s</w:t>
      </w:r>
      <w:r w:rsidRPr="463B461D">
        <w:rPr>
          <w:rStyle w:val="normaltextrun"/>
          <w:b/>
          <w:bCs/>
          <w:noProof/>
        </w:rPr>
        <w:t xml:space="preserve">econdary </w:t>
      </w:r>
      <w:r w:rsidR="607A3419" w:rsidRPr="463B461D">
        <w:rPr>
          <w:rStyle w:val="normaltextrun"/>
          <w:b/>
          <w:bCs/>
          <w:noProof/>
        </w:rPr>
        <w:t>s</w:t>
      </w:r>
      <w:r w:rsidRPr="463B461D">
        <w:rPr>
          <w:rStyle w:val="normaltextrun"/>
          <w:b/>
          <w:bCs/>
          <w:noProof/>
        </w:rPr>
        <w:t>ervices</w:t>
      </w:r>
    </w:p>
    <w:p w14:paraId="4BA0D04E" w14:textId="5286F6C4" w:rsidR="00BF60DB" w:rsidRDefault="00BF60DB" w:rsidP="00BF60DB">
      <w:pPr>
        <w:spacing w:after="240" w:line="240" w:lineRule="auto"/>
        <w:jc w:val="both"/>
        <w:rPr>
          <w:rFonts w:ascii="Times New Roman" w:eastAsia="Aptos" w:hAnsi="Times New Roman" w:cs="Times New Roman"/>
          <w:noProof/>
        </w:rPr>
      </w:pPr>
      <w:r>
        <w:rPr>
          <w:rFonts w:ascii="Times New Roman" w:eastAsia="Aptos" w:hAnsi="Times New Roman" w:cs="Times New Roman"/>
          <w:noProof/>
        </w:rPr>
        <w:t>As regards audio PMSE,</w:t>
      </w:r>
      <w:r w:rsidRPr="11280AE8">
        <w:rPr>
          <w:rFonts w:ascii="Times New Roman" w:eastAsia="Aptos" w:hAnsi="Times New Roman" w:cs="Times New Roman"/>
          <w:noProof/>
        </w:rPr>
        <w:t xml:space="preserve"> which typically operates</w:t>
      </w:r>
      <w:r>
        <w:rPr>
          <w:rFonts w:ascii="Times New Roman" w:eastAsia="Aptos" w:hAnsi="Times New Roman" w:cs="Times New Roman"/>
          <w:noProof/>
        </w:rPr>
        <w:t xml:space="preserve"> in white spaces of the band, </w:t>
      </w:r>
      <w:r w:rsidRPr="7F56BBCD">
        <w:rPr>
          <w:rFonts w:ascii="Times New Roman" w:eastAsia="Aptos" w:hAnsi="Times New Roman" w:cs="Times New Roman"/>
          <w:noProof/>
        </w:rPr>
        <w:t xml:space="preserve">the current trend in usage depends on national </w:t>
      </w:r>
      <w:r w:rsidRPr="2D6FBF9F">
        <w:rPr>
          <w:rFonts w:ascii="Times New Roman" w:eastAsia="Aptos" w:hAnsi="Times New Roman" w:cs="Times New Roman"/>
          <w:noProof/>
        </w:rPr>
        <w:t xml:space="preserve">circumstances </w:t>
      </w:r>
      <w:r w:rsidRPr="7F56BBCD">
        <w:rPr>
          <w:rFonts w:ascii="Times New Roman" w:eastAsia="Aptos" w:hAnsi="Times New Roman" w:cs="Times New Roman"/>
          <w:noProof/>
        </w:rPr>
        <w:t xml:space="preserve">and special events. Peak-demand events can occur several times per year (in some cases up to 24 </w:t>
      </w:r>
      <w:r>
        <w:rPr>
          <w:rFonts w:ascii="Times New Roman" w:eastAsia="Aptos" w:hAnsi="Times New Roman" w:cs="Times New Roman"/>
          <w:noProof/>
        </w:rPr>
        <w:t xml:space="preserve">times </w:t>
      </w:r>
      <w:r w:rsidRPr="7F56BBCD">
        <w:rPr>
          <w:rFonts w:ascii="Times New Roman" w:eastAsia="Aptos" w:hAnsi="Times New Roman" w:cs="Times New Roman"/>
          <w:noProof/>
        </w:rPr>
        <w:t>per year)</w:t>
      </w:r>
      <w:bookmarkStart w:id="8" w:name="_Ref218690083"/>
      <w:r w:rsidRPr="284150F8">
        <w:rPr>
          <w:rStyle w:val="FootnoteReference"/>
          <w:rFonts w:ascii="Times New Roman" w:eastAsia="Aptos" w:hAnsi="Times New Roman" w:cs="Times New Roman"/>
          <w:noProof/>
        </w:rPr>
        <w:footnoteReference w:id="25"/>
      </w:r>
      <w:bookmarkEnd w:id="8"/>
      <w:r w:rsidRPr="7F56BBCD">
        <w:rPr>
          <w:rFonts w:ascii="Times New Roman" w:eastAsia="Aptos" w:hAnsi="Times New Roman" w:cs="Times New Roman"/>
          <w:noProof/>
        </w:rPr>
        <w:t xml:space="preserve"> and may last from a few days to a few weeks. These large-scale events are </w:t>
      </w:r>
      <w:r>
        <w:rPr>
          <w:rFonts w:ascii="Times New Roman" w:eastAsia="Aptos" w:hAnsi="Times New Roman" w:cs="Times New Roman"/>
          <w:noProof/>
        </w:rPr>
        <w:t xml:space="preserve">normally </w:t>
      </w:r>
      <w:r w:rsidRPr="7F56BBCD">
        <w:rPr>
          <w:rFonts w:ascii="Times New Roman" w:eastAsia="Aptos" w:hAnsi="Times New Roman" w:cs="Times New Roman"/>
          <w:noProof/>
        </w:rPr>
        <w:t xml:space="preserve">limited to a specific location </w:t>
      </w:r>
      <w:r w:rsidRPr="2D6FBF9F">
        <w:rPr>
          <w:rFonts w:ascii="Times New Roman" w:eastAsia="Aptos" w:hAnsi="Times New Roman" w:cs="Times New Roman"/>
          <w:noProof/>
        </w:rPr>
        <w:t>and do not</w:t>
      </w:r>
      <w:r w:rsidRPr="7F56BBCD">
        <w:rPr>
          <w:rFonts w:ascii="Times New Roman" w:eastAsia="Aptos" w:hAnsi="Times New Roman" w:cs="Times New Roman"/>
          <w:noProof/>
        </w:rPr>
        <w:t xml:space="preserve"> require large amounts of spectrum </w:t>
      </w:r>
      <w:r>
        <w:rPr>
          <w:rFonts w:ascii="Times New Roman" w:eastAsia="Aptos" w:hAnsi="Times New Roman" w:cs="Times New Roman"/>
          <w:noProof/>
        </w:rPr>
        <w:t xml:space="preserve">to be used </w:t>
      </w:r>
      <w:r w:rsidRPr="7F56BBCD">
        <w:rPr>
          <w:rFonts w:ascii="Times New Roman" w:eastAsia="Aptos" w:hAnsi="Times New Roman" w:cs="Times New Roman"/>
          <w:noProof/>
        </w:rPr>
        <w:t xml:space="preserve">across a wider area. </w:t>
      </w:r>
      <w:r w:rsidRPr="360DE6F9">
        <w:rPr>
          <w:rFonts w:ascii="Times New Roman" w:eastAsia="Aptos" w:hAnsi="Times New Roman" w:cs="Times New Roman"/>
          <w:noProof/>
        </w:rPr>
        <w:t>There are also regular PMSE use cases like TV studios.</w:t>
      </w:r>
    </w:p>
    <w:p w14:paraId="73642A0F" w14:textId="03400B64" w:rsidR="00BF60DB" w:rsidRPr="00025D8A" w:rsidRDefault="00BF60DB" w:rsidP="00BF60DB">
      <w:pPr>
        <w:spacing w:after="240" w:line="240" w:lineRule="auto"/>
        <w:jc w:val="both"/>
        <w:rPr>
          <w:rFonts w:ascii="Times New Roman" w:hAnsi="Times New Roman" w:cs="Times New Roman"/>
          <w:noProof/>
        </w:rPr>
      </w:pPr>
      <w:r w:rsidRPr="7F56BBCD">
        <w:rPr>
          <w:rFonts w:ascii="Times New Roman" w:eastAsia="Aptos" w:hAnsi="Times New Roman" w:cs="Times New Roman"/>
          <w:noProof/>
        </w:rPr>
        <w:t>According to PMSE stakeholders, demand for audio PMSE devices continues to increase, while the existing spectrum range available for PMSE (approximately 110</w:t>
      </w:r>
      <w:r w:rsidR="00516125">
        <w:rPr>
          <w:rFonts w:ascii="Times New Roman" w:eastAsia="Aptos" w:hAnsi="Times New Roman" w:cs="Times New Roman"/>
          <w:noProof/>
        </w:rPr>
        <w:t>-</w:t>
      </w:r>
      <w:r w:rsidRPr="7F56BBCD">
        <w:rPr>
          <w:rFonts w:ascii="Times New Roman" w:eastAsia="Aptos" w:hAnsi="Times New Roman" w:cs="Times New Roman"/>
          <w:noProof/>
        </w:rPr>
        <w:t xml:space="preserve">220+ MHz) is becoming constrained. Furthermore, </w:t>
      </w:r>
      <w:r w:rsidR="00AC71D3">
        <w:rPr>
          <w:rFonts w:ascii="Times New Roman" w:eastAsia="Aptos" w:hAnsi="Times New Roman" w:cs="Times New Roman"/>
          <w:noProof/>
        </w:rPr>
        <w:t>most</w:t>
      </w:r>
      <w:r w:rsidRPr="7F56BBCD">
        <w:rPr>
          <w:rFonts w:ascii="Times New Roman" w:eastAsia="Aptos" w:hAnsi="Times New Roman" w:cs="Times New Roman"/>
          <w:noProof/>
        </w:rPr>
        <w:t xml:space="preserve"> Member States indicate a requirement to use the entire </w:t>
      </w:r>
      <w:r>
        <w:rPr>
          <w:rFonts w:ascii="Times New Roman" w:eastAsia="Aptos" w:hAnsi="Times New Roman" w:cs="Times New Roman"/>
          <w:noProof/>
        </w:rPr>
        <w:t>sub-700</w:t>
      </w:r>
      <w:r w:rsidR="003B563B">
        <w:rPr>
          <w:rFonts w:ascii="Times New Roman" w:eastAsia="Aptos" w:hAnsi="Times New Roman" w:cs="Times New Roman"/>
          <w:noProof/>
        </w:rPr>
        <w:t> </w:t>
      </w:r>
      <w:r>
        <w:rPr>
          <w:rFonts w:ascii="Times New Roman" w:eastAsia="Aptos" w:hAnsi="Times New Roman" w:cs="Times New Roman"/>
          <w:noProof/>
        </w:rPr>
        <w:t xml:space="preserve">MHz </w:t>
      </w:r>
      <w:r w:rsidRPr="7F56BBCD">
        <w:rPr>
          <w:rFonts w:ascii="Times New Roman" w:eastAsia="Aptos" w:hAnsi="Times New Roman" w:cs="Times New Roman"/>
          <w:noProof/>
        </w:rPr>
        <w:t>band for audio PMSE</w:t>
      </w:r>
      <w:r w:rsidRPr="4FE03419">
        <w:rPr>
          <w:rStyle w:val="FootnoteReference"/>
          <w:rFonts w:ascii="Times New Roman" w:eastAsia="Aptos" w:hAnsi="Times New Roman" w:cs="Times New Roman"/>
          <w:noProof/>
        </w:rPr>
        <w:footnoteReference w:id="26"/>
      </w:r>
      <w:r w:rsidRPr="2D6FBF9F">
        <w:rPr>
          <w:rFonts w:ascii="Times New Roman" w:eastAsia="Aptos" w:hAnsi="Times New Roman" w:cs="Times New Roman"/>
          <w:noProof/>
        </w:rPr>
        <w:fldChar w:fldCharType="begin"/>
      </w:r>
      <w:r w:rsidRPr="2D6FBF9F">
        <w:rPr>
          <w:rFonts w:ascii="Times New Roman" w:eastAsia="Aptos" w:hAnsi="Times New Roman" w:cs="Times New Roman"/>
          <w:noProof/>
        </w:rPr>
        <w:instrText xml:space="preserve"> NOTEREF _Ref216090772 \f \h </w:instrText>
      </w:r>
      <w:r w:rsidRPr="2D6FBF9F">
        <w:rPr>
          <w:rFonts w:ascii="Times New Roman" w:eastAsia="Aptos" w:hAnsi="Times New Roman" w:cs="Times New Roman"/>
          <w:noProof/>
        </w:rPr>
      </w:r>
      <w:r w:rsidRPr="2D6FBF9F">
        <w:rPr>
          <w:rFonts w:ascii="Times New Roman" w:eastAsia="Aptos" w:hAnsi="Times New Roman" w:cs="Times New Roman"/>
          <w:noProof/>
        </w:rPr>
        <w:fldChar w:fldCharType="separate"/>
      </w:r>
      <w:r w:rsidR="009B3399" w:rsidRPr="009B3399">
        <w:rPr>
          <w:rStyle w:val="FootnoteReference"/>
          <w:noProof/>
        </w:rPr>
        <w:t>23</w:t>
      </w:r>
      <w:r w:rsidRPr="2D6FBF9F">
        <w:rPr>
          <w:rFonts w:ascii="Times New Roman" w:eastAsia="Aptos" w:hAnsi="Times New Roman" w:cs="Times New Roman"/>
          <w:noProof/>
        </w:rPr>
        <w:fldChar w:fldCharType="end"/>
      </w:r>
      <w:r w:rsidRPr="7F56BBCD">
        <w:rPr>
          <w:rFonts w:ascii="Times New Roman" w:eastAsia="Aptos" w:hAnsi="Times New Roman" w:cs="Times New Roman"/>
          <w:noProof/>
        </w:rPr>
        <w:t>.</w:t>
      </w:r>
      <w:r w:rsidRPr="0095276D">
        <w:rPr>
          <w:rFonts w:ascii="Times New Roman" w:eastAsia="Aptos" w:hAnsi="Times New Roman" w:cs="Times New Roman"/>
          <w:noProof/>
        </w:rPr>
        <w:t xml:space="preserve"> </w:t>
      </w:r>
      <w:r w:rsidRPr="0095276D">
        <w:rPr>
          <w:rFonts w:ascii="Times New Roman" w:hAnsi="Times New Roman" w:cs="Times New Roman"/>
          <w:noProof/>
        </w:rPr>
        <w:t>According to the EBU and stakeholders in the PMSE sector,</w:t>
      </w:r>
      <w:r w:rsidRPr="0095276D" w:rsidDel="000E7487">
        <w:rPr>
          <w:rFonts w:ascii="Times New Roman" w:hAnsi="Times New Roman" w:cs="Times New Roman"/>
          <w:noProof/>
        </w:rPr>
        <w:t xml:space="preserve"> </w:t>
      </w:r>
      <w:r w:rsidRPr="0095276D">
        <w:rPr>
          <w:rFonts w:ascii="Times New Roman" w:hAnsi="Times New Roman" w:cs="Times New Roman"/>
          <w:noProof/>
        </w:rPr>
        <w:t>alternative (higher) frequency bands are less relevant because of technical, operational and regulatory constraints</w:t>
      </w:r>
      <w:r w:rsidR="006079A9">
        <w:rPr>
          <w:rFonts w:ascii="Times New Roman" w:hAnsi="Times New Roman" w:cs="Times New Roman"/>
          <w:noProof/>
        </w:rPr>
        <w:t>,</w:t>
      </w:r>
      <w:r w:rsidRPr="0095276D">
        <w:rPr>
          <w:rFonts w:ascii="Times New Roman" w:hAnsi="Times New Roman" w:cs="Times New Roman"/>
          <w:noProof/>
        </w:rPr>
        <w:t xml:space="preserve"> such as</w:t>
      </w:r>
      <w:r w:rsidR="00062BA1">
        <w:rPr>
          <w:rFonts w:ascii="Times New Roman" w:hAnsi="Times New Roman" w:cs="Times New Roman"/>
          <w:noProof/>
        </w:rPr>
        <w:t>:</w:t>
      </w:r>
      <w:r w:rsidRPr="00516125">
        <w:rPr>
          <w:rFonts w:ascii="Times New Roman" w:hAnsi="Times New Roman" w:cs="Times New Roman"/>
          <w:noProof/>
        </w:rPr>
        <w:t xml:space="preserve"> </w:t>
      </w:r>
      <w:r w:rsidR="006079A9">
        <w:rPr>
          <w:rFonts w:ascii="Times New Roman" w:hAnsi="Times New Roman" w:cs="Times New Roman"/>
          <w:noProof/>
        </w:rPr>
        <w:t>(i)</w:t>
      </w:r>
      <w:r w:rsidRPr="0095276D">
        <w:rPr>
          <w:rFonts w:ascii="Times New Roman" w:hAnsi="Times New Roman" w:cs="Times New Roman"/>
          <w:noProof/>
        </w:rPr>
        <w:t xml:space="preserve"> limited capacity</w:t>
      </w:r>
      <w:r w:rsidRPr="360DE6F9">
        <w:rPr>
          <w:rFonts w:ascii="Times New Roman" w:hAnsi="Times New Roman" w:cs="Times New Roman"/>
          <w:noProof/>
        </w:rPr>
        <w:t xml:space="preserve"> </w:t>
      </w:r>
      <w:r w:rsidRPr="0095276D">
        <w:rPr>
          <w:rFonts w:ascii="Times New Roman" w:hAnsi="Times New Roman" w:cs="Times New Roman"/>
          <w:noProof/>
        </w:rPr>
        <w:t xml:space="preserve">or availability, </w:t>
      </w:r>
      <w:r w:rsidR="006079A9">
        <w:rPr>
          <w:rFonts w:ascii="Times New Roman" w:hAnsi="Times New Roman" w:cs="Times New Roman"/>
          <w:noProof/>
        </w:rPr>
        <w:t xml:space="preserve">(ii) </w:t>
      </w:r>
      <w:r w:rsidRPr="0095276D">
        <w:rPr>
          <w:rFonts w:ascii="Times New Roman" w:hAnsi="Times New Roman" w:cs="Times New Roman"/>
          <w:noProof/>
        </w:rPr>
        <w:t xml:space="preserve">less favourable propagation characteristics, </w:t>
      </w:r>
      <w:r w:rsidR="006079A9">
        <w:rPr>
          <w:rFonts w:ascii="Times New Roman" w:hAnsi="Times New Roman" w:cs="Times New Roman"/>
          <w:noProof/>
        </w:rPr>
        <w:t xml:space="preserve">(iii) </w:t>
      </w:r>
      <w:r w:rsidRPr="0095276D">
        <w:rPr>
          <w:rFonts w:ascii="Times New Roman" w:hAnsi="Times New Roman" w:cs="Times New Roman"/>
          <w:noProof/>
        </w:rPr>
        <w:t>higher power consumption</w:t>
      </w:r>
      <w:r w:rsidR="00062BA1">
        <w:rPr>
          <w:rFonts w:ascii="Times New Roman" w:hAnsi="Times New Roman" w:cs="Times New Roman"/>
          <w:noProof/>
        </w:rPr>
        <w:t>,</w:t>
      </w:r>
      <w:r w:rsidRPr="0095276D" w:rsidDel="000E7487">
        <w:rPr>
          <w:rFonts w:ascii="Times New Roman" w:hAnsi="Times New Roman" w:cs="Times New Roman"/>
          <w:noProof/>
        </w:rPr>
        <w:t xml:space="preserve"> </w:t>
      </w:r>
      <w:r w:rsidRPr="0095276D">
        <w:rPr>
          <w:rFonts w:ascii="Times New Roman" w:hAnsi="Times New Roman" w:cs="Times New Roman"/>
          <w:noProof/>
        </w:rPr>
        <w:t xml:space="preserve">and </w:t>
      </w:r>
      <w:r w:rsidR="006079A9">
        <w:rPr>
          <w:rFonts w:ascii="Times New Roman" w:hAnsi="Times New Roman" w:cs="Times New Roman"/>
          <w:noProof/>
        </w:rPr>
        <w:t xml:space="preserve">(iv) </w:t>
      </w:r>
      <w:r w:rsidRPr="0095276D">
        <w:rPr>
          <w:rFonts w:ascii="Times New Roman" w:hAnsi="Times New Roman" w:cs="Times New Roman"/>
          <w:noProof/>
        </w:rPr>
        <w:t>limited industry support.</w:t>
      </w:r>
    </w:p>
    <w:p w14:paraId="64AE669A" w14:textId="5080FDCA" w:rsidR="00BF60DB" w:rsidRPr="006044C2" w:rsidDel="003509BD" w:rsidRDefault="7E270F48" w:rsidP="00BF60DB">
      <w:pPr>
        <w:pStyle w:val="paragraph"/>
        <w:spacing w:before="0" w:beforeAutospacing="0" w:after="240" w:afterAutospacing="0"/>
        <w:jc w:val="both"/>
        <w:rPr>
          <w:rStyle w:val="eop"/>
          <w:rFonts w:eastAsiaTheme="minorEastAsia"/>
          <w:noProof/>
        </w:rPr>
      </w:pPr>
      <w:r w:rsidRPr="220295B1">
        <w:rPr>
          <w:rStyle w:val="eop"/>
          <w:noProof/>
        </w:rPr>
        <w:t xml:space="preserve">Wind profiler radars in the radiolocation service, </w:t>
      </w:r>
      <w:r w:rsidR="61B57DD0" w:rsidRPr="463B461D">
        <w:rPr>
          <w:rStyle w:val="eop"/>
          <w:noProof/>
        </w:rPr>
        <w:t>i.e.</w:t>
      </w:r>
      <w:r w:rsidRPr="220295B1">
        <w:rPr>
          <w:rStyle w:val="eop"/>
          <w:noProof/>
        </w:rPr>
        <w:t xml:space="preserve"> radars which assess wind speed and direction, are another secondary user of the sub-700</w:t>
      </w:r>
      <w:r w:rsidR="34CD1EBA" w:rsidRPr="463B461D">
        <w:rPr>
          <w:rStyle w:val="eop"/>
          <w:noProof/>
        </w:rPr>
        <w:t> </w:t>
      </w:r>
      <w:r w:rsidRPr="220295B1">
        <w:rPr>
          <w:rStyle w:val="eop"/>
          <w:noProof/>
        </w:rPr>
        <w:t xml:space="preserve">MHz band in four Member States (Austria, Denmark, Estonia and Germany). </w:t>
      </w:r>
      <w:r>
        <w:rPr>
          <w:rStyle w:val="eop"/>
          <w:noProof/>
        </w:rPr>
        <w:t xml:space="preserve">As regards radio astronomy (also a secondary user) within </w:t>
      </w:r>
      <w:r w:rsidRPr="11280AE8">
        <w:rPr>
          <w:rStyle w:val="eop"/>
          <w:noProof/>
        </w:rPr>
        <w:t>the 608-614</w:t>
      </w:r>
      <w:r w:rsidR="34CD1EBA" w:rsidRPr="463B461D">
        <w:rPr>
          <w:rStyle w:val="eop"/>
          <w:noProof/>
        </w:rPr>
        <w:t> </w:t>
      </w:r>
      <w:r w:rsidRPr="11280AE8">
        <w:rPr>
          <w:rStyle w:val="eop"/>
          <w:noProof/>
        </w:rPr>
        <w:t>MHz range</w:t>
      </w:r>
      <w:r>
        <w:rPr>
          <w:rStyle w:val="eop"/>
          <w:noProof/>
        </w:rPr>
        <w:t xml:space="preserve">, the ITU Radio Regulations </w:t>
      </w:r>
      <w:r w:rsidR="607A3419" w:rsidRPr="463B461D">
        <w:rPr>
          <w:rStyle w:val="eop"/>
          <w:noProof/>
        </w:rPr>
        <w:t xml:space="preserve">require </w:t>
      </w:r>
      <w:r w:rsidRPr="11280AE8">
        <w:rPr>
          <w:rStyle w:val="eop"/>
          <w:noProof/>
        </w:rPr>
        <w:t xml:space="preserve">Member States </w:t>
      </w:r>
      <w:r w:rsidR="607A3419" w:rsidRPr="463B461D">
        <w:rPr>
          <w:rStyle w:val="eop"/>
          <w:noProof/>
        </w:rPr>
        <w:t xml:space="preserve">to </w:t>
      </w:r>
      <w:r w:rsidRPr="11280AE8">
        <w:rPr>
          <w:rStyle w:val="eop"/>
          <w:noProof/>
        </w:rPr>
        <w:t xml:space="preserve">take all practical arrangements to protect </w:t>
      </w:r>
      <w:r>
        <w:rPr>
          <w:rStyle w:val="eop"/>
          <w:noProof/>
        </w:rPr>
        <w:t>it</w:t>
      </w:r>
      <w:r w:rsidRPr="11280AE8">
        <w:rPr>
          <w:rStyle w:val="eop"/>
          <w:noProof/>
        </w:rPr>
        <w:t xml:space="preserve">, whenever they deploy other </w:t>
      </w:r>
      <w:r>
        <w:rPr>
          <w:rStyle w:val="eop"/>
          <w:noProof/>
        </w:rPr>
        <w:t xml:space="preserve">radio </w:t>
      </w:r>
      <w:r w:rsidRPr="11280AE8">
        <w:rPr>
          <w:rStyle w:val="eop"/>
          <w:noProof/>
        </w:rPr>
        <w:t xml:space="preserve">services which may interfere with </w:t>
      </w:r>
      <w:r>
        <w:rPr>
          <w:rStyle w:val="eop"/>
          <w:noProof/>
        </w:rPr>
        <w:t>radio astronomy</w:t>
      </w:r>
      <w:r w:rsidR="00BF60DB">
        <w:rPr>
          <w:rStyle w:val="FootnoteReference"/>
          <w:noProof/>
        </w:rPr>
        <w:footnoteReference w:id="27"/>
      </w:r>
      <w:r w:rsidRPr="11280AE8">
        <w:rPr>
          <w:rStyle w:val="eop"/>
          <w:noProof/>
        </w:rPr>
        <w:t>.</w:t>
      </w:r>
    </w:p>
    <w:p w14:paraId="11A3042E" w14:textId="7F94FE67" w:rsidR="00BF60DB" w:rsidRPr="00BF60DB" w:rsidRDefault="00BF60DB" w:rsidP="00BF60DB">
      <w:pPr>
        <w:pStyle w:val="Heading1"/>
        <w:spacing w:after="240"/>
        <w:rPr>
          <w:rFonts w:ascii="Times New Roman" w:hAnsi="Times New Roman" w:cs="Times New Roman"/>
          <w:b/>
          <w:noProof/>
          <w:color w:val="auto"/>
          <w:sz w:val="28"/>
          <w:szCs w:val="32"/>
        </w:rPr>
      </w:pPr>
      <w:r w:rsidRPr="00BF60DB">
        <w:rPr>
          <w:rFonts w:ascii="Times New Roman" w:hAnsi="Times New Roman" w:cs="Times New Roman"/>
          <w:b/>
          <w:noProof/>
          <w:color w:val="auto"/>
          <w:sz w:val="28"/>
          <w:szCs w:val="32"/>
        </w:rPr>
        <w:t>4. TECHNOLOGICAL DEVELOPMENTS</w:t>
      </w:r>
    </w:p>
    <w:p w14:paraId="35E41135" w14:textId="77777777" w:rsidR="00BF60DB" w:rsidRPr="006044C2" w:rsidRDefault="00BF60DB" w:rsidP="00BF60DB">
      <w:pPr>
        <w:pStyle w:val="paragraph"/>
        <w:spacing w:before="0" w:beforeAutospacing="0" w:after="240" w:afterAutospacing="0"/>
        <w:rPr>
          <w:rStyle w:val="normaltextrun"/>
          <w:b/>
          <w:bCs/>
          <w:noProof/>
        </w:rPr>
      </w:pPr>
      <w:r w:rsidRPr="7482D136">
        <w:rPr>
          <w:rStyle w:val="normaltextrun"/>
          <w:b/>
          <w:bCs/>
          <w:noProof/>
        </w:rPr>
        <w:t>DTT</w:t>
      </w:r>
    </w:p>
    <w:p w14:paraId="0974F673" w14:textId="50388DFB" w:rsidR="00BF60DB" w:rsidRPr="005E2DB0" w:rsidRDefault="6DED33DE" w:rsidP="5A47D95A">
      <w:pPr>
        <w:pStyle w:val="paragraph"/>
        <w:spacing w:before="0" w:beforeAutospacing="0" w:after="240" w:afterAutospacing="0"/>
        <w:jc w:val="both"/>
        <w:rPr>
          <w:rStyle w:val="eop"/>
          <w:rFonts w:eastAsiaTheme="minorEastAsia"/>
          <w:noProof/>
        </w:rPr>
      </w:pPr>
      <w:r w:rsidRPr="005E2DB0">
        <w:rPr>
          <w:rStyle w:val="eop"/>
          <w:rFonts w:eastAsiaTheme="minorEastAsia"/>
          <w:noProof/>
        </w:rPr>
        <w:t xml:space="preserve">Since the late 1990s, </w:t>
      </w:r>
      <w:r w:rsidR="78D9010C" w:rsidRPr="005E2DB0">
        <w:rPr>
          <w:rStyle w:val="eop"/>
          <w:rFonts w:eastAsiaTheme="minorEastAsia"/>
          <w:noProof/>
        </w:rPr>
        <w:t>d</w:t>
      </w:r>
      <w:r w:rsidR="7E270F48" w:rsidRPr="005E2DB0">
        <w:rPr>
          <w:rStyle w:val="eop"/>
          <w:rFonts w:eastAsiaTheme="minorEastAsia"/>
          <w:noProof/>
        </w:rPr>
        <w:t xml:space="preserve">igital </w:t>
      </w:r>
      <w:r w:rsidR="003A5DF1">
        <w:rPr>
          <w:rStyle w:val="eop"/>
          <w:rFonts w:eastAsiaTheme="minorEastAsia"/>
          <w:noProof/>
        </w:rPr>
        <w:t>terr</w:t>
      </w:r>
      <w:r w:rsidR="00022CCD">
        <w:rPr>
          <w:rStyle w:val="eop"/>
          <w:rFonts w:eastAsiaTheme="minorEastAsia"/>
          <w:noProof/>
        </w:rPr>
        <w:t xml:space="preserve">estrial </w:t>
      </w:r>
      <w:r w:rsidR="7E270F48" w:rsidRPr="005E2DB0">
        <w:rPr>
          <w:rStyle w:val="eop"/>
          <w:rFonts w:eastAsiaTheme="minorEastAsia"/>
          <w:noProof/>
        </w:rPr>
        <w:t>broadcasting</w:t>
      </w:r>
      <w:r w:rsidR="0987502F" w:rsidRPr="005E2DB0">
        <w:rPr>
          <w:rStyle w:val="eop"/>
          <w:rFonts w:eastAsiaTheme="minorEastAsia"/>
          <w:noProof/>
        </w:rPr>
        <w:t xml:space="preserve"> has evolved significantly through successive generations of transmission </w:t>
      </w:r>
      <w:r w:rsidR="7E270F48" w:rsidRPr="005E2DB0">
        <w:rPr>
          <w:rStyle w:val="eop"/>
          <w:rFonts w:eastAsiaTheme="minorEastAsia"/>
          <w:noProof/>
        </w:rPr>
        <w:t>standards</w:t>
      </w:r>
      <w:r w:rsidR="7EB4EE9B" w:rsidRPr="005E2DB0">
        <w:rPr>
          <w:rStyle w:val="eop"/>
          <w:rFonts w:eastAsiaTheme="minorEastAsia"/>
          <w:noProof/>
        </w:rPr>
        <w:t>,</w:t>
      </w:r>
      <w:r w:rsidR="57B502B5" w:rsidRPr="005E2DB0">
        <w:rPr>
          <w:rStyle w:val="eop"/>
          <w:rFonts w:eastAsiaTheme="minorEastAsia"/>
          <w:noProof/>
        </w:rPr>
        <w:t xml:space="preserve"> from DVB-T (1997) to DVB-T2 (2009)</w:t>
      </w:r>
      <w:r w:rsidR="7E270F48" w:rsidRPr="005E2DB0">
        <w:rPr>
          <w:rStyle w:val="eop"/>
          <w:rFonts w:eastAsiaTheme="minorEastAsia"/>
          <w:noProof/>
        </w:rPr>
        <w:t xml:space="preserve"> </w:t>
      </w:r>
      <w:r w:rsidR="6655788D" w:rsidRPr="00A7582A">
        <w:rPr>
          <w:rStyle w:val="eop"/>
          <w:rFonts w:eastAsiaTheme="minorEastAsia"/>
          <w:noProof/>
        </w:rPr>
        <w:t xml:space="preserve"> and of video compression standards, from MPEG-2</w:t>
      </w:r>
      <w:r w:rsidR="3CF2EFAD" w:rsidRPr="00A7582A">
        <w:rPr>
          <w:rStyle w:val="eop"/>
          <w:rFonts w:eastAsiaTheme="minorEastAsia"/>
          <w:noProof/>
        </w:rPr>
        <w:t xml:space="preserve"> </w:t>
      </w:r>
      <w:r w:rsidR="6655788D" w:rsidRPr="00A7582A">
        <w:rPr>
          <w:rStyle w:val="eop"/>
          <w:rFonts w:eastAsiaTheme="minorEastAsia"/>
          <w:noProof/>
        </w:rPr>
        <w:t xml:space="preserve">(1996) to </w:t>
      </w:r>
      <w:r w:rsidR="5073B27F" w:rsidRPr="00A7582A">
        <w:rPr>
          <w:rStyle w:val="eop"/>
          <w:rFonts w:eastAsiaTheme="minorEastAsia"/>
          <w:noProof/>
        </w:rPr>
        <w:t>AVC/</w:t>
      </w:r>
      <w:r w:rsidR="6655788D" w:rsidRPr="00A7582A">
        <w:rPr>
          <w:rStyle w:val="eop"/>
          <w:rFonts w:eastAsiaTheme="minorEastAsia"/>
          <w:noProof/>
        </w:rPr>
        <w:t>H.264 (2003), HEVC/H.265 (2013) and most recently VVC/H.266 (2020)</w:t>
      </w:r>
      <w:r w:rsidR="0DC7320B" w:rsidRPr="00A7582A">
        <w:rPr>
          <w:rStyle w:val="eop"/>
          <w:rFonts w:eastAsiaTheme="minorEastAsia"/>
          <w:noProof/>
        </w:rPr>
        <w:t xml:space="preserve">. </w:t>
      </w:r>
      <w:r w:rsidR="365A3A4A" w:rsidRPr="00A7582A">
        <w:rPr>
          <w:rStyle w:val="eop"/>
          <w:rFonts w:eastAsiaTheme="minorEastAsia"/>
          <w:noProof/>
        </w:rPr>
        <w:t xml:space="preserve">These advances have delivered substantial  </w:t>
      </w:r>
      <w:r w:rsidR="7E270F48" w:rsidRPr="005E2DB0">
        <w:rPr>
          <w:rStyle w:val="eop"/>
          <w:rFonts w:eastAsiaTheme="minorEastAsia"/>
          <w:noProof/>
        </w:rPr>
        <w:t xml:space="preserve">improvements </w:t>
      </w:r>
      <w:r w:rsidR="5C8ED015" w:rsidRPr="005E2DB0">
        <w:rPr>
          <w:rStyle w:val="eop"/>
          <w:rFonts w:eastAsiaTheme="minorEastAsia"/>
          <w:noProof/>
        </w:rPr>
        <w:t>in</w:t>
      </w:r>
      <w:r w:rsidR="7E270F48" w:rsidRPr="005E2DB0">
        <w:rPr>
          <w:rStyle w:val="eop"/>
          <w:rFonts w:eastAsiaTheme="minorEastAsia"/>
          <w:noProof/>
        </w:rPr>
        <w:t xml:space="preserve"> capacity, spectral efficiency and video quality.</w:t>
      </w:r>
    </w:p>
    <w:p w14:paraId="671F453C" w14:textId="25DF67A6" w:rsidR="00BF60DB" w:rsidRPr="006044C2" w:rsidDel="00AD5EA7" w:rsidRDefault="7E270F48" w:rsidP="463B461D">
      <w:pPr>
        <w:pStyle w:val="paragraph"/>
        <w:spacing w:before="0" w:beforeAutospacing="0" w:after="240" w:afterAutospacing="0"/>
        <w:jc w:val="both"/>
        <w:rPr>
          <w:rStyle w:val="eop"/>
          <w:rFonts w:eastAsiaTheme="minorEastAsia"/>
          <w:noProof/>
        </w:rPr>
      </w:pPr>
      <w:r w:rsidRPr="463B461D">
        <w:rPr>
          <w:rStyle w:val="eop"/>
          <w:rFonts w:eastAsiaTheme="minorEastAsia"/>
          <w:noProof/>
        </w:rPr>
        <w:t xml:space="preserve">The transition from </w:t>
      </w:r>
      <w:bookmarkStart w:id="9" w:name="_Hlk233234767"/>
      <w:r w:rsidRPr="463B461D">
        <w:rPr>
          <w:rStyle w:val="eop"/>
          <w:rFonts w:eastAsiaTheme="minorEastAsia"/>
          <w:noProof/>
        </w:rPr>
        <w:t xml:space="preserve">DVB-T (as of 1997) to DVB-T2 </w:t>
      </w:r>
      <w:bookmarkEnd w:id="9"/>
      <w:r w:rsidRPr="463B461D">
        <w:rPr>
          <w:rStyle w:val="eop"/>
          <w:rFonts w:eastAsiaTheme="minorEastAsia"/>
          <w:noProof/>
        </w:rPr>
        <w:t xml:space="preserve">(as of 2009) has significantly increased DTT capacity within the same radio spectrum, leading to a significant improvement in </w:t>
      </w:r>
      <w:r w:rsidR="574DF1D1" w:rsidRPr="463B461D">
        <w:rPr>
          <w:rStyle w:val="eop"/>
          <w:rFonts w:eastAsiaTheme="minorEastAsia"/>
          <w:noProof/>
        </w:rPr>
        <w:t xml:space="preserve">the </w:t>
      </w:r>
      <w:r w:rsidRPr="463B461D">
        <w:rPr>
          <w:rStyle w:val="eop"/>
          <w:rFonts w:eastAsiaTheme="minorEastAsia"/>
          <w:noProof/>
        </w:rPr>
        <w:t>efficiency of spectrum use. DVB-T2, the advanced version of the DVB standard, provides approximately 50</w:t>
      </w:r>
      <w:r w:rsidR="61B57DD0" w:rsidRPr="463B461D">
        <w:rPr>
          <w:rStyle w:val="eop"/>
          <w:rFonts w:eastAsiaTheme="minorEastAsia"/>
          <w:noProof/>
        </w:rPr>
        <w:t>-</w:t>
      </w:r>
      <w:r w:rsidRPr="463B461D">
        <w:rPr>
          <w:rStyle w:val="eop"/>
          <w:rFonts w:eastAsiaTheme="minorEastAsia"/>
          <w:noProof/>
        </w:rPr>
        <w:t>100% higher spectral efficiency than DVB-T (ITU-R, 2021)</w:t>
      </w:r>
      <w:r w:rsidR="00BF60DB" w:rsidRPr="463B461D">
        <w:rPr>
          <w:rStyle w:val="FootnoteReference"/>
          <w:rFonts w:eastAsiaTheme="minorEastAsia"/>
          <w:noProof/>
        </w:rPr>
        <w:footnoteReference w:id="28"/>
      </w:r>
      <w:r w:rsidRPr="463B461D">
        <w:rPr>
          <w:rStyle w:val="eop"/>
          <w:rFonts w:eastAsiaTheme="minorEastAsia"/>
          <w:noProof/>
        </w:rPr>
        <w:t>. A typical DVB-T2 multiplex (</w:t>
      </w:r>
      <w:r w:rsidR="05228E1F" w:rsidRPr="463B461D">
        <w:rPr>
          <w:rStyle w:val="eop"/>
          <w:rFonts w:eastAsiaTheme="minorEastAsia"/>
          <w:noProof/>
        </w:rPr>
        <w:t>~</w:t>
      </w:r>
      <w:r w:rsidRPr="463B461D">
        <w:rPr>
          <w:rStyle w:val="eop"/>
          <w:rFonts w:eastAsiaTheme="minorEastAsia"/>
          <w:noProof/>
        </w:rPr>
        <w:t xml:space="preserve">40 Mbps) can carry around 13 standard-definition (SD) channels </w:t>
      </w:r>
      <w:r w:rsidR="56014B08" w:rsidRPr="463B461D">
        <w:rPr>
          <w:rStyle w:val="eop"/>
          <w:rFonts w:eastAsiaTheme="minorEastAsia"/>
          <w:noProof/>
        </w:rPr>
        <w:t>~</w:t>
      </w:r>
      <w:r w:rsidRPr="463B461D">
        <w:rPr>
          <w:rStyle w:val="eop"/>
          <w:rFonts w:eastAsiaTheme="minorEastAsia"/>
          <w:noProof/>
        </w:rPr>
        <w:t>3</w:t>
      </w:r>
      <w:r w:rsidR="18472CBF" w:rsidRPr="463B461D">
        <w:rPr>
          <w:rStyle w:val="eop"/>
          <w:rFonts w:eastAsiaTheme="minorEastAsia"/>
          <w:noProof/>
        </w:rPr>
        <w:t> </w:t>
      </w:r>
      <w:r w:rsidRPr="463B461D">
        <w:rPr>
          <w:rStyle w:val="eop"/>
          <w:rFonts w:eastAsiaTheme="minorEastAsia"/>
          <w:noProof/>
        </w:rPr>
        <w:t>Mbps each) and 5 high-definition (HD) channels (</w:t>
      </w:r>
      <w:r w:rsidR="693649EE" w:rsidRPr="463B461D">
        <w:rPr>
          <w:rStyle w:val="eop"/>
          <w:rFonts w:eastAsiaTheme="minorEastAsia"/>
          <w:noProof/>
        </w:rPr>
        <w:t>~</w:t>
      </w:r>
      <w:r w:rsidRPr="463B461D">
        <w:rPr>
          <w:rStyle w:val="eop"/>
          <w:rFonts w:eastAsiaTheme="minorEastAsia"/>
          <w:noProof/>
        </w:rPr>
        <w:t>8 Mbps each using MPEG-4), compared with roughly 8 SD channels and 3 HD channels on a DVB-T multiplex (</w:t>
      </w:r>
      <w:r w:rsidR="012C1F1E" w:rsidRPr="463B461D">
        <w:rPr>
          <w:rStyle w:val="eop"/>
          <w:rFonts w:eastAsiaTheme="minorEastAsia"/>
          <w:noProof/>
        </w:rPr>
        <w:t>~</w:t>
      </w:r>
      <w:r w:rsidRPr="463B461D">
        <w:rPr>
          <w:rStyle w:val="eop"/>
          <w:rFonts w:eastAsiaTheme="minorEastAsia"/>
          <w:noProof/>
        </w:rPr>
        <w:t>24 Mbps).</w:t>
      </w:r>
    </w:p>
    <w:p w14:paraId="35AFF620" w14:textId="23238E98" w:rsidR="00BF60DB" w:rsidRPr="008D0C54" w:rsidRDefault="7E270F48" w:rsidP="5A47D95A">
      <w:pPr>
        <w:pStyle w:val="paragraph"/>
        <w:spacing w:before="0" w:beforeAutospacing="0" w:after="240" w:afterAutospacing="0"/>
        <w:jc w:val="both"/>
        <w:rPr>
          <w:rStyle w:val="eop"/>
          <w:rFonts w:eastAsiaTheme="minorEastAsia"/>
          <w:noProof/>
        </w:rPr>
      </w:pPr>
      <w:r w:rsidRPr="5A47D95A">
        <w:rPr>
          <w:rStyle w:val="eop"/>
          <w:rFonts w:eastAsiaTheme="minorEastAsia"/>
          <w:noProof/>
        </w:rPr>
        <w:t xml:space="preserve">Alongside improvements in transmission efficiency, video compression technologies have also evolved, further increasing </w:t>
      </w:r>
      <w:r w:rsidR="5C45D986" w:rsidRPr="5A47D95A">
        <w:rPr>
          <w:rStyle w:val="eop"/>
          <w:rFonts w:eastAsiaTheme="minorEastAsia"/>
          <w:noProof/>
        </w:rPr>
        <w:t xml:space="preserve">the </w:t>
      </w:r>
      <w:r w:rsidRPr="5A47D95A">
        <w:rPr>
          <w:rStyle w:val="eop"/>
          <w:rFonts w:eastAsiaTheme="minorEastAsia"/>
          <w:noProof/>
        </w:rPr>
        <w:t>capacity of the DVB platform. Successive standards</w:t>
      </w:r>
      <w:r w:rsidR="07456631" w:rsidRPr="5A47D95A">
        <w:rPr>
          <w:rStyle w:val="eop"/>
          <w:rFonts w:eastAsiaTheme="minorEastAsia"/>
          <w:noProof/>
        </w:rPr>
        <w:t xml:space="preserve"> </w:t>
      </w:r>
      <w:r w:rsidR="75600EA5" w:rsidRPr="6BDEC307">
        <w:rPr>
          <w:rStyle w:val="eop"/>
          <w:rFonts w:eastAsiaTheme="minorEastAsia"/>
          <w:noProof/>
        </w:rPr>
        <w:t>-</w:t>
      </w:r>
      <w:r w:rsidR="07456631" w:rsidRPr="5A47D95A">
        <w:rPr>
          <w:rStyle w:val="eop"/>
          <w:rFonts w:eastAsiaTheme="minorEastAsia"/>
          <w:noProof/>
        </w:rPr>
        <w:t xml:space="preserve"> </w:t>
      </w:r>
      <w:r w:rsidRPr="5A47D95A">
        <w:rPr>
          <w:rStyle w:val="eop"/>
          <w:rFonts w:eastAsiaTheme="minorEastAsia"/>
          <w:noProof/>
        </w:rPr>
        <w:t>from MPEG-2 (1996) to MPEG-4 (1999)</w:t>
      </w:r>
      <w:r w:rsidR="160706A5" w:rsidRPr="5A47D95A">
        <w:rPr>
          <w:rStyle w:val="eop"/>
          <w:rFonts w:eastAsiaTheme="minorEastAsia"/>
          <w:noProof/>
        </w:rPr>
        <w:t>,</w:t>
      </w:r>
      <w:r w:rsidRPr="008D0C54">
        <w:rPr>
          <w:rStyle w:val="eop"/>
          <w:rFonts w:eastAsiaTheme="minorEastAsia"/>
          <w:noProof/>
        </w:rPr>
        <w:t xml:space="preserve"> </w:t>
      </w:r>
      <w:r w:rsidR="16F4F567" w:rsidRPr="008D0C54">
        <w:rPr>
          <w:rStyle w:val="eop"/>
          <w:rFonts w:eastAsiaTheme="minorEastAsia"/>
          <w:noProof/>
        </w:rPr>
        <w:t>AVC</w:t>
      </w:r>
      <w:r w:rsidR="638932B6" w:rsidRPr="008D0C54">
        <w:rPr>
          <w:rStyle w:val="eop"/>
          <w:rFonts w:eastAsiaTheme="minorEastAsia"/>
          <w:noProof/>
        </w:rPr>
        <w:t>/H.264</w:t>
      </w:r>
      <w:r w:rsidR="16F4F567" w:rsidRPr="008D0C54">
        <w:rPr>
          <w:rStyle w:val="eop"/>
          <w:rFonts w:eastAsiaTheme="minorEastAsia"/>
          <w:noProof/>
        </w:rPr>
        <w:t xml:space="preserve"> (2003) </w:t>
      </w:r>
      <w:r w:rsidRPr="008D0C54">
        <w:rPr>
          <w:rStyle w:val="eop"/>
          <w:rFonts w:eastAsiaTheme="minorEastAsia"/>
          <w:noProof/>
        </w:rPr>
        <w:t>and  HEVC</w:t>
      </w:r>
      <w:r w:rsidR="13F760F9" w:rsidRPr="008D0C54">
        <w:rPr>
          <w:rStyle w:val="eop"/>
          <w:rFonts w:eastAsiaTheme="minorEastAsia"/>
          <w:noProof/>
        </w:rPr>
        <w:t>/H.265</w:t>
      </w:r>
      <w:r w:rsidRPr="008D0C54">
        <w:rPr>
          <w:rStyle w:val="eop"/>
          <w:rFonts w:eastAsiaTheme="minorEastAsia"/>
          <w:noProof/>
        </w:rPr>
        <w:t xml:space="preserve"> </w:t>
      </w:r>
      <w:r w:rsidRPr="5A47D95A">
        <w:rPr>
          <w:rStyle w:val="eop"/>
          <w:rFonts w:eastAsiaTheme="minorEastAsia"/>
          <w:noProof/>
        </w:rPr>
        <w:t>(as of 2013)</w:t>
      </w:r>
      <w:r w:rsidR="07456631" w:rsidRPr="5A47D95A">
        <w:rPr>
          <w:rStyle w:val="eop"/>
          <w:rFonts w:eastAsiaTheme="minorEastAsia"/>
          <w:noProof/>
        </w:rPr>
        <w:t xml:space="preserve"> </w:t>
      </w:r>
      <w:r w:rsidR="047A8995" w:rsidRPr="6BDEC307">
        <w:rPr>
          <w:rStyle w:val="eop"/>
          <w:rFonts w:eastAsiaTheme="minorEastAsia"/>
          <w:noProof/>
        </w:rPr>
        <w:t>-</w:t>
      </w:r>
      <w:r w:rsidR="07456631" w:rsidRPr="5A47D95A">
        <w:rPr>
          <w:rStyle w:val="eop"/>
          <w:rFonts w:eastAsiaTheme="minorEastAsia"/>
          <w:noProof/>
        </w:rPr>
        <w:t xml:space="preserve"> </w:t>
      </w:r>
      <w:r w:rsidRPr="5A47D95A">
        <w:rPr>
          <w:rStyle w:val="eop"/>
          <w:rFonts w:eastAsiaTheme="minorEastAsia"/>
          <w:noProof/>
        </w:rPr>
        <w:t>have progressively reduced the bit</w:t>
      </w:r>
      <w:r w:rsidR="78A6E59D" w:rsidRPr="5A47D95A">
        <w:rPr>
          <w:rStyle w:val="eop"/>
          <w:rFonts w:eastAsiaTheme="minorEastAsia"/>
          <w:noProof/>
        </w:rPr>
        <w:t xml:space="preserve"> </w:t>
      </w:r>
      <w:r w:rsidRPr="5A47D95A">
        <w:rPr>
          <w:rStyle w:val="eop"/>
          <w:rFonts w:eastAsiaTheme="minorEastAsia"/>
          <w:noProof/>
        </w:rPr>
        <w:t>rate required per video stream</w:t>
      </w:r>
      <w:r w:rsidR="04577493" w:rsidRPr="5A47D95A">
        <w:rPr>
          <w:rStyle w:val="eop"/>
          <w:rFonts w:eastAsiaTheme="minorEastAsia"/>
          <w:noProof/>
        </w:rPr>
        <w:t>,</w:t>
      </w:r>
      <w:r w:rsidRPr="5A47D95A">
        <w:rPr>
          <w:rStyle w:val="eop"/>
          <w:rFonts w:eastAsiaTheme="minorEastAsia"/>
          <w:noProof/>
        </w:rPr>
        <w:t xml:space="preserve"> thus enhancing </w:t>
      </w:r>
      <w:r w:rsidR="78A6E59D" w:rsidRPr="5A47D95A">
        <w:rPr>
          <w:rStyle w:val="eop"/>
          <w:rFonts w:eastAsiaTheme="minorEastAsia"/>
          <w:noProof/>
        </w:rPr>
        <w:t xml:space="preserve">the </w:t>
      </w:r>
      <w:r w:rsidRPr="5A47D95A">
        <w:rPr>
          <w:rStyle w:val="eop"/>
          <w:rFonts w:eastAsiaTheme="minorEastAsia"/>
          <w:noProof/>
        </w:rPr>
        <w:t xml:space="preserve">capacity and efficiency of </w:t>
      </w:r>
      <w:r w:rsidR="78A6E59D" w:rsidRPr="5A47D95A">
        <w:rPr>
          <w:rStyle w:val="eop"/>
          <w:rFonts w:eastAsiaTheme="minorEastAsia"/>
          <w:noProof/>
        </w:rPr>
        <w:t xml:space="preserve">DTT </w:t>
      </w:r>
      <w:r w:rsidRPr="5A47D95A">
        <w:rPr>
          <w:rStyle w:val="eop"/>
          <w:rFonts w:eastAsiaTheme="minorEastAsia"/>
          <w:noProof/>
        </w:rPr>
        <w:t>spectrum use. The shift from MPEG-2 to MPEG-4 ha</w:t>
      </w:r>
      <w:r w:rsidR="04577493" w:rsidRPr="5A47D95A">
        <w:rPr>
          <w:rStyle w:val="eop"/>
          <w:rFonts w:eastAsiaTheme="minorEastAsia"/>
          <w:noProof/>
        </w:rPr>
        <w:t>s</w:t>
      </w:r>
      <w:r w:rsidRPr="5A47D95A">
        <w:rPr>
          <w:rStyle w:val="eop"/>
          <w:rFonts w:eastAsiaTheme="minorEastAsia"/>
          <w:noProof/>
        </w:rPr>
        <w:t xml:space="preserve"> reduced bit</w:t>
      </w:r>
      <w:r w:rsidR="78A6E59D" w:rsidRPr="5A47D95A">
        <w:rPr>
          <w:rStyle w:val="eop"/>
          <w:rFonts w:eastAsiaTheme="minorEastAsia"/>
          <w:noProof/>
        </w:rPr>
        <w:t xml:space="preserve"> </w:t>
      </w:r>
      <w:r w:rsidRPr="5A47D95A">
        <w:rPr>
          <w:rStyle w:val="eop"/>
          <w:rFonts w:eastAsiaTheme="minorEastAsia"/>
          <w:noProof/>
        </w:rPr>
        <w:t>rates by up to 50%, while  HEVC</w:t>
      </w:r>
      <w:r w:rsidR="41C1533C" w:rsidRPr="5A47D95A">
        <w:rPr>
          <w:rStyle w:val="eop"/>
          <w:rFonts w:eastAsiaTheme="minorEastAsia"/>
          <w:noProof/>
        </w:rPr>
        <w:t>/H.265</w:t>
      </w:r>
      <w:r w:rsidRPr="5A47D95A">
        <w:rPr>
          <w:rStyle w:val="eop"/>
          <w:rFonts w:eastAsiaTheme="minorEastAsia"/>
          <w:noProof/>
        </w:rPr>
        <w:t xml:space="preserve"> achieves an additional 42</w:t>
      </w:r>
      <w:r w:rsidR="61B57DD0" w:rsidRPr="5A47D95A">
        <w:rPr>
          <w:rStyle w:val="eop"/>
          <w:rFonts w:eastAsiaTheme="minorEastAsia"/>
          <w:noProof/>
        </w:rPr>
        <w:t>-</w:t>
      </w:r>
      <w:r w:rsidRPr="5A47D95A">
        <w:rPr>
          <w:rStyle w:val="eop"/>
          <w:rFonts w:eastAsiaTheme="minorEastAsia"/>
          <w:noProof/>
        </w:rPr>
        <w:t>50% reduction (EBU, 2016). VVC</w:t>
      </w:r>
      <w:r w:rsidR="22FF3EA4" w:rsidRPr="5A47D95A">
        <w:rPr>
          <w:rStyle w:val="eop"/>
          <w:rFonts w:eastAsiaTheme="minorEastAsia"/>
          <w:noProof/>
        </w:rPr>
        <w:t>/ H.266</w:t>
      </w:r>
      <w:r w:rsidRPr="5A47D95A">
        <w:rPr>
          <w:rStyle w:val="eop"/>
          <w:rFonts w:eastAsiaTheme="minorEastAsia"/>
          <w:noProof/>
        </w:rPr>
        <w:t xml:space="preserve"> is expected to deliver </w:t>
      </w:r>
      <w:r w:rsidR="04577493" w:rsidRPr="5A47D95A">
        <w:rPr>
          <w:rStyle w:val="eop"/>
          <w:rFonts w:eastAsiaTheme="minorEastAsia"/>
          <w:noProof/>
        </w:rPr>
        <w:t>another</w:t>
      </w:r>
      <w:r w:rsidRPr="5A47D95A">
        <w:rPr>
          <w:rStyle w:val="eop"/>
          <w:rFonts w:eastAsiaTheme="minorEastAsia"/>
          <w:noProof/>
        </w:rPr>
        <w:t xml:space="preserve"> similar improvement gain </w:t>
      </w:r>
      <w:r w:rsidR="78A6E59D" w:rsidRPr="5A47D95A">
        <w:rPr>
          <w:rStyle w:val="eop"/>
          <w:rFonts w:eastAsiaTheme="minorEastAsia"/>
          <w:noProof/>
        </w:rPr>
        <w:t xml:space="preserve">equivalent to </w:t>
      </w:r>
      <w:r w:rsidR="04577493" w:rsidRPr="5A47D95A">
        <w:rPr>
          <w:rStyle w:val="eop"/>
          <w:rFonts w:eastAsiaTheme="minorEastAsia"/>
          <w:noProof/>
        </w:rPr>
        <w:t xml:space="preserve">a </w:t>
      </w:r>
      <w:r w:rsidRPr="5A47D95A">
        <w:rPr>
          <w:rStyle w:val="eop"/>
          <w:rFonts w:eastAsiaTheme="minorEastAsia"/>
          <w:noProof/>
        </w:rPr>
        <w:t>50% reduction over HEVC (Fraunhofer HHI, 2022). These advances allow more services</w:t>
      </w:r>
      <w:r w:rsidR="07456631" w:rsidRPr="5A47D95A">
        <w:rPr>
          <w:rStyle w:val="eop"/>
          <w:rFonts w:eastAsiaTheme="minorEastAsia"/>
          <w:noProof/>
        </w:rPr>
        <w:t xml:space="preserve"> </w:t>
      </w:r>
      <w:r w:rsidR="308AB102" w:rsidRPr="6BDEC307">
        <w:rPr>
          <w:rStyle w:val="eop"/>
          <w:rFonts w:eastAsiaTheme="minorEastAsia"/>
          <w:noProof/>
        </w:rPr>
        <w:t>-</w:t>
      </w:r>
      <w:r w:rsidR="07456631" w:rsidRPr="5A47D95A">
        <w:rPr>
          <w:rStyle w:val="eop"/>
          <w:rFonts w:eastAsiaTheme="minorEastAsia"/>
          <w:noProof/>
        </w:rPr>
        <w:t xml:space="preserve"> </w:t>
      </w:r>
      <w:r w:rsidRPr="5A47D95A">
        <w:rPr>
          <w:rStyle w:val="eop"/>
          <w:rFonts w:eastAsiaTheme="minorEastAsia"/>
          <w:noProof/>
        </w:rPr>
        <w:t>or higher-quality formats</w:t>
      </w:r>
      <w:r w:rsidR="07456631" w:rsidRPr="5A47D95A">
        <w:rPr>
          <w:rStyle w:val="eop"/>
          <w:rFonts w:eastAsiaTheme="minorEastAsia"/>
          <w:noProof/>
        </w:rPr>
        <w:t xml:space="preserve"> </w:t>
      </w:r>
      <w:r w:rsidR="74B2A5DC" w:rsidRPr="6BDEC307">
        <w:rPr>
          <w:rStyle w:val="eop"/>
          <w:rFonts w:eastAsiaTheme="minorEastAsia"/>
          <w:noProof/>
        </w:rPr>
        <w:t>-</w:t>
      </w:r>
      <w:r w:rsidR="07456631" w:rsidRPr="5A47D95A">
        <w:rPr>
          <w:rStyle w:val="eop"/>
          <w:rFonts w:eastAsiaTheme="minorEastAsia"/>
          <w:noProof/>
        </w:rPr>
        <w:t xml:space="preserve"> </w:t>
      </w:r>
      <w:r w:rsidRPr="5A47D95A">
        <w:rPr>
          <w:rStyle w:val="eop"/>
          <w:rFonts w:eastAsiaTheme="minorEastAsia"/>
          <w:noProof/>
        </w:rPr>
        <w:t xml:space="preserve">to be delivered within the same spectrum. Advances in video compression have </w:t>
      </w:r>
      <w:r w:rsidR="78A6E59D" w:rsidRPr="5A47D95A">
        <w:rPr>
          <w:rStyle w:val="eop"/>
          <w:rFonts w:eastAsiaTheme="minorEastAsia"/>
          <w:noProof/>
        </w:rPr>
        <w:t>enabled</w:t>
      </w:r>
      <w:r w:rsidRPr="5A47D95A">
        <w:rPr>
          <w:rStyle w:val="eop"/>
          <w:rFonts w:eastAsiaTheme="minorEastAsia"/>
          <w:noProof/>
        </w:rPr>
        <w:t xml:space="preserve"> HD services </w:t>
      </w:r>
      <w:r w:rsidR="78A6E59D" w:rsidRPr="5A47D95A">
        <w:rPr>
          <w:rStyle w:val="eop"/>
          <w:rFonts w:eastAsiaTheme="minorEastAsia"/>
          <w:noProof/>
        </w:rPr>
        <w:t>to be introduced</w:t>
      </w:r>
      <w:r w:rsidRPr="5A47D95A">
        <w:rPr>
          <w:rStyle w:val="eop"/>
          <w:rFonts w:eastAsiaTheme="minorEastAsia"/>
          <w:noProof/>
        </w:rPr>
        <w:t xml:space="preserve"> without increasing spectrum needs compared to SD services.</w:t>
      </w:r>
    </w:p>
    <w:p w14:paraId="3A81EF9C" w14:textId="6010833E" w:rsidR="00BF60DB" w:rsidRPr="006044C2" w:rsidRDefault="00BF60DB" w:rsidP="00BF60DB">
      <w:pPr>
        <w:pStyle w:val="paragraph"/>
        <w:spacing w:before="0" w:beforeAutospacing="0" w:after="240" w:afterAutospacing="0"/>
        <w:jc w:val="both"/>
        <w:rPr>
          <w:rStyle w:val="normaltextrun"/>
          <w:noProof/>
        </w:rPr>
      </w:pPr>
      <w:r w:rsidRPr="7482D136">
        <w:rPr>
          <w:rStyle w:val="eop"/>
          <w:rFonts w:eastAsiaTheme="minorEastAsia"/>
          <w:noProof/>
        </w:rPr>
        <w:t>Across the Member States, approximately 60% of national multiplexes are already using the most advanced transmission standard (DVB-T2</w:t>
      </w:r>
      <w:r w:rsidRPr="00516125">
        <w:rPr>
          <w:rStyle w:val="eop"/>
          <w:rFonts w:eastAsiaTheme="minorEastAsia"/>
          <w:noProof/>
        </w:rPr>
        <w:t>)</w:t>
      </w:r>
      <w:r w:rsidR="00EF4606">
        <w:rPr>
          <w:rStyle w:val="eop"/>
          <w:rFonts w:eastAsiaTheme="minorEastAsia"/>
          <w:noProof/>
        </w:rPr>
        <w:t>,</w:t>
      </w:r>
      <w:r w:rsidRPr="7482D136">
        <w:rPr>
          <w:rStyle w:val="eop"/>
          <w:rFonts w:eastAsiaTheme="minorEastAsia"/>
          <w:noProof/>
        </w:rPr>
        <w:t xml:space="preserve"> with around 40% of national multiplexes using the most advanced encoding standard (HEVC)</w:t>
      </w:r>
      <w:bookmarkStart w:id="10" w:name="_Ref217026640"/>
      <w:r w:rsidRPr="7482D136">
        <w:rPr>
          <w:rStyle w:val="FootnoteReference"/>
          <w:rFonts w:eastAsiaTheme="minorEastAsia"/>
          <w:noProof/>
        </w:rPr>
        <w:footnoteReference w:id="29"/>
      </w:r>
      <w:bookmarkEnd w:id="10"/>
      <w:r w:rsidRPr="7482D136">
        <w:rPr>
          <w:rStyle w:val="eop"/>
          <w:rFonts w:eastAsiaTheme="minorEastAsia"/>
          <w:noProof/>
        </w:rPr>
        <w:t>.</w:t>
      </w:r>
    </w:p>
    <w:p w14:paraId="4D792118" w14:textId="1DD05FFB" w:rsidR="00E130FA" w:rsidRPr="0010331E" w:rsidRDefault="00BF60DB" w:rsidP="00F12A37">
      <w:pPr>
        <w:pStyle w:val="paragraph"/>
        <w:spacing w:before="0" w:beforeAutospacing="0" w:after="240" w:afterAutospacing="0"/>
        <w:jc w:val="both"/>
        <w:rPr>
          <w:noProof/>
        </w:rPr>
      </w:pPr>
      <w:r w:rsidRPr="0010331E">
        <w:rPr>
          <w:noProof/>
        </w:rPr>
        <w:fldChar w:fldCharType="begin"/>
      </w:r>
      <w:r w:rsidRPr="00A7582A">
        <w:rPr>
          <w:noProof/>
        </w:rPr>
        <w:instrText xml:space="preserve"> REF _Ref216882101 \h </w:instrText>
      </w:r>
      <w:r w:rsidRPr="0010331E">
        <w:rPr>
          <w:noProof/>
        </w:rPr>
      </w:r>
      <w:r w:rsidRPr="0010331E">
        <w:rPr>
          <w:noProof/>
        </w:rPr>
        <w:fldChar w:fldCharType="separate"/>
      </w:r>
      <w:r w:rsidR="009B3399" w:rsidRPr="00B54ECF">
        <w:rPr>
          <w:noProof/>
        </w:rPr>
        <w:t xml:space="preserve">Figure </w:t>
      </w:r>
      <w:r w:rsidR="009B3399">
        <w:rPr>
          <w:noProof/>
        </w:rPr>
        <w:t>6</w:t>
      </w:r>
      <w:r w:rsidRPr="0010331E">
        <w:rPr>
          <w:noProof/>
        </w:rPr>
        <w:fldChar w:fldCharType="end"/>
      </w:r>
      <w:r w:rsidRPr="0010331E">
        <w:rPr>
          <w:noProof/>
        </w:rPr>
        <w:t xml:space="preserve"> </w:t>
      </w:r>
      <w:r w:rsidRPr="004770B6">
        <w:rPr>
          <w:noProof/>
          <w:lang w:val="en-GB"/>
        </w:rPr>
        <w:t xml:space="preserve">shows DTT deployment in CEPT in 2025, based on data from the EBU-BNE database. For the EU specifically, the data indicate that </w:t>
      </w:r>
      <w:r w:rsidRPr="0010331E">
        <w:rPr>
          <w:noProof/>
        </w:rPr>
        <w:t>11</w:t>
      </w:r>
      <w:r w:rsidRPr="004770B6">
        <w:rPr>
          <w:noProof/>
          <w:lang w:val="en-GB"/>
        </w:rPr>
        <w:t xml:space="preserve"> Member States operate DVB-T, </w:t>
      </w:r>
      <w:r w:rsidR="006C6ADF">
        <w:rPr>
          <w:noProof/>
        </w:rPr>
        <w:t>5</w:t>
      </w:r>
      <w:r w:rsidRPr="004770B6">
        <w:rPr>
          <w:noProof/>
          <w:lang w:val="en-GB"/>
        </w:rPr>
        <w:t xml:space="preserve"> operate a mixed system of DVB-T and DVB-T2, and </w:t>
      </w:r>
      <w:r w:rsidRPr="0010331E">
        <w:rPr>
          <w:noProof/>
        </w:rPr>
        <w:t>11</w:t>
      </w:r>
      <w:r w:rsidRPr="004770B6">
        <w:rPr>
          <w:noProof/>
          <w:lang w:val="en-GB"/>
        </w:rPr>
        <w:t xml:space="preserve"> have fully migrated to DVB-T2. With regard to video compression, </w:t>
      </w:r>
      <w:r w:rsidRPr="0010331E">
        <w:rPr>
          <w:noProof/>
        </w:rPr>
        <w:t>12</w:t>
      </w:r>
      <w:r w:rsidRPr="004770B6">
        <w:rPr>
          <w:noProof/>
          <w:lang w:val="en-GB"/>
        </w:rPr>
        <w:t xml:space="preserve"> countries use H.264, </w:t>
      </w:r>
      <w:r w:rsidR="006C6ADF">
        <w:rPr>
          <w:noProof/>
        </w:rPr>
        <w:t>9</w:t>
      </w:r>
      <w:r w:rsidR="006C6ADF" w:rsidRPr="00516125">
        <w:rPr>
          <w:noProof/>
        </w:rPr>
        <w:t xml:space="preserve"> </w:t>
      </w:r>
      <w:r w:rsidRPr="004770B6">
        <w:rPr>
          <w:noProof/>
          <w:lang w:val="en-GB"/>
        </w:rPr>
        <w:t xml:space="preserve">use a combination of H.264 and HEVC, </w:t>
      </w:r>
      <w:r w:rsidR="006C6ADF">
        <w:rPr>
          <w:noProof/>
        </w:rPr>
        <w:t>2</w:t>
      </w:r>
      <w:r w:rsidR="006C6ADF" w:rsidRPr="00516125">
        <w:rPr>
          <w:noProof/>
        </w:rPr>
        <w:t xml:space="preserve"> </w:t>
      </w:r>
      <w:r w:rsidRPr="004770B6">
        <w:rPr>
          <w:noProof/>
          <w:lang w:val="en-GB"/>
        </w:rPr>
        <w:t xml:space="preserve">use HEVC only, </w:t>
      </w:r>
      <w:r w:rsidR="006C6ADF">
        <w:rPr>
          <w:noProof/>
        </w:rPr>
        <w:t>3</w:t>
      </w:r>
      <w:r w:rsidR="006C6ADF" w:rsidRPr="00516125">
        <w:rPr>
          <w:noProof/>
        </w:rPr>
        <w:t xml:space="preserve"> </w:t>
      </w:r>
      <w:r w:rsidRPr="004770B6">
        <w:rPr>
          <w:noProof/>
          <w:lang w:val="en-GB"/>
        </w:rPr>
        <w:t xml:space="preserve">use both MPEG-2 and H.264, and </w:t>
      </w:r>
      <w:r w:rsidR="006C6ADF">
        <w:rPr>
          <w:noProof/>
        </w:rPr>
        <w:t>1</w:t>
      </w:r>
      <w:r w:rsidR="006C6ADF" w:rsidRPr="00516125">
        <w:rPr>
          <w:noProof/>
        </w:rPr>
        <w:t xml:space="preserve"> </w:t>
      </w:r>
      <w:r w:rsidRPr="004770B6">
        <w:rPr>
          <w:noProof/>
          <w:lang w:val="en-GB"/>
        </w:rPr>
        <w:t>uses MPEG-2. In general, countries still operating DVB-T tend to use H.264 or the older MPEG-2 compression, while countries that have adopted DVB-T2 typically rely on HEVC and/or H.264.</w:t>
      </w:r>
      <w:r w:rsidR="00E130FA" w:rsidRPr="0010331E">
        <w:rPr>
          <w:noProof/>
        </w:rPr>
        <w:br w:type="page"/>
      </w:r>
    </w:p>
    <w:p w14:paraId="045D8349" w14:textId="42CBC4F6" w:rsidR="00BF60DB" w:rsidRPr="00A7582A" w:rsidRDefault="00BF60DB" w:rsidP="00BF60DB">
      <w:pPr>
        <w:pStyle w:val="Caption"/>
        <w:spacing w:after="240"/>
        <w:jc w:val="center"/>
        <w:rPr>
          <w:rFonts w:ascii="Times New Roman" w:hAnsi="Times New Roman"/>
          <w:noProof/>
          <w:color w:val="auto"/>
          <w:sz w:val="24"/>
        </w:rPr>
      </w:pPr>
      <w:bookmarkStart w:id="11" w:name="_Ref216882101"/>
      <w:bookmarkStart w:id="12" w:name="_Hlk231305694"/>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6</w:t>
      </w:r>
      <w:r w:rsidRPr="00B54ECF">
        <w:rPr>
          <w:rFonts w:ascii="Times New Roman" w:hAnsi="Times New Roman" w:cs="Times New Roman"/>
          <w:noProof/>
          <w:color w:val="auto"/>
          <w:sz w:val="24"/>
          <w:szCs w:val="24"/>
        </w:rPr>
        <w:fldChar w:fldCharType="end"/>
      </w:r>
      <w:bookmarkEnd w:id="11"/>
      <w:r w:rsidRPr="00B54ECF">
        <w:rPr>
          <w:rFonts w:ascii="Times New Roman" w:hAnsi="Times New Roman" w:cs="Times New Roman"/>
          <w:noProof/>
          <w:color w:val="auto"/>
          <w:sz w:val="24"/>
          <w:szCs w:val="24"/>
        </w:rPr>
        <w:t>:</w:t>
      </w:r>
      <w:r w:rsidRPr="00A7582A">
        <w:rPr>
          <w:rFonts w:ascii="Times New Roman" w:hAnsi="Times New Roman"/>
          <w:noProof/>
          <w:color w:val="auto"/>
          <w:sz w:val="24"/>
        </w:rPr>
        <w:t xml:space="preserve"> DTT deployment in CEPT-46 countries </w:t>
      </w:r>
      <w:r w:rsidRPr="00B54ECF">
        <w:rPr>
          <w:noProof/>
          <w:color w:val="auto"/>
          <w:sz w:val="24"/>
          <w:szCs w:val="24"/>
        </w:rPr>
        <w:br/>
      </w:r>
      <w:r w:rsidRPr="00A7582A">
        <w:rPr>
          <w:rFonts w:ascii="Times New Roman" w:hAnsi="Times New Roman"/>
          <w:noProof/>
          <w:color w:val="auto"/>
          <w:sz w:val="24"/>
        </w:rPr>
        <w:t>(Source: Kenneth Wenzel U Media, EBU</w:t>
      </w:r>
      <w:r w:rsidR="003B563B">
        <w:rPr>
          <w:rFonts w:ascii="Times New Roman" w:eastAsia="Times New Roman" w:hAnsi="Times New Roman" w:cs="Times New Roman"/>
          <w:noProof/>
          <w:color w:val="auto"/>
          <w:sz w:val="24"/>
          <w:szCs w:val="24"/>
        </w:rPr>
        <w:t>-</w:t>
      </w:r>
      <w:r w:rsidRPr="00A7582A">
        <w:rPr>
          <w:rFonts w:ascii="Times New Roman" w:hAnsi="Times New Roman"/>
          <w:noProof/>
          <w:color w:val="auto"/>
          <w:sz w:val="24"/>
        </w:rPr>
        <w:t>BNE DPM database)</w:t>
      </w:r>
    </w:p>
    <w:bookmarkEnd w:id="12"/>
    <w:p w14:paraId="12823F32" w14:textId="2E8B283D" w:rsidR="00BF60DB" w:rsidRPr="00A7582A" w:rsidRDefault="00BF60DB" w:rsidP="00F12A37">
      <w:pPr>
        <w:pStyle w:val="paragraph"/>
        <w:spacing w:before="0" w:beforeAutospacing="0" w:after="240" w:afterAutospacing="0"/>
        <w:jc w:val="center"/>
        <w:rPr>
          <w:noProof/>
        </w:rPr>
      </w:pPr>
      <w:r>
        <w:rPr>
          <w:noProof/>
          <w:lang w:val="en-GB" w:eastAsia="en-GB"/>
        </w:rPr>
        <w:drawing>
          <wp:inline distT="0" distB="0" distL="0" distR="0" wp14:anchorId="2C677107" wp14:editId="549491DD">
            <wp:extent cx="4965337" cy="3118485"/>
            <wp:effectExtent l="0" t="0" r="6985" b="5715"/>
            <wp:docPr id="794497755" name="drawing" descr="A map of europe with blue shad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97755" name="drawing" descr="A map of europe with blue shades&#10;&#10;AI-generated content may be incorrect."/>
                    <pic:cNvPicPr/>
                  </pic:nvPicPr>
                  <pic:blipFill>
                    <a:blip r:embed="rId23">
                      <a:extLst>
                        <a:ext uri="{28A0092B-C50C-407E-A947-70E740481C1C}">
                          <a14:useLocalDpi xmlns:a14="http://schemas.microsoft.com/office/drawing/2010/main"/>
                        </a:ext>
                      </a:extLst>
                    </a:blip>
                    <a:stretch>
                      <a:fillRect/>
                    </a:stretch>
                  </pic:blipFill>
                  <pic:spPr>
                    <a:xfrm>
                      <a:off x="0" y="0"/>
                      <a:ext cx="4969247" cy="3120941"/>
                    </a:xfrm>
                    <a:prstGeom prst="rect">
                      <a:avLst/>
                    </a:prstGeom>
                  </pic:spPr>
                </pic:pic>
              </a:graphicData>
            </a:graphic>
          </wp:inline>
        </w:drawing>
      </w:r>
    </w:p>
    <w:p w14:paraId="29BF1311" w14:textId="07655CA9" w:rsidR="00BF60DB" w:rsidRPr="0010331E" w:rsidRDefault="7E270F48" w:rsidP="463B461D">
      <w:pPr>
        <w:pStyle w:val="paragraph"/>
        <w:spacing w:before="240" w:beforeAutospacing="0" w:after="240" w:afterAutospacing="0"/>
        <w:jc w:val="both"/>
        <w:rPr>
          <w:rStyle w:val="eop"/>
          <w:noProof/>
        </w:rPr>
      </w:pPr>
      <w:r w:rsidRPr="064E9491">
        <w:rPr>
          <w:rStyle w:val="eop"/>
          <w:noProof/>
        </w:rPr>
        <w:t>Interactive and hybrid broadcast</w:t>
      </w:r>
      <w:r w:rsidR="34CD1EBA" w:rsidRPr="463B461D">
        <w:rPr>
          <w:rStyle w:val="eop"/>
          <w:noProof/>
        </w:rPr>
        <w:t xml:space="preserve"> </w:t>
      </w:r>
      <w:r w:rsidRPr="064E9491">
        <w:rPr>
          <w:rStyle w:val="eop"/>
          <w:noProof/>
        </w:rPr>
        <w:t>broadband technologies aim to enhance content delivery beyond traditional DTT. Standards such as HbbTV (</w:t>
      </w:r>
      <w:r w:rsidR="00BF60DB" w:rsidRPr="463B461D">
        <w:rPr>
          <w:rStyle w:val="eop"/>
          <w:noProof/>
        </w:rPr>
        <w:t>Hybrid Broadcast B</w:t>
      </w:r>
      <w:r w:rsidRPr="064E9491">
        <w:rPr>
          <w:rStyle w:val="eop"/>
          <w:noProof/>
        </w:rPr>
        <w:t xml:space="preserve">roadband TV) and </w:t>
      </w:r>
      <w:r w:rsidRPr="004E62A4">
        <w:rPr>
          <w:rStyle w:val="eop"/>
          <w:noProof/>
          <w:lang w:val="en-GB"/>
        </w:rPr>
        <w:t>DVB-I (</w:t>
      </w:r>
      <w:r w:rsidR="00BF60DB" w:rsidRPr="463B461D">
        <w:rPr>
          <w:rStyle w:val="eop"/>
          <w:noProof/>
          <w:lang w:val="en-GB"/>
        </w:rPr>
        <w:t xml:space="preserve">Digital Video Broadcasting – </w:t>
      </w:r>
      <w:r w:rsidR="00BF60DB" w:rsidRPr="00A7582A">
        <w:rPr>
          <w:rStyle w:val="eop"/>
          <w:noProof/>
        </w:rPr>
        <w:t>I</w:t>
      </w:r>
      <w:r w:rsidRPr="00A7582A">
        <w:rPr>
          <w:rStyle w:val="eop"/>
          <w:noProof/>
        </w:rPr>
        <w:t xml:space="preserve">nternet) rely on the availability of an internet connection and integrate broadcast and broadband, enabling on-demand and catch-up services alongside linear television. DVB-I represents the intersection of linear broadcast television and internet media streaming, enabling viewers to access linear channels over IP with the same experience as traditional broadcast television. Standardised by ETSI in </w:t>
      </w:r>
      <w:r w:rsidRPr="008D0C54">
        <w:rPr>
          <w:rStyle w:val="eop"/>
          <w:noProof/>
        </w:rPr>
        <w:t>2020</w:t>
      </w:r>
      <w:r w:rsidR="00BF60DB" w:rsidRPr="008D0C54">
        <w:rPr>
          <w:rStyle w:val="FootnoteReference"/>
          <w:noProof/>
          <w:sz w:val="22"/>
          <w:szCs w:val="22"/>
          <w:lang w:val="en-GB"/>
        </w:rPr>
        <w:footnoteReference w:id="30"/>
      </w:r>
      <w:r w:rsidRPr="008D0C54">
        <w:rPr>
          <w:rStyle w:val="eop"/>
          <w:noProof/>
          <w:sz w:val="22"/>
          <w:szCs w:val="22"/>
          <w:lang w:val="en-GB"/>
        </w:rPr>
        <w:t>,</w:t>
      </w:r>
      <w:r w:rsidRPr="008D0C54">
        <w:rPr>
          <w:rStyle w:val="eop"/>
          <w:noProof/>
          <w:lang w:val="en-GB"/>
        </w:rPr>
        <w:t xml:space="preserve"> mass</w:t>
      </w:r>
      <w:r w:rsidR="008D0C54">
        <w:rPr>
          <w:rStyle w:val="eop"/>
          <w:noProof/>
          <w:lang w:val="en-GB"/>
        </w:rPr>
        <w:t xml:space="preserve"> </w:t>
      </w:r>
      <w:r w:rsidRPr="008D0C54">
        <w:rPr>
          <w:rStyle w:val="eop"/>
          <w:noProof/>
          <w:lang w:val="en-GB"/>
        </w:rPr>
        <w:t>market availability</w:t>
      </w:r>
      <w:r w:rsidRPr="463B461D">
        <w:rPr>
          <w:rStyle w:val="eop"/>
          <w:noProof/>
          <w:lang w:val="en-GB"/>
        </w:rPr>
        <w:t xml:space="preserve"> is expected by the end of this decade. Meanwhile, DVB-HB (</w:t>
      </w:r>
      <w:r w:rsidR="00BF60DB" w:rsidRPr="463B461D">
        <w:rPr>
          <w:rStyle w:val="eop"/>
          <w:noProof/>
          <w:lang w:val="en-GB"/>
        </w:rPr>
        <w:t xml:space="preserve">Home </w:t>
      </w:r>
      <w:r w:rsidR="00BF60DB" w:rsidRPr="00A7582A">
        <w:rPr>
          <w:rStyle w:val="eop"/>
          <w:noProof/>
        </w:rPr>
        <w:t>B</w:t>
      </w:r>
      <w:r w:rsidRPr="00A7582A">
        <w:rPr>
          <w:rStyle w:val="eop"/>
          <w:noProof/>
        </w:rPr>
        <w:t>roadcast) uses the broadcast signal to distribute content across IP-enabled devices within the home. It allows viewers to access both linear free-to-view and on-demand content with a single interface.</w:t>
      </w:r>
    </w:p>
    <w:p w14:paraId="224B4BF8" w14:textId="1A7D078F" w:rsidR="00BF60DB" w:rsidRPr="00A7582A" w:rsidRDefault="00BF60DB" w:rsidP="00BF60DB">
      <w:pPr>
        <w:pStyle w:val="paragraph"/>
        <w:spacing w:before="0" w:beforeAutospacing="0" w:after="240" w:afterAutospacing="0"/>
        <w:jc w:val="both"/>
        <w:rPr>
          <w:b/>
          <w:noProof/>
        </w:rPr>
      </w:pPr>
      <w:r w:rsidRPr="064E9491">
        <w:rPr>
          <w:rStyle w:val="eop"/>
          <w:noProof/>
        </w:rPr>
        <w:t xml:space="preserve">Single Frequency Networks (SFNs) </w:t>
      </w:r>
      <w:r w:rsidR="006C6ADF">
        <w:rPr>
          <w:rStyle w:val="eop"/>
          <w:noProof/>
        </w:rPr>
        <w:t>enable</w:t>
      </w:r>
      <w:r w:rsidR="006C6ADF" w:rsidRPr="00516125">
        <w:rPr>
          <w:rStyle w:val="eop"/>
          <w:noProof/>
        </w:rPr>
        <w:t xml:space="preserve"> </w:t>
      </w:r>
      <w:r w:rsidRPr="064E9491">
        <w:rPr>
          <w:rStyle w:val="eop"/>
          <w:noProof/>
        </w:rPr>
        <w:t xml:space="preserve">multiple transmitters to simultaneously operate on the same frequency, reducing the need for spectrum for DTT </w:t>
      </w:r>
      <w:r w:rsidRPr="00BF0955">
        <w:rPr>
          <w:rStyle w:val="eop"/>
          <w:noProof/>
        </w:rPr>
        <w:t>services by around 25%</w:t>
      </w:r>
      <w:r w:rsidR="00EF4606" w:rsidRPr="00BF0955">
        <w:rPr>
          <w:rStyle w:val="eop"/>
          <w:noProof/>
        </w:rPr>
        <w:t>,</w:t>
      </w:r>
      <w:r w:rsidRPr="00BF0955">
        <w:rPr>
          <w:rStyle w:val="eop"/>
          <w:noProof/>
        </w:rPr>
        <w:t xml:space="preserve"> albeit with added complexity and constraints on local or regional content. </w:t>
      </w:r>
      <w:r w:rsidRPr="00A7582A">
        <w:rPr>
          <w:noProof/>
        </w:rPr>
        <w:t>There is no requirement to obtain</w:t>
      </w:r>
      <w:r w:rsidRPr="00BF0955">
        <w:rPr>
          <w:noProof/>
        </w:rPr>
        <w:t xml:space="preserve"> </w:t>
      </w:r>
      <w:r w:rsidRPr="00BF0955">
        <w:rPr>
          <w:rStyle w:val="eop"/>
          <w:noProof/>
        </w:rPr>
        <w:t>additional reception equipment or retune if network topologies are changed to include more SFNs, assuming no changes are made to the transmission or compression technologies. At least 12 Member States are using SFNs in their DTT networks</w:t>
      </w:r>
      <w:r w:rsidRPr="00BF0955">
        <w:rPr>
          <w:rStyle w:val="FootnoteReference"/>
          <w:rFonts w:eastAsiaTheme="minorEastAsia"/>
          <w:noProof/>
          <w:lang w:val="en-GB"/>
        </w:rPr>
        <w:fldChar w:fldCharType="begin"/>
      </w:r>
      <w:r w:rsidRPr="00BF0955">
        <w:rPr>
          <w:rFonts w:eastAsiaTheme="minorEastAsia"/>
          <w:noProof/>
          <w:lang w:val="en-GB"/>
        </w:rPr>
        <w:instrText xml:space="preserve"> NOTEREF _Ref217026640 \f \h </w:instrText>
      </w:r>
      <w:r w:rsidR="009448E8" w:rsidRPr="00BF0955">
        <w:rPr>
          <w:rStyle w:val="FootnoteReference"/>
          <w:rFonts w:eastAsiaTheme="minorEastAsia"/>
          <w:noProof/>
          <w:lang w:val="en-GB"/>
        </w:rPr>
        <w:instrText xml:space="preserve"> \* MERGEFORMAT </w:instrText>
      </w:r>
      <w:r w:rsidRPr="00BF0955">
        <w:rPr>
          <w:rStyle w:val="FootnoteReference"/>
          <w:rFonts w:eastAsiaTheme="minorEastAsia"/>
          <w:noProof/>
          <w:lang w:val="en-GB"/>
        </w:rPr>
      </w:r>
      <w:r w:rsidRPr="00BF0955">
        <w:rPr>
          <w:rStyle w:val="FootnoteReference"/>
          <w:rFonts w:eastAsiaTheme="minorEastAsia"/>
          <w:noProof/>
          <w:lang w:val="en-GB"/>
        </w:rPr>
        <w:fldChar w:fldCharType="separate"/>
      </w:r>
      <w:r w:rsidR="009B3399" w:rsidRPr="009B3399">
        <w:rPr>
          <w:rStyle w:val="FootnoteReference"/>
          <w:rFonts w:eastAsiaTheme="minorEastAsia"/>
          <w:noProof/>
        </w:rPr>
        <w:t>29</w:t>
      </w:r>
      <w:r w:rsidRPr="00BF0955">
        <w:rPr>
          <w:rStyle w:val="FootnoteReference"/>
          <w:rFonts w:eastAsiaTheme="minorEastAsia"/>
          <w:noProof/>
          <w:lang w:val="en-GB"/>
        </w:rPr>
        <w:fldChar w:fldCharType="end"/>
      </w:r>
      <w:r w:rsidRPr="00A7582A">
        <w:rPr>
          <w:noProof/>
          <w:lang w:val="en-GB"/>
        </w:rPr>
        <w:t>.</w:t>
      </w:r>
    </w:p>
    <w:p w14:paraId="3DAE25F0" w14:textId="77777777" w:rsidR="00BF60DB" w:rsidRPr="00094121" w:rsidRDefault="00BF60DB" w:rsidP="00BF60DB">
      <w:pPr>
        <w:pStyle w:val="paragraph"/>
        <w:spacing w:before="0" w:beforeAutospacing="0" w:after="240" w:afterAutospacing="0"/>
        <w:rPr>
          <w:rStyle w:val="eop"/>
          <w:rFonts w:eastAsiaTheme="minorEastAsia"/>
          <w:b/>
          <w:bCs/>
          <w:noProof/>
        </w:rPr>
      </w:pPr>
      <w:r w:rsidRPr="00A7582A">
        <w:rPr>
          <w:rStyle w:val="eop"/>
          <w:rFonts w:eastAsiaTheme="minorEastAsia"/>
          <w:b/>
          <w:bCs/>
          <w:noProof/>
        </w:rPr>
        <w:t>5G Broadcast</w:t>
      </w:r>
    </w:p>
    <w:p w14:paraId="5CF22E8B" w14:textId="254412E9" w:rsidR="00BF60DB" w:rsidRDefault="00BF60DB" w:rsidP="00BF60DB">
      <w:pPr>
        <w:pStyle w:val="paragraph"/>
        <w:spacing w:before="0" w:beforeAutospacing="0" w:after="240" w:afterAutospacing="0"/>
        <w:jc w:val="both"/>
        <w:rPr>
          <w:rStyle w:val="normaltextrun"/>
          <w:rFonts w:eastAsiaTheme="minorEastAsia"/>
          <w:noProof/>
        </w:rPr>
      </w:pPr>
      <w:r w:rsidRPr="38454EEC">
        <w:rPr>
          <w:rStyle w:val="eop"/>
          <w:rFonts w:eastAsiaTheme="minorEastAsia"/>
          <w:noProof/>
        </w:rPr>
        <w:t xml:space="preserve">5G Broadcast </w:t>
      </w:r>
      <w:r w:rsidRPr="38454EEC">
        <w:rPr>
          <w:rFonts w:eastAsiaTheme="minorEastAsia"/>
          <w:noProof/>
        </w:rPr>
        <w:t>is a</w:t>
      </w:r>
      <w:r w:rsidR="00E56FFB">
        <w:rPr>
          <w:rFonts w:eastAsiaTheme="minorEastAsia"/>
          <w:noProof/>
        </w:rPr>
        <w:t xml:space="preserve"> </w:t>
      </w:r>
      <w:r w:rsidRPr="38454EEC">
        <w:rPr>
          <w:rFonts w:eastAsiaTheme="minorEastAsia"/>
          <w:noProof/>
        </w:rPr>
        <w:t>broadcast technology</w:t>
      </w:r>
      <w:r w:rsidR="00E56FFB">
        <w:rPr>
          <w:rFonts w:eastAsiaTheme="minorEastAsia"/>
          <w:noProof/>
        </w:rPr>
        <w:t xml:space="preserve"> </w:t>
      </w:r>
      <w:r w:rsidRPr="38454EEC">
        <w:rPr>
          <w:rFonts w:eastAsiaTheme="minorEastAsia"/>
          <w:noProof/>
        </w:rPr>
        <w:t>from the mobile telephony technical ecosystem, standardised by 3GPP</w:t>
      </w:r>
      <w:r w:rsidRPr="38454EEC">
        <w:rPr>
          <w:rStyle w:val="FootnoteReference"/>
          <w:rFonts w:eastAsiaTheme="minorEastAsia"/>
          <w:noProof/>
        </w:rPr>
        <w:footnoteReference w:id="31"/>
      </w:r>
      <w:r w:rsidRPr="38454EEC">
        <w:rPr>
          <w:rFonts w:eastAsiaTheme="minorEastAsia"/>
          <w:noProof/>
        </w:rPr>
        <w:t>, which</w:t>
      </w:r>
      <w:r w:rsidR="00E56FFB">
        <w:rPr>
          <w:rFonts w:eastAsiaTheme="minorEastAsia"/>
          <w:noProof/>
        </w:rPr>
        <w:t xml:space="preserve"> </w:t>
      </w:r>
      <w:r w:rsidRPr="38454EEC">
        <w:rPr>
          <w:rStyle w:val="eop"/>
          <w:rFonts w:eastAsiaTheme="minorEastAsia"/>
          <w:noProof/>
        </w:rPr>
        <w:t xml:space="preserve">uses 5G technology to deliver live video content to multiple users </w:t>
      </w:r>
      <w:r w:rsidRPr="38454EEC">
        <w:rPr>
          <w:rFonts w:eastAsiaTheme="minorEastAsia"/>
          <w:noProof/>
        </w:rPr>
        <w:t>on</w:t>
      </w:r>
      <w:r w:rsidR="00E56FFB">
        <w:rPr>
          <w:rFonts w:eastAsiaTheme="minorEastAsia"/>
          <w:noProof/>
        </w:rPr>
        <w:t xml:space="preserve"> </w:t>
      </w:r>
      <w:r w:rsidRPr="38454EEC">
        <w:rPr>
          <w:rFonts w:eastAsiaTheme="minorEastAsia"/>
          <w:noProof/>
        </w:rPr>
        <w:t>a</w:t>
      </w:r>
      <w:r w:rsidR="00E56FFB">
        <w:rPr>
          <w:rFonts w:eastAsiaTheme="minorEastAsia"/>
          <w:noProof/>
        </w:rPr>
        <w:t xml:space="preserve"> </w:t>
      </w:r>
      <w:r w:rsidRPr="38454EEC">
        <w:rPr>
          <w:rFonts w:eastAsiaTheme="minorEastAsia"/>
          <w:noProof/>
        </w:rPr>
        <w:t>smartphone</w:t>
      </w:r>
      <w:r w:rsidR="00E56FFB">
        <w:rPr>
          <w:rFonts w:eastAsiaTheme="minorEastAsia"/>
          <w:noProof/>
        </w:rPr>
        <w:t xml:space="preserve"> </w:t>
      </w:r>
      <w:r w:rsidRPr="38454EEC">
        <w:rPr>
          <w:rFonts w:eastAsiaTheme="minorEastAsia"/>
          <w:noProof/>
        </w:rPr>
        <w:t>or tablet,</w:t>
      </w:r>
      <w:r w:rsidR="00E56FFB">
        <w:rPr>
          <w:rFonts w:eastAsiaTheme="minorEastAsia"/>
          <w:noProof/>
        </w:rPr>
        <w:t xml:space="preserve"> </w:t>
      </w:r>
      <w:r w:rsidRPr="38454EEC">
        <w:rPr>
          <w:rFonts w:eastAsiaTheme="minorEastAsia"/>
          <w:noProof/>
        </w:rPr>
        <w:t>without an internet connection,</w:t>
      </w:r>
      <w:r w:rsidR="00E56FFB">
        <w:rPr>
          <w:rFonts w:eastAsiaTheme="minorEastAsia"/>
          <w:noProof/>
        </w:rPr>
        <w:t xml:space="preserve"> </w:t>
      </w:r>
      <w:r w:rsidR="00516125">
        <w:rPr>
          <w:rFonts w:eastAsiaTheme="minorEastAsia"/>
          <w:noProof/>
        </w:rPr>
        <w:t>i.e.</w:t>
      </w:r>
      <w:r w:rsidRPr="38454EEC">
        <w:rPr>
          <w:rFonts w:eastAsiaTheme="minorEastAsia"/>
          <w:noProof/>
        </w:rPr>
        <w:t xml:space="preserve"> without consuming data from a user data</w:t>
      </w:r>
      <w:r w:rsidR="006C6ADF">
        <w:rPr>
          <w:rFonts w:eastAsiaTheme="minorEastAsia"/>
          <w:noProof/>
        </w:rPr>
        <w:t xml:space="preserve"> </w:t>
      </w:r>
      <w:r w:rsidRPr="38454EEC">
        <w:rPr>
          <w:rFonts w:eastAsiaTheme="minorEastAsia"/>
          <w:noProof/>
        </w:rPr>
        <w:t>plan</w:t>
      </w:r>
      <w:r w:rsidRPr="38454EEC">
        <w:rPr>
          <w:rStyle w:val="eop"/>
          <w:rFonts w:eastAsiaTheme="minorEastAsia"/>
          <w:noProof/>
        </w:rPr>
        <w:t xml:space="preserve">. It is emerging as a potential complement or successor to DTT, particularly </w:t>
      </w:r>
      <w:r w:rsidR="006C6ADF">
        <w:rPr>
          <w:rStyle w:val="eop"/>
          <w:rFonts w:eastAsiaTheme="minorEastAsia"/>
          <w:noProof/>
        </w:rPr>
        <w:t>for</w:t>
      </w:r>
      <w:r w:rsidRPr="00516125">
        <w:rPr>
          <w:rStyle w:val="eop"/>
          <w:rFonts w:eastAsiaTheme="minorEastAsia"/>
          <w:noProof/>
        </w:rPr>
        <w:t xml:space="preserve"> </w:t>
      </w:r>
      <w:r w:rsidRPr="38454EEC">
        <w:rPr>
          <w:rStyle w:val="eop"/>
          <w:rFonts w:eastAsiaTheme="minorEastAsia"/>
          <w:noProof/>
        </w:rPr>
        <w:t>mobile and hybrid environments.</w:t>
      </w:r>
      <w:r w:rsidR="00516125" w:rsidRPr="00516125">
        <w:rPr>
          <w:rStyle w:val="eop"/>
          <w:rFonts w:eastAsiaTheme="minorEastAsia"/>
          <w:noProof/>
        </w:rPr>
        <w:t xml:space="preserve"> </w:t>
      </w:r>
      <w:r w:rsidR="000D2B24">
        <w:rPr>
          <w:rStyle w:val="normaltextrun"/>
          <w:rFonts w:eastAsiaTheme="minorEastAsia"/>
          <w:noProof/>
        </w:rPr>
        <w:t>T</w:t>
      </w:r>
      <w:r w:rsidRPr="00516125">
        <w:rPr>
          <w:rStyle w:val="normaltextrun"/>
          <w:rFonts w:eastAsiaTheme="minorEastAsia"/>
          <w:noProof/>
        </w:rPr>
        <w:t>he</w:t>
      </w:r>
      <w:r w:rsidRPr="38454EEC">
        <w:rPr>
          <w:rStyle w:val="normaltextrun"/>
          <w:rFonts w:eastAsiaTheme="minorEastAsia"/>
          <w:noProof/>
        </w:rPr>
        <w:t xml:space="preserve"> introduction of 5G Broadcast also allows the simultaneous operation of DVB on the same frequency and thus </w:t>
      </w:r>
      <w:r w:rsidR="001018BB">
        <w:rPr>
          <w:rStyle w:val="normaltextrun"/>
          <w:rFonts w:eastAsiaTheme="minorEastAsia"/>
          <w:noProof/>
        </w:rPr>
        <w:t>a</w:t>
      </w:r>
      <w:r w:rsidRPr="38454EEC">
        <w:rPr>
          <w:rStyle w:val="normaltextrun"/>
          <w:rFonts w:eastAsiaTheme="minorEastAsia"/>
          <w:noProof/>
        </w:rPr>
        <w:t xml:space="preserve"> seamless transition from DVB to 5G Broadcast. 5G Broadcast </w:t>
      </w:r>
      <w:r w:rsidR="006B3114">
        <w:rPr>
          <w:rStyle w:val="normaltextrun"/>
          <w:rFonts w:eastAsiaTheme="minorEastAsia"/>
          <w:noProof/>
        </w:rPr>
        <w:t>can</w:t>
      </w:r>
      <w:r w:rsidRPr="00516125">
        <w:rPr>
          <w:rStyle w:val="normaltextrun"/>
          <w:rFonts w:eastAsiaTheme="minorEastAsia"/>
          <w:noProof/>
        </w:rPr>
        <w:t xml:space="preserve"> en</w:t>
      </w:r>
      <w:r w:rsidR="006B3114">
        <w:rPr>
          <w:rStyle w:val="normaltextrun"/>
          <w:rFonts w:eastAsiaTheme="minorEastAsia"/>
          <w:noProof/>
        </w:rPr>
        <w:t>able</w:t>
      </w:r>
      <w:r w:rsidRPr="38454EEC">
        <w:rPr>
          <w:rStyle w:val="normaltextrun"/>
          <w:rFonts w:eastAsiaTheme="minorEastAsia"/>
          <w:noProof/>
        </w:rPr>
        <w:t xml:space="preserve"> cross-border coordination with neighbouring countries </w:t>
      </w:r>
      <w:r w:rsidR="006B3114">
        <w:rPr>
          <w:rStyle w:val="normaltextrun"/>
          <w:rFonts w:eastAsiaTheme="minorEastAsia"/>
          <w:noProof/>
        </w:rPr>
        <w:t>that have</w:t>
      </w:r>
      <w:r w:rsidR="006B3114" w:rsidRPr="00516125">
        <w:rPr>
          <w:rStyle w:val="normaltextrun"/>
          <w:rFonts w:eastAsiaTheme="minorEastAsia"/>
          <w:noProof/>
        </w:rPr>
        <w:t xml:space="preserve"> </w:t>
      </w:r>
      <w:r w:rsidRPr="38454EEC">
        <w:rPr>
          <w:rStyle w:val="normaltextrun"/>
          <w:rFonts w:eastAsiaTheme="minorEastAsia"/>
          <w:noProof/>
        </w:rPr>
        <w:t xml:space="preserve">DVB-based DTT networks, based on the specifications of the Geneva 2006 </w:t>
      </w:r>
      <w:r w:rsidR="001018BB">
        <w:rPr>
          <w:rStyle w:val="normaltextrun"/>
          <w:rFonts w:eastAsiaTheme="minorEastAsia"/>
          <w:noProof/>
        </w:rPr>
        <w:t>A</w:t>
      </w:r>
      <w:r w:rsidRPr="38454EEC">
        <w:rPr>
          <w:rStyle w:val="normaltextrun"/>
          <w:rFonts w:eastAsiaTheme="minorEastAsia"/>
          <w:noProof/>
        </w:rPr>
        <w:t>greement (the ‘envelope’ concept).</w:t>
      </w:r>
    </w:p>
    <w:p w14:paraId="51F079D7" w14:textId="13EF2BCC" w:rsidR="00BF60DB" w:rsidRDefault="00BF60DB" w:rsidP="00BF60DB">
      <w:pPr>
        <w:pStyle w:val="paragraph"/>
        <w:spacing w:before="0" w:beforeAutospacing="0" w:after="240" w:afterAutospacing="0"/>
        <w:jc w:val="both"/>
        <w:rPr>
          <w:rStyle w:val="eop"/>
          <w:rFonts w:eastAsiaTheme="minorEastAsia"/>
          <w:noProof/>
        </w:rPr>
      </w:pPr>
      <w:r w:rsidRPr="7482D136">
        <w:rPr>
          <w:rStyle w:val="eop"/>
          <w:rFonts w:eastAsiaTheme="minorEastAsia"/>
          <w:noProof/>
        </w:rPr>
        <w:t>Stakeholders consider that the existing high-power</w:t>
      </w:r>
      <w:r w:rsidR="00284613">
        <w:rPr>
          <w:rStyle w:val="eop"/>
          <w:rFonts w:eastAsiaTheme="minorEastAsia"/>
          <w:noProof/>
        </w:rPr>
        <w:t>,</w:t>
      </w:r>
      <w:r w:rsidRPr="7482D136">
        <w:rPr>
          <w:rStyle w:val="eop"/>
          <w:rFonts w:eastAsiaTheme="minorEastAsia"/>
          <w:noProof/>
        </w:rPr>
        <w:t xml:space="preserve"> high-tower (HPHT) infrastructure could provide sufficient outdoor coverage for 5G Broadcast, with some densification required particularly for indoor reception. According to a </w:t>
      </w:r>
      <w:r w:rsidR="006B3114">
        <w:rPr>
          <w:rStyle w:val="eop"/>
          <w:rFonts w:eastAsiaTheme="minorEastAsia"/>
          <w:noProof/>
        </w:rPr>
        <w:t>BNE</w:t>
      </w:r>
      <w:r w:rsidRPr="00516125">
        <w:rPr>
          <w:rStyle w:val="eop"/>
          <w:rFonts w:eastAsiaTheme="minorEastAsia"/>
          <w:noProof/>
        </w:rPr>
        <w:t xml:space="preserve"> </w:t>
      </w:r>
      <w:r w:rsidR="00EF4606">
        <w:rPr>
          <w:rStyle w:val="eop"/>
          <w:rFonts w:eastAsiaTheme="minorEastAsia"/>
          <w:noProof/>
        </w:rPr>
        <w:t>r</w:t>
      </w:r>
      <w:r w:rsidRPr="7482D136">
        <w:rPr>
          <w:rStyle w:val="eop"/>
          <w:rFonts w:eastAsiaTheme="minorEastAsia"/>
          <w:noProof/>
        </w:rPr>
        <w:t>eport</w:t>
      </w:r>
      <w:r w:rsidRPr="7482D136">
        <w:rPr>
          <w:rStyle w:val="FootnoteReference"/>
          <w:rFonts w:eastAsiaTheme="minorEastAsia"/>
          <w:noProof/>
        </w:rPr>
        <w:footnoteReference w:id="32"/>
      </w:r>
      <w:r w:rsidRPr="7482D136">
        <w:rPr>
          <w:rStyle w:val="eop"/>
          <w:rFonts w:eastAsiaTheme="minorEastAsia"/>
          <w:noProof/>
        </w:rPr>
        <w:t>, 5G Broadcast offers the advantages of</w:t>
      </w:r>
      <w:r w:rsidR="001018BB">
        <w:rPr>
          <w:rStyle w:val="eop"/>
          <w:rFonts w:eastAsiaTheme="minorEastAsia"/>
          <w:noProof/>
        </w:rPr>
        <w:t>:</w:t>
      </w:r>
      <w:r w:rsidR="0039665B">
        <w:rPr>
          <w:rStyle w:val="eop"/>
          <w:rFonts w:eastAsiaTheme="minorEastAsia"/>
          <w:noProof/>
        </w:rPr>
        <w:t xml:space="preserve"> (i)</w:t>
      </w:r>
      <w:r w:rsidRPr="7482D136">
        <w:rPr>
          <w:rStyle w:val="eop"/>
          <w:rFonts w:eastAsiaTheme="minorEastAsia"/>
          <w:noProof/>
        </w:rPr>
        <w:t xml:space="preserve"> universal (free-to-air) reception without a mobile data subscription (SIM-free</w:t>
      </w:r>
      <w:r w:rsidRPr="00516125">
        <w:rPr>
          <w:rStyle w:val="eop"/>
          <w:rFonts w:eastAsiaTheme="minorEastAsia"/>
          <w:noProof/>
        </w:rPr>
        <w:t>)</w:t>
      </w:r>
      <w:r w:rsidR="001018BB">
        <w:rPr>
          <w:rStyle w:val="eop"/>
          <w:rFonts w:eastAsiaTheme="minorEastAsia"/>
          <w:noProof/>
        </w:rPr>
        <w:t>;</w:t>
      </w:r>
      <w:r w:rsidR="0039665B">
        <w:rPr>
          <w:rStyle w:val="eop"/>
          <w:rFonts w:eastAsiaTheme="minorEastAsia"/>
          <w:noProof/>
        </w:rPr>
        <w:t xml:space="preserve"> (ii)</w:t>
      </w:r>
      <w:r w:rsidRPr="7482D136">
        <w:rPr>
          <w:rStyle w:val="eop"/>
          <w:rFonts w:eastAsiaTheme="minorEastAsia"/>
          <w:noProof/>
        </w:rPr>
        <w:t xml:space="preserve"> high reliability</w:t>
      </w:r>
      <w:r w:rsidR="001018BB">
        <w:rPr>
          <w:rStyle w:val="eop"/>
          <w:rFonts w:eastAsiaTheme="minorEastAsia"/>
          <w:noProof/>
        </w:rPr>
        <w:t>;</w:t>
      </w:r>
      <w:r w:rsidRPr="00516125">
        <w:rPr>
          <w:rStyle w:val="eop"/>
          <w:rFonts w:eastAsiaTheme="minorEastAsia"/>
          <w:noProof/>
        </w:rPr>
        <w:t xml:space="preserve"> </w:t>
      </w:r>
      <w:r w:rsidR="0039665B">
        <w:rPr>
          <w:rStyle w:val="eop"/>
          <w:rFonts w:eastAsiaTheme="minorEastAsia"/>
          <w:noProof/>
        </w:rPr>
        <w:t>(iii)</w:t>
      </w:r>
      <w:r w:rsidRPr="7482D136">
        <w:rPr>
          <w:rStyle w:val="eop"/>
          <w:rFonts w:eastAsiaTheme="minorEastAsia"/>
          <w:noProof/>
        </w:rPr>
        <w:t xml:space="preserve"> high energy </w:t>
      </w:r>
      <w:r w:rsidR="00F7300A">
        <w:rPr>
          <w:rStyle w:val="eop"/>
          <w:rFonts w:eastAsiaTheme="minorEastAsia"/>
          <w:noProof/>
        </w:rPr>
        <w:t>and cost</w:t>
      </w:r>
      <w:r w:rsidRPr="00516125">
        <w:rPr>
          <w:rStyle w:val="eop"/>
          <w:rFonts w:eastAsiaTheme="minorEastAsia"/>
          <w:noProof/>
        </w:rPr>
        <w:t xml:space="preserve"> </w:t>
      </w:r>
      <w:r w:rsidRPr="7482D136">
        <w:rPr>
          <w:rStyle w:val="eop"/>
          <w:rFonts w:eastAsiaTheme="minorEastAsia"/>
          <w:noProof/>
        </w:rPr>
        <w:t>efficiency</w:t>
      </w:r>
      <w:r w:rsidR="001018BB">
        <w:rPr>
          <w:rStyle w:val="eop"/>
          <w:rFonts w:eastAsiaTheme="minorEastAsia"/>
          <w:noProof/>
        </w:rPr>
        <w:t>;</w:t>
      </w:r>
      <w:r w:rsidRPr="7482D136">
        <w:rPr>
          <w:rStyle w:val="eop"/>
          <w:rFonts w:eastAsiaTheme="minorEastAsia"/>
          <w:noProof/>
        </w:rPr>
        <w:t xml:space="preserve"> </w:t>
      </w:r>
      <w:r w:rsidR="0039665B">
        <w:rPr>
          <w:rStyle w:val="eop"/>
          <w:rFonts w:eastAsiaTheme="minorEastAsia"/>
          <w:noProof/>
        </w:rPr>
        <w:t>(iv) a</w:t>
      </w:r>
      <w:r w:rsidRPr="7482D136">
        <w:rPr>
          <w:rStyle w:val="eop"/>
          <w:rFonts w:eastAsiaTheme="minorEastAsia"/>
          <w:noProof/>
        </w:rPr>
        <w:t xml:space="preserve"> future-proof service portfolio (including public warning, enhanced event experience, geolocation </w:t>
      </w:r>
      <w:r w:rsidR="00F7300A">
        <w:rPr>
          <w:rStyle w:val="eop"/>
          <w:rFonts w:eastAsiaTheme="minorEastAsia"/>
          <w:noProof/>
        </w:rPr>
        <w:t>and</w:t>
      </w:r>
      <w:r w:rsidR="00F7300A" w:rsidRPr="00516125">
        <w:rPr>
          <w:rStyle w:val="eop"/>
          <w:rFonts w:eastAsiaTheme="minorEastAsia"/>
          <w:noProof/>
        </w:rPr>
        <w:t xml:space="preserve"> </w:t>
      </w:r>
      <w:r w:rsidRPr="7482D136">
        <w:rPr>
          <w:rStyle w:val="eop"/>
          <w:rFonts w:eastAsiaTheme="minorEastAsia"/>
          <w:noProof/>
        </w:rPr>
        <w:t>even drone management</w:t>
      </w:r>
      <w:r w:rsidRPr="00516125">
        <w:rPr>
          <w:rStyle w:val="eop"/>
          <w:rFonts w:eastAsiaTheme="minorEastAsia"/>
          <w:noProof/>
        </w:rPr>
        <w:t>)</w:t>
      </w:r>
      <w:r w:rsidR="001018BB">
        <w:rPr>
          <w:rStyle w:val="eop"/>
          <w:rFonts w:eastAsiaTheme="minorEastAsia"/>
          <w:noProof/>
        </w:rPr>
        <w:t>;</w:t>
      </w:r>
      <w:r w:rsidRPr="7482D136">
        <w:rPr>
          <w:rStyle w:val="eop"/>
          <w:rFonts w:eastAsiaTheme="minorEastAsia"/>
          <w:noProof/>
        </w:rPr>
        <w:t xml:space="preserve"> and </w:t>
      </w:r>
      <w:r w:rsidR="0039665B">
        <w:rPr>
          <w:rStyle w:val="eop"/>
          <w:rFonts w:eastAsiaTheme="minorEastAsia"/>
          <w:noProof/>
        </w:rPr>
        <w:t xml:space="preserve">(v) </w:t>
      </w:r>
      <w:r w:rsidRPr="7482D136">
        <w:rPr>
          <w:rStyle w:val="eop"/>
          <w:rFonts w:eastAsiaTheme="minorEastAsia"/>
          <w:noProof/>
        </w:rPr>
        <w:t>integration in the mobile ecosystem.</w:t>
      </w:r>
      <w:r w:rsidRPr="7482D136">
        <w:rPr>
          <w:rStyle w:val="normaltextrun"/>
          <w:rFonts w:eastAsiaTheme="minorEastAsia"/>
          <w:noProof/>
        </w:rPr>
        <w:t xml:space="preserve"> </w:t>
      </w:r>
      <w:r w:rsidRPr="7482D136">
        <w:rPr>
          <w:rStyle w:val="eop"/>
          <w:rFonts w:eastAsiaTheme="minorEastAsia"/>
          <w:noProof/>
        </w:rPr>
        <w:t>Several broadcasters also suggest that 5G Broadcast could enable new, dynamic use cases alongside traditional broadcasting</w:t>
      </w:r>
      <w:r w:rsidRPr="7482D136">
        <w:rPr>
          <w:rStyle w:val="FootnoteReference"/>
          <w:rFonts w:eastAsiaTheme="minorEastAsia"/>
          <w:noProof/>
        </w:rPr>
        <w:footnoteReference w:id="33"/>
      </w:r>
      <w:r w:rsidRPr="7482D136">
        <w:rPr>
          <w:rStyle w:val="eop"/>
          <w:rFonts w:eastAsiaTheme="minorEastAsia"/>
          <w:noProof/>
        </w:rPr>
        <w:t>.</w:t>
      </w:r>
    </w:p>
    <w:p w14:paraId="117F03CD" w14:textId="229BE567" w:rsidR="00BF60DB" w:rsidRDefault="00BF60DB" w:rsidP="00BF60DB">
      <w:pPr>
        <w:pStyle w:val="paragraph"/>
        <w:spacing w:before="0" w:beforeAutospacing="0" w:after="240" w:afterAutospacing="0"/>
        <w:jc w:val="both"/>
        <w:rPr>
          <w:rStyle w:val="eop"/>
          <w:rFonts w:eastAsiaTheme="minorEastAsia"/>
          <w:noProof/>
        </w:rPr>
      </w:pPr>
      <w:r w:rsidRPr="38454EEC">
        <w:rPr>
          <w:rStyle w:val="eop"/>
          <w:rFonts w:eastAsiaTheme="minorEastAsia"/>
          <w:noProof/>
        </w:rPr>
        <w:t xml:space="preserve">Various trials </w:t>
      </w:r>
      <w:r w:rsidR="00BE2E0E">
        <w:rPr>
          <w:rStyle w:val="eop"/>
          <w:rFonts w:eastAsiaTheme="minorEastAsia"/>
          <w:noProof/>
        </w:rPr>
        <w:t>were</w:t>
      </w:r>
      <w:r w:rsidRPr="38454EEC">
        <w:rPr>
          <w:rStyle w:val="eop"/>
          <w:rFonts w:eastAsiaTheme="minorEastAsia"/>
          <w:noProof/>
        </w:rPr>
        <w:t xml:space="preserve"> conducted across a number of Member States between 2017 and 2025 (24 trials in 18 countries across Europe). According to the BNE’s innovation roadmap for the sub-700</w:t>
      </w:r>
      <w:r w:rsidR="003B563B">
        <w:rPr>
          <w:rStyle w:val="eop"/>
          <w:rFonts w:eastAsiaTheme="minorEastAsia"/>
          <w:noProof/>
        </w:rPr>
        <w:t> </w:t>
      </w:r>
      <w:r w:rsidRPr="38454EEC">
        <w:rPr>
          <w:rStyle w:val="eop"/>
          <w:rFonts w:eastAsiaTheme="minorEastAsia"/>
          <w:noProof/>
        </w:rPr>
        <w:t>MHz band</w:t>
      </w:r>
      <w:r w:rsidRPr="38454EEC">
        <w:rPr>
          <w:rStyle w:val="FootnoteReference"/>
          <w:rFonts w:eastAsiaTheme="minorEastAsia"/>
          <w:noProof/>
        </w:rPr>
        <w:footnoteReference w:id="34"/>
      </w:r>
      <w:r w:rsidRPr="38454EEC">
        <w:rPr>
          <w:rStyle w:val="eop"/>
          <w:rFonts w:eastAsiaTheme="minorEastAsia"/>
          <w:noProof/>
        </w:rPr>
        <w:t>,</w:t>
      </w:r>
      <w:r w:rsidR="00516125" w:rsidRPr="00516125">
        <w:rPr>
          <w:rStyle w:val="eop"/>
          <w:rFonts w:eastAsiaTheme="minorEastAsia"/>
          <w:noProof/>
        </w:rPr>
        <w:t xml:space="preserve"> </w:t>
      </w:r>
      <w:r w:rsidRPr="00516125">
        <w:rPr>
          <w:rStyle w:val="eop"/>
          <w:rFonts w:eastAsiaTheme="minorEastAsia"/>
          <w:noProof/>
        </w:rPr>
        <w:t>support</w:t>
      </w:r>
      <w:r w:rsidR="0039665B">
        <w:rPr>
          <w:rStyle w:val="eop"/>
          <w:rFonts w:eastAsiaTheme="minorEastAsia"/>
          <w:noProof/>
        </w:rPr>
        <w:t>ing</w:t>
      </w:r>
      <w:r w:rsidRPr="38454EEC">
        <w:rPr>
          <w:rStyle w:val="eop"/>
          <w:rFonts w:eastAsiaTheme="minorEastAsia"/>
          <w:noProof/>
        </w:rPr>
        <w:t xml:space="preserve"> innovation in this band would </w:t>
      </w:r>
      <w:r w:rsidR="0039665B">
        <w:rPr>
          <w:rStyle w:val="eop"/>
          <w:rFonts w:eastAsiaTheme="minorEastAsia"/>
          <w:noProof/>
        </w:rPr>
        <w:t>require making</w:t>
      </w:r>
      <w:r w:rsidRPr="38454EEC">
        <w:rPr>
          <w:rStyle w:val="eop"/>
          <w:rFonts w:eastAsiaTheme="minorEastAsia"/>
          <w:noProof/>
        </w:rPr>
        <w:t xml:space="preserve"> 5G chipsets with 5G Broadcast capability mandatory in mobile devices </w:t>
      </w:r>
      <w:r w:rsidR="0039665B">
        <w:rPr>
          <w:rStyle w:val="eop"/>
          <w:rFonts w:eastAsiaTheme="minorEastAsia"/>
          <w:noProof/>
        </w:rPr>
        <w:t>and</w:t>
      </w:r>
      <w:r w:rsidRPr="38454EEC">
        <w:rPr>
          <w:rStyle w:val="eop"/>
          <w:rFonts w:eastAsiaTheme="minorEastAsia"/>
          <w:noProof/>
        </w:rPr>
        <w:t xml:space="preserve"> vehicles.</w:t>
      </w:r>
    </w:p>
    <w:p w14:paraId="50C18904" w14:textId="313B6136" w:rsidR="00BF60DB" w:rsidRDefault="00BF60DB" w:rsidP="00BF60DB">
      <w:pPr>
        <w:pStyle w:val="paragraph"/>
        <w:spacing w:before="0" w:beforeAutospacing="0" w:after="240" w:afterAutospacing="0"/>
        <w:jc w:val="both"/>
        <w:rPr>
          <w:rStyle w:val="eop"/>
          <w:rFonts w:eastAsiaTheme="minorEastAsia"/>
          <w:noProof/>
        </w:rPr>
      </w:pPr>
      <w:r w:rsidRPr="4DA08389">
        <w:rPr>
          <w:rStyle w:val="eop"/>
          <w:rFonts w:eastAsiaTheme="minorEastAsia"/>
          <w:noProof/>
        </w:rPr>
        <w:t>According to the TDF report on the deployment of 5G Broadcast television in France</w:t>
      </w:r>
      <w:r w:rsidRPr="4DA08389">
        <w:rPr>
          <w:rStyle w:val="FootnoteReference"/>
          <w:rFonts w:eastAsiaTheme="minorEastAsia"/>
          <w:noProof/>
        </w:rPr>
        <w:footnoteReference w:id="35"/>
      </w:r>
      <w:r w:rsidRPr="4DA08389">
        <w:rPr>
          <w:rStyle w:val="eop"/>
          <w:rFonts w:eastAsiaTheme="minorEastAsia"/>
          <w:noProof/>
        </w:rPr>
        <w:t xml:space="preserve">, a series of </w:t>
      </w:r>
      <w:r w:rsidR="00EF4606">
        <w:rPr>
          <w:rStyle w:val="eop"/>
          <w:rFonts w:eastAsiaTheme="minorEastAsia"/>
          <w:noProof/>
        </w:rPr>
        <w:t>measures</w:t>
      </w:r>
      <w:r w:rsidR="00EF4606" w:rsidRPr="00516125">
        <w:rPr>
          <w:rStyle w:val="eop"/>
          <w:rFonts w:eastAsiaTheme="minorEastAsia"/>
          <w:noProof/>
        </w:rPr>
        <w:t xml:space="preserve"> </w:t>
      </w:r>
      <w:r w:rsidR="00EF4606">
        <w:rPr>
          <w:rStyle w:val="eop"/>
          <w:rFonts w:eastAsiaTheme="minorEastAsia"/>
          <w:noProof/>
        </w:rPr>
        <w:t>have</w:t>
      </w:r>
      <w:r w:rsidRPr="4DA08389">
        <w:rPr>
          <w:rStyle w:val="eop"/>
          <w:rFonts w:eastAsiaTheme="minorEastAsia"/>
          <w:noProof/>
        </w:rPr>
        <w:t xml:space="preserve"> been taken to support the deployment of the technology</w:t>
      </w:r>
      <w:r w:rsidR="008449B4">
        <w:rPr>
          <w:rStyle w:val="eop"/>
          <w:rFonts w:eastAsiaTheme="minorEastAsia"/>
          <w:noProof/>
        </w:rPr>
        <w:t xml:space="preserve"> </w:t>
      </w:r>
      <w:r w:rsidR="008449B4" w:rsidRPr="008449B4">
        <w:rPr>
          <w:rStyle w:val="eop"/>
          <w:rFonts w:eastAsiaTheme="minorEastAsia"/>
          <w:noProof/>
        </w:rPr>
        <w:t>since the beginning of 2024</w:t>
      </w:r>
      <w:r w:rsidRPr="00516125">
        <w:rPr>
          <w:rStyle w:val="eop"/>
          <w:rFonts w:eastAsiaTheme="minorEastAsia"/>
          <w:noProof/>
        </w:rPr>
        <w:t>.</w:t>
      </w:r>
      <w:r w:rsidRPr="4DA08389">
        <w:rPr>
          <w:rStyle w:val="eop"/>
          <w:rFonts w:eastAsiaTheme="minorEastAsia"/>
          <w:noProof/>
        </w:rPr>
        <w:t xml:space="preserve"> In particular, broadcast operators from several European countries</w:t>
      </w:r>
      <w:r w:rsidRPr="4DA08389">
        <w:rPr>
          <w:rStyle w:val="FootnoteReference"/>
          <w:rFonts w:eastAsiaTheme="minorEastAsia"/>
          <w:noProof/>
        </w:rPr>
        <w:footnoteReference w:id="36"/>
      </w:r>
      <w:r w:rsidRPr="4DA08389">
        <w:rPr>
          <w:rStyle w:val="eop"/>
          <w:rFonts w:eastAsiaTheme="minorEastAsia"/>
          <w:noProof/>
        </w:rPr>
        <w:t xml:space="preserve"> have been cooperating within the 5G Broadcast Strategic Task Force (5BSTF) to align their approaches. The 5BSTF has outlined a possible application scenario involving a white-label mobile application</w:t>
      </w:r>
      <w:r w:rsidRPr="4DA08389">
        <w:rPr>
          <w:rStyle w:val="FootnoteReference"/>
          <w:rFonts w:eastAsiaTheme="minorEastAsia"/>
          <w:noProof/>
        </w:rPr>
        <w:footnoteReference w:id="37"/>
      </w:r>
      <w:r w:rsidRPr="4DA08389">
        <w:rPr>
          <w:rStyle w:val="eop"/>
          <w:rFonts w:eastAsiaTheme="minorEastAsia"/>
          <w:noProof/>
        </w:rPr>
        <w:t xml:space="preserve"> that would allow users to access broadcast content directly on their devices. From a technical perspective, the 600</w:t>
      </w:r>
      <w:r w:rsidR="003B563B">
        <w:rPr>
          <w:rStyle w:val="eop"/>
          <w:rFonts w:eastAsiaTheme="minorEastAsia"/>
          <w:noProof/>
        </w:rPr>
        <w:t> </w:t>
      </w:r>
      <w:r w:rsidRPr="4DA08389">
        <w:rPr>
          <w:rStyle w:val="eop"/>
          <w:rFonts w:eastAsiaTheme="minorEastAsia"/>
          <w:noProof/>
        </w:rPr>
        <w:t>MHz band is considered the core band for 5G Broadcast deployment in Europe. By contrast, the use of frequencies below the 600</w:t>
      </w:r>
      <w:r w:rsidR="003B563B">
        <w:rPr>
          <w:rStyle w:val="eop"/>
          <w:rFonts w:eastAsiaTheme="minorEastAsia"/>
          <w:noProof/>
        </w:rPr>
        <w:t> </w:t>
      </w:r>
      <w:r w:rsidRPr="4DA08389">
        <w:rPr>
          <w:rStyle w:val="eop"/>
          <w:rFonts w:eastAsiaTheme="minorEastAsia"/>
          <w:noProof/>
        </w:rPr>
        <w:t xml:space="preserve">MHz band would </w:t>
      </w:r>
      <w:r w:rsidR="00BE2E0E">
        <w:rPr>
          <w:rStyle w:val="eop"/>
          <w:rFonts w:eastAsiaTheme="minorEastAsia"/>
          <w:noProof/>
        </w:rPr>
        <w:t>require</w:t>
      </w:r>
      <w:r w:rsidR="00BE2E0E" w:rsidRPr="00516125">
        <w:rPr>
          <w:rStyle w:val="eop"/>
          <w:rFonts w:eastAsiaTheme="minorEastAsia"/>
          <w:noProof/>
        </w:rPr>
        <w:t xml:space="preserve"> </w:t>
      </w:r>
      <w:r w:rsidRPr="4DA08389">
        <w:rPr>
          <w:rStyle w:val="eop"/>
          <w:rFonts w:eastAsiaTheme="minorEastAsia"/>
          <w:noProof/>
        </w:rPr>
        <w:t>significant hardware changes in mobile devices.</w:t>
      </w:r>
    </w:p>
    <w:p w14:paraId="2BB24B7A" w14:textId="77777777" w:rsidR="00BF60DB" w:rsidRDefault="00BF60DB" w:rsidP="00BF60DB">
      <w:pPr>
        <w:pStyle w:val="paragraph"/>
        <w:spacing w:before="0" w:beforeAutospacing="0" w:after="240" w:afterAutospacing="0"/>
        <w:jc w:val="both"/>
        <w:rPr>
          <w:rStyle w:val="eop"/>
          <w:rFonts w:eastAsiaTheme="minorEastAsia"/>
          <w:noProof/>
        </w:rPr>
      </w:pPr>
      <w:r w:rsidRPr="38454EEC">
        <w:rPr>
          <w:rStyle w:val="eop"/>
          <w:rFonts w:eastAsiaTheme="minorEastAsia"/>
          <w:noProof/>
        </w:rPr>
        <w:t>In parallel, chipset and terminal manufacturers have cooperated with broadcast operators to ensure full compatibility of new terminals and to enable a potential launch as early as 2028. In addition, an experiment conducted during the 2024 Olympic and Paralympic Games enabled large-scale, end-to-end technical validation of the technology on commercial terminals, supported by dedicated software.</w:t>
      </w:r>
    </w:p>
    <w:p w14:paraId="720645CF" w14:textId="5BE8FBFA" w:rsidR="00BF60DB" w:rsidRDefault="00BF60DB" w:rsidP="00BF60DB">
      <w:pPr>
        <w:pStyle w:val="paragraph"/>
        <w:spacing w:before="0" w:beforeAutospacing="0" w:after="240" w:afterAutospacing="0"/>
        <w:jc w:val="both"/>
        <w:rPr>
          <w:rStyle w:val="eop"/>
          <w:rFonts w:eastAsiaTheme="minorEastAsia"/>
          <w:noProof/>
        </w:rPr>
      </w:pPr>
      <w:r w:rsidRPr="7482D136">
        <w:rPr>
          <w:rStyle w:val="eop"/>
          <w:rFonts w:eastAsiaTheme="minorEastAsia"/>
          <w:noProof/>
        </w:rPr>
        <w:t xml:space="preserve">The RSPG Report also confirms that most Member States have been exploring and trialling 5G Broadcast. However, deployment </w:t>
      </w:r>
      <w:r w:rsidR="00F5610D">
        <w:rPr>
          <w:rStyle w:val="eop"/>
          <w:rFonts w:eastAsiaTheme="minorEastAsia"/>
          <w:noProof/>
        </w:rPr>
        <w:t>is still</w:t>
      </w:r>
      <w:r w:rsidR="00F5610D" w:rsidRPr="00516125">
        <w:rPr>
          <w:rStyle w:val="eop"/>
          <w:rFonts w:eastAsiaTheme="minorEastAsia"/>
          <w:noProof/>
        </w:rPr>
        <w:t xml:space="preserve"> </w:t>
      </w:r>
      <w:r w:rsidRPr="7482D136">
        <w:rPr>
          <w:rStyle w:val="eop"/>
          <w:rFonts w:eastAsiaTheme="minorEastAsia"/>
          <w:noProof/>
        </w:rPr>
        <w:t xml:space="preserve">hindered by device compatibility, investment costs and untested business models. Broadcasting stakeholders remain cautious about the return on investment required for rolling out 5G Broadcast infrastructure, despite some optimism </w:t>
      </w:r>
      <w:r w:rsidR="00E415B7">
        <w:rPr>
          <w:rStyle w:val="eop"/>
          <w:rFonts w:eastAsiaTheme="minorEastAsia"/>
          <w:noProof/>
        </w:rPr>
        <w:t>about</w:t>
      </w:r>
      <w:r w:rsidR="00E415B7" w:rsidRPr="00516125">
        <w:rPr>
          <w:rStyle w:val="eop"/>
          <w:rFonts w:eastAsiaTheme="minorEastAsia"/>
          <w:noProof/>
        </w:rPr>
        <w:t xml:space="preserve"> </w:t>
      </w:r>
      <w:r w:rsidRPr="7482D136">
        <w:rPr>
          <w:rStyle w:val="eop"/>
          <w:rFonts w:eastAsiaTheme="minorEastAsia"/>
          <w:noProof/>
        </w:rPr>
        <w:t xml:space="preserve">its long-term potential. </w:t>
      </w:r>
      <w:r w:rsidR="00CB18FB">
        <w:rPr>
          <w:rStyle w:val="eop"/>
          <w:rFonts w:eastAsiaTheme="minorEastAsia"/>
          <w:noProof/>
        </w:rPr>
        <w:t>B</w:t>
      </w:r>
      <w:r w:rsidRPr="00516125">
        <w:rPr>
          <w:rStyle w:val="eop"/>
          <w:rFonts w:eastAsiaTheme="minorEastAsia"/>
          <w:noProof/>
        </w:rPr>
        <w:t>y</w:t>
      </w:r>
      <w:r w:rsidRPr="7482D136">
        <w:rPr>
          <w:rStyle w:val="eop"/>
          <w:rFonts w:eastAsiaTheme="minorEastAsia"/>
          <w:noProof/>
        </w:rPr>
        <w:t xml:space="preserve"> contrast, </w:t>
      </w:r>
      <w:r w:rsidR="00CB18FB">
        <w:rPr>
          <w:rStyle w:val="eop"/>
          <w:rFonts w:eastAsiaTheme="minorEastAsia"/>
          <w:noProof/>
        </w:rPr>
        <w:t xml:space="preserve">they </w:t>
      </w:r>
      <w:r w:rsidRPr="7482D136">
        <w:rPr>
          <w:rStyle w:val="eop"/>
          <w:rFonts w:eastAsiaTheme="minorEastAsia"/>
          <w:noProof/>
        </w:rPr>
        <w:t>are nearly unanimous in their doubts about the economic viability of 5G Broadcast. Many argue that if the technology has to be deployed via a low-power low-tower (LPLT) network architecture, the associated increase in deployment costs would make it even less feasible.</w:t>
      </w:r>
    </w:p>
    <w:p w14:paraId="75B102C4" w14:textId="77777777" w:rsidR="00BF60DB" w:rsidRPr="006044C2" w:rsidRDefault="00BF60DB" w:rsidP="00BF60DB">
      <w:pPr>
        <w:pStyle w:val="paragraph"/>
        <w:spacing w:before="0" w:beforeAutospacing="0" w:after="240" w:afterAutospacing="0"/>
        <w:rPr>
          <w:rStyle w:val="normaltextrun"/>
          <w:b/>
          <w:bCs/>
          <w:noProof/>
        </w:rPr>
      </w:pPr>
      <w:r w:rsidRPr="7482D136">
        <w:rPr>
          <w:rStyle w:val="normaltextrun"/>
          <w:b/>
          <w:bCs/>
          <w:noProof/>
        </w:rPr>
        <w:t>PMSE</w:t>
      </w:r>
    </w:p>
    <w:p w14:paraId="22C4210D" w14:textId="42C0E175" w:rsidR="00BF60DB" w:rsidRDefault="7E270F48" w:rsidP="463B461D">
      <w:pPr>
        <w:pStyle w:val="paragraph"/>
        <w:spacing w:before="0" w:beforeAutospacing="0" w:after="240" w:afterAutospacing="0"/>
        <w:jc w:val="both"/>
        <w:rPr>
          <w:rStyle w:val="eop"/>
          <w:rFonts w:eastAsiaTheme="minorEastAsia"/>
          <w:noProof/>
        </w:rPr>
      </w:pPr>
      <w:r w:rsidRPr="463B461D">
        <w:rPr>
          <w:rStyle w:val="eop"/>
          <w:rFonts w:eastAsiaTheme="minorEastAsia"/>
          <w:noProof/>
        </w:rPr>
        <w:t>PMSE equipment requires high audio quality and low latency during live performances. High latency or latency jitter can cause serious performance issues</w:t>
      </w:r>
      <w:r w:rsidR="00BF60DB" w:rsidRPr="463B461D">
        <w:rPr>
          <w:rStyle w:val="FootnoteReference"/>
          <w:rFonts w:eastAsiaTheme="minorEastAsia"/>
          <w:noProof/>
        </w:rPr>
        <w:footnoteReference w:id="38"/>
      </w:r>
      <w:r w:rsidRPr="463B461D">
        <w:rPr>
          <w:rStyle w:val="eop"/>
          <w:rFonts w:eastAsiaTheme="minorEastAsia"/>
          <w:noProof/>
        </w:rPr>
        <w:t>.</w:t>
      </w:r>
      <w:r w:rsidR="61B57DD0" w:rsidRPr="463B461D">
        <w:rPr>
          <w:rStyle w:val="eop"/>
          <w:rFonts w:eastAsiaTheme="minorEastAsia"/>
          <w:noProof/>
        </w:rPr>
        <w:t xml:space="preserve"> </w:t>
      </w:r>
      <w:r w:rsidRPr="463B461D">
        <w:rPr>
          <w:rStyle w:val="eop"/>
          <w:rFonts w:eastAsiaTheme="minorEastAsia"/>
          <w:noProof/>
        </w:rPr>
        <w:t>Recent developments in PMSE technology aim to improve spectral efficiency or to explore new frequency bands and technologies. While digital systems demonstrate higher latency than analogue systems, advances in digital technology have reduced latency to around 2</w:t>
      </w:r>
      <w:r w:rsidR="61B57DD0" w:rsidRPr="463B461D">
        <w:rPr>
          <w:rStyle w:val="eop"/>
          <w:rFonts w:eastAsiaTheme="minorEastAsia"/>
          <w:noProof/>
        </w:rPr>
        <w:t>-</w:t>
      </w:r>
      <w:r w:rsidRPr="463B461D">
        <w:rPr>
          <w:rStyle w:val="eop"/>
          <w:rFonts w:eastAsiaTheme="minorEastAsia"/>
          <w:noProof/>
        </w:rPr>
        <w:t>3</w:t>
      </w:r>
      <w:r w:rsidR="34CD1EBA" w:rsidRPr="463B461D">
        <w:rPr>
          <w:rStyle w:val="eop"/>
          <w:rFonts w:eastAsiaTheme="minorEastAsia"/>
          <w:noProof/>
        </w:rPr>
        <w:t> </w:t>
      </w:r>
      <w:r w:rsidR="7B6FD434" w:rsidRPr="463B461D">
        <w:rPr>
          <w:noProof/>
        </w:rPr>
        <w:t>milliseconds (</w:t>
      </w:r>
      <w:r w:rsidRPr="463B461D">
        <w:rPr>
          <w:rStyle w:val="eop"/>
          <w:rFonts w:eastAsiaTheme="minorEastAsia"/>
          <w:noProof/>
        </w:rPr>
        <w:t>ms</w:t>
      </w:r>
      <w:r w:rsidR="5EC53370" w:rsidRPr="463B461D">
        <w:rPr>
          <w:rStyle w:val="eop"/>
          <w:rFonts w:eastAsiaTheme="minorEastAsia"/>
          <w:noProof/>
        </w:rPr>
        <w:t>)</w:t>
      </w:r>
      <w:r w:rsidRPr="463B461D">
        <w:rPr>
          <w:rStyle w:val="eop"/>
          <w:rFonts w:eastAsiaTheme="minorEastAsia"/>
          <w:noProof/>
        </w:rPr>
        <w:t>, although this may still be too high for in-ear monitors.</w:t>
      </w:r>
    </w:p>
    <w:p w14:paraId="5934AF56" w14:textId="77777777" w:rsidR="00BF60DB" w:rsidRPr="00C144CC" w:rsidRDefault="00BF60DB" w:rsidP="00BF60DB">
      <w:pPr>
        <w:pStyle w:val="paragraph"/>
        <w:spacing w:before="0" w:beforeAutospacing="0" w:after="240" w:afterAutospacing="0"/>
        <w:jc w:val="both"/>
        <w:rPr>
          <w:rStyle w:val="eop"/>
          <w:rFonts w:eastAsiaTheme="minorEastAsia"/>
          <w:noProof/>
        </w:rPr>
      </w:pPr>
      <w:r w:rsidRPr="7482D136">
        <w:rPr>
          <w:rStyle w:val="eop"/>
          <w:rFonts w:eastAsiaTheme="minorEastAsia"/>
          <w:noProof/>
        </w:rPr>
        <w:t>Cognitive PMSE (C-PMSE) uses databases of locally available frequencies to manage dense spectrum environments, but it does not significantly increase efficiency. The system relies on a database and listen-before-talk mechanisms to identify available spectrum channels and avoid interference, enabling more automated PMSE planning and greater operational flexibility during events.</w:t>
      </w:r>
    </w:p>
    <w:p w14:paraId="5537583F" w14:textId="5B37058A" w:rsidR="00BF60DB" w:rsidRPr="00C144CC" w:rsidRDefault="00BF60DB" w:rsidP="00BF60DB">
      <w:pPr>
        <w:pStyle w:val="paragraph"/>
        <w:spacing w:before="0" w:beforeAutospacing="0" w:after="240" w:afterAutospacing="0"/>
        <w:jc w:val="both"/>
        <w:rPr>
          <w:rStyle w:val="eop"/>
          <w:rFonts w:eastAsiaTheme="minorEastAsia"/>
          <w:noProof/>
        </w:rPr>
      </w:pPr>
      <w:r w:rsidRPr="0A560E40">
        <w:rPr>
          <w:rStyle w:val="eop"/>
          <w:rFonts w:eastAsiaTheme="minorEastAsia"/>
          <w:noProof/>
        </w:rPr>
        <w:t xml:space="preserve">5G is a promising enabling technology also for some PMSE applications, with early trials showing that certain network configurations may </w:t>
      </w:r>
      <w:r w:rsidR="00FF1D4E">
        <w:rPr>
          <w:rStyle w:val="eop"/>
          <w:rFonts w:eastAsiaTheme="minorEastAsia"/>
          <w:noProof/>
        </w:rPr>
        <w:t>be close to meeting</w:t>
      </w:r>
      <w:r w:rsidR="00FF1D4E" w:rsidRPr="00516125">
        <w:rPr>
          <w:rStyle w:val="eop"/>
          <w:rFonts w:eastAsiaTheme="minorEastAsia"/>
          <w:noProof/>
        </w:rPr>
        <w:t xml:space="preserve"> </w:t>
      </w:r>
      <w:r w:rsidRPr="0A560E40">
        <w:rPr>
          <w:rStyle w:val="eop"/>
          <w:rFonts w:eastAsiaTheme="minorEastAsia"/>
          <w:noProof/>
        </w:rPr>
        <w:t>the requirements for some of the most demanding PMSE use cases. However, even if further development is possible to meet latency and reliability requirements, there are additional issues such as ensuring ease of access to 5G networks (</w:t>
      </w:r>
      <w:r w:rsidR="00516125">
        <w:rPr>
          <w:rStyle w:val="eop"/>
          <w:rFonts w:eastAsiaTheme="minorEastAsia"/>
          <w:noProof/>
        </w:rPr>
        <w:t>e.g.</w:t>
      </w:r>
      <w:r w:rsidRPr="0A560E40">
        <w:rPr>
          <w:rStyle w:val="eop"/>
          <w:rFonts w:eastAsiaTheme="minorEastAsia"/>
          <w:noProof/>
        </w:rPr>
        <w:t xml:space="preserve"> slices) and dedicated spectrum for PMSE users. Moreover, PMSE professionals argue that technologies such as those developed by 3GPP or cognitive PMSE fall short in real-world production environments</w:t>
      </w:r>
      <w:r w:rsidRPr="0A560E40">
        <w:rPr>
          <w:rStyle w:val="FootnoteReference"/>
          <w:rFonts w:eastAsiaTheme="minorEastAsia"/>
          <w:noProof/>
        </w:rPr>
        <w:footnoteReference w:id="39"/>
      </w:r>
      <w:r w:rsidRPr="0A560E40">
        <w:rPr>
          <w:rStyle w:val="eop"/>
          <w:rFonts w:eastAsiaTheme="minorEastAsia"/>
          <w:noProof/>
        </w:rPr>
        <w:t>.</w:t>
      </w:r>
    </w:p>
    <w:p w14:paraId="47415934" w14:textId="1813AD90" w:rsidR="00BF60DB" w:rsidRDefault="7E270F48" w:rsidP="463B461D">
      <w:pPr>
        <w:pStyle w:val="paragraph"/>
        <w:spacing w:before="0" w:beforeAutospacing="0" w:after="240" w:afterAutospacing="0"/>
        <w:jc w:val="both"/>
        <w:rPr>
          <w:rStyle w:val="eop"/>
          <w:rFonts w:eastAsiaTheme="minorEastAsia"/>
          <w:noProof/>
        </w:rPr>
      </w:pPr>
      <w:r w:rsidRPr="463B461D">
        <w:rPr>
          <w:rStyle w:val="eop"/>
          <w:rFonts w:eastAsiaTheme="minorEastAsia"/>
          <w:noProof/>
        </w:rPr>
        <w:t xml:space="preserve">Existing </w:t>
      </w:r>
      <w:r w:rsidR="7C364AF6" w:rsidRPr="463B461D">
        <w:rPr>
          <w:rStyle w:val="eop"/>
          <w:rFonts w:eastAsiaTheme="minorEastAsia"/>
          <w:noProof/>
        </w:rPr>
        <w:t xml:space="preserve">(analogue and digital) </w:t>
      </w:r>
      <w:r w:rsidRPr="463B461D">
        <w:rPr>
          <w:rStyle w:val="eop"/>
          <w:rFonts w:eastAsiaTheme="minorEastAsia"/>
          <w:noProof/>
        </w:rPr>
        <w:t>PMSE systems are narrowband (</w:t>
      </w:r>
      <w:r w:rsidR="6760C73A" w:rsidRPr="463B461D">
        <w:rPr>
          <w:rStyle w:val="eop"/>
          <w:rFonts w:eastAsiaTheme="minorEastAsia"/>
          <w:noProof/>
        </w:rPr>
        <w:t>~</w:t>
      </w:r>
      <w:r w:rsidRPr="463B461D">
        <w:rPr>
          <w:rStyle w:val="eop"/>
          <w:rFonts w:eastAsiaTheme="minorEastAsia"/>
          <w:noProof/>
        </w:rPr>
        <w:t>200</w:t>
      </w:r>
      <w:r w:rsidR="34CD1EBA" w:rsidRPr="463B461D">
        <w:rPr>
          <w:rStyle w:val="eop"/>
          <w:rFonts w:eastAsiaTheme="minorEastAsia"/>
          <w:noProof/>
        </w:rPr>
        <w:t> </w:t>
      </w:r>
      <w:r w:rsidRPr="463B461D">
        <w:rPr>
          <w:rStyle w:val="eop"/>
          <w:rFonts w:eastAsiaTheme="minorEastAsia"/>
          <w:noProof/>
        </w:rPr>
        <w:t xml:space="preserve">kHz), with different users occupying separate frequencies. The newer </w:t>
      </w:r>
      <w:r w:rsidR="00BF60DB" w:rsidRPr="463B461D">
        <w:rPr>
          <w:rStyle w:val="eop"/>
          <w:rFonts w:eastAsiaTheme="minorEastAsia"/>
          <w:noProof/>
        </w:rPr>
        <w:t>Wireless Multichannel Audio S</w:t>
      </w:r>
      <w:r w:rsidRPr="463B461D">
        <w:rPr>
          <w:rStyle w:val="eop"/>
          <w:rFonts w:eastAsiaTheme="minorEastAsia"/>
          <w:noProof/>
        </w:rPr>
        <w:t>ystem (WMAS) uses wideband channels (up to 20</w:t>
      </w:r>
      <w:r w:rsidR="00BF60DB" w:rsidRPr="463B461D">
        <w:rPr>
          <w:rStyle w:val="eop"/>
          <w:rFonts w:eastAsiaTheme="minorEastAsia"/>
          <w:noProof/>
        </w:rPr>
        <w:t xml:space="preserve"> </w:t>
      </w:r>
      <w:r w:rsidRPr="463B461D">
        <w:rPr>
          <w:rStyle w:val="eop"/>
          <w:rFonts w:eastAsiaTheme="minorEastAsia"/>
          <w:noProof/>
        </w:rPr>
        <w:t>MHz) shared among users. WMAS is expected to</w:t>
      </w:r>
      <w:r w:rsidR="7C364AF6" w:rsidRPr="463B461D">
        <w:rPr>
          <w:rStyle w:val="eop"/>
          <w:rFonts w:eastAsiaTheme="minorEastAsia"/>
          <w:noProof/>
        </w:rPr>
        <w:t xml:space="preserve">be </w:t>
      </w:r>
      <w:r w:rsidRPr="463B461D">
        <w:rPr>
          <w:rStyle w:val="eop"/>
          <w:rFonts w:eastAsiaTheme="minorEastAsia"/>
          <w:noProof/>
        </w:rPr>
        <w:t xml:space="preserve">approximately 50% </w:t>
      </w:r>
      <w:r w:rsidR="7C364AF6" w:rsidRPr="463B461D">
        <w:rPr>
          <w:rStyle w:val="eop"/>
          <w:rFonts w:eastAsiaTheme="minorEastAsia"/>
          <w:noProof/>
        </w:rPr>
        <w:t xml:space="preserve">more efficient </w:t>
      </w:r>
      <w:r w:rsidRPr="463B461D">
        <w:rPr>
          <w:rStyle w:val="eop"/>
          <w:rFonts w:eastAsiaTheme="minorEastAsia"/>
          <w:noProof/>
        </w:rPr>
        <w:t>than traditional narrowband systems (ETSI, 2017</w:t>
      </w:r>
      <w:r w:rsidR="61B57DD0" w:rsidRPr="463B461D">
        <w:rPr>
          <w:rStyle w:val="eop"/>
          <w:rFonts w:eastAsiaTheme="minorEastAsia"/>
          <w:noProof/>
        </w:rPr>
        <w:t>)</w:t>
      </w:r>
      <w:r w:rsidR="00BF60DB" w:rsidRPr="463B461D">
        <w:rPr>
          <w:rStyle w:val="FootnoteReference"/>
          <w:rFonts w:eastAsiaTheme="minorEastAsia"/>
          <w:noProof/>
        </w:rPr>
        <w:footnoteReference w:id="40"/>
      </w:r>
      <w:r w:rsidRPr="463B461D">
        <w:rPr>
          <w:rStyle w:val="eop"/>
          <w:rFonts w:eastAsiaTheme="minorEastAsia"/>
          <w:noProof/>
        </w:rPr>
        <w:t>. The innovation demonstrated by WMAS shows promise</w:t>
      </w:r>
      <w:r w:rsidR="4168F747" w:rsidRPr="463B461D">
        <w:rPr>
          <w:rStyle w:val="eop"/>
          <w:rFonts w:eastAsiaTheme="minorEastAsia"/>
          <w:noProof/>
        </w:rPr>
        <w:t>. H</w:t>
      </w:r>
      <w:r w:rsidRPr="463B461D">
        <w:rPr>
          <w:rStyle w:val="eop"/>
          <w:rFonts w:eastAsiaTheme="minorEastAsia"/>
          <w:noProof/>
        </w:rPr>
        <w:t>owever</w:t>
      </w:r>
      <w:r w:rsidR="4168F747" w:rsidRPr="463B461D">
        <w:rPr>
          <w:rStyle w:val="eop"/>
          <w:rFonts w:eastAsiaTheme="minorEastAsia"/>
          <w:noProof/>
        </w:rPr>
        <w:t>,</w:t>
      </w:r>
      <w:r w:rsidRPr="463B461D">
        <w:rPr>
          <w:rStyle w:val="eop"/>
          <w:rFonts w:eastAsiaTheme="minorEastAsia"/>
          <w:noProof/>
        </w:rPr>
        <w:t xml:space="preserve"> it is unlikely to be applicable in all use cases and equipment is not yet widely commercially available.</w:t>
      </w:r>
    </w:p>
    <w:p w14:paraId="310AD15E" w14:textId="1EEB9393" w:rsidR="00846CAF" w:rsidRPr="00C144CC" w:rsidRDefault="00846CAF" w:rsidP="463B461D">
      <w:pPr>
        <w:pStyle w:val="paragraph"/>
        <w:spacing w:before="0" w:beforeAutospacing="0" w:after="240" w:afterAutospacing="0"/>
        <w:jc w:val="both"/>
        <w:rPr>
          <w:rStyle w:val="eop"/>
          <w:rFonts w:eastAsiaTheme="minorEastAsia"/>
          <w:noProof/>
        </w:rPr>
      </w:pPr>
      <w:r w:rsidRPr="00846CAF">
        <w:rPr>
          <w:rStyle w:val="eop"/>
          <w:rFonts w:eastAsiaTheme="minorEastAsia"/>
          <w:noProof/>
        </w:rPr>
        <w:t>Looking further ahead, artificial intelligence (AI) could enhance the efficiency of dynamic spectrum access and spectrum sharing for PMSE applications in the sub-700 MHz</w:t>
      </w:r>
      <w:r w:rsidR="00B95246">
        <w:rPr>
          <w:rStyle w:val="eop"/>
          <w:rFonts w:eastAsiaTheme="minorEastAsia"/>
          <w:noProof/>
        </w:rPr>
        <w:t xml:space="preserve"> </w:t>
      </w:r>
      <w:r w:rsidRPr="00846CAF">
        <w:rPr>
          <w:rStyle w:val="eop"/>
          <w:rFonts w:eastAsiaTheme="minorEastAsia"/>
          <w:noProof/>
        </w:rPr>
        <w:t>band</w:t>
      </w:r>
      <w:r w:rsidR="00B95246">
        <w:rPr>
          <w:rStyle w:val="eop"/>
          <w:rFonts w:eastAsiaTheme="minorEastAsia"/>
          <w:noProof/>
        </w:rPr>
        <w:t xml:space="preserve"> and possibly in other bands</w:t>
      </w:r>
      <w:r w:rsidRPr="00846CAF">
        <w:rPr>
          <w:rStyle w:val="eop"/>
          <w:rFonts w:eastAsiaTheme="minorEastAsia"/>
          <w:noProof/>
        </w:rPr>
        <w:t xml:space="preserve">. AI-enabled approaches, such as real-time spectrum sensing, predictive interference avoidance and automated frequency coordination, </w:t>
      </w:r>
      <w:r w:rsidR="00D111B9">
        <w:rPr>
          <w:rStyle w:val="eop"/>
          <w:rFonts w:eastAsiaTheme="minorEastAsia"/>
          <w:noProof/>
        </w:rPr>
        <w:t>has the potential to</w:t>
      </w:r>
      <w:r w:rsidRPr="00846CAF">
        <w:rPr>
          <w:rStyle w:val="eop"/>
          <w:rFonts w:eastAsiaTheme="minorEastAsia"/>
          <w:noProof/>
        </w:rPr>
        <w:t xml:space="preserve"> improve the ability of PMSE users to identify and access available spectrum more </w:t>
      </w:r>
      <w:r w:rsidR="00EB1071">
        <w:rPr>
          <w:rStyle w:val="eop"/>
          <w:rFonts w:eastAsiaTheme="minorEastAsia"/>
          <w:noProof/>
        </w:rPr>
        <w:t xml:space="preserve">adaptively </w:t>
      </w:r>
      <w:r w:rsidR="008A2C8B">
        <w:rPr>
          <w:rStyle w:val="eop"/>
          <w:rFonts w:eastAsiaTheme="minorEastAsia"/>
          <w:noProof/>
        </w:rPr>
        <w:t xml:space="preserve">and efficiently </w:t>
      </w:r>
      <w:r w:rsidRPr="00846CAF">
        <w:rPr>
          <w:rStyle w:val="eop"/>
          <w:rFonts w:eastAsiaTheme="minorEastAsia"/>
          <w:noProof/>
        </w:rPr>
        <w:t xml:space="preserve"> in increasingly congested environments.</w:t>
      </w:r>
    </w:p>
    <w:p w14:paraId="31080472" w14:textId="545026ED" w:rsidR="00BF60DB" w:rsidRPr="00C144CC" w:rsidRDefault="00BF60DB" w:rsidP="00BF60DB">
      <w:pPr>
        <w:pStyle w:val="paragraph"/>
        <w:spacing w:before="0" w:beforeAutospacing="0" w:after="240" w:afterAutospacing="0"/>
        <w:jc w:val="both"/>
        <w:rPr>
          <w:rStyle w:val="eop"/>
          <w:rFonts w:eastAsiaTheme="minorEastAsia"/>
          <w:noProof/>
        </w:rPr>
      </w:pPr>
      <w:r w:rsidRPr="7482D136">
        <w:rPr>
          <w:rStyle w:val="eop"/>
          <w:rFonts w:eastAsiaTheme="minorEastAsia"/>
          <w:noProof/>
        </w:rPr>
        <w:t xml:space="preserve">The use of alternative frequency bands for PMSE will not be suitable for all applications, as many of these bands have less favourable propagation characteristics. Moreover, operating in alternative bands requires the development and acquisition of new equipment, which involves significant investment and requires migration time. The suggested alternative bands for PMSE </w:t>
      </w:r>
      <w:r w:rsidR="00001D70">
        <w:rPr>
          <w:rStyle w:val="eop"/>
          <w:rFonts w:eastAsiaTheme="minorEastAsia"/>
          <w:noProof/>
        </w:rPr>
        <w:t>range</w:t>
      </w:r>
      <w:r w:rsidR="00001D70" w:rsidRPr="00516125">
        <w:rPr>
          <w:rStyle w:val="eop"/>
          <w:rFonts w:eastAsiaTheme="minorEastAsia"/>
          <w:noProof/>
        </w:rPr>
        <w:t xml:space="preserve"> </w:t>
      </w:r>
      <w:r w:rsidRPr="7482D136">
        <w:rPr>
          <w:rStyle w:val="eop"/>
          <w:rFonts w:eastAsiaTheme="minorEastAsia"/>
          <w:noProof/>
        </w:rPr>
        <w:t>from 29</w:t>
      </w:r>
      <w:r w:rsidR="00516125">
        <w:rPr>
          <w:rStyle w:val="eop"/>
          <w:rFonts w:eastAsiaTheme="minorEastAsia"/>
          <w:noProof/>
        </w:rPr>
        <w:t>.</w:t>
      </w:r>
      <w:r w:rsidRPr="7482D136">
        <w:rPr>
          <w:rStyle w:val="eop"/>
          <w:rFonts w:eastAsiaTheme="minorEastAsia"/>
          <w:noProof/>
        </w:rPr>
        <w:t>7</w:t>
      </w:r>
      <w:r w:rsidR="003B563B">
        <w:rPr>
          <w:rStyle w:val="eop"/>
          <w:rFonts w:eastAsiaTheme="minorEastAsia"/>
          <w:noProof/>
        </w:rPr>
        <w:t> MHz</w:t>
      </w:r>
      <w:r w:rsidRPr="7482D136">
        <w:rPr>
          <w:rStyle w:val="eop"/>
          <w:rFonts w:eastAsiaTheme="minorEastAsia"/>
          <w:noProof/>
        </w:rPr>
        <w:t xml:space="preserve"> up to 470</w:t>
      </w:r>
      <w:r w:rsidR="003B563B">
        <w:rPr>
          <w:rStyle w:val="eop"/>
          <w:rFonts w:eastAsiaTheme="minorEastAsia"/>
          <w:noProof/>
        </w:rPr>
        <w:t> </w:t>
      </w:r>
      <w:r w:rsidRPr="7482D136">
        <w:rPr>
          <w:rStyle w:val="eop"/>
          <w:rFonts w:eastAsiaTheme="minorEastAsia"/>
          <w:noProof/>
        </w:rPr>
        <w:t>MHz and from 694</w:t>
      </w:r>
      <w:r w:rsidR="003B563B">
        <w:rPr>
          <w:rStyle w:val="eop"/>
          <w:rFonts w:eastAsiaTheme="minorEastAsia"/>
          <w:noProof/>
        </w:rPr>
        <w:t> </w:t>
      </w:r>
      <w:r w:rsidRPr="7482D136">
        <w:rPr>
          <w:rStyle w:val="eop"/>
          <w:rFonts w:eastAsiaTheme="minorEastAsia"/>
          <w:noProof/>
        </w:rPr>
        <w:t>MHz up to 2900</w:t>
      </w:r>
      <w:r w:rsidR="003B563B">
        <w:rPr>
          <w:rStyle w:val="eop"/>
          <w:rFonts w:eastAsiaTheme="minorEastAsia"/>
          <w:noProof/>
        </w:rPr>
        <w:t> </w:t>
      </w:r>
      <w:r w:rsidRPr="7482D136">
        <w:rPr>
          <w:rStyle w:val="eop"/>
          <w:rFonts w:eastAsiaTheme="minorEastAsia"/>
          <w:noProof/>
        </w:rPr>
        <w:t>MHz. The UK, for example, has successfully opened a complementary spectrum resource for PMSE in the 960-1164</w:t>
      </w:r>
      <w:r w:rsidR="003B563B">
        <w:rPr>
          <w:rStyle w:val="eop"/>
          <w:rFonts w:eastAsiaTheme="minorEastAsia"/>
          <w:noProof/>
        </w:rPr>
        <w:t> </w:t>
      </w:r>
      <w:r w:rsidRPr="7482D136">
        <w:rPr>
          <w:rStyle w:val="eop"/>
          <w:rFonts w:eastAsiaTheme="minorEastAsia"/>
          <w:noProof/>
        </w:rPr>
        <w:t>MHz frequency band, which is supported by professional audio PMSE equipment.</w:t>
      </w:r>
    </w:p>
    <w:p w14:paraId="1B9F5A1D" w14:textId="7DE685D9" w:rsidR="00BF60DB" w:rsidRDefault="00BF60DB" w:rsidP="00BF60DB">
      <w:pPr>
        <w:pStyle w:val="paragraph"/>
        <w:spacing w:before="0" w:beforeAutospacing="0" w:after="240" w:afterAutospacing="0"/>
        <w:jc w:val="both"/>
        <w:rPr>
          <w:rStyle w:val="eop"/>
          <w:rFonts w:eastAsiaTheme="minorEastAsia"/>
          <w:noProof/>
        </w:rPr>
      </w:pPr>
      <w:r w:rsidRPr="3669EBA1">
        <w:rPr>
          <w:rStyle w:val="eop"/>
          <w:rFonts w:eastAsiaTheme="minorEastAsia"/>
          <w:noProof/>
        </w:rPr>
        <w:t>Nevertheless, PMSE stakeholders remain strongly in favour of retaining the 470</w:t>
      </w:r>
      <w:r w:rsidR="00516125">
        <w:rPr>
          <w:rStyle w:val="eop"/>
          <w:rFonts w:eastAsiaTheme="minorEastAsia"/>
          <w:noProof/>
        </w:rPr>
        <w:t>-</w:t>
      </w:r>
      <w:r w:rsidRPr="3669EBA1">
        <w:rPr>
          <w:rStyle w:val="eop"/>
          <w:rFonts w:eastAsiaTheme="minorEastAsia"/>
          <w:noProof/>
        </w:rPr>
        <w:t>694</w:t>
      </w:r>
      <w:r w:rsidR="003B563B">
        <w:rPr>
          <w:rStyle w:val="eop"/>
          <w:rFonts w:eastAsiaTheme="minorEastAsia"/>
          <w:noProof/>
        </w:rPr>
        <w:t> </w:t>
      </w:r>
      <w:r w:rsidRPr="3669EBA1">
        <w:rPr>
          <w:rStyle w:val="eop"/>
          <w:rFonts w:eastAsiaTheme="minorEastAsia"/>
          <w:noProof/>
        </w:rPr>
        <w:t>MHz band and are generally reluctant to migrate to other frequency ranges.</w:t>
      </w:r>
    </w:p>
    <w:p w14:paraId="4B50D610" w14:textId="77777777" w:rsidR="00BF60DB" w:rsidRPr="00291B24" w:rsidRDefault="00BF60DB" w:rsidP="00BF60DB">
      <w:pPr>
        <w:pStyle w:val="paragraph"/>
        <w:spacing w:before="0" w:beforeAutospacing="0" w:after="240" w:afterAutospacing="0"/>
        <w:jc w:val="both"/>
        <w:rPr>
          <w:rStyle w:val="eop"/>
          <w:rFonts w:eastAsiaTheme="minorEastAsia"/>
          <w:b/>
          <w:bCs/>
          <w:noProof/>
        </w:rPr>
      </w:pPr>
      <w:r w:rsidRPr="00B21E2B">
        <w:rPr>
          <w:rStyle w:val="eop"/>
          <w:rFonts w:eastAsiaTheme="minorEastAsia"/>
          <w:b/>
          <w:bCs/>
          <w:noProof/>
        </w:rPr>
        <w:t>Innovation roadmap</w:t>
      </w:r>
    </w:p>
    <w:p w14:paraId="7731013F" w14:textId="5F2CF69C" w:rsidR="00BF60DB" w:rsidRDefault="7E270F48" w:rsidP="00BF60DB">
      <w:pPr>
        <w:pStyle w:val="paragraph"/>
        <w:spacing w:before="0" w:beforeAutospacing="0" w:after="240" w:afterAutospacing="0"/>
        <w:jc w:val="both"/>
        <w:rPr>
          <w:rStyle w:val="eop"/>
          <w:rFonts w:eastAsiaTheme="minorEastAsia"/>
          <w:noProof/>
        </w:rPr>
      </w:pPr>
      <w:r w:rsidRPr="463B461D">
        <w:rPr>
          <w:rStyle w:val="eop"/>
          <w:rFonts w:eastAsiaTheme="minorEastAsia"/>
          <w:noProof/>
        </w:rPr>
        <w:t>In October 2022, BNE presented the ‘European Cultural Band</w:t>
      </w:r>
      <w:r w:rsidR="0E8E3604" w:rsidRPr="6BDEC307">
        <w:rPr>
          <w:rStyle w:val="eop"/>
          <w:rFonts w:eastAsiaTheme="minorEastAsia"/>
          <w:noProof/>
        </w:rPr>
        <w:t>:</w:t>
      </w:r>
      <w:r w:rsidRPr="463B461D">
        <w:rPr>
          <w:rStyle w:val="eop"/>
          <w:rFonts w:eastAsiaTheme="minorEastAsia"/>
          <w:noProof/>
        </w:rPr>
        <w:t xml:space="preserve"> An Innovation Roadmap for the 470</w:t>
      </w:r>
      <w:r w:rsidR="61B57DD0" w:rsidRPr="463B461D">
        <w:rPr>
          <w:rStyle w:val="eop"/>
          <w:rFonts w:eastAsiaTheme="minorEastAsia"/>
          <w:noProof/>
        </w:rPr>
        <w:t>-</w:t>
      </w:r>
      <w:r w:rsidRPr="463B461D">
        <w:rPr>
          <w:rStyle w:val="eop"/>
          <w:rFonts w:eastAsiaTheme="minorEastAsia"/>
          <w:noProof/>
        </w:rPr>
        <w:t>694</w:t>
      </w:r>
      <w:r w:rsidR="34CD1EBA" w:rsidRPr="463B461D">
        <w:rPr>
          <w:rStyle w:val="eop"/>
          <w:rFonts w:eastAsiaTheme="minorEastAsia"/>
          <w:noProof/>
        </w:rPr>
        <w:t> </w:t>
      </w:r>
      <w:r w:rsidRPr="463B461D">
        <w:rPr>
          <w:rStyle w:val="eop"/>
          <w:rFonts w:eastAsiaTheme="minorEastAsia"/>
          <w:noProof/>
        </w:rPr>
        <w:t>MHz Band’. The roadmap</w:t>
      </w:r>
      <w:r w:rsidR="00BF60DB" w:rsidRPr="463B461D">
        <w:rPr>
          <w:rStyle w:val="FootnoteReference"/>
          <w:rFonts w:eastAsiaTheme="minorEastAsia"/>
          <w:noProof/>
        </w:rPr>
        <w:footnoteReference w:id="41"/>
      </w:r>
      <w:r w:rsidRPr="463B461D">
        <w:rPr>
          <w:rStyle w:val="eop"/>
          <w:rFonts w:eastAsiaTheme="minorEastAsia"/>
          <w:noProof/>
        </w:rPr>
        <w:t xml:space="preserve"> (</w:t>
      </w:r>
      <w:r w:rsidR="00BF60DB" w:rsidRPr="463B461D">
        <w:rPr>
          <w:rStyle w:val="eop"/>
          <w:rFonts w:eastAsiaTheme="minorEastAsia"/>
          <w:noProof/>
        </w:rPr>
        <w:fldChar w:fldCharType="begin"/>
      </w:r>
      <w:r w:rsidR="00BF60DB" w:rsidRPr="463B461D">
        <w:rPr>
          <w:rStyle w:val="eop"/>
          <w:rFonts w:eastAsiaTheme="minorEastAsia"/>
          <w:noProof/>
        </w:rPr>
        <w:instrText xml:space="preserve"> REF _Ref216882457 \h </w:instrText>
      </w:r>
      <w:r w:rsidR="00BF60DB" w:rsidRPr="463B461D">
        <w:rPr>
          <w:rStyle w:val="eop"/>
          <w:rFonts w:eastAsiaTheme="minorEastAsia"/>
          <w:noProof/>
        </w:rPr>
      </w:r>
      <w:r w:rsidR="00BF60DB" w:rsidRPr="463B461D">
        <w:rPr>
          <w:rStyle w:val="eop"/>
          <w:rFonts w:eastAsiaTheme="minorEastAsia"/>
          <w:noProof/>
        </w:rPr>
        <w:fldChar w:fldCharType="separate"/>
      </w:r>
      <w:r w:rsidR="009B3399" w:rsidRPr="00B54ECF">
        <w:rPr>
          <w:noProof/>
        </w:rPr>
        <w:t xml:space="preserve">Figure </w:t>
      </w:r>
      <w:r w:rsidR="009B3399">
        <w:rPr>
          <w:noProof/>
        </w:rPr>
        <w:t>7</w:t>
      </w:r>
      <w:r w:rsidR="00BF60DB" w:rsidRPr="463B461D">
        <w:rPr>
          <w:rStyle w:val="eop"/>
          <w:rFonts w:eastAsiaTheme="minorEastAsia"/>
          <w:noProof/>
        </w:rPr>
        <w:fldChar w:fldCharType="end"/>
      </w:r>
      <w:r w:rsidRPr="463B461D">
        <w:rPr>
          <w:rStyle w:val="eop"/>
          <w:rFonts w:eastAsiaTheme="minorEastAsia"/>
          <w:noProof/>
        </w:rPr>
        <w:t xml:space="preserve">) outlines a pathway for enhancing user experience by improving video and audio quality (e.g. UHD, UHD2, HDR, NGA) and deploying more efficient compression standards such as HEVC and VVC. It also foresees seamless access to linear and on-demand content through the use of HbbTV and DVB-I, as well as the development of mobile reception capabilities via 5G Broadcast. For audio PMSE, the roadmap anticipates increasing demand in cultural and media production and foresees innovation through the introduction of advanced technologies such as cognitive PMSE (C-PMSE) and the </w:t>
      </w:r>
      <w:r w:rsidR="31CBC1F5" w:rsidRPr="463B461D">
        <w:rPr>
          <w:rStyle w:val="eop"/>
          <w:rFonts w:eastAsiaTheme="minorEastAsia"/>
          <w:noProof/>
        </w:rPr>
        <w:t>w</w:t>
      </w:r>
      <w:r w:rsidRPr="463B461D">
        <w:rPr>
          <w:rStyle w:val="eop"/>
          <w:rFonts w:eastAsiaTheme="minorEastAsia"/>
          <w:noProof/>
        </w:rPr>
        <w:t xml:space="preserve">ireless </w:t>
      </w:r>
      <w:r w:rsidR="31CBC1F5" w:rsidRPr="463B461D">
        <w:rPr>
          <w:rStyle w:val="eop"/>
          <w:rFonts w:eastAsiaTheme="minorEastAsia"/>
          <w:noProof/>
        </w:rPr>
        <w:t>m</w:t>
      </w:r>
      <w:r w:rsidRPr="463B461D">
        <w:rPr>
          <w:rStyle w:val="eop"/>
          <w:rFonts w:eastAsiaTheme="minorEastAsia"/>
          <w:noProof/>
        </w:rPr>
        <w:t xml:space="preserve">ultichannel </w:t>
      </w:r>
      <w:r w:rsidR="00BF60DB" w:rsidRPr="463B461D">
        <w:rPr>
          <w:rStyle w:val="eop"/>
          <w:rFonts w:eastAsiaTheme="minorEastAsia"/>
          <w:noProof/>
        </w:rPr>
        <w:t>Wireless Multichannel Audio S</w:t>
      </w:r>
      <w:r w:rsidRPr="463B461D">
        <w:rPr>
          <w:rStyle w:val="eop"/>
          <w:rFonts w:eastAsiaTheme="minorEastAsia"/>
          <w:noProof/>
        </w:rPr>
        <w:t>ystem (WMAS).</w:t>
      </w:r>
    </w:p>
    <w:p w14:paraId="2E09BB22" w14:textId="5ADD4EBE" w:rsidR="00BF60DB" w:rsidRPr="00B54ECF" w:rsidRDefault="00BF60DB" w:rsidP="00BF60DB">
      <w:pPr>
        <w:pStyle w:val="Caption"/>
        <w:jc w:val="center"/>
        <w:rPr>
          <w:rStyle w:val="eop"/>
          <w:rFonts w:ascii="Times New Roman" w:eastAsiaTheme="minorEastAsia" w:hAnsi="Times New Roman" w:cs="Times New Roman"/>
          <w:noProof/>
          <w:color w:val="auto"/>
          <w:sz w:val="24"/>
          <w:szCs w:val="24"/>
          <w:lang w:eastAsia="en-IE"/>
        </w:rPr>
      </w:pPr>
      <w:bookmarkStart w:id="13" w:name="_Ref216882457"/>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7</w:t>
      </w:r>
      <w:r w:rsidRPr="00B54ECF">
        <w:rPr>
          <w:rFonts w:ascii="Times New Roman" w:hAnsi="Times New Roman" w:cs="Times New Roman"/>
          <w:noProof/>
          <w:color w:val="auto"/>
          <w:sz w:val="24"/>
          <w:szCs w:val="24"/>
        </w:rPr>
        <w:fldChar w:fldCharType="end"/>
      </w:r>
      <w:bookmarkEnd w:id="13"/>
      <w:r w:rsidRPr="00B54ECF">
        <w:rPr>
          <w:rFonts w:ascii="Times New Roman" w:hAnsi="Times New Roman" w:cs="Times New Roman"/>
          <w:noProof/>
          <w:color w:val="auto"/>
          <w:sz w:val="24"/>
          <w:szCs w:val="24"/>
        </w:rPr>
        <w:t>:</w:t>
      </w:r>
      <w:r w:rsidRPr="00B54ECF">
        <w:rPr>
          <w:rStyle w:val="eop"/>
          <w:rFonts w:ascii="Times New Roman" w:eastAsiaTheme="minorEastAsia" w:hAnsi="Times New Roman" w:cs="Times New Roman"/>
          <w:noProof/>
          <w:color w:val="auto"/>
          <w:sz w:val="24"/>
          <w:szCs w:val="24"/>
          <w:lang w:eastAsia="en-IE"/>
        </w:rPr>
        <w:t xml:space="preserve"> An innovation roadmap for the lower UHF band (Source: BNE)</w:t>
      </w:r>
    </w:p>
    <w:p w14:paraId="465CDAE6" w14:textId="77777777" w:rsidR="00BF60DB" w:rsidRPr="00F27233" w:rsidRDefault="00BF60DB" w:rsidP="00F27233">
      <w:pPr>
        <w:spacing w:after="240" w:line="257" w:lineRule="auto"/>
        <w:jc w:val="both"/>
        <w:rPr>
          <w:rStyle w:val="eop"/>
          <w:rFonts w:ascii="Times New Roman" w:hAnsi="Times New Roman"/>
          <w:i/>
          <w:noProof/>
        </w:rPr>
      </w:pPr>
      <w:r>
        <w:rPr>
          <w:noProof/>
          <w:lang w:val="en-GB" w:eastAsia="en-GB"/>
        </w:rPr>
        <w:drawing>
          <wp:inline distT="0" distB="0" distL="0" distR="0" wp14:anchorId="5FE4E137" wp14:editId="62ACB754">
            <wp:extent cx="5300001" cy="3051337"/>
            <wp:effectExtent l="0" t="0" r="0" b="0"/>
            <wp:docPr id="679444614" name="drawing"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444614" name="drawing" descr="A close-up of a graph&#10;&#10;AI-generated content may be incorrect."/>
                    <pic:cNvPicPr/>
                  </pic:nvPicPr>
                  <pic:blipFill>
                    <a:blip r:embed="rId24">
                      <a:extLst>
                        <a:ext uri="{28A0092B-C50C-407E-A947-70E740481C1C}">
                          <a14:useLocalDpi xmlns:a14="http://schemas.microsoft.com/office/drawing/2010/main"/>
                        </a:ext>
                      </a:extLst>
                    </a:blip>
                    <a:stretch>
                      <a:fillRect/>
                    </a:stretch>
                  </pic:blipFill>
                  <pic:spPr>
                    <a:xfrm>
                      <a:off x="0" y="0"/>
                      <a:ext cx="5300001" cy="3051337"/>
                    </a:xfrm>
                    <a:prstGeom prst="rect">
                      <a:avLst/>
                    </a:prstGeom>
                  </pic:spPr>
                </pic:pic>
              </a:graphicData>
            </a:graphic>
          </wp:inline>
        </w:drawing>
      </w:r>
    </w:p>
    <w:p w14:paraId="7076CA87" w14:textId="52CCCF00" w:rsidR="00BF60DB" w:rsidRPr="00ED5A11" w:rsidRDefault="00BF60DB" w:rsidP="00BF60DB">
      <w:pPr>
        <w:pStyle w:val="Heading1"/>
        <w:spacing w:after="240"/>
        <w:rPr>
          <w:rFonts w:cs="Times New Roman"/>
          <w:noProof/>
          <w:color w:val="auto"/>
        </w:rPr>
      </w:pPr>
      <w:r w:rsidRPr="00BF60DB">
        <w:rPr>
          <w:rFonts w:ascii="Times New Roman" w:hAnsi="Times New Roman" w:cs="Times New Roman"/>
          <w:b/>
          <w:noProof/>
          <w:color w:val="auto"/>
          <w:sz w:val="28"/>
          <w:szCs w:val="32"/>
        </w:rPr>
        <w:t>5. ECONOMIC DEVELOPMENTS</w:t>
      </w:r>
    </w:p>
    <w:p w14:paraId="1844989A" w14:textId="4DAB45BD" w:rsidR="00BF60DB" w:rsidRDefault="00BF60DB" w:rsidP="00BF60DB">
      <w:pPr>
        <w:pStyle w:val="paragraph"/>
        <w:spacing w:before="0" w:beforeAutospacing="0" w:after="240" w:afterAutospacing="0"/>
        <w:rPr>
          <w:b/>
          <w:bCs/>
          <w:noProof/>
        </w:rPr>
      </w:pPr>
      <w:r w:rsidRPr="7482D136">
        <w:rPr>
          <w:b/>
          <w:bCs/>
          <w:noProof/>
        </w:rPr>
        <w:t>Audiovisual market structure and size</w:t>
      </w:r>
    </w:p>
    <w:p w14:paraId="1A9F13A8" w14:textId="28FAD2FB" w:rsidR="00BF60DB" w:rsidRPr="00B21E2B" w:rsidRDefault="00BF60DB" w:rsidP="00BF60DB">
      <w:pPr>
        <w:pStyle w:val="paragraph"/>
        <w:spacing w:before="0" w:beforeAutospacing="0" w:after="240" w:afterAutospacing="0"/>
        <w:jc w:val="both"/>
        <w:rPr>
          <w:noProof/>
        </w:rPr>
      </w:pPr>
      <w:r w:rsidRPr="004E62A4">
        <w:rPr>
          <w:rStyle w:val="eop"/>
          <w:rFonts w:eastAsiaTheme="minorEastAsia"/>
          <w:noProof/>
          <w:lang w:val="en-US"/>
        </w:rPr>
        <w:t xml:space="preserve">The audiovisual industry is the biggest source </w:t>
      </w:r>
      <w:r w:rsidR="00984256">
        <w:rPr>
          <w:rStyle w:val="eop"/>
          <w:rFonts w:eastAsiaTheme="minorEastAsia"/>
          <w:noProof/>
        </w:rPr>
        <w:t>of revenue and</w:t>
      </w:r>
      <w:r w:rsidR="00984256" w:rsidRPr="00516125">
        <w:rPr>
          <w:rStyle w:val="eop"/>
          <w:rFonts w:eastAsiaTheme="minorEastAsia"/>
          <w:noProof/>
        </w:rPr>
        <w:t xml:space="preserve"> </w:t>
      </w:r>
      <w:r w:rsidRPr="00516125">
        <w:rPr>
          <w:rStyle w:val="eop"/>
          <w:rFonts w:eastAsiaTheme="minorEastAsia"/>
          <w:noProof/>
        </w:rPr>
        <w:t>job</w:t>
      </w:r>
      <w:r w:rsidR="00984256">
        <w:rPr>
          <w:rStyle w:val="eop"/>
          <w:rFonts w:eastAsiaTheme="minorEastAsia"/>
          <w:noProof/>
        </w:rPr>
        <w:t>s</w:t>
      </w:r>
      <w:r w:rsidRPr="00B21E2B">
        <w:rPr>
          <w:rStyle w:val="eop"/>
          <w:rFonts w:eastAsiaTheme="minorEastAsia"/>
          <w:noProof/>
          <w:lang w:val="en-US"/>
        </w:rPr>
        <w:t xml:space="preserve"> </w:t>
      </w:r>
      <w:r w:rsidR="00984256">
        <w:rPr>
          <w:rStyle w:val="eop"/>
          <w:rFonts w:eastAsiaTheme="minorEastAsia"/>
          <w:noProof/>
        </w:rPr>
        <w:t>in the</w:t>
      </w:r>
      <w:r w:rsidRPr="004E62A4">
        <w:rPr>
          <w:rStyle w:val="eop"/>
          <w:rFonts w:eastAsiaTheme="minorEastAsia"/>
          <w:noProof/>
          <w:lang w:val="en-US"/>
        </w:rPr>
        <w:t xml:space="preserve"> European media sector. </w:t>
      </w:r>
      <w:r w:rsidRPr="00516125">
        <w:rPr>
          <w:rStyle w:val="eop"/>
          <w:rFonts w:eastAsiaTheme="minorEastAsia"/>
          <w:noProof/>
        </w:rPr>
        <w:t>I</w:t>
      </w:r>
      <w:r w:rsidR="00FF1D4E">
        <w:rPr>
          <w:rStyle w:val="eop"/>
          <w:rFonts w:eastAsiaTheme="minorEastAsia"/>
          <w:noProof/>
        </w:rPr>
        <w:t>n recent years, i</w:t>
      </w:r>
      <w:r w:rsidRPr="00516125">
        <w:rPr>
          <w:rStyle w:val="eop"/>
          <w:rFonts w:eastAsiaTheme="minorEastAsia"/>
          <w:noProof/>
        </w:rPr>
        <w:t>t</w:t>
      </w:r>
      <w:r w:rsidRPr="004E62A4">
        <w:rPr>
          <w:rStyle w:val="eop"/>
          <w:rFonts w:eastAsiaTheme="minorEastAsia"/>
          <w:noProof/>
          <w:lang w:val="en-US"/>
        </w:rPr>
        <w:t xml:space="preserve"> has grown to include not only cinema and broadcasting</w:t>
      </w:r>
      <w:r w:rsidR="00984256">
        <w:rPr>
          <w:rStyle w:val="eop"/>
          <w:rFonts w:eastAsiaTheme="minorEastAsia"/>
          <w:noProof/>
        </w:rPr>
        <w:t>,</w:t>
      </w:r>
      <w:r w:rsidRPr="004E62A4">
        <w:rPr>
          <w:rStyle w:val="eop"/>
          <w:rFonts w:eastAsiaTheme="minorEastAsia"/>
          <w:noProof/>
          <w:lang w:val="en-US"/>
        </w:rPr>
        <w:t xml:space="preserve"> but also video on demand (VoD).</w:t>
      </w:r>
      <w:r w:rsidRPr="004E62A4">
        <w:rPr>
          <w:rStyle w:val="eop"/>
          <w:rFonts w:eastAsiaTheme="minorEastAsia"/>
          <w:noProof/>
          <w:lang w:val="en-GB"/>
        </w:rPr>
        <w:t xml:space="preserve"> </w:t>
      </w:r>
      <w:r w:rsidRPr="004E62A4">
        <w:rPr>
          <w:rStyle w:val="eop"/>
          <w:rFonts w:eastAsiaTheme="minorEastAsia"/>
          <w:noProof/>
          <w:lang w:val="en-US"/>
        </w:rPr>
        <w:t>The value of the EU audiovisual market was estimated at EUR</w:t>
      </w:r>
      <w:r w:rsidR="00516125">
        <w:rPr>
          <w:rStyle w:val="eop"/>
          <w:rFonts w:eastAsiaTheme="minorEastAsia"/>
          <w:noProof/>
        </w:rPr>
        <w:t> </w:t>
      </w:r>
      <w:r w:rsidRPr="004E62A4">
        <w:rPr>
          <w:rStyle w:val="eop"/>
          <w:rFonts w:eastAsiaTheme="minorEastAsia"/>
          <w:noProof/>
          <w:lang w:val="en-US"/>
        </w:rPr>
        <w:t>119 billion in 2024</w:t>
      </w:r>
      <w:r w:rsidR="00BA64BD">
        <w:rPr>
          <w:rStyle w:val="eop"/>
          <w:rFonts w:eastAsiaTheme="minorEastAsia"/>
          <w:noProof/>
        </w:rPr>
        <w:t>.</w:t>
      </w:r>
      <w:r w:rsidRPr="00516125">
        <w:rPr>
          <w:rStyle w:val="eop"/>
          <w:rFonts w:eastAsiaTheme="minorEastAsia"/>
          <w:noProof/>
        </w:rPr>
        <w:t xml:space="preserve"> </w:t>
      </w:r>
      <w:r w:rsidR="00BA64BD">
        <w:rPr>
          <w:rStyle w:val="eop"/>
          <w:rFonts w:eastAsiaTheme="minorEastAsia"/>
          <w:noProof/>
        </w:rPr>
        <w:t>W</w:t>
      </w:r>
      <w:r w:rsidRPr="00B21E2B">
        <w:rPr>
          <w:rStyle w:val="eop"/>
          <w:rFonts w:eastAsiaTheme="minorEastAsia"/>
          <w:noProof/>
          <w:lang w:val="en-US"/>
        </w:rPr>
        <w:t xml:space="preserve">ith an approximate </w:t>
      </w:r>
      <w:r w:rsidR="00BA64BD">
        <w:rPr>
          <w:rStyle w:val="eop"/>
          <w:rFonts w:eastAsiaTheme="minorEastAsia"/>
          <w:noProof/>
        </w:rPr>
        <w:t>market share of</w:t>
      </w:r>
      <w:r w:rsidRPr="00516125">
        <w:rPr>
          <w:rStyle w:val="eop"/>
          <w:rFonts w:eastAsiaTheme="minorEastAsia"/>
          <w:noProof/>
        </w:rPr>
        <w:t xml:space="preserve"> </w:t>
      </w:r>
      <w:r w:rsidRPr="004E62A4">
        <w:rPr>
          <w:rStyle w:val="eop"/>
          <w:rFonts w:eastAsiaTheme="minorEastAsia"/>
          <w:noProof/>
          <w:lang w:val="en-US"/>
        </w:rPr>
        <w:t>22%</w:t>
      </w:r>
      <w:r w:rsidR="00BA64BD">
        <w:rPr>
          <w:rStyle w:val="eop"/>
          <w:rFonts w:eastAsiaTheme="minorEastAsia"/>
          <w:noProof/>
        </w:rPr>
        <w:t>, it rank</w:t>
      </w:r>
      <w:r w:rsidR="00984256">
        <w:rPr>
          <w:rStyle w:val="eop"/>
          <w:rFonts w:eastAsiaTheme="minorEastAsia"/>
          <w:noProof/>
        </w:rPr>
        <w:t>s</w:t>
      </w:r>
      <w:r w:rsidR="00BA64BD">
        <w:rPr>
          <w:rStyle w:val="eop"/>
          <w:rFonts w:eastAsiaTheme="minorEastAsia"/>
          <w:noProof/>
        </w:rPr>
        <w:t xml:space="preserve"> second globally</w:t>
      </w:r>
      <w:r w:rsidRPr="004E62A4">
        <w:rPr>
          <w:rStyle w:val="eop"/>
          <w:rFonts w:eastAsiaTheme="minorEastAsia"/>
          <w:noProof/>
          <w:lang w:val="en-US"/>
        </w:rPr>
        <w:t xml:space="preserve"> behind the United States (49%), while China ranks third with a 12% share. </w:t>
      </w:r>
      <w:r w:rsidRPr="004E62A4">
        <w:rPr>
          <w:rStyle w:val="eop"/>
          <w:rFonts w:eastAsiaTheme="minorEastAsia"/>
          <w:noProof/>
          <w:lang w:val="en-GB"/>
        </w:rPr>
        <w:t>T</w:t>
      </w:r>
      <w:r w:rsidRPr="0A560E40">
        <w:rPr>
          <w:rStyle w:val="eop"/>
          <w:rFonts w:eastAsiaTheme="minorEastAsia"/>
          <w:noProof/>
        </w:rPr>
        <w:t>he global market grew at a CAGR (</w:t>
      </w:r>
      <w:r w:rsidR="00BA64BD">
        <w:rPr>
          <w:rStyle w:val="eop"/>
          <w:rFonts w:eastAsiaTheme="minorEastAsia"/>
          <w:noProof/>
        </w:rPr>
        <w:t>c</w:t>
      </w:r>
      <w:r w:rsidRPr="00516125">
        <w:rPr>
          <w:rStyle w:val="eop"/>
          <w:rFonts w:eastAsiaTheme="minorEastAsia"/>
          <w:noProof/>
        </w:rPr>
        <w:t xml:space="preserve">ompound </w:t>
      </w:r>
      <w:r w:rsidR="00BA64BD">
        <w:rPr>
          <w:rStyle w:val="eop"/>
          <w:rFonts w:eastAsiaTheme="minorEastAsia"/>
          <w:noProof/>
        </w:rPr>
        <w:t>a</w:t>
      </w:r>
      <w:r w:rsidRPr="00516125">
        <w:rPr>
          <w:rStyle w:val="eop"/>
          <w:rFonts w:eastAsiaTheme="minorEastAsia"/>
          <w:noProof/>
        </w:rPr>
        <w:t xml:space="preserve">nnual </w:t>
      </w:r>
      <w:r w:rsidR="00BA64BD">
        <w:rPr>
          <w:rStyle w:val="eop"/>
          <w:rFonts w:eastAsiaTheme="minorEastAsia"/>
          <w:noProof/>
        </w:rPr>
        <w:t>g</w:t>
      </w:r>
      <w:r w:rsidRPr="00516125">
        <w:rPr>
          <w:rStyle w:val="eop"/>
          <w:rFonts w:eastAsiaTheme="minorEastAsia"/>
          <w:noProof/>
        </w:rPr>
        <w:t xml:space="preserve">rowth </w:t>
      </w:r>
      <w:r w:rsidR="00BA64BD">
        <w:rPr>
          <w:rStyle w:val="eop"/>
          <w:rFonts w:eastAsiaTheme="minorEastAsia"/>
          <w:noProof/>
        </w:rPr>
        <w:t>r</w:t>
      </w:r>
      <w:r w:rsidRPr="0A560E40">
        <w:rPr>
          <w:rStyle w:val="eop"/>
          <w:rFonts w:eastAsiaTheme="minorEastAsia"/>
          <w:noProof/>
        </w:rPr>
        <w:t xml:space="preserve">ate) of 4.59% over the 2019-2024 period, </w:t>
      </w:r>
      <w:r w:rsidRPr="00516125">
        <w:rPr>
          <w:rStyle w:val="eop"/>
          <w:rFonts w:eastAsiaTheme="minorEastAsia"/>
          <w:noProof/>
        </w:rPr>
        <w:t>whil</w:t>
      </w:r>
      <w:r w:rsidR="003B563B">
        <w:rPr>
          <w:rStyle w:val="eop"/>
          <w:rFonts w:eastAsiaTheme="minorEastAsia"/>
          <w:noProof/>
        </w:rPr>
        <w:t>e</w:t>
      </w:r>
      <w:r w:rsidRPr="0A560E40">
        <w:rPr>
          <w:rStyle w:val="eop"/>
          <w:rFonts w:eastAsiaTheme="minorEastAsia"/>
          <w:noProof/>
        </w:rPr>
        <w:t xml:space="preserve"> in the EU it grew by 5.8% compared to 2023</w:t>
      </w:r>
      <w:r w:rsidRPr="0A560E40">
        <w:rPr>
          <w:rStyle w:val="FootnoteReference"/>
          <w:rFonts w:eastAsiaTheme="minorEastAsia"/>
          <w:noProof/>
        </w:rPr>
        <w:footnoteReference w:id="42"/>
      </w:r>
      <w:r w:rsidRPr="004E62A4">
        <w:rPr>
          <w:rStyle w:val="eop"/>
          <w:rFonts w:eastAsiaTheme="minorEastAsia"/>
          <w:noProof/>
          <w:lang w:val="en-GB"/>
        </w:rPr>
        <w:t>.</w:t>
      </w:r>
      <w:r w:rsidRPr="004E62A4" w:rsidDel="00B25047">
        <w:rPr>
          <w:rStyle w:val="FootnoteReference"/>
          <w:noProof/>
          <w:lang w:val="en-GB"/>
        </w:rPr>
        <w:t xml:space="preserve"> </w:t>
      </w:r>
      <w:r w:rsidRPr="0A560E40">
        <w:rPr>
          <w:rStyle w:val="eop"/>
          <w:rFonts w:eastAsiaTheme="minorEastAsia"/>
          <w:noProof/>
        </w:rPr>
        <w:t>Future projections estimate steady but slower growth of 3% per year (without accounting for inflation)</w:t>
      </w:r>
      <w:r w:rsidRPr="004E62A4">
        <w:rPr>
          <w:rStyle w:val="FootnoteReference"/>
          <w:noProof/>
          <w:lang w:val="en-GB"/>
        </w:rPr>
        <w:footnoteReference w:id="43"/>
      </w:r>
      <w:r w:rsidRPr="004E62A4">
        <w:rPr>
          <w:noProof/>
          <w:lang w:val="en-GB"/>
        </w:rPr>
        <w:t xml:space="preserve">. </w:t>
      </w:r>
      <w:r w:rsidRPr="0A560E40">
        <w:rPr>
          <w:rStyle w:val="eop"/>
          <w:rFonts w:eastAsiaTheme="minorEastAsia"/>
          <w:noProof/>
        </w:rPr>
        <w:t xml:space="preserve">As </w:t>
      </w:r>
      <w:r w:rsidRPr="0A560E40">
        <w:rPr>
          <w:rStyle w:val="eop"/>
          <w:rFonts w:eastAsiaTheme="minorEastAsia"/>
          <w:noProof/>
        </w:rPr>
        <w:fldChar w:fldCharType="begin"/>
      </w:r>
      <w:r w:rsidRPr="0A560E40">
        <w:rPr>
          <w:rStyle w:val="eop"/>
          <w:rFonts w:eastAsiaTheme="minorEastAsia"/>
          <w:noProof/>
        </w:rPr>
        <w:instrText xml:space="preserve"> REF _Ref216882474 \h </w:instrText>
      </w:r>
      <w:r w:rsidRPr="0A560E40">
        <w:rPr>
          <w:rStyle w:val="eop"/>
          <w:rFonts w:eastAsiaTheme="minorEastAsia"/>
          <w:noProof/>
        </w:rPr>
      </w:r>
      <w:r w:rsidRPr="0A560E40">
        <w:rPr>
          <w:rStyle w:val="eop"/>
          <w:rFonts w:eastAsiaTheme="minorEastAsia"/>
          <w:noProof/>
        </w:rPr>
        <w:fldChar w:fldCharType="separate"/>
      </w:r>
      <w:r w:rsidR="009B3399" w:rsidRPr="00B54ECF">
        <w:rPr>
          <w:noProof/>
        </w:rPr>
        <w:t xml:space="preserve">Figure </w:t>
      </w:r>
      <w:r w:rsidR="009B3399">
        <w:rPr>
          <w:noProof/>
        </w:rPr>
        <w:t>8</w:t>
      </w:r>
      <w:r w:rsidRPr="0A560E40">
        <w:rPr>
          <w:rStyle w:val="eop"/>
          <w:rFonts w:eastAsiaTheme="minorEastAsia"/>
          <w:noProof/>
        </w:rPr>
        <w:fldChar w:fldCharType="end"/>
      </w:r>
      <w:r w:rsidRPr="0A560E40">
        <w:rPr>
          <w:rStyle w:val="eop"/>
          <w:rFonts w:eastAsiaTheme="minorEastAsia"/>
          <w:noProof/>
        </w:rPr>
        <w:t xml:space="preserve"> illustrates, the share of audiovisual in the EU economy has slightly decreased in </w:t>
      </w:r>
      <w:r w:rsidR="00984256">
        <w:rPr>
          <w:rStyle w:val="eop"/>
          <w:rFonts w:eastAsiaTheme="minorEastAsia"/>
          <w:noProof/>
        </w:rPr>
        <w:t>recent</w:t>
      </w:r>
      <w:r w:rsidRPr="0A560E40">
        <w:rPr>
          <w:rStyle w:val="eop"/>
          <w:rFonts w:eastAsiaTheme="minorEastAsia"/>
          <w:noProof/>
        </w:rPr>
        <w:t xml:space="preserve"> years, from 0.64% in 2019 to 0.59% in 2023</w:t>
      </w:r>
      <w:r w:rsidRPr="004E62A4">
        <w:rPr>
          <w:rStyle w:val="FootnoteReference"/>
          <w:noProof/>
          <w:lang w:val="en-GB"/>
        </w:rPr>
        <w:footnoteReference w:id="44"/>
      </w:r>
      <w:r w:rsidRPr="004E62A4">
        <w:rPr>
          <w:noProof/>
          <w:lang w:val="en-GB"/>
        </w:rPr>
        <w:t>.</w:t>
      </w:r>
    </w:p>
    <w:p w14:paraId="63C1C0FD" w14:textId="01C2DC0F" w:rsidR="00BF60DB" w:rsidRPr="00B54ECF" w:rsidRDefault="00BF60DB" w:rsidP="00BF60DB">
      <w:pPr>
        <w:pStyle w:val="Caption"/>
        <w:jc w:val="center"/>
        <w:rPr>
          <w:rFonts w:ascii="Times New Roman" w:hAnsi="Times New Roman" w:cs="Times New Roman"/>
          <w:noProof/>
          <w:color w:val="auto"/>
          <w:sz w:val="24"/>
          <w:szCs w:val="24"/>
        </w:rPr>
      </w:pPr>
      <w:bookmarkStart w:id="14" w:name="_Ref216882474"/>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8</w:t>
      </w:r>
      <w:r w:rsidRPr="00B54ECF">
        <w:rPr>
          <w:rFonts w:ascii="Times New Roman" w:hAnsi="Times New Roman" w:cs="Times New Roman"/>
          <w:noProof/>
          <w:color w:val="auto"/>
          <w:sz w:val="24"/>
          <w:szCs w:val="24"/>
        </w:rPr>
        <w:fldChar w:fldCharType="end"/>
      </w:r>
      <w:bookmarkEnd w:id="14"/>
      <w:r w:rsidRPr="00B54ECF">
        <w:rPr>
          <w:rFonts w:ascii="Times New Roman" w:hAnsi="Times New Roman" w:cs="Times New Roman"/>
          <w:noProof/>
          <w:color w:val="auto"/>
          <w:sz w:val="24"/>
          <w:szCs w:val="24"/>
        </w:rPr>
        <w:t xml:space="preserve">: Share of the audiovisual market in gross national product </w:t>
      </w:r>
      <w:r w:rsidRPr="00B54ECF">
        <w:rPr>
          <w:noProof/>
          <w:color w:val="auto"/>
          <w:sz w:val="24"/>
          <w:szCs w:val="24"/>
        </w:rPr>
        <w:br/>
      </w:r>
      <w:r w:rsidRPr="00B54ECF">
        <w:rPr>
          <w:rFonts w:ascii="Times New Roman" w:hAnsi="Times New Roman" w:cs="Times New Roman"/>
          <w:noProof/>
          <w:color w:val="auto"/>
          <w:sz w:val="24"/>
          <w:szCs w:val="24"/>
        </w:rPr>
        <w:t>(Source:</w:t>
      </w:r>
      <w:r w:rsidR="00516125" w:rsidRPr="00516125">
        <w:rPr>
          <w:rFonts w:ascii="Times New Roman" w:hAnsi="Times New Roman" w:cs="Times New Roman"/>
          <w:noProof/>
          <w:color w:val="auto"/>
          <w:sz w:val="24"/>
          <w:szCs w:val="24"/>
        </w:rPr>
        <w:t xml:space="preserve"> </w:t>
      </w:r>
      <w:r w:rsidRPr="00B54ECF">
        <w:rPr>
          <w:rFonts w:ascii="Times New Roman" w:hAnsi="Times New Roman" w:cs="Times New Roman"/>
          <w:noProof/>
          <w:color w:val="auto"/>
          <w:sz w:val="24"/>
          <w:szCs w:val="24"/>
        </w:rPr>
        <w:t>European Audiovisual Observatory, Key Trends 2025, 2025)</w:t>
      </w:r>
    </w:p>
    <w:p w14:paraId="1B158327" w14:textId="77777777" w:rsidR="00BF60DB" w:rsidRDefault="00BF60DB" w:rsidP="00BF60DB">
      <w:pPr>
        <w:pStyle w:val="paragraph"/>
        <w:spacing w:before="0" w:beforeAutospacing="0" w:after="240" w:afterAutospacing="0"/>
        <w:jc w:val="center"/>
        <w:rPr>
          <w:b/>
          <w:bCs/>
          <w:noProof/>
        </w:rPr>
      </w:pPr>
      <w:r>
        <w:rPr>
          <w:noProof/>
          <w:lang w:val="en-GB" w:eastAsia="en-GB"/>
        </w:rPr>
        <w:drawing>
          <wp:inline distT="0" distB="0" distL="0" distR="0" wp14:anchorId="39CBCE89" wp14:editId="17020EE0">
            <wp:extent cx="4187571" cy="2864252"/>
            <wp:effectExtent l="0" t="0" r="0" b="0"/>
            <wp:docPr id="2124387572" name="drawing" descr="A graph of blue bar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87572" name="drawing" descr="A graph of blue bars with numbers&#10;&#10;AI-generated content may be incorrect."/>
                    <pic:cNvPicPr/>
                  </pic:nvPicPr>
                  <pic:blipFill>
                    <a:blip r:embed="rId25">
                      <a:extLst>
                        <a:ext uri="{28A0092B-C50C-407E-A947-70E740481C1C}">
                          <a14:useLocalDpi xmlns:a14="http://schemas.microsoft.com/office/drawing/2010/main"/>
                        </a:ext>
                      </a:extLst>
                    </a:blip>
                    <a:stretch>
                      <a:fillRect/>
                    </a:stretch>
                  </pic:blipFill>
                  <pic:spPr>
                    <a:xfrm>
                      <a:off x="0" y="0"/>
                      <a:ext cx="4187571" cy="2864252"/>
                    </a:xfrm>
                    <a:prstGeom prst="rect">
                      <a:avLst/>
                    </a:prstGeom>
                  </pic:spPr>
                </pic:pic>
              </a:graphicData>
            </a:graphic>
          </wp:inline>
        </w:drawing>
      </w:r>
    </w:p>
    <w:p w14:paraId="23552F75" w14:textId="1C53F46F" w:rsidR="00BF60DB" w:rsidRPr="007D049A" w:rsidRDefault="00BF60DB" w:rsidP="00BF60DB">
      <w:pPr>
        <w:spacing w:after="240" w:line="240" w:lineRule="auto"/>
        <w:rPr>
          <w:rStyle w:val="eop"/>
          <w:rFonts w:ascii="Times New Roman" w:eastAsiaTheme="minorEastAsia" w:hAnsi="Times New Roman" w:cs="Times New Roman"/>
          <w:b/>
          <w:bCs/>
          <w:noProof/>
        </w:rPr>
      </w:pPr>
      <w:r w:rsidRPr="29C3FA4B">
        <w:rPr>
          <w:rStyle w:val="eop"/>
          <w:rFonts w:ascii="Times New Roman" w:eastAsiaTheme="minorEastAsia" w:hAnsi="Times New Roman" w:cs="Times New Roman"/>
          <w:noProof/>
        </w:rPr>
        <w:t>TV distribution platforms</w:t>
      </w:r>
    </w:p>
    <w:p w14:paraId="160A6F80" w14:textId="3E367E67" w:rsidR="00BF60DB" w:rsidRPr="007D049A" w:rsidRDefault="00BF60DB" w:rsidP="00BF60DB">
      <w:pPr>
        <w:spacing w:after="240" w:line="240" w:lineRule="auto"/>
        <w:jc w:val="both"/>
        <w:rPr>
          <w:rStyle w:val="eop"/>
          <w:rFonts w:ascii="Times New Roman" w:eastAsiaTheme="minorEastAsia" w:hAnsi="Times New Roman" w:cs="Times New Roman"/>
          <w:noProof/>
        </w:rPr>
      </w:pPr>
      <w:r w:rsidRPr="0A560E40">
        <w:rPr>
          <w:rStyle w:val="eop"/>
          <w:rFonts w:ascii="Times New Roman" w:eastAsiaTheme="minorEastAsia" w:hAnsi="Times New Roman" w:cs="Times New Roman"/>
          <w:noProof/>
        </w:rPr>
        <w:t>Audiovisual content in the EU is delivered by various methods and associated delivery platforms. Linear TV is delivered through DTT, satellite and cable networks, as well as via streaming over broadband connections (IPTV).</w:t>
      </w:r>
      <w:r w:rsidR="00516125" w:rsidRPr="00516125">
        <w:rPr>
          <w:rStyle w:val="eop"/>
          <w:rFonts w:ascii="Times New Roman" w:eastAsiaTheme="minorEastAsia" w:hAnsi="Times New Roman" w:cs="Times New Roman"/>
          <w:noProof/>
        </w:rPr>
        <w:t xml:space="preserve"> </w:t>
      </w:r>
      <w:r w:rsidRPr="0A560E40">
        <w:rPr>
          <w:rStyle w:val="eop"/>
          <w:rFonts w:ascii="Times New Roman" w:eastAsiaTheme="minorEastAsia" w:hAnsi="Times New Roman" w:cs="Times New Roman"/>
          <w:noProof/>
        </w:rPr>
        <w:t xml:space="preserve">Non-linear TV, </w:t>
      </w:r>
      <w:r w:rsidR="00516125">
        <w:rPr>
          <w:rStyle w:val="eop"/>
          <w:rFonts w:ascii="Times New Roman" w:eastAsiaTheme="minorEastAsia" w:hAnsi="Times New Roman" w:cs="Times New Roman"/>
          <w:noProof/>
        </w:rPr>
        <w:t>i.e.</w:t>
      </w:r>
      <w:r w:rsidRPr="0A560E40">
        <w:rPr>
          <w:rStyle w:val="eop"/>
          <w:rFonts w:ascii="Times New Roman" w:eastAsiaTheme="minorEastAsia" w:hAnsi="Times New Roman" w:cs="Times New Roman"/>
          <w:noProof/>
        </w:rPr>
        <w:t xml:space="preserve"> viewing content at a time chosen by the viewer rather than at the time of broadcast, is delivered primarily over broadband internet connections. Catch-up TV enables viewers to access programmes that have been broadcast recently, while over-the-top (OTT)</w:t>
      </w:r>
      <w:r w:rsidRPr="0A560E40">
        <w:rPr>
          <w:rStyle w:val="FootnoteReference"/>
          <w:rFonts w:ascii="Times New Roman" w:eastAsiaTheme="minorEastAsia" w:hAnsi="Times New Roman" w:cs="Times New Roman"/>
          <w:noProof/>
        </w:rPr>
        <w:footnoteReference w:id="45"/>
      </w:r>
      <w:r w:rsidRPr="0A560E40">
        <w:rPr>
          <w:rStyle w:val="eop"/>
          <w:rFonts w:ascii="Times New Roman" w:eastAsiaTheme="minorEastAsia" w:hAnsi="Times New Roman" w:cs="Times New Roman"/>
          <w:noProof/>
        </w:rPr>
        <w:t xml:space="preserve"> services provide catalogues of content produced or licensed by online streaming service providers (</w:t>
      </w:r>
      <w:r w:rsidR="00516125">
        <w:rPr>
          <w:rStyle w:val="eop"/>
          <w:rFonts w:ascii="Times New Roman" w:eastAsiaTheme="minorEastAsia" w:hAnsi="Times New Roman" w:cs="Times New Roman"/>
          <w:noProof/>
        </w:rPr>
        <w:t>e.g.</w:t>
      </w:r>
      <w:r w:rsidRPr="0A560E40">
        <w:rPr>
          <w:rStyle w:val="eop"/>
          <w:rFonts w:ascii="Times New Roman" w:eastAsiaTheme="minorEastAsia" w:hAnsi="Times New Roman" w:cs="Times New Roman"/>
          <w:noProof/>
        </w:rPr>
        <w:t xml:space="preserve"> Netflix, Disney+, Amazon). Non-linear television is commonly referred to as video</w:t>
      </w:r>
      <w:r w:rsidR="003B563B">
        <w:rPr>
          <w:rStyle w:val="eop"/>
          <w:rFonts w:ascii="Times New Roman" w:eastAsiaTheme="minorEastAsia" w:hAnsi="Times New Roman" w:cs="Times New Roman"/>
          <w:noProof/>
        </w:rPr>
        <w:t xml:space="preserve"> </w:t>
      </w:r>
      <w:r w:rsidRPr="0A560E40">
        <w:rPr>
          <w:rStyle w:val="eop"/>
          <w:rFonts w:ascii="Times New Roman" w:eastAsiaTheme="minorEastAsia" w:hAnsi="Times New Roman" w:cs="Times New Roman"/>
          <w:noProof/>
        </w:rPr>
        <w:t>on</w:t>
      </w:r>
      <w:r w:rsidR="003B563B">
        <w:rPr>
          <w:rStyle w:val="eop"/>
          <w:rFonts w:ascii="Times New Roman" w:eastAsiaTheme="minorEastAsia" w:hAnsi="Times New Roman" w:cs="Times New Roman"/>
          <w:noProof/>
        </w:rPr>
        <w:t xml:space="preserve"> </w:t>
      </w:r>
      <w:r w:rsidRPr="0A560E40">
        <w:rPr>
          <w:rStyle w:val="eop"/>
          <w:rFonts w:ascii="Times New Roman" w:eastAsiaTheme="minorEastAsia" w:hAnsi="Times New Roman" w:cs="Times New Roman"/>
          <w:noProof/>
        </w:rPr>
        <w:t>demand (VoD) and may be provided free of charge, via a subscription model (SVoD) or on a transactional pay-per-view basis (TVoD).</w:t>
      </w:r>
    </w:p>
    <w:p w14:paraId="29644CBB" w14:textId="77777777" w:rsidR="00BF60DB" w:rsidRPr="007D049A" w:rsidRDefault="00BF60DB" w:rsidP="00BF60DB">
      <w:pPr>
        <w:spacing w:after="240" w:line="240" w:lineRule="auto"/>
        <w:jc w:val="both"/>
        <w:rPr>
          <w:rStyle w:val="eop"/>
          <w:rFonts w:ascii="Times New Roman" w:eastAsiaTheme="minorEastAsia" w:hAnsi="Times New Roman" w:cs="Times New Roman"/>
          <w:noProof/>
        </w:rPr>
      </w:pPr>
      <w:r w:rsidRPr="0A560E40">
        <w:rPr>
          <w:rStyle w:val="eop"/>
          <w:rFonts w:ascii="Times New Roman" w:eastAsiaTheme="minorEastAsia" w:hAnsi="Times New Roman" w:cs="Times New Roman"/>
          <w:noProof/>
        </w:rPr>
        <w:t xml:space="preserve">European TV channels are delivered through a combination of terrestrial and non-terrestrial networks. DTT accounts for around 30% of all TV channels in Europe, while the remaining 70% are distributed via cable, satellite, IPTV or other platforms. According to data from December 2024, 2 902 TV channels were carried on DTT, compared with </w:t>
      </w:r>
      <w:bookmarkStart w:id="15" w:name="_Hlk216906539"/>
      <w:r w:rsidRPr="0A560E40">
        <w:rPr>
          <w:rStyle w:val="eop"/>
          <w:rFonts w:ascii="Times New Roman" w:eastAsiaTheme="minorEastAsia" w:hAnsi="Times New Roman" w:cs="Times New Roman"/>
          <w:noProof/>
        </w:rPr>
        <w:t>6 634</w:t>
      </w:r>
      <w:bookmarkEnd w:id="15"/>
      <w:r w:rsidRPr="0A560E40">
        <w:rPr>
          <w:rStyle w:val="eop"/>
          <w:rFonts w:ascii="Times New Roman" w:eastAsiaTheme="minorEastAsia" w:hAnsi="Times New Roman" w:cs="Times New Roman"/>
          <w:noProof/>
        </w:rPr>
        <w:t xml:space="preserve"> channels available through other platforms</w:t>
      </w:r>
      <w:r w:rsidRPr="0A560E40">
        <w:rPr>
          <w:rStyle w:val="FootnoteReference"/>
          <w:rFonts w:ascii="Times New Roman" w:eastAsiaTheme="minorEastAsia" w:hAnsi="Times New Roman" w:cs="Times New Roman"/>
          <w:noProof/>
        </w:rPr>
        <w:footnoteReference w:id="46"/>
      </w:r>
      <w:r w:rsidRPr="0A560E40">
        <w:rPr>
          <w:rStyle w:val="eop"/>
          <w:rFonts w:ascii="Times New Roman" w:eastAsiaTheme="minorEastAsia" w:hAnsi="Times New Roman" w:cs="Times New Roman"/>
          <w:noProof/>
        </w:rPr>
        <w:t>.</w:t>
      </w:r>
    </w:p>
    <w:p w14:paraId="07E06380" w14:textId="606168FF" w:rsidR="00BF60DB" w:rsidRPr="0010331E" w:rsidRDefault="00BF60DB" w:rsidP="00BF60DB">
      <w:pPr>
        <w:spacing w:after="240" w:line="240" w:lineRule="auto"/>
        <w:jc w:val="both"/>
        <w:rPr>
          <w:rStyle w:val="eop"/>
          <w:rFonts w:ascii="Times New Roman" w:hAnsi="Times New Roman"/>
          <w:noProof/>
        </w:rPr>
      </w:pPr>
      <w:r w:rsidRPr="004E62A4">
        <w:rPr>
          <w:rStyle w:val="eop"/>
          <w:rFonts w:ascii="Times New Roman" w:hAnsi="Times New Roman"/>
          <w:noProof/>
          <w:lang w:val="en-GB"/>
        </w:rPr>
        <w:t xml:space="preserve">Figure 9 shows the evolution of TV distribution platforms in Europe from 2005 to 2025, based on the BNE-EBU database. Terrestrial analogue television declined steadily until the switchover to DTT. DTT reached a peak of 46% </w:t>
      </w:r>
      <w:r w:rsidRPr="004E62A4">
        <w:rPr>
          <w:rFonts w:ascii="Times New Roman" w:hAnsi="Times New Roman"/>
          <w:noProof/>
          <w:lang w:val="en-GB"/>
        </w:rPr>
        <w:t>in 2013</w:t>
      </w:r>
      <w:r w:rsidRPr="004E62A4">
        <w:rPr>
          <w:rStyle w:val="eop"/>
          <w:rFonts w:ascii="Times New Roman" w:hAnsi="Times New Roman"/>
          <w:noProof/>
          <w:lang w:val="en-GB"/>
        </w:rPr>
        <w:t xml:space="preserve">, and then remained relatively stable, with a gradual decrease to around 40% in 2024. Cable shows a slight downward trend, falling from about 35% in 2006 to around 23% in 2024. Satellite </w:t>
      </w:r>
      <w:r w:rsidRPr="004E62A4">
        <w:rPr>
          <w:rStyle w:val="eop"/>
          <w:noProof/>
          <w:lang w:val="en-GB"/>
        </w:rPr>
        <w:t>remains</w:t>
      </w:r>
      <w:r w:rsidRPr="00F12A37">
        <w:rPr>
          <w:rStyle w:val="eop"/>
          <w:rFonts w:ascii="Times New Roman" w:eastAsiaTheme="minorEastAsia" w:hAnsi="Times New Roman" w:cs="Times New Roman"/>
          <w:noProof/>
          <w:lang w:eastAsia="en-IE"/>
        </w:rPr>
        <w:t xml:space="preserve"> </w:t>
      </w:r>
      <w:r w:rsidR="002A5DD1">
        <w:rPr>
          <w:rStyle w:val="eop"/>
          <w:rFonts w:ascii="Times New Roman" w:eastAsiaTheme="minorEastAsia" w:hAnsi="Times New Roman" w:cs="Times New Roman"/>
          <w:noProof/>
          <w:lang w:eastAsia="en-IE"/>
        </w:rPr>
        <w:t>at</w:t>
      </w:r>
      <w:r w:rsidRPr="004E62A4">
        <w:rPr>
          <w:rStyle w:val="eop"/>
          <w:noProof/>
          <w:lang w:val="en-GB"/>
        </w:rPr>
        <w:t xml:space="preserve"> around 22%, with only small fluctuations over time. Finally, IPTV has grown significantly, from </w:t>
      </w:r>
      <w:r w:rsidR="002A5DD1">
        <w:rPr>
          <w:rStyle w:val="eop"/>
          <w:rFonts w:ascii="Times New Roman" w:eastAsiaTheme="minorEastAsia" w:hAnsi="Times New Roman" w:cs="Times New Roman"/>
          <w:noProof/>
          <w:lang w:eastAsia="en-IE"/>
        </w:rPr>
        <w:t>almost</w:t>
      </w:r>
      <w:r w:rsidRPr="004E62A4">
        <w:rPr>
          <w:rStyle w:val="eop"/>
          <w:noProof/>
          <w:lang w:val="en-GB"/>
        </w:rPr>
        <w:t xml:space="preserve"> 0% in 2006 to nearly 29% in 2024.</w:t>
      </w:r>
    </w:p>
    <w:p w14:paraId="4655D681" w14:textId="4F089D25" w:rsidR="00BF60DB" w:rsidRPr="00B54ECF" w:rsidRDefault="00BF60DB" w:rsidP="00BF60DB">
      <w:pPr>
        <w:pStyle w:val="Caption"/>
        <w:jc w:val="center"/>
        <w:rPr>
          <w:rFonts w:ascii="Times New Roman" w:hAnsi="Times New Roman" w:cs="Times New Roman"/>
          <w:noProof/>
          <w:color w:val="auto"/>
          <w:sz w:val="24"/>
          <w:szCs w:val="24"/>
        </w:rPr>
      </w:pPr>
      <w:bookmarkStart w:id="16" w:name="_Hlk231306340"/>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9</w:t>
      </w:r>
      <w:r w:rsidRPr="00B54ECF">
        <w:rPr>
          <w:rFonts w:ascii="Times New Roman" w:hAnsi="Times New Roman" w:cs="Times New Roman"/>
          <w:noProof/>
          <w:color w:val="auto"/>
          <w:sz w:val="24"/>
          <w:szCs w:val="24"/>
        </w:rPr>
        <w:fldChar w:fldCharType="end"/>
      </w:r>
      <w:r w:rsidRPr="00B54ECF">
        <w:rPr>
          <w:rFonts w:ascii="Times New Roman" w:hAnsi="Times New Roman" w:cs="Times New Roman"/>
          <w:noProof/>
          <w:color w:val="auto"/>
          <w:sz w:val="24"/>
          <w:szCs w:val="24"/>
        </w:rPr>
        <w:t>:</w:t>
      </w:r>
      <w:r w:rsidRPr="0010331E">
        <w:rPr>
          <w:rFonts w:ascii="Times New Roman" w:hAnsi="Times New Roman"/>
          <w:noProof/>
          <w:color w:val="auto"/>
          <w:sz w:val="24"/>
        </w:rPr>
        <w:t xml:space="preserve"> Penetration of TV distribution platforms </w:t>
      </w:r>
      <w:r w:rsidRPr="00B54ECF">
        <w:rPr>
          <w:rFonts w:ascii="Times New Roman" w:hAnsi="Times New Roman" w:cs="Times New Roman"/>
          <w:noProof/>
          <w:color w:val="auto"/>
          <w:sz w:val="24"/>
          <w:szCs w:val="24"/>
        </w:rPr>
        <w:t>(Source: EBU</w:t>
      </w:r>
      <w:r w:rsidR="00BA64BD">
        <w:rPr>
          <w:rFonts w:ascii="Times New Roman" w:hAnsi="Times New Roman" w:cs="Times New Roman"/>
          <w:noProof/>
          <w:color w:val="auto"/>
          <w:sz w:val="24"/>
          <w:szCs w:val="24"/>
        </w:rPr>
        <w:t>-</w:t>
      </w:r>
      <w:r w:rsidRPr="00B54ECF">
        <w:rPr>
          <w:rFonts w:ascii="Times New Roman" w:hAnsi="Times New Roman" w:cs="Times New Roman"/>
          <w:noProof/>
          <w:color w:val="auto"/>
          <w:sz w:val="24"/>
          <w:szCs w:val="24"/>
        </w:rPr>
        <w:t>BNE DPM database)</w:t>
      </w:r>
    </w:p>
    <w:bookmarkEnd w:id="16"/>
    <w:p w14:paraId="6612E4C2" w14:textId="7347C4E7" w:rsidR="00BF60DB" w:rsidRPr="007D049A" w:rsidRDefault="00BF60DB" w:rsidP="00BF60DB">
      <w:pPr>
        <w:spacing w:after="240" w:line="240" w:lineRule="auto"/>
        <w:jc w:val="both"/>
        <w:rPr>
          <w:rFonts w:ascii="Times New Roman" w:eastAsia="Yu Mincho" w:hAnsi="Times New Roman" w:cs="Times New Roman"/>
          <w:noProof/>
        </w:rPr>
      </w:pPr>
      <w:r>
        <w:rPr>
          <w:noProof/>
          <w:lang w:val="en-GB" w:eastAsia="en-GB"/>
        </w:rPr>
        <w:drawing>
          <wp:inline distT="0" distB="0" distL="0" distR="0" wp14:anchorId="188C47BC" wp14:editId="4501566E">
            <wp:extent cx="4930775" cy="3158650"/>
            <wp:effectExtent l="0" t="0" r="0" b="0"/>
            <wp:docPr id="1302574299" name="drawing" descr="A graph of a number of tv distribution plat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4299" name="drawing" descr="A graph of a number of tv distribution platforms&#10;&#10;AI-generated content may be incorrect."/>
                    <pic:cNvPicPr/>
                  </pic:nvPicPr>
                  <pic:blipFill>
                    <a:blip r:embed="rId26">
                      <a:extLst>
                        <a:ext uri="{28A0092B-C50C-407E-A947-70E740481C1C}">
                          <a14:useLocalDpi xmlns:a14="http://schemas.microsoft.com/office/drawing/2010/main"/>
                        </a:ext>
                      </a:extLst>
                    </a:blip>
                    <a:stretch>
                      <a:fillRect/>
                    </a:stretch>
                  </pic:blipFill>
                  <pic:spPr>
                    <a:xfrm>
                      <a:off x="0" y="0"/>
                      <a:ext cx="4930775" cy="3158650"/>
                    </a:xfrm>
                    <a:prstGeom prst="rect">
                      <a:avLst/>
                    </a:prstGeom>
                  </pic:spPr>
                </pic:pic>
              </a:graphicData>
            </a:graphic>
          </wp:inline>
        </w:drawing>
      </w:r>
    </w:p>
    <w:p w14:paraId="7DDED4C4" w14:textId="3EF1E77A" w:rsidR="00E130FA" w:rsidRDefault="00BF60DB" w:rsidP="00BF60DB">
      <w:pPr>
        <w:spacing w:after="240" w:line="240" w:lineRule="auto"/>
        <w:jc w:val="both"/>
        <w:rPr>
          <w:rStyle w:val="eop"/>
          <w:rFonts w:ascii="Times New Roman" w:eastAsiaTheme="minorEastAsia" w:hAnsi="Times New Roman" w:cs="Times New Roman"/>
          <w:noProof/>
          <w:lang w:eastAsia="en-IE"/>
        </w:rPr>
      </w:pPr>
      <w:r w:rsidRPr="5C68EBB8">
        <w:rPr>
          <w:rStyle w:val="eop"/>
          <w:rFonts w:ascii="Times New Roman" w:eastAsiaTheme="minorEastAsia" w:hAnsi="Times New Roman" w:cs="Times New Roman"/>
          <w:noProof/>
          <w:lang w:eastAsia="en-IE"/>
        </w:rPr>
        <w:t xml:space="preserve">In this context, recent data from the RSPG Report show how these platforms are used across the EU. The </w:t>
      </w:r>
      <w:r w:rsidR="00BA64BD">
        <w:rPr>
          <w:rStyle w:val="eop"/>
          <w:rFonts w:ascii="Times New Roman" w:eastAsiaTheme="minorEastAsia" w:hAnsi="Times New Roman" w:cs="Times New Roman"/>
          <w:noProof/>
          <w:lang w:eastAsia="en-IE"/>
        </w:rPr>
        <w:t>r</w:t>
      </w:r>
      <w:r w:rsidRPr="5C68EBB8">
        <w:rPr>
          <w:rStyle w:val="eop"/>
          <w:rFonts w:ascii="Times New Roman" w:eastAsiaTheme="minorEastAsia" w:hAnsi="Times New Roman" w:cs="Times New Roman"/>
          <w:noProof/>
          <w:lang w:eastAsia="en-IE"/>
        </w:rPr>
        <w:t>eport highlights the diversity of platforms used across the EU for the distribution of audiovisual content, with the share of households accessing linear TV through DTT varying significantly among Member States. Figure 10 illustrates this diversity: DTT remains dominant in countries such as Spain and Italy, whereas its use is minimal in countries such as Sweden and Slovenia.</w:t>
      </w:r>
    </w:p>
    <w:p w14:paraId="03A54E36" w14:textId="77777777" w:rsidR="00E130FA" w:rsidRDefault="00E130FA">
      <w:pPr>
        <w:rPr>
          <w:rStyle w:val="eop"/>
          <w:rFonts w:ascii="Times New Roman" w:eastAsiaTheme="minorEastAsia" w:hAnsi="Times New Roman" w:cs="Times New Roman"/>
          <w:noProof/>
          <w:lang w:eastAsia="en-IE"/>
        </w:rPr>
      </w:pPr>
      <w:r>
        <w:rPr>
          <w:rStyle w:val="eop"/>
          <w:rFonts w:ascii="Times New Roman" w:eastAsiaTheme="minorEastAsia" w:hAnsi="Times New Roman" w:cs="Times New Roman"/>
          <w:noProof/>
          <w:lang w:eastAsia="en-IE"/>
        </w:rPr>
        <w:br w:type="page"/>
      </w:r>
    </w:p>
    <w:p w14:paraId="689571CA" w14:textId="07228C8C" w:rsidR="00BF60DB" w:rsidRPr="00B54ECF" w:rsidRDefault="00BF60DB" w:rsidP="00BF60DB">
      <w:pPr>
        <w:pStyle w:val="Caption"/>
        <w:jc w:val="center"/>
        <w:rPr>
          <w:rFonts w:ascii="Times New Roman" w:hAnsi="Times New Roman" w:cs="Times New Roman"/>
          <w:noProof/>
          <w:color w:val="auto"/>
          <w:sz w:val="24"/>
          <w:szCs w:val="24"/>
        </w:rPr>
      </w:pPr>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10</w:t>
      </w:r>
      <w:r w:rsidRPr="00B54ECF">
        <w:rPr>
          <w:rFonts w:ascii="Times New Roman" w:hAnsi="Times New Roman" w:cs="Times New Roman"/>
          <w:noProof/>
          <w:color w:val="auto"/>
          <w:sz w:val="24"/>
          <w:szCs w:val="24"/>
        </w:rPr>
        <w:fldChar w:fldCharType="end"/>
      </w:r>
      <w:r w:rsidRPr="00B54ECF">
        <w:rPr>
          <w:rFonts w:ascii="Times New Roman" w:hAnsi="Times New Roman" w:cs="Times New Roman"/>
          <w:noProof/>
          <w:color w:val="auto"/>
          <w:sz w:val="24"/>
          <w:szCs w:val="24"/>
        </w:rPr>
        <w:t xml:space="preserve">: </w:t>
      </w:r>
      <w:r w:rsidRPr="58F4E9F3">
        <w:rPr>
          <w:rFonts w:ascii="Times New Roman" w:hAnsi="Times New Roman"/>
          <w:noProof/>
          <w:color w:val="auto"/>
          <w:sz w:val="24"/>
          <w:szCs w:val="24"/>
        </w:rPr>
        <w:t>Use of various platforms</w:t>
      </w:r>
      <w:r w:rsidR="00516125" w:rsidRPr="58F4E9F3">
        <w:rPr>
          <w:rFonts w:ascii="Times New Roman" w:hAnsi="Times New Roman" w:cs="Times New Roman"/>
          <w:noProof/>
          <w:color w:val="auto"/>
          <w:sz w:val="24"/>
          <w:szCs w:val="24"/>
        </w:rPr>
        <w:t xml:space="preserve"> </w:t>
      </w:r>
      <w:r w:rsidRPr="58F4E9F3">
        <w:rPr>
          <w:rFonts w:ascii="Times New Roman" w:hAnsi="Times New Roman"/>
          <w:noProof/>
          <w:color w:val="auto"/>
          <w:sz w:val="24"/>
          <w:szCs w:val="24"/>
        </w:rPr>
        <w:t xml:space="preserve">in </w:t>
      </w:r>
      <w:r w:rsidR="027D601E" w:rsidRPr="58F4E9F3">
        <w:rPr>
          <w:rFonts w:ascii="Times New Roman" w:hAnsi="Times New Roman"/>
          <w:noProof/>
          <w:color w:val="auto"/>
          <w:sz w:val="24"/>
          <w:szCs w:val="24"/>
          <w:lang w:val="en-GB"/>
        </w:rPr>
        <w:t xml:space="preserve">the </w:t>
      </w:r>
      <w:r w:rsidRPr="58F4E9F3">
        <w:rPr>
          <w:rFonts w:ascii="Times New Roman" w:hAnsi="Times New Roman"/>
          <w:noProof/>
          <w:color w:val="auto"/>
          <w:sz w:val="24"/>
          <w:szCs w:val="24"/>
        </w:rPr>
        <w:t>EU for audiovisual content distribution in 2025</w:t>
      </w:r>
      <w:r w:rsidRPr="58F4E9F3">
        <w:rPr>
          <w:rFonts w:ascii="Times New Roman" w:hAnsi="Times New Roman"/>
          <w:i w:val="0"/>
          <w:iCs w:val="0"/>
          <w:noProof/>
          <w:color w:val="auto"/>
          <w:sz w:val="24"/>
          <w:szCs w:val="24"/>
          <w:vertAlign w:val="superscript"/>
        </w:rPr>
        <w:footnoteReference w:id="47"/>
      </w:r>
      <w:r w:rsidRPr="00B21E2B">
        <w:rPr>
          <w:rFonts w:ascii="Times New Roman" w:hAnsi="Times New Roman"/>
          <w:noProof/>
          <w:color w:val="auto"/>
          <w:sz w:val="24"/>
          <w:szCs w:val="24"/>
        </w:rPr>
        <w:t xml:space="preserve"> (based on available input from national administrations) </w:t>
      </w:r>
      <w:r w:rsidRPr="00B54ECF">
        <w:rPr>
          <w:rFonts w:ascii="Times New Roman" w:hAnsi="Times New Roman" w:cs="Times New Roman"/>
          <w:noProof/>
          <w:color w:val="auto"/>
          <w:sz w:val="24"/>
          <w:szCs w:val="24"/>
        </w:rPr>
        <w:t>(Source: RSPG Report)</w:t>
      </w:r>
    </w:p>
    <w:p w14:paraId="5407D2E2" w14:textId="2626ACE9" w:rsidR="1C82585D" w:rsidRDefault="1C82585D" w:rsidP="00B21E2B">
      <w:pPr>
        <w:keepNext/>
        <w:spacing w:before="240" w:after="240" w:line="240" w:lineRule="auto"/>
        <w:jc w:val="both"/>
        <w:rPr>
          <w:noProof/>
        </w:rPr>
      </w:pPr>
    </w:p>
    <w:p w14:paraId="7773A11B" w14:textId="5F548BC8" w:rsidR="008D0C54" w:rsidRDefault="4E1652E1" w:rsidP="24E49D9F">
      <w:pPr>
        <w:spacing w:before="240"/>
        <w:rPr>
          <w:noProof/>
        </w:rPr>
      </w:pPr>
      <w:r>
        <w:rPr>
          <w:noProof/>
          <w:lang w:val="en-GB" w:eastAsia="en-GB"/>
        </w:rPr>
        <w:drawing>
          <wp:inline distT="0" distB="0" distL="0" distR="0" wp14:anchorId="1A826C59" wp14:editId="03C812E7">
            <wp:extent cx="5819775" cy="2508616"/>
            <wp:effectExtent l="0" t="0" r="0" b="0"/>
            <wp:docPr id="1994139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39152" name="Picture 1994139152"/>
                    <pic:cNvPicPr/>
                  </pic:nvPicPr>
                  <pic:blipFill>
                    <a:blip r:embed="rId27">
                      <a:extLst>
                        <a:ext uri="{28A0092B-C50C-407E-A947-70E740481C1C}">
                          <a14:useLocalDpi xmlns:a14="http://schemas.microsoft.com/office/drawing/2010/main"/>
                        </a:ext>
                      </a:extLst>
                    </a:blip>
                    <a:stretch>
                      <a:fillRect/>
                    </a:stretch>
                  </pic:blipFill>
                  <pic:spPr>
                    <a:xfrm>
                      <a:off x="0" y="0"/>
                      <a:ext cx="5819775" cy="2508616"/>
                    </a:xfrm>
                    <a:prstGeom prst="rect">
                      <a:avLst/>
                    </a:prstGeom>
                  </pic:spPr>
                </pic:pic>
              </a:graphicData>
            </a:graphic>
          </wp:inline>
        </w:drawing>
      </w:r>
    </w:p>
    <w:p w14:paraId="24EDAC69" w14:textId="6E8ECDA2" w:rsidR="00BF60DB" w:rsidRPr="00F91E99" w:rsidDel="00C27C55" w:rsidRDefault="00BF60DB" w:rsidP="00BF60DB">
      <w:pPr>
        <w:pStyle w:val="Caption"/>
        <w:spacing w:before="240"/>
        <w:jc w:val="both"/>
        <w:rPr>
          <w:rStyle w:val="eop"/>
          <w:rFonts w:ascii="Times New Roman" w:eastAsiaTheme="minorEastAsia" w:hAnsi="Times New Roman" w:cs="Times New Roman"/>
          <w:i w:val="0"/>
          <w:iCs w:val="0"/>
          <w:noProof/>
          <w:color w:val="auto"/>
          <w:sz w:val="24"/>
          <w:szCs w:val="24"/>
          <w:lang w:eastAsia="en-IE"/>
        </w:rPr>
      </w:pPr>
      <w:r w:rsidRPr="0A560E40">
        <w:rPr>
          <w:rStyle w:val="eop"/>
          <w:rFonts w:ascii="Times New Roman" w:eastAsiaTheme="minorEastAsia" w:hAnsi="Times New Roman" w:cs="Times New Roman"/>
          <w:i w:val="0"/>
          <w:iCs w:val="0"/>
          <w:noProof/>
          <w:color w:val="auto"/>
          <w:sz w:val="24"/>
          <w:szCs w:val="24"/>
          <w:lang w:eastAsia="en-IE"/>
        </w:rPr>
        <w:t>Complementing this perspective, data from the European Audiovisual Observatory illustrate the distribution of primary</w:t>
      </w:r>
      <w:r w:rsidRPr="00B21E2B">
        <w:rPr>
          <w:rStyle w:val="eop"/>
          <w:i w:val="0"/>
          <w:noProof/>
          <w:color w:val="auto"/>
          <w:vertAlign w:val="superscript"/>
        </w:rPr>
        <w:footnoteReference w:id="48"/>
      </w:r>
      <w:r w:rsidRPr="00B21E2B">
        <w:rPr>
          <w:rStyle w:val="eop"/>
          <w:rFonts w:ascii="Times New Roman" w:eastAsiaTheme="minorEastAsia" w:hAnsi="Times New Roman" w:cs="Times New Roman"/>
          <w:i w:val="0"/>
          <w:iCs w:val="0"/>
          <w:noProof/>
          <w:color w:val="auto"/>
          <w:sz w:val="24"/>
          <w:szCs w:val="24"/>
          <w:vertAlign w:val="superscript"/>
          <w:lang w:eastAsia="en-IE"/>
        </w:rPr>
        <w:t xml:space="preserve"> </w:t>
      </w:r>
      <w:r w:rsidRPr="0A560E40">
        <w:rPr>
          <w:rStyle w:val="eop"/>
          <w:rFonts w:ascii="Times New Roman" w:eastAsiaTheme="minorEastAsia" w:hAnsi="Times New Roman" w:cs="Times New Roman"/>
          <w:i w:val="0"/>
          <w:iCs w:val="0"/>
          <w:noProof/>
          <w:color w:val="auto"/>
          <w:sz w:val="24"/>
          <w:szCs w:val="24"/>
          <w:lang w:eastAsia="en-IE"/>
        </w:rPr>
        <w:t>TV reception platforms across EU Member States in 2024, expressed as a percentage of TV households and broken down by cable, satellite, DTT and IPTV.</w:t>
      </w:r>
    </w:p>
    <w:p w14:paraId="4CFBFD74" w14:textId="30253FB9" w:rsidR="00BF60DB" w:rsidRPr="00ED5A11" w:rsidRDefault="00BF60DB" w:rsidP="00BF60DB">
      <w:pPr>
        <w:pStyle w:val="Caption"/>
        <w:jc w:val="center"/>
        <w:rPr>
          <w:rFonts w:ascii="Times New Roman" w:hAnsi="Times New Roman" w:cs="Times New Roman"/>
          <w:noProof/>
        </w:rPr>
      </w:pPr>
      <w:bookmarkStart w:id="17" w:name="_Ref218692121"/>
      <w:bookmarkStart w:id="18" w:name="_Hlk231313238"/>
      <w:bookmarkStart w:id="19" w:name="_Ref218692104"/>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11</w:t>
      </w:r>
      <w:r w:rsidRPr="00B54ECF">
        <w:rPr>
          <w:rFonts w:ascii="Times New Roman" w:hAnsi="Times New Roman" w:cs="Times New Roman"/>
          <w:noProof/>
          <w:color w:val="auto"/>
          <w:sz w:val="24"/>
          <w:szCs w:val="24"/>
        </w:rPr>
        <w:fldChar w:fldCharType="end"/>
      </w:r>
      <w:bookmarkEnd w:id="17"/>
      <w:r w:rsidRPr="00B54ECF">
        <w:rPr>
          <w:rFonts w:ascii="Times New Roman" w:hAnsi="Times New Roman" w:cs="Times New Roman"/>
          <w:noProof/>
          <w:color w:val="auto"/>
          <w:sz w:val="24"/>
          <w:szCs w:val="24"/>
        </w:rPr>
        <w:t xml:space="preserve">: Distribution of primary TV reception platforms in </w:t>
      </w:r>
      <w:r w:rsidR="00620790">
        <w:rPr>
          <w:rFonts w:ascii="Times New Roman" w:hAnsi="Times New Roman" w:cs="Times New Roman"/>
          <w:noProof/>
          <w:color w:val="auto"/>
          <w:sz w:val="24"/>
          <w:szCs w:val="24"/>
        </w:rPr>
        <w:t xml:space="preserve">the </w:t>
      </w:r>
      <w:r w:rsidRPr="00B54ECF">
        <w:rPr>
          <w:rFonts w:ascii="Times New Roman" w:hAnsi="Times New Roman" w:cs="Times New Roman"/>
          <w:noProof/>
          <w:color w:val="auto"/>
          <w:sz w:val="24"/>
          <w:szCs w:val="24"/>
        </w:rPr>
        <w:t xml:space="preserve">EU (2024) </w:t>
      </w:r>
      <w:r w:rsidRPr="00B54ECF">
        <w:rPr>
          <w:noProof/>
          <w:color w:val="auto"/>
          <w:sz w:val="24"/>
          <w:szCs w:val="24"/>
        </w:rPr>
        <w:br/>
      </w:r>
      <w:r w:rsidRPr="00B54ECF">
        <w:rPr>
          <w:rFonts w:ascii="Times New Roman" w:hAnsi="Times New Roman" w:cs="Times New Roman"/>
          <w:noProof/>
          <w:color w:val="auto"/>
          <w:sz w:val="24"/>
          <w:szCs w:val="24"/>
        </w:rPr>
        <w:t>(Source: European Audiovisual Observatory on Dataxis data – Yearbook 2025</w:t>
      </w:r>
      <w:bookmarkEnd w:id="18"/>
      <w:r w:rsidRPr="00B54ECF">
        <w:rPr>
          <w:rFonts w:ascii="Times New Roman" w:hAnsi="Times New Roman" w:cs="Times New Roman"/>
          <w:noProof/>
          <w:color w:val="auto"/>
          <w:sz w:val="24"/>
          <w:szCs w:val="24"/>
        </w:rPr>
        <w:t>)</w:t>
      </w:r>
      <w:bookmarkEnd w:id="19"/>
      <w:r>
        <w:rPr>
          <w:noProof/>
          <w:lang w:val="en-GB" w:eastAsia="en-GB"/>
        </w:rPr>
        <w:drawing>
          <wp:inline distT="0" distB="0" distL="0" distR="0" wp14:anchorId="623C68BA" wp14:editId="24636C7E">
            <wp:extent cx="4929188" cy="3059213"/>
            <wp:effectExtent l="0" t="0" r="5080" b="8255"/>
            <wp:docPr id="1522924856" name="drawing"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924856" name="drawing" descr="A graph of different colored lines&#10;&#10;AI-generated content may be incorrect."/>
                    <pic:cNvPicPr/>
                  </pic:nvPicPr>
                  <pic:blipFill>
                    <a:blip r:embed="rId28">
                      <a:extLst>
                        <a:ext uri="{28A0092B-C50C-407E-A947-70E740481C1C}">
                          <a14:useLocalDpi xmlns:a14="http://schemas.microsoft.com/office/drawing/2010/main"/>
                        </a:ext>
                      </a:extLst>
                    </a:blip>
                    <a:stretch>
                      <a:fillRect/>
                    </a:stretch>
                  </pic:blipFill>
                  <pic:spPr>
                    <a:xfrm>
                      <a:off x="0" y="0"/>
                      <a:ext cx="4942502" cy="3067476"/>
                    </a:xfrm>
                    <a:prstGeom prst="rect">
                      <a:avLst/>
                    </a:prstGeom>
                  </pic:spPr>
                </pic:pic>
              </a:graphicData>
            </a:graphic>
          </wp:inline>
        </w:drawing>
      </w:r>
    </w:p>
    <w:p w14:paraId="7A3725A7" w14:textId="2DEF3E22" w:rsidR="00BF60DB" w:rsidRPr="00E130FA" w:rsidRDefault="00BF60DB" w:rsidP="00BF60DB">
      <w:pPr>
        <w:spacing w:after="240" w:line="240" w:lineRule="auto"/>
        <w:jc w:val="both"/>
        <w:rPr>
          <w:rStyle w:val="eop"/>
          <w:rFonts w:ascii="Times New Roman" w:eastAsiaTheme="minorEastAsia" w:hAnsi="Times New Roman" w:cs="Times New Roman"/>
          <w:noProof/>
          <w:lang w:eastAsia="en-IE"/>
        </w:rPr>
      </w:pPr>
      <w:r w:rsidRPr="00AD2A5D">
        <w:rPr>
          <w:rStyle w:val="eop"/>
          <w:rFonts w:ascii="Times New Roman" w:eastAsiaTheme="minorEastAsia" w:hAnsi="Times New Roman" w:cs="Times New Roman"/>
          <w:noProof/>
          <w:lang w:eastAsia="en-IE"/>
        </w:rPr>
        <w:fldChar w:fldCharType="begin"/>
      </w:r>
      <w:r w:rsidRPr="00AD2A5D">
        <w:rPr>
          <w:rStyle w:val="eop"/>
          <w:rFonts w:ascii="Times New Roman" w:eastAsiaTheme="minorEastAsia" w:hAnsi="Times New Roman" w:cs="Times New Roman"/>
          <w:noProof/>
          <w:lang w:eastAsia="en-IE"/>
        </w:rPr>
        <w:instrText xml:space="preserve"> REF _Ref218692104 \h  \* MERGEFORMAT </w:instrText>
      </w:r>
      <w:r w:rsidRPr="00AD2A5D">
        <w:rPr>
          <w:rStyle w:val="eop"/>
          <w:rFonts w:ascii="Times New Roman" w:eastAsiaTheme="minorEastAsia" w:hAnsi="Times New Roman" w:cs="Times New Roman"/>
          <w:noProof/>
          <w:lang w:eastAsia="en-IE"/>
        </w:rPr>
      </w:r>
      <w:r w:rsidRPr="00AD2A5D">
        <w:rPr>
          <w:rStyle w:val="eop"/>
          <w:rFonts w:ascii="Times New Roman" w:eastAsiaTheme="minorEastAsia" w:hAnsi="Times New Roman" w:cs="Times New Roman"/>
          <w:noProof/>
          <w:lang w:eastAsia="en-IE"/>
        </w:rPr>
        <w:fldChar w:fldCharType="separate"/>
      </w:r>
      <w:r w:rsidR="009B3399" w:rsidRPr="00B54ECF">
        <w:rPr>
          <w:rFonts w:ascii="Times New Roman" w:hAnsi="Times New Roman" w:cs="Times New Roman"/>
          <w:noProof/>
        </w:rPr>
        <w:t xml:space="preserve">Figure </w:t>
      </w:r>
      <w:r w:rsidR="009B3399">
        <w:rPr>
          <w:rFonts w:ascii="Times New Roman" w:hAnsi="Times New Roman" w:cs="Times New Roman"/>
          <w:noProof/>
        </w:rPr>
        <w:t>11</w:t>
      </w:r>
      <w:r w:rsidR="009B3399" w:rsidRPr="00B54ECF">
        <w:rPr>
          <w:rFonts w:ascii="Times New Roman" w:hAnsi="Times New Roman" w:cs="Times New Roman"/>
          <w:noProof/>
        </w:rPr>
        <w:t xml:space="preserve">: Distribution of primary TV reception platforms in </w:t>
      </w:r>
      <w:r w:rsidR="009B3399">
        <w:rPr>
          <w:rFonts w:ascii="Times New Roman" w:hAnsi="Times New Roman" w:cs="Times New Roman"/>
          <w:noProof/>
        </w:rPr>
        <w:t xml:space="preserve">the </w:t>
      </w:r>
      <w:r w:rsidR="009B3399" w:rsidRPr="00B54ECF">
        <w:rPr>
          <w:rFonts w:ascii="Times New Roman" w:hAnsi="Times New Roman" w:cs="Times New Roman"/>
          <w:noProof/>
        </w:rPr>
        <w:t xml:space="preserve">EU (2024) </w:t>
      </w:r>
      <w:r w:rsidR="009B3399" w:rsidRPr="009B3399">
        <w:rPr>
          <w:rFonts w:ascii="Times New Roman" w:hAnsi="Times New Roman" w:cs="Times New Roman"/>
          <w:noProof/>
        </w:rPr>
        <w:br/>
      </w:r>
      <w:r w:rsidR="009B3399" w:rsidRPr="00B54ECF">
        <w:rPr>
          <w:rFonts w:ascii="Times New Roman" w:hAnsi="Times New Roman" w:cs="Times New Roman"/>
          <w:noProof/>
        </w:rPr>
        <w:t>(Source: European Audiovisual Observatory on Dataxis data – Yearbook 2025)</w:t>
      </w:r>
      <w:r w:rsidRPr="00AD2A5D">
        <w:rPr>
          <w:rStyle w:val="eop"/>
          <w:rFonts w:ascii="Times New Roman" w:eastAsiaTheme="minorEastAsia" w:hAnsi="Times New Roman" w:cs="Times New Roman"/>
          <w:noProof/>
          <w:lang w:eastAsia="en-IE"/>
        </w:rPr>
        <w:fldChar w:fldCharType="end"/>
      </w:r>
      <w:r w:rsidRPr="00AD2A5D">
        <w:rPr>
          <w:rStyle w:val="eop"/>
          <w:rFonts w:ascii="Times New Roman" w:eastAsiaTheme="minorEastAsia" w:hAnsi="Times New Roman" w:cs="Times New Roman"/>
          <w:noProof/>
          <w:lang w:eastAsia="en-IE"/>
        </w:rPr>
        <w:fldChar w:fldCharType="begin"/>
      </w:r>
      <w:r w:rsidRPr="00AD2A5D">
        <w:rPr>
          <w:rStyle w:val="eop"/>
          <w:rFonts w:ascii="Times New Roman" w:eastAsiaTheme="minorEastAsia" w:hAnsi="Times New Roman" w:cs="Times New Roman"/>
          <w:noProof/>
          <w:lang w:eastAsia="en-IE"/>
        </w:rPr>
        <w:instrText xml:space="preserve"> REF _Ref218692121 \h  \* MERGEFORMAT </w:instrText>
      </w:r>
      <w:r w:rsidRPr="00AD2A5D">
        <w:rPr>
          <w:rStyle w:val="eop"/>
          <w:rFonts w:ascii="Times New Roman" w:eastAsiaTheme="minorEastAsia" w:hAnsi="Times New Roman" w:cs="Times New Roman"/>
          <w:noProof/>
          <w:lang w:eastAsia="en-IE"/>
        </w:rPr>
      </w:r>
      <w:r w:rsidRPr="00AD2A5D">
        <w:rPr>
          <w:rStyle w:val="eop"/>
          <w:rFonts w:ascii="Times New Roman" w:eastAsiaTheme="minorEastAsia" w:hAnsi="Times New Roman" w:cs="Times New Roman"/>
          <w:noProof/>
          <w:lang w:eastAsia="en-IE"/>
        </w:rPr>
        <w:fldChar w:fldCharType="separate"/>
      </w:r>
      <w:r w:rsidR="009B3399" w:rsidRPr="009B3399">
        <w:rPr>
          <w:rStyle w:val="eop"/>
          <w:rFonts w:eastAsiaTheme="minorEastAsia"/>
          <w:noProof/>
          <w:lang w:eastAsia="en-IE"/>
        </w:rPr>
        <w:t>Figure 11</w:t>
      </w:r>
      <w:r w:rsidRPr="00AD2A5D">
        <w:rPr>
          <w:rStyle w:val="eop"/>
          <w:rFonts w:ascii="Times New Roman" w:eastAsiaTheme="minorEastAsia" w:hAnsi="Times New Roman" w:cs="Times New Roman"/>
          <w:noProof/>
          <w:lang w:eastAsia="en-IE"/>
        </w:rPr>
        <w:fldChar w:fldCharType="end"/>
      </w:r>
      <w:r w:rsidRPr="00E130FA">
        <w:rPr>
          <w:rStyle w:val="eop"/>
          <w:rFonts w:ascii="Times New Roman" w:eastAsiaTheme="minorEastAsia" w:hAnsi="Times New Roman" w:cs="Times New Roman"/>
          <w:noProof/>
          <w:lang w:eastAsia="en-IE"/>
        </w:rPr>
        <w:t xml:space="preserve"> highlights differences at Member State level, </w:t>
      </w:r>
      <w:r w:rsidR="009B5945">
        <w:rPr>
          <w:rStyle w:val="eop"/>
          <w:rFonts w:ascii="Times New Roman" w:eastAsiaTheme="minorEastAsia" w:hAnsi="Times New Roman" w:cs="Times New Roman"/>
          <w:noProof/>
          <w:lang w:eastAsia="en-IE"/>
        </w:rPr>
        <w:t>whereas</w:t>
      </w:r>
      <w:r w:rsidRPr="00516125">
        <w:rPr>
          <w:rStyle w:val="eop"/>
          <w:rFonts w:ascii="Times New Roman" w:eastAsiaTheme="minorEastAsia" w:hAnsi="Times New Roman" w:cs="Times New Roman"/>
          <w:noProof/>
          <w:lang w:eastAsia="en-IE"/>
        </w:rPr>
        <w:t xml:space="preserve"> </w:t>
      </w:r>
      <w:r w:rsidRPr="00AD2A5D">
        <w:rPr>
          <w:rStyle w:val="eop"/>
          <w:rFonts w:ascii="Times New Roman" w:eastAsiaTheme="minorEastAsia" w:hAnsi="Times New Roman" w:cs="Times New Roman"/>
          <w:noProof/>
          <w:lang w:eastAsia="en-IE"/>
        </w:rPr>
        <w:fldChar w:fldCharType="begin"/>
      </w:r>
      <w:r w:rsidRPr="00AD2A5D">
        <w:rPr>
          <w:rStyle w:val="eop"/>
          <w:rFonts w:ascii="Times New Roman" w:eastAsiaTheme="minorEastAsia" w:hAnsi="Times New Roman" w:cs="Times New Roman"/>
          <w:noProof/>
          <w:lang w:eastAsia="en-IE"/>
        </w:rPr>
        <w:instrText xml:space="preserve"> REF _Ref218692156 \h </w:instrText>
      </w:r>
      <w:r w:rsidR="00E130FA" w:rsidRPr="00AD2A5D">
        <w:rPr>
          <w:rStyle w:val="eop"/>
          <w:rFonts w:ascii="Times New Roman" w:eastAsiaTheme="minorEastAsia" w:hAnsi="Times New Roman" w:cs="Times New Roman"/>
          <w:noProof/>
          <w:lang w:eastAsia="en-IE"/>
        </w:rPr>
        <w:instrText xml:space="preserve"> \* MERGEFORMAT </w:instrText>
      </w:r>
      <w:r w:rsidRPr="00AD2A5D">
        <w:rPr>
          <w:rStyle w:val="eop"/>
          <w:rFonts w:ascii="Times New Roman" w:eastAsiaTheme="minorEastAsia" w:hAnsi="Times New Roman" w:cs="Times New Roman"/>
          <w:noProof/>
          <w:lang w:eastAsia="en-IE"/>
        </w:rPr>
      </w:r>
      <w:r w:rsidRPr="00AD2A5D">
        <w:rPr>
          <w:rStyle w:val="eop"/>
          <w:rFonts w:ascii="Times New Roman" w:eastAsiaTheme="minorEastAsia" w:hAnsi="Times New Roman" w:cs="Times New Roman"/>
          <w:noProof/>
          <w:lang w:eastAsia="en-IE"/>
        </w:rPr>
        <w:fldChar w:fldCharType="separate"/>
      </w:r>
      <w:r w:rsidR="009B3399" w:rsidRPr="009B3399">
        <w:rPr>
          <w:rStyle w:val="eop"/>
          <w:rFonts w:eastAsiaTheme="minorEastAsia"/>
          <w:noProof/>
          <w:lang w:eastAsia="en-IE"/>
        </w:rPr>
        <w:t>Figure 12</w:t>
      </w:r>
      <w:r w:rsidRPr="00AD2A5D">
        <w:rPr>
          <w:rStyle w:val="eop"/>
          <w:rFonts w:ascii="Times New Roman" w:eastAsiaTheme="minorEastAsia" w:hAnsi="Times New Roman" w:cs="Times New Roman"/>
          <w:noProof/>
          <w:lang w:eastAsia="en-IE"/>
        </w:rPr>
        <w:fldChar w:fldCharType="end"/>
      </w:r>
      <w:r w:rsidRPr="00E130FA">
        <w:rPr>
          <w:rStyle w:val="eop"/>
          <w:rFonts w:ascii="Times New Roman" w:eastAsiaTheme="minorEastAsia" w:hAnsi="Times New Roman" w:cs="Times New Roman"/>
          <w:noProof/>
          <w:lang w:eastAsia="en-IE"/>
        </w:rPr>
        <w:t xml:space="preserve"> presents the aggregated EU-wide distribution of primary TV reception by platform. In 2024, primary TV reception in the EU </w:t>
      </w:r>
      <w:r w:rsidR="00926D71">
        <w:rPr>
          <w:rStyle w:val="eop"/>
          <w:rFonts w:ascii="Times New Roman" w:eastAsiaTheme="minorEastAsia" w:hAnsi="Times New Roman" w:cs="Times New Roman"/>
          <w:noProof/>
          <w:lang w:eastAsia="en-IE"/>
        </w:rPr>
        <w:t>was</w:t>
      </w:r>
      <w:r w:rsidR="00926D71" w:rsidRPr="00516125">
        <w:rPr>
          <w:rStyle w:val="eop"/>
          <w:rFonts w:ascii="Times New Roman" w:eastAsiaTheme="minorEastAsia" w:hAnsi="Times New Roman" w:cs="Times New Roman"/>
          <w:noProof/>
          <w:lang w:eastAsia="en-IE"/>
        </w:rPr>
        <w:t xml:space="preserve"> </w:t>
      </w:r>
      <w:r w:rsidRPr="00E130FA">
        <w:rPr>
          <w:rStyle w:val="eop"/>
          <w:rFonts w:ascii="Times New Roman" w:eastAsiaTheme="minorEastAsia" w:hAnsi="Times New Roman" w:cs="Times New Roman"/>
          <w:noProof/>
          <w:lang w:eastAsia="en-IE"/>
        </w:rPr>
        <w:t xml:space="preserve">relatively evenly distributed across platforms, with IPTV emerging as the most common primary reception method, accounting for around 31% of TV households. Cable and satellite </w:t>
      </w:r>
      <w:r w:rsidRPr="00516125">
        <w:rPr>
          <w:rStyle w:val="eop"/>
          <w:rFonts w:ascii="Times New Roman" w:eastAsiaTheme="minorEastAsia" w:hAnsi="Times New Roman" w:cs="Times New Roman"/>
          <w:noProof/>
          <w:lang w:eastAsia="en-IE"/>
        </w:rPr>
        <w:t>follow</w:t>
      </w:r>
      <w:r w:rsidR="009B5945">
        <w:rPr>
          <w:rStyle w:val="eop"/>
          <w:rFonts w:ascii="Times New Roman" w:eastAsiaTheme="minorEastAsia" w:hAnsi="Times New Roman" w:cs="Times New Roman"/>
          <w:noProof/>
          <w:lang w:eastAsia="en-IE"/>
        </w:rPr>
        <w:t>ed</w:t>
      </w:r>
      <w:r w:rsidRPr="00E130FA">
        <w:rPr>
          <w:rStyle w:val="eop"/>
          <w:rFonts w:ascii="Times New Roman" w:eastAsiaTheme="minorEastAsia" w:hAnsi="Times New Roman" w:cs="Times New Roman"/>
          <w:noProof/>
          <w:lang w:eastAsia="en-IE"/>
        </w:rPr>
        <w:t xml:space="preserve"> closely, representing approximately 25% and 24% respectively, while terrestrial television (DTT) </w:t>
      </w:r>
      <w:r w:rsidRPr="00516125">
        <w:rPr>
          <w:rStyle w:val="eop"/>
          <w:rFonts w:ascii="Times New Roman" w:eastAsiaTheme="minorEastAsia" w:hAnsi="Times New Roman" w:cs="Times New Roman"/>
          <w:noProof/>
          <w:lang w:eastAsia="en-IE"/>
        </w:rPr>
        <w:t>remain</w:t>
      </w:r>
      <w:r w:rsidR="009B5945">
        <w:rPr>
          <w:rStyle w:val="eop"/>
          <w:rFonts w:ascii="Times New Roman" w:eastAsiaTheme="minorEastAsia" w:hAnsi="Times New Roman" w:cs="Times New Roman"/>
          <w:noProof/>
          <w:lang w:eastAsia="en-IE"/>
        </w:rPr>
        <w:t>ed</w:t>
      </w:r>
      <w:r w:rsidRPr="00E130FA">
        <w:rPr>
          <w:rStyle w:val="eop"/>
          <w:rFonts w:ascii="Times New Roman" w:eastAsiaTheme="minorEastAsia" w:hAnsi="Times New Roman" w:cs="Times New Roman"/>
          <w:noProof/>
          <w:lang w:eastAsia="en-IE"/>
        </w:rPr>
        <w:t xml:space="preserve"> the primary platform for about 21% of households.</w:t>
      </w:r>
    </w:p>
    <w:p w14:paraId="30AC61B1" w14:textId="2E448E2D" w:rsidR="00BF60DB" w:rsidRPr="00B54ECF" w:rsidRDefault="00BF60DB" w:rsidP="00BF60DB">
      <w:pPr>
        <w:pStyle w:val="Caption"/>
        <w:jc w:val="center"/>
        <w:rPr>
          <w:rFonts w:ascii="Times New Roman" w:hAnsi="Times New Roman" w:cs="Times New Roman"/>
          <w:noProof/>
          <w:color w:val="auto"/>
          <w:sz w:val="24"/>
          <w:szCs w:val="24"/>
        </w:rPr>
      </w:pPr>
      <w:bookmarkStart w:id="20" w:name="_Ref218692156"/>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12</w:t>
      </w:r>
      <w:r w:rsidRPr="00B54ECF">
        <w:rPr>
          <w:rFonts w:ascii="Times New Roman" w:hAnsi="Times New Roman" w:cs="Times New Roman"/>
          <w:noProof/>
          <w:color w:val="auto"/>
          <w:sz w:val="24"/>
          <w:szCs w:val="24"/>
        </w:rPr>
        <w:fldChar w:fldCharType="end"/>
      </w:r>
      <w:bookmarkEnd w:id="20"/>
      <w:r w:rsidRPr="00B54ECF">
        <w:rPr>
          <w:rFonts w:ascii="Times New Roman" w:hAnsi="Times New Roman" w:cs="Times New Roman"/>
          <w:noProof/>
          <w:color w:val="auto"/>
          <w:sz w:val="24"/>
          <w:szCs w:val="24"/>
        </w:rPr>
        <w:t xml:space="preserve">: Primary TV reception by platform in the EU (2024) </w:t>
      </w:r>
      <w:r w:rsidRPr="00B54ECF">
        <w:rPr>
          <w:noProof/>
          <w:color w:val="auto"/>
          <w:sz w:val="24"/>
          <w:szCs w:val="24"/>
        </w:rPr>
        <w:br/>
      </w:r>
      <w:r w:rsidRPr="00B54ECF">
        <w:rPr>
          <w:rFonts w:ascii="Times New Roman" w:hAnsi="Times New Roman" w:cs="Times New Roman"/>
          <w:noProof/>
          <w:color w:val="auto"/>
          <w:sz w:val="24"/>
          <w:szCs w:val="24"/>
        </w:rPr>
        <w:t>(Source: European Audiovisual Observatory on Dataxis data – Yearbook 2025)</w:t>
      </w:r>
    </w:p>
    <w:p w14:paraId="602C9E0A" w14:textId="77777777" w:rsidR="00BF60DB" w:rsidRPr="007D049A" w:rsidRDefault="00BF60DB" w:rsidP="00BF60DB">
      <w:pPr>
        <w:keepNext/>
        <w:spacing w:after="120" w:line="257" w:lineRule="auto"/>
        <w:jc w:val="center"/>
        <w:rPr>
          <w:rFonts w:ascii="Times New Roman" w:hAnsi="Times New Roman" w:cs="Times New Roman"/>
          <w:noProof/>
        </w:rPr>
      </w:pPr>
      <w:r>
        <w:rPr>
          <w:noProof/>
          <w:lang w:val="en-GB" w:eastAsia="en-GB"/>
        </w:rPr>
        <w:drawing>
          <wp:inline distT="0" distB="0" distL="0" distR="0" wp14:anchorId="586DC3DD" wp14:editId="1545D5E6">
            <wp:extent cx="3328705" cy="2048433"/>
            <wp:effectExtent l="0" t="0" r="0" b="0"/>
            <wp:docPr id="92735265" name="drawing" descr="A graph of a television recep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5265" name="drawing" descr="A graph of a television reception&#10;&#10;AI-generated content may be incorrect."/>
                    <pic:cNvPicPr/>
                  </pic:nvPicPr>
                  <pic:blipFill>
                    <a:blip r:embed="rId29">
                      <a:extLst>
                        <a:ext uri="{28A0092B-C50C-407E-A947-70E740481C1C}">
                          <a14:useLocalDpi xmlns:a14="http://schemas.microsoft.com/office/drawing/2010/main"/>
                        </a:ext>
                      </a:extLst>
                    </a:blip>
                    <a:stretch>
                      <a:fillRect/>
                    </a:stretch>
                  </pic:blipFill>
                  <pic:spPr>
                    <a:xfrm>
                      <a:off x="0" y="0"/>
                      <a:ext cx="3328705" cy="2048433"/>
                    </a:xfrm>
                    <a:prstGeom prst="rect">
                      <a:avLst/>
                    </a:prstGeom>
                  </pic:spPr>
                </pic:pic>
              </a:graphicData>
            </a:graphic>
          </wp:inline>
        </w:drawing>
      </w:r>
    </w:p>
    <w:p w14:paraId="2AB7BE33" w14:textId="77777777" w:rsidR="00BF60DB" w:rsidRPr="007D049A" w:rsidRDefault="00BF60DB" w:rsidP="00BF60DB">
      <w:pPr>
        <w:spacing w:before="240" w:after="240" w:line="240" w:lineRule="auto"/>
        <w:rPr>
          <w:rFonts w:ascii="Times New Roman" w:eastAsia="Times New Roman" w:hAnsi="Times New Roman" w:cs="Times New Roman"/>
          <w:b/>
          <w:bCs/>
          <w:noProof/>
        </w:rPr>
      </w:pPr>
      <w:r w:rsidRPr="29C3FA4B">
        <w:rPr>
          <w:rFonts w:ascii="Times New Roman" w:eastAsiaTheme="minorEastAsia" w:hAnsi="Times New Roman" w:cs="Times New Roman"/>
          <w:b/>
          <w:bCs/>
          <w:noProof/>
        </w:rPr>
        <w:t>Evolution of the economic impact of DTT and linear broadcasting</w:t>
      </w:r>
    </w:p>
    <w:p w14:paraId="660878D3" w14:textId="2A1D8188" w:rsidR="00BF60DB" w:rsidRPr="00072E33" w:rsidRDefault="00BF60DB" w:rsidP="00BF60DB">
      <w:pPr>
        <w:spacing w:after="240" w:line="240" w:lineRule="auto"/>
        <w:jc w:val="both"/>
        <w:rPr>
          <w:rFonts w:ascii="Times New Roman" w:eastAsia="Times New Roman" w:hAnsi="Times New Roman" w:cs="Times New Roman"/>
          <w:noProof/>
        </w:rPr>
      </w:pPr>
      <w:r w:rsidRPr="7482D136">
        <w:rPr>
          <w:rFonts w:ascii="Times New Roman" w:eastAsia="Times New Roman" w:hAnsi="Times New Roman" w:cs="Times New Roman"/>
          <w:noProof/>
        </w:rPr>
        <w:t xml:space="preserve">DTT is designed primarily for the provision of linear TV services, i.e. watching a </w:t>
      </w:r>
      <w:r w:rsidRPr="00516125">
        <w:rPr>
          <w:rFonts w:ascii="Times New Roman" w:eastAsia="Times New Roman" w:hAnsi="Times New Roman" w:cs="Times New Roman"/>
          <w:noProof/>
        </w:rPr>
        <w:t>program</w:t>
      </w:r>
      <w:r w:rsidR="00926D71">
        <w:rPr>
          <w:rFonts w:ascii="Times New Roman" w:eastAsia="Times New Roman" w:hAnsi="Times New Roman" w:cs="Times New Roman"/>
          <w:noProof/>
        </w:rPr>
        <w:t>me</w:t>
      </w:r>
      <w:r w:rsidRPr="7482D136">
        <w:rPr>
          <w:rFonts w:ascii="Times New Roman" w:eastAsia="Times New Roman" w:hAnsi="Times New Roman" w:cs="Times New Roman"/>
          <w:noProof/>
        </w:rPr>
        <w:t xml:space="preserve"> as it is transmitted (‘live’). Its low cost for consumers means that it is a common option </w:t>
      </w:r>
      <w:r w:rsidR="00586DF1">
        <w:rPr>
          <w:rFonts w:ascii="Times New Roman" w:eastAsia="Times New Roman" w:hAnsi="Times New Roman" w:cs="Times New Roman"/>
          <w:noProof/>
        </w:rPr>
        <w:t>for</w:t>
      </w:r>
      <w:r w:rsidR="00586DF1" w:rsidRPr="00516125">
        <w:rPr>
          <w:rFonts w:ascii="Times New Roman" w:eastAsia="Times New Roman" w:hAnsi="Times New Roman" w:cs="Times New Roman"/>
          <w:noProof/>
        </w:rPr>
        <w:t xml:space="preserve"> </w:t>
      </w:r>
      <w:r w:rsidRPr="00516125">
        <w:rPr>
          <w:rFonts w:ascii="Times New Roman" w:eastAsia="Times New Roman" w:hAnsi="Times New Roman" w:cs="Times New Roman"/>
          <w:noProof/>
        </w:rPr>
        <w:t>access</w:t>
      </w:r>
      <w:r w:rsidR="00586DF1">
        <w:rPr>
          <w:rFonts w:ascii="Times New Roman" w:eastAsia="Times New Roman" w:hAnsi="Times New Roman" w:cs="Times New Roman"/>
          <w:noProof/>
        </w:rPr>
        <w:t>ing</w:t>
      </w:r>
      <w:r w:rsidRPr="7482D136">
        <w:rPr>
          <w:rFonts w:ascii="Times New Roman" w:eastAsia="Times New Roman" w:hAnsi="Times New Roman" w:cs="Times New Roman"/>
          <w:noProof/>
        </w:rPr>
        <w:t xml:space="preserve"> content. The delivery of FTA broadcasting services in the sub-700</w:t>
      </w:r>
      <w:r w:rsidR="003B563B">
        <w:rPr>
          <w:rFonts w:ascii="Times New Roman" w:eastAsia="Times New Roman" w:hAnsi="Times New Roman" w:cs="Times New Roman"/>
          <w:noProof/>
        </w:rPr>
        <w:t> </w:t>
      </w:r>
      <w:r w:rsidRPr="7482D136">
        <w:rPr>
          <w:rFonts w:ascii="Times New Roman" w:eastAsia="Times New Roman" w:hAnsi="Times New Roman" w:cs="Times New Roman"/>
          <w:noProof/>
        </w:rPr>
        <w:t>MHz band contributes to the EU economy directly through the economic impact of transmission providers and television channels, as well as indirectly through the economic impact on the wider ecosystem of programme making and ancillary services.</w:t>
      </w:r>
    </w:p>
    <w:p w14:paraId="6E102FBC" w14:textId="6C1DBA85" w:rsidR="00BF60DB" w:rsidRDefault="00BF60DB" w:rsidP="00BF60DB">
      <w:pPr>
        <w:spacing w:after="240" w:line="240" w:lineRule="auto"/>
        <w:jc w:val="both"/>
        <w:rPr>
          <w:rStyle w:val="eop"/>
          <w:rFonts w:ascii="Times New Roman" w:eastAsiaTheme="minorEastAsia" w:hAnsi="Times New Roman" w:cs="Times New Roman"/>
          <w:noProof/>
          <w:lang w:eastAsia="en-IE"/>
        </w:rPr>
      </w:pPr>
      <w:r w:rsidRPr="7482D136">
        <w:rPr>
          <w:rStyle w:val="eop"/>
          <w:rFonts w:ascii="Times New Roman" w:eastAsiaTheme="minorEastAsia" w:hAnsi="Times New Roman" w:cs="Times New Roman"/>
          <w:noProof/>
          <w:lang w:eastAsia="en-IE"/>
        </w:rPr>
        <w:t>As shown in</w:t>
      </w:r>
      <w:r w:rsidR="00DA5AD5">
        <w:rPr>
          <w:rStyle w:val="eop"/>
          <w:rFonts w:ascii="Times New Roman" w:eastAsiaTheme="minorEastAsia" w:hAnsi="Times New Roman" w:cs="Times New Roman"/>
          <w:noProof/>
          <w:lang w:eastAsia="en-IE"/>
        </w:rPr>
        <w:t xml:space="preserve"> Figure 13</w:t>
      </w:r>
      <w:r w:rsidRPr="7482D136">
        <w:rPr>
          <w:rStyle w:val="eop"/>
          <w:rFonts w:ascii="Times New Roman" w:eastAsiaTheme="minorEastAsia" w:hAnsi="Times New Roman" w:cs="Times New Roman"/>
          <w:noProof/>
          <w:lang w:eastAsia="en-IE"/>
        </w:rPr>
        <w:t xml:space="preserve">, the revenues of broadcasters increased in nominal terms, but their share of the audiovisual market </w:t>
      </w:r>
      <w:r w:rsidR="00926D71">
        <w:rPr>
          <w:rStyle w:val="eop"/>
          <w:rFonts w:ascii="Times New Roman" w:eastAsiaTheme="minorEastAsia" w:hAnsi="Times New Roman" w:cs="Times New Roman"/>
          <w:noProof/>
          <w:lang w:eastAsia="en-IE"/>
        </w:rPr>
        <w:t>fell</w:t>
      </w:r>
      <w:r w:rsidRPr="7482D136">
        <w:rPr>
          <w:rStyle w:val="eop"/>
          <w:rFonts w:ascii="Times New Roman" w:eastAsiaTheme="minorEastAsia" w:hAnsi="Times New Roman" w:cs="Times New Roman"/>
          <w:noProof/>
          <w:lang w:eastAsia="en-IE"/>
        </w:rPr>
        <w:t xml:space="preserve"> to 53% in 2025, compared to 75% in 2018. On the other hand, SVoD (</w:t>
      </w:r>
      <w:r w:rsidR="00586DF1">
        <w:rPr>
          <w:rStyle w:val="eop"/>
          <w:rFonts w:ascii="Times New Roman" w:eastAsiaTheme="minorEastAsia" w:hAnsi="Times New Roman" w:cs="Times New Roman"/>
          <w:noProof/>
          <w:lang w:eastAsia="en-IE"/>
        </w:rPr>
        <w:t>s</w:t>
      </w:r>
      <w:r w:rsidRPr="00516125">
        <w:rPr>
          <w:rStyle w:val="eop"/>
          <w:rFonts w:ascii="Times New Roman" w:eastAsiaTheme="minorEastAsia" w:hAnsi="Times New Roman" w:cs="Times New Roman"/>
          <w:noProof/>
          <w:lang w:eastAsia="en-IE"/>
        </w:rPr>
        <w:t xml:space="preserve">ubscription </w:t>
      </w:r>
      <w:r w:rsidR="00586DF1">
        <w:rPr>
          <w:rStyle w:val="eop"/>
          <w:rFonts w:ascii="Times New Roman" w:eastAsiaTheme="minorEastAsia" w:hAnsi="Times New Roman" w:cs="Times New Roman"/>
          <w:noProof/>
          <w:lang w:eastAsia="en-IE"/>
        </w:rPr>
        <w:t>v</w:t>
      </w:r>
      <w:r w:rsidRPr="7482D136">
        <w:rPr>
          <w:rStyle w:val="eop"/>
          <w:rFonts w:ascii="Times New Roman" w:eastAsiaTheme="minorEastAsia" w:hAnsi="Times New Roman" w:cs="Times New Roman"/>
          <w:noProof/>
          <w:lang w:eastAsia="en-IE"/>
        </w:rPr>
        <w:t xml:space="preserve">ideo on </w:t>
      </w:r>
      <w:r w:rsidR="00586DF1">
        <w:rPr>
          <w:rStyle w:val="eop"/>
          <w:rFonts w:ascii="Times New Roman" w:eastAsiaTheme="minorEastAsia" w:hAnsi="Times New Roman" w:cs="Times New Roman"/>
          <w:noProof/>
          <w:lang w:eastAsia="en-IE"/>
        </w:rPr>
        <w:t>d</w:t>
      </w:r>
      <w:r w:rsidRPr="7482D136">
        <w:rPr>
          <w:rStyle w:val="eop"/>
          <w:rFonts w:ascii="Times New Roman" w:eastAsiaTheme="minorEastAsia" w:hAnsi="Times New Roman" w:cs="Times New Roman"/>
          <w:noProof/>
          <w:lang w:eastAsia="en-IE"/>
        </w:rPr>
        <w:t>emand) revenues continue to grow and were expected to reach 17% of audiovisual revenues by 2025.</w:t>
      </w:r>
    </w:p>
    <w:p w14:paraId="0153024A" w14:textId="34B741E8" w:rsidR="00BF60DB" w:rsidRDefault="00BF60DB" w:rsidP="00E130FA">
      <w:pPr>
        <w:pStyle w:val="Caption"/>
        <w:jc w:val="center"/>
        <w:rPr>
          <w:noProof/>
        </w:rPr>
      </w:pPr>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13</w:t>
      </w:r>
      <w:r w:rsidRPr="00B54ECF">
        <w:rPr>
          <w:rFonts w:ascii="Times New Roman" w:hAnsi="Times New Roman" w:cs="Times New Roman"/>
          <w:noProof/>
          <w:color w:val="auto"/>
          <w:sz w:val="24"/>
          <w:szCs w:val="24"/>
        </w:rPr>
        <w:fldChar w:fldCharType="end"/>
      </w:r>
      <w:r w:rsidRPr="00B54ECF">
        <w:rPr>
          <w:rFonts w:ascii="Times New Roman" w:hAnsi="Times New Roman" w:cs="Times New Roman"/>
          <w:noProof/>
          <w:color w:val="auto"/>
          <w:sz w:val="24"/>
          <w:szCs w:val="24"/>
        </w:rPr>
        <w:t xml:space="preserve">: Key revenue trends within the audiovisual market 2018- 2025 </w:t>
      </w:r>
      <w:r w:rsidRPr="00B54ECF">
        <w:rPr>
          <w:noProof/>
          <w:color w:val="auto"/>
          <w:sz w:val="24"/>
          <w:szCs w:val="24"/>
        </w:rPr>
        <w:br/>
      </w:r>
      <w:r w:rsidRPr="00B54ECF">
        <w:rPr>
          <w:rFonts w:ascii="Times New Roman" w:hAnsi="Times New Roman" w:cs="Times New Roman"/>
          <w:noProof/>
          <w:color w:val="auto"/>
          <w:sz w:val="24"/>
          <w:szCs w:val="24"/>
        </w:rPr>
        <w:t>(Source: The European Media Industry Outlook, EC 2025)</w:t>
      </w:r>
      <w:r w:rsidR="00516125" w:rsidRPr="00516125">
        <w:rPr>
          <w:rFonts w:ascii="Times New Roman" w:hAnsi="Times New Roman" w:cs="Times New Roman"/>
          <w:noProof/>
          <w:color w:val="auto"/>
          <w:sz w:val="24"/>
          <w:szCs w:val="24"/>
        </w:rPr>
        <w:t xml:space="preserve"> </w:t>
      </w:r>
      <w:r>
        <w:rPr>
          <w:noProof/>
          <w:lang w:val="en-GB" w:eastAsia="en-GB"/>
        </w:rPr>
        <w:drawing>
          <wp:inline distT="0" distB="0" distL="0" distR="0" wp14:anchorId="4285E71D" wp14:editId="26002B3D">
            <wp:extent cx="4902452" cy="2216264"/>
            <wp:effectExtent l="0" t="0" r="0" b="0"/>
            <wp:docPr id="1530580355" name="drawing"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80355" name="drawing" descr="A graph of a number of people&#10;&#10;AI-generated content may be incorrect."/>
                    <pic:cNvPicPr/>
                  </pic:nvPicPr>
                  <pic:blipFill>
                    <a:blip r:embed="rId30">
                      <a:extLst>
                        <a:ext uri="{28A0092B-C50C-407E-A947-70E740481C1C}">
                          <a14:useLocalDpi xmlns:a14="http://schemas.microsoft.com/office/drawing/2010/main"/>
                        </a:ext>
                      </a:extLst>
                    </a:blip>
                    <a:stretch>
                      <a:fillRect/>
                    </a:stretch>
                  </pic:blipFill>
                  <pic:spPr>
                    <a:xfrm>
                      <a:off x="0" y="0"/>
                      <a:ext cx="4902452" cy="2216264"/>
                    </a:xfrm>
                    <a:prstGeom prst="rect">
                      <a:avLst/>
                    </a:prstGeom>
                  </pic:spPr>
                </pic:pic>
              </a:graphicData>
            </a:graphic>
          </wp:inline>
        </w:drawing>
      </w:r>
    </w:p>
    <w:p w14:paraId="688B828F" w14:textId="0B72D339" w:rsidR="00BF60DB" w:rsidRDefault="00BF60DB" w:rsidP="00BF60DB">
      <w:pPr>
        <w:spacing w:before="240" w:after="240" w:line="240" w:lineRule="auto"/>
        <w:jc w:val="both"/>
        <w:rPr>
          <w:rStyle w:val="eop"/>
          <w:rFonts w:ascii="Times New Roman" w:eastAsiaTheme="minorEastAsia" w:hAnsi="Times New Roman" w:cs="Times New Roman"/>
          <w:noProof/>
          <w:lang w:eastAsia="en-IE"/>
        </w:rPr>
      </w:pPr>
      <w:bookmarkStart w:id="21" w:name="_Hlk216907976"/>
      <w:bookmarkEnd w:id="21"/>
      <w:r w:rsidRPr="29C3FA4B">
        <w:rPr>
          <w:rStyle w:val="eop"/>
          <w:rFonts w:ascii="Times New Roman" w:eastAsiaTheme="minorEastAsia" w:hAnsi="Times New Roman" w:cs="Times New Roman"/>
          <w:noProof/>
          <w:lang w:eastAsia="en-IE"/>
        </w:rPr>
        <w:t xml:space="preserve">This shift in market shares is also reflected in how broadcasters are adapting their business models. Broadcasters are strengthening their online presence. The increase in </w:t>
      </w:r>
      <w:r w:rsidR="00586DF1">
        <w:rPr>
          <w:rStyle w:val="eop"/>
          <w:rFonts w:ascii="Times New Roman" w:eastAsiaTheme="minorEastAsia" w:hAnsi="Times New Roman" w:cs="Times New Roman"/>
          <w:noProof/>
          <w:lang w:eastAsia="en-IE"/>
        </w:rPr>
        <w:t>their</w:t>
      </w:r>
      <w:r w:rsidR="00586DF1" w:rsidRPr="00516125">
        <w:rPr>
          <w:rStyle w:val="eop"/>
          <w:rFonts w:ascii="Times New Roman" w:eastAsiaTheme="minorEastAsia" w:hAnsi="Times New Roman" w:cs="Times New Roman"/>
          <w:noProof/>
          <w:lang w:eastAsia="en-IE"/>
        </w:rPr>
        <w:t xml:space="preserve"> </w:t>
      </w:r>
      <w:r w:rsidRPr="29C3FA4B">
        <w:rPr>
          <w:rStyle w:val="eop"/>
          <w:rFonts w:ascii="Times New Roman" w:eastAsiaTheme="minorEastAsia" w:hAnsi="Times New Roman" w:cs="Times New Roman"/>
          <w:noProof/>
          <w:lang w:eastAsia="en-IE"/>
        </w:rPr>
        <w:t xml:space="preserve">revenues, although modest, comes from advertising in their video-on-demand (VoD) services (AVoD), which is expected to </w:t>
      </w:r>
      <w:r w:rsidR="00D97BAA">
        <w:rPr>
          <w:rStyle w:val="eop"/>
          <w:rFonts w:ascii="Times New Roman" w:eastAsiaTheme="minorEastAsia" w:hAnsi="Times New Roman" w:cs="Times New Roman"/>
          <w:noProof/>
          <w:lang w:eastAsia="en-IE"/>
        </w:rPr>
        <w:t>reach</w:t>
      </w:r>
      <w:r w:rsidR="00620790">
        <w:rPr>
          <w:rStyle w:val="eop"/>
          <w:rFonts w:ascii="Times New Roman" w:eastAsiaTheme="minorEastAsia" w:hAnsi="Times New Roman" w:cs="Times New Roman"/>
          <w:noProof/>
          <w:lang w:eastAsia="en-IE"/>
        </w:rPr>
        <w:t xml:space="preserve"> </w:t>
      </w:r>
      <w:r w:rsidRPr="29C3FA4B">
        <w:rPr>
          <w:rStyle w:val="eop"/>
          <w:rFonts w:ascii="Times New Roman" w:eastAsiaTheme="minorEastAsia" w:hAnsi="Times New Roman" w:cs="Times New Roman"/>
          <w:noProof/>
          <w:lang w:eastAsia="en-IE"/>
        </w:rPr>
        <w:t>30% by 2028, and from subscriptions in cases where their VoD services follow a subscription-based model (SVoD).</w:t>
      </w:r>
      <w:r w:rsidR="00516125" w:rsidRPr="00516125">
        <w:rPr>
          <w:rStyle w:val="eop"/>
          <w:rFonts w:ascii="Times New Roman" w:eastAsiaTheme="minorEastAsia" w:hAnsi="Times New Roman" w:cs="Times New Roman"/>
          <w:noProof/>
          <w:lang w:eastAsia="en-IE"/>
        </w:rPr>
        <w:t xml:space="preserve"> </w:t>
      </w:r>
      <w:r w:rsidRPr="29C3FA4B">
        <w:rPr>
          <w:rFonts w:ascii="Times New Roman" w:eastAsia="Calibri" w:hAnsi="Times New Roman" w:cs="Times New Roman"/>
          <w:noProof/>
        </w:rPr>
        <w:t>Overall, these developments indicate a convergence in revenue models</w:t>
      </w:r>
      <w:r w:rsidRPr="29C3FA4B">
        <w:rPr>
          <w:rStyle w:val="eop"/>
          <w:rFonts w:ascii="Times New Roman" w:eastAsiaTheme="minorEastAsia" w:hAnsi="Times New Roman" w:cs="Times New Roman"/>
          <w:noProof/>
          <w:lang w:eastAsia="en-IE"/>
        </w:rPr>
        <w:t>: broadcasters are losing revenue from linear advertising but expanding into streaming, while pure streamers</w:t>
      </w:r>
      <w:r w:rsidR="003F1F08">
        <w:rPr>
          <w:rStyle w:val="eop"/>
          <w:rFonts w:ascii="Times New Roman" w:eastAsiaTheme="minorEastAsia" w:hAnsi="Times New Roman" w:cs="Times New Roman"/>
          <w:noProof/>
          <w:lang w:eastAsia="en-IE"/>
        </w:rPr>
        <w:t xml:space="preserve"> </w:t>
      </w:r>
      <w:r w:rsidR="0BA7C4FA" w:rsidRPr="6BDEC307">
        <w:rPr>
          <w:rStyle w:val="eop"/>
          <w:rFonts w:ascii="Times New Roman" w:eastAsiaTheme="minorEastAsia" w:hAnsi="Times New Roman" w:cs="Times New Roman"/>
          <w:noProof/>
          <w:lang w:eastAsia="en-IE"/>
        </w:rPr>
        <w:t>-</w:t>
      </w:r>
      <w:r w:rsidRPr="29C3FA4B">
        <w:rPr>
          <w:rStyle w:val="eop"/>
          <w:rFonts w:ascii="Times New Roman" w:eastAsiaTheme="minorEastAsia" w:hAnsi="Times New Roman" w:cs="Times New Roman"/>
          <w:noProof/>
          <w:lang w:eastAsia="en-IE"/>
        </w:rPr>
        <w:t>previously based solely on subscriptions</w:t>
      </w:r>
      <w:r w:rsidR="003F1F08">
        <w:rPr>
          <w:rStyle w:val="eop"/>
          <w:rFonts w:ascii="Times New Roman" w:eastAsiaTheme="minorEastAsia" w:hAnsi="Times New Roman" w:cs="Times New Roman"/>
          <w:noProof/>
          <w:lang w:eastAsia="en-IE"/>
        </w:rPr>
        <w:t xml:space="preserve"> </w:t>
      </w:r>
      <w:r w:rsidR="19692A63" w:rsidRPr="6BDEC307">
        <w:rPr>
          <w:rStyle w:val="eop"/>
          <w:rFonts w:ascii="Times New Roman" w:eastAsiaTheme="minorEastAsia" w:hAnsi="Times New Roman" w:cs="Times New Roman"/>
          <w:noProof/>
          <w:lang w:eastAsia="en-IE"/>
        </w:rPr>
        <w:t>-</w:t>
      </w:r>
      <w:r w:rsidR="005944ED">
        <w:rPr>
          <w:rStyle w:val="eop"/>
          <w:rFonts w:ascii="Times New Roman" w:eastAsiaTheme="minorEastAsia" w:hAnsi="Times New Roman" w:cs="Times New Roman"/>
          <w:noProof/>
          <w:lang w:eastAsia="en-IE"/>
        </w:rPr>
        <w:t xml:space="preserve"> are</w:t>
      </w:r>
      <w:r w:rsidRPr="29C3FA4B">
        <w:rPr>
          <w:rStyle w:val="eop"/>
          <w:rFonts w:ascii="Times New Roman" w:eastAsiaTheme="minorEastAsia" w:hAnsi="Times New Roman" w:cs="Times New Roman"/>
          <w:noProof/>
          <w:lang w:eastAsia="en-IE"/>
        </w:rPr>
        <w:t xml:space="preserve"> increasingly relying on advertising.</w:t>
      </w:r>
    </w:p>
    <w:p w14:paraId="52FC5A83" w14:textId="77777777" w:rsidR="00E130FA" w:rsidRDefault="00E130FA" w:rsidP="00BF60DB">
      <w:pPr>
        <w:spacing w:before="240" w:after="240" w:line="240" w:lineRule="auto"/>
        <w:jc w:val="both"/>
        <w:rPr>
          <w:rStyle w:val="eop"/>
          <w:rFonts w:ascii="Times New Roman" w:eastAsiaTheme="minorEastAsia" w:hAnsi="Times New Roman" w:cs="Times New Roman"/>
          <w:noProof/>
          <w:lang w:eastAsia="en-IE"/>
        </w:rPr>
      </w:pPr>
    </w:p>
    <w:p w14:paraId="4B1C9233" w14:textId="378BF335" w:rsidR="00BF60DB" w:rsidRPr="00E130FA" w:rsidRDefault="00BF60DB" w:rsidP="00BF60DB">
      <w:pPr>
        <w:spacing w:after="120" w:line="257" w:lineRule="auto"/>
        <w:jc w:val="center"/>
        <w:rPr>
          <w:noProof/>
          <w:sz w:val="18"/>
          <w:szCs w:val="18"/>
        </w:rPr>
      </w:pPr>
      <w:r w:rsidRPr="00E130FA">
        <w:rPr>
          <w:rFonts w:ascii="Times New Roman" w:hAnsi="Times New Roman" w:cs="Times New Roman"/>
          <w:i/>
          <w:iCs/>
          <w:noProof/>
        </w:rPr>
        <w:t xml:space="preserve">Figure </w:t>
      </w:r>
      <w:r w:rsidRPr="00E130FA">
        <w:rPr>
          <w:rFonts w:ascii="Times New Roman" w:hAnsi="Times New Roman" w:cs="Times New Roman"/>
          <w:i/>
          <w:iCs/>
          <w:noProof/>
        </w:rPr>
        <w:fldChar w:fldCharType="begin"/>
      </w:r>
      <w:r w:rsidRPr="00E130FA">
        <w:rPr>
          <w:rFonts w:ascii="Times New Roman" w:hAnsi="Times New Roman" w:cs="Times New Roman"/>
          <w:i/>
          <w:iCs/>
          <w:noProof/>
        </w:rPr>
        <w:instrText xml:space="preserve"> SEQ Figure \* ARABIC </w:instrText>
      </w:r>
      <w:r w:rsidRPr="00E130FA">
        <w:rPr>
          <w:rFonts w:ascii="Times New Roman" w:hAnsi="Times New Roman" w:cs="Times New Roman"/>
          <w:i/>
          <w:iCs/>
          <w:noProof/>
        </w:rPr>
        <w:fldChar w:fldCharType="separate"/>
      </w:r>
      <w:r w:rsidR="009B3399">
        <w:rPr>
          <w:rFonts w:ascii="Times New Roman" w:hAnsi="Times New Roman" w:cs="Times New Roman"/>
          <w:i/>
          <w:iCs/>
          <w:noProof/>
        </w:rPr>
        <w:t>14</w:t>
      </w:r>
      <w:r w:rsidRPr="00E130FA">
        <w:rPr>
          <w:rFonts w:ascii="Times New Roman" w:hAnsi="Times New Roman" w:cs="Times New Roman"/>
          <w:i/>
          <w:iCs/>
          <w:noProof/>
        </w:rPr>
        <w:fldChar w:fldCharType="end"/>
      </w:r>
      <w:r w:rsidRPr="00E130FA">
        <w:rPr>
          <w:rFonts w:ascii="Times New Roman" w:hAnsi="Times New Roman" w:cs="Times New Roman"/>
          <w:i/>
          <w:iCs/>
          <w:noProof/>
        </w:rPr>
        <w:t xml:space="preserve">: Detailed revenue trends in the audiovisual market in the EU 2018-2026 </w:t>
      </w:r>
      <w:r w:rsidR="00586DF1">
        <w:rPr>
          <w:rFonts w:ascii="Times New Roman" w:hAnsi="Times New Roman" w:cs="Times New Roman"/>
          <w:i/>
          <w:iCs/>
          <w:noProof/>
        </w:rPr>
        <w:t>(</w:t>
      </w:r>
      <w:r w:rsidR="009B6067">
        <w:rPr>
          <w:rFonts w:ascii="Times New Roman" w:hAnsi="Times New Roman" w:cs="Times New Roman"/>
          <w:i/>
          <w:iCs/>
          <w:noProof/>
        </w:rPr>
        <w:t xml:space="preserve">EUR </w:t>
      </w:r>
      <w:r w:rsidRPr="00E130FA">
        <w:rPr>
          <w:rFonts w:ascii="Times New Roman" w:hAnsi="Times New Roman" w:cs="Times New Roman"/>
          <w:i/>
          <w:iCs/>
          <w:noProof/>
        </w:rPr>
        <w:t xml:space="preserve">million </w:t>
      </w:r>
      <w:r w:rsidR="00586DF1" w:rsidRPr="6BDEC307">
        <w:rPr>
          <w:rFonts w:ascii="Times New Roman" w:hAnsi="Times New Roman" w:cs="Times New Roman"/>
          <w:i/>
          <w:iCs/>
          <w:noProof/>
        </w:rPr>
        <w:t>)</w:t>
      </w:r>
      <w:r w:rsidR="3D1AAF48" w:rsidRPr="6BDEC307">
        <w:rPr>
          <w:rFonts w:ascii="Times New Roman" w:hAnsi="Times New Roman" w:cs="Times New Roman"/>
          <w:i/>
          <w:iCs/>
          <w:noProof/>
        </w:rPr>
        <w:t xml:space="preserve"> </w:t>
      </w:r>
      <w:r w:rsidRPr="6BDEC307">
        <w:rPr>
          <w:rFonts w:ascii="Times New Roman" w:hAnsi="Times New Roman" w:cs="Times New Roman"/>
          <w:i/>
          <w:iCs/>
          <w:noProof/>
        </w:rPr>
        <w:t>(</w:t>
      </w:r>
      <w:r w:rsidRPr="00E130FA">
        <w:rPr>
          <w:rFonts w:ascii="Times New Roman" w:hAnsi="Times New Roman" w:cs="Times New Roman"/>
          <w:i/>
          <w:iCs/>
          <w:noProof/>
        </w:rPr>
        <w:t>Source: The European Media Industry Outlook, EC 2025)</w:t>
      </w:r>
    </w:p>
    <w:p w14:paraId="22218333" w14:textId="77777777" w:rsidR="00BF60DB" w:rsidRDefault="00BF60DB" w:rsidP="005944ED">
      <w:pPr>
        <w:keepNext/>
        <w:spacing w:before="240" w:after="240" w:line="240" w:lineRule="auto"/>
        <w:jc w:val="center"/>
        <w:rPr>
          <w:noProof/>
        </w:rPr>
      </w:pPr>
      <w:r>
        <w:rPr>
          <w:noProof/>
          <w:lang w:val="en-GB" w:eastAsia="en-GB"/>
        </w:rPr>
        <w:drawing>
          <wp:inline distT="0" distB="0" distL="0" distR="0" wp14:anchorId="6F87859E" wp14:editId="3D1E0306">
            <wp:extent cx="4864350" cy="2114659"/>
            <wp:effectExtent l="0" t="0" r="0" b="0"/>
            <wp:docPr id="346380270" name="Picture 1" descr="A graph of 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9827" name="Picture 1" descr="A graph of a graph with numbers and lines&#10;&#10;AI-generated content may be incorrect."/>
                    <pic:cNvPicPr/>
                  </pic:nvPicPr>
                  <pic:blipFill>
                    <a:blip r:embed="rId31"/>
                    <a:stretch>
                      <a:fillRect/>
                    </a:stretch>
                  </pic:blipFill>
                  <pic:spPr>
                    <a:xfrm>
                      <a:off x="0" y="0"/>
                      <a:ext cx="4864350" cy="2114659"/>
                    </a:xfrm>
                    <a:prstGeom prst="rect">
                      <a:avLst/>
                    </a:prstGeom>
                  </pic:spPr>
                </pic:pic>
              </a:graphicData>
            </a:graphic>
          </wp:inline>
        </w:drawing>
      </w:r>
    </w:p>
    <w:p w14:paraId="6C61A9A4" w14:textId="77777777" w:rsidR="00E130FA" w:rsidRPr="00B21E2B" w:rsidRDefault="00E130FA" w:rsidP="00BF60DB">
      <w:pPr>
        <w:spacing w:before="240" w:after="120" w:line="257" w:lineRule="auto"/>
        <w:jc w:val="both"/>
        <w:rPr>
          <w:rStyle w:val="eop"/>
          <w:rFonts w:ascii="Times New Roman" w:hAnsi="Times New Roman"/>
          <w:noProof/>
        </w:rPr>
      </w:pPr>
    </w:p>
    <w:p w14:paraId="7AB2F8BE" w14:textId="2FD94E93" w:rsidR="00BF60DB" w:rsidRPr="00B21E2B" w:rsidRDefault="00BF60DB" w:rsidP="00BF60DB">
      <w:pPr>
        <w:spacing w:before="240" w:after="120" w:line="257" w:lineRule="auto"/>
        <w:jc w:val="both"/>
        <w:rPr>
          <w:rStyle w:val="eop"/>
          <w:rFonts w:ascii="Times New Roman" w:hAnsi="Times New Roman"/>
          <w:noProof/>
        </w:rPr>
      </w:pPr>
      <w:r w:rsidRPr="004E62A4">
        <w:rPr>
          <w:rStyle w:val="eop"/>
          <w:rFonts w:ascii="Times New Roman" w:hAnsi="Times New Roman"/>
          <w:noProof/>
          <w:lang w:val="en-US"/>
        </w:rPr>
        <w:t xml:space="preserve">This overall shift in revenue patterns is reflected in the advertising market. In Europe, total advertising expenditures for TV, newspapers and magazines, radio, cinema and outdoor </w:t>
      </w:r>
      <w:r w:rsidR="00926D71">
        <w:rPr>
          <w:rStyle w:val="eop"/>
          <w:rFonts w:ascii="Times New Roman" w:eastAsiaTheme="minorEastAsia" w:hAnsi="Times New Roman" w:cs="Times New Roman"/>
          <w:noProof/>
          <w:lang w:eastAsia="en-IE"/>
        </w:rPr>
        <w:t xml:space="preserve">spaces </w:t>
      </w:r>
      <w:r w:rsidRPr="004E62A4">
        <w:rPr>
          <w:rStyle w:val="eop"/>
          <w:rFonts w:ascii="Times New Roman" w:hAnsi="Times New Roman"/>
          <w:noProof/>
          <w:lang w:val="en-US"/>
        </w:rPr>
        <w:t>decreased from EUR</w:t>
      </w:r>
      <w:r w:rsidR="00516125">
        <w:rPr>
          <w:rStyle w:val="eop"/>
          <w:rFonts w:ascii="Times New Roman" w:eastAsiaTheme="minorEastAsia" w:hAnsi="Times New Roman" w:cs="Times New Roman"/>
          <w:noProof/>
          <w:lang w:eastAsia="en-IE"/>
        </w:rPr>
        <w:t> </w:t>
      </w:r>
      <w:r w:rsidRPr="004E62A4">
        <w:rPr>
          <w:rStyle w:val="eop"/>
          <w:rFonts w:ascii="Times New Roman" w:hAnsi="Times New Roman"/>
          <w:noProof/>
          <w:lang w:val="en-US"/>
        </w:rPr>
        <w:t>62.45 billion in 2018 to EUR</w:t>
      </w:r>
      <w:r w:rsidR="00516125">
        <w:rPr>
          <w:rStyle w:val="eop"/>
          <w:rFonts w:ascii="Times New Roman" w:eastAsiaTheme="minorEastAsia" w:hAnsi="Times New Roman" w:cs="Times New Roman"/>
          <w:noProof/>
          <w:lang w:eastAsia="en-IE"/>
        </w:rPr>
        <w:t> </w:t>
      </w:r>
      <w:r w:rsidRPr="004E62A4">
        <w:rPr>
          <w:rStyle w:val="eop"/>
          <w:rFonts w:ascii="Times New Roman" w:hAnsi="Times New Roman"/>
          <w:noProof/>
          <w:lang w:val="en-US"/>
        </w:rPr>
        <w:t>55.9 billion in 2022</w:t>
      </w:r>
      <w:r w:rsidR="000D015E">
        <w:rPr>
          <w:rStyle w:val="eop"/>
          <w:rFonts w:ascii="Times New Roman" w:eastAsiaTheme="minorEastAsia" w:hAnsi="Times New Roman" w:cs="Times New Roman"/>
          <w:noProof/>
          <w:lang w:eastAsia="en-IE"/>
        </w:rPr>
        <w:t>,</w:t>
      </w:r>
      <w:r w:rsidRPr="004E62A4">
        <w:rPr>
          <w:rStyle w:val="eop"/>
          <w:rFonts w:ascii="Times New Roman" w:hAnsi="Times New Roman"/>
          <w:noProof/>
          <w:lang w:val="en-US"/>
        </w:rPr>
        <w:t xml:space="preserve"> while </w:t>
      </w:r>
      <w:r w:rsidR="001D3B2D">
        <w:rPr>
          <w:rStyle w:val="eop"/>
          <w:rFonts w:ascii="Times New Roman" w:eastAsiaTheme="minorEastAsia" w:hAnsi="Times New Roman" w:cs="Times New Roman"/>
          <w:noProof/>
          <w:lang w:eastAsia="en-IE"/>
        </w:rPr>
        <w:t xml:space="preserve">expenditure for </w:t>
      </w:r>
      <w:r w:rsidRPr="004E62A4">
        <w:rPr>
          <w:rStyle w:val="eop"/>
          <w:rFonts w:ascii="Times New Roman" w:hAnsi="Times New Roman"/>
          <w:noProof/>
          <w:lang w:val="en-US"/>
        </w:rPr>
        <w:t>online advertising increased from EUR</w:t>
      </w:r>
      <w:r w:rsidR="00516125">
        <w:rPr>
          <w:rStyle w:val="eop"/>
          <w:rFonts w:ascii="Times New Roman" w:eastAsiaTheme="minorEastAsia" w:hAnsi="Times New Roman" w:cs="Times New Roman"/>
          <w:noProof/>
          <w:lang w:eastAsia="en-IE"/>
        </w:rPr>
        <w:t> </w:t>
      </w:r>
      <w:r w:rsidRPr="004E62A4">
        <w:rPr>
          <w:rStyle w:val="eop"/>
          <w:rFonts w:ascii="Times New Roman" w:hAnsi="Times New Roman"/>
          <w:noProof/>
          <w:lang w:val="en-US"/>
        </w:rPr>
        <w:t>49.7 billion to EUR</w:t>
      </w:r>
      <w:r w:rsidR="00516125">
        <w:rPr>
          <w:rStyle w:val="eop"/>
          <w:rFonts w:ascii="Times New Roman" w:eastAsiaTheme="minorEastAsia" w:hAnsi="Times New Roman" w:cs="Times New Roman"/>
          <w:noProof/>
          <w:lang w:eastAsia="en-IE"/>
        </w:rPr>
        <w:t> </w:t>
      </w:r>
      <w:r w:rsidRPr="004E62A4">
        <w:rPr>
          <w:rStyle w:val="eop"/>
          <w:rFonts w:ascii="Times New Roman" w:hAnsi="Times New Roman"/>
          <w:noProof/>
          <w:lang w:val="en-US"/>
        </w:rPr>
        <w:t>87 billion. Overall, the entire growth of the advertising market came from online advertising</w:t>
      </w:r>
      <w:r w:rsidRPr="004E62A4">
        <w:rPr>
          <w:rStyle w:val="FootnoteReference"/>
          <w:rFonts w:ascii="Times New Roman" w:hAnsi="Times New Roman"/>
          <w:noProof/>
          <w:lang w:val="en-US"/>
        </w:rPr>
        <w:footnoteReference w:id="49"/>
      </w:r>
      <w:r w:rsidRPr="004E62A4">
        <w:rPr>
          <w:rFonts w:ascii="Times New Roman" w:hAnsi="Times New Roman"/>
          <w:i/>
          <w:noProof/>
          <w:lang w:val="en-US"/>
        </w:rPr>
        <w:t xml:space="preserve">. </w:t>
      </w:r>
      <w:r w:rsidRPr="004E62A4">
        <w:rPr>
          <w:rStyle w:val="eop"/>
          <w:rFonts w:ascii="Times New Roman" w:hAnsi="Times New Roman"/>
          <w:noProof/>
          <w:lang w:val="en-US"/>
        </w:rPr>
        <w:fldChar w:fldCharType="begin"/>
      </w:r>
      <w:r w:rsidRPr="004E62A4">
        <w:rPr>
          <w:rFonts w:ascii="Times New Roman" w:hAnsi="Times New Roman"/>
          <w:i/>
          <w:noProof/>
          <w:lang w:val="en-US"/>
        </w:rPr>
        <w:instrText xml:space="preserve"> REF _Ref218692212 \h </w:instrText>
      </w:r>
      <w:r w:rsidRPr="004E62A4">
        <w:rPr>
          <w:rStyle w:val="eop"/>
          <w:rFonts w:ascii="Times New Roman" w:hAnsi="Times New Roman"/>
          <w:noProof/>
          <w:lang w:val="en-US"/>
        </w:rPr>
        <w:instrText xml:space="preserve"> \* MERGEFORMAT </w:instrText>
      </w:r>
      <w:r w:rsidRPr="004E62A4">
        <w:rPr>
          <w:rStyle w:val="eop"/>
          <w:rFonts w:ascii="Times New Roman" w:hAnsi="Times New Roman"/>
          <w:noProof/>
          <w:lang w:val="en-US"/>
        </w:rPr>
      </w:r>
      <w:r w:rsidRPr="004E62A4">
        <w:rPr>
          <w:rStyle w:val="eop"/>
          <w:rFonts w:ascii="Times New Roman" w:hAnsi="Times New Roman"/>
          <w:noProof/>
          <w:lang w:val="en-US"/>
        </w:rPr>
        <w:fldChar w:fldCharType="separate"/>
      </w:r>
      <w:r w:rsidR="009B3399" w:rsidRPr="00B54ECF">
        <w:rPr>
          <w:rFonts w:ascii="Times New Roman" w:hAnsi="Times New Roman" w:cs="Times New Roman"/>
          <w:noProof/>
        </w:rPr>
        <w:t xml:space="preserve">Figure </w:t>
      </w:r>
      <w:r w:rsidR="009B3399">
        <w:rPr>
          <w:rFonts w:ascii="Times New Roman" w:hAnsi="Times New Roman" w:cs="Times New Roman"/>
          <w:noProof/>
        </w:rPr>
        <w:t>15</w:t>
      </w:r>
      <w:r w:rsidRPr="004E62A4">
        <w:rPr>
          <w:rStyle w:val="eop"/>
          <w:rFonts w:ascii="Times New Roman" w:hAnsi="Times New Roman"/>
          <w:noProof/>
          <w:lang w:val="en-US"/>
        </w:rPr>
        <w:fldChar w:fldCharType="end"/>
      </w:r>
      <w:r w:rsidRPr="004E62A4">
        <w:rPr>
          <w:rStyle w:val="eop"/>
          <w:rFonts w:ascii="Times New Roman" w:hAnsi="Times New Roman"/>
          <w:noProof/>
          <w:lang w:val="en-US"/>
        </w:rPr>
        <w:t xml:space="preserve"> illustrates how the share of advertising expenditures by medium evolved between 2018 and 2022.</w:t>
      </w:r>
    </w:p>
    <w:p w14:paraId="1D46B773" w14:textId="4507B8D5" w:rsidR="00BF60DB" w:rsidRDefault="00BF60DB" w:rsidP="00E130FA">
      <w:pPr>
        <w:pStyle w:val="Caption"/>
        <w:jc w:val="center"/>
        <w:rPr>
          <w:noProof/>
        </w:rPr>
      </w:pPr>
      <w:bookmarkStart w:id="22" w:name="_Ref218692212"/>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15</w:t>
      </w:r>
      <w:r w:rsidRPr="00B54ECF">
        <w:rPr>
          <w:rFonts w:ascii="Times New Roman" w:hAnsi="Times New Roman" w:cs="Times New Roman"/>
          <w:noProof/>
          <w:color w:val="auto"/>
          <w:sz w:val="24"/>
          <w:szCs w:val="24"/>
        </w:rPr>
        <w:fldChar w:fldCharType="end"/>
      </w:r>
      <w:bookmarkEnd w:id="22"/>
      <w:r w:rsidRPr="00B54ECF">
        <w:rPr>
          <w:rFonts w:ascii="Times New Roman" w:hAnsi="Times New Roman" w:cs="Times New Roman"/>
          <w:noProof/>
          <w:color w:val="auto"/>
          <w:sz w:val="24"/>
          <w:szCs w:val="24"/>
        </w:rPr>
        <w:t xml:space="preserve">: Advertising expenditures by medium </w:t>
      </w:r>
      <w:r w:rsidRPr="00B54ECF">
        <w:rPr>
          <w:noProof/>
          <w:color w:val="auto"/>
          <w:sz w:val="24"/>
          <w:szCs w:val="24"/>
        </w:rPr>
        <w:br/>
      </w:r>
      <w:r w:rsidRPr="00B54ECF">
        <w:rPr>
          <w:rFonts w:ascii="Times New Roman" w:hAnsi="Times New Roman" w:cs="Times New Roman"/>
          <w:noProof/>
          <w:color w:val="auto"/>
          <w:sz w:val="24"/>
          <w:szCs w:val="24"/>
        </w:rPr>
        <w:t>(Source:</w:t>
      </w:r>
      <w:r w:rsidR="00516125" w:rsidRPr="00516125">
        <w:rPr>
          <w:rFonts w:ascii="Times New Roman" w:hAnsi="Times New Roman" w:cs="Times New Roman"/>
          <w:noProof/>
          <w:color w:val="auto"/>
          <w:sz w:val="24"/>
          <w:szCs w:val="24"/>
        </w:rPr>
        <w:t xml:space="preserve"> </w:t>
      </w:r>
      <w:r w:rsidRPr="00B54ECF">
        <w:rPr>
          <w:rFonts w:ascii="Times New Roman" w:hAnsi="Times New Roman" w:cs="Times New Roman"/>
          <w:noProof/>
          <w:color w:val="auto"/>
          <w:sz w:val="24"/>
          <w:szCs w:val="24"/>
        </w:rPr>
        <w:t>European Audiovisual Observatory, Yearbook 2023-2024, 2024)</w:t>
      </w:r>
      <w:r>
        <w:rPr>
          <w:noProof/>
          <w:lang w:val="en-GB" w:eastAsia="en-GB"/>
        </w:rPr>
        <w:drawing>
          <wp:inline distT="0" distB="0" distL="0" distR="0" wp14:anchorId="4366C423" wp14:editId="587F4D14">
            <wp:extent cx="4191216" cy="2559182"/>
            <wp:effectExtent l="0" t="0" r="0" b="0"/>
            <wp:docPr id="464486814" name="drawing"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0186" name="drawing" descr="A close-up of a graph&#10;&#10;AI-generated content may be incorrect."/>
                    <pic:cNvPicPr/>
                  </pic:nvPicPr>
                  <pic:blipFill>
                    <a:blip r:embed="rId32">
                      <a:extLst>
                        <a:ext uri="{28A0092B-C50C-407E-A947-70E740481C1C}">
                          <a14:useLocalDpi xmlns:a14="http://schemas.microsoft.com/office/drawing/2010/main"/>
                        </a:ext>
                      </a:extLst>
                    </a:blip>
                    <a:stretch>
                      <a:fillRect/>
                    </a:stretch>
                  </pic:blipFill>
                  <pic:spPr>
                    <a:xfrm>
                      <a:off x="0" y="0"/>
                      <a:ext cx="4191216" cy="2559182"/>
                    </a:xfrm>
                    <a:prstGeom prst="rect">
                      <a:avLst/>
                    </a:prstGeom>
                  </pic:spPr>
                </pic:pic>
              </a:graphicData>
            </a:graphic>
          </wp:inline>
        </w:drawing>
      </w:r>
    </w:p>
    <w:p w14:paraId="3CF868FB" w14:textId="77777777" w:rsidR="00BF60DB" w:rsidRDefault="00BF60DB" w:rsidP="00BF60DB">
      <w:pPr>
        <w:spacing w:before="240" w:after="240" w:line="240" w:lineRule="auto"/>
        <w:jc w:val="center"/>
        <w:rPr>
          <w:rFonts w:ascii="Times New Roman" w:eastAsia="Times New Roman" w:hAnsi="Times New Roman" w:cs="Times New Roman"/>
          <w:b/>
          <w:bCs/>
          <w:noProof/>
        </w:rPr>
      </w:pPr>
    </w:p>
    <w:p w14:paraId="20E0337C" w14:textId="77777777" w:rsidR="00BF60DB" w:rsidRDefault="00BF60DB" w:rsidP="00BF60DB">
      <w:pPr>
        <w:spacing w:before="240" w:after="240" w:line="240" w:lineRule="auto"/>
        <w:rPr>
          <w:rFonts w:ascii="Times New Roman" w:eastAsia="Times New Roman" w:hAnsi="Times New Roman" w:cs="Times New Roman"/>
          <w:b/>
          <w:bCs/>
          <w:noProof/>
        </w:rPr>
      </w:pPr>
      <w:r w:rsidRPr="7482D136">
        <w:rPr>
          <w:rFonts w:ascii="Times New Roman" w:eastAsia="Times New Roman" w:hAnsi="Times New Roman" w:cs="Times New Roman"/>
          <w:b/>
          <w:bCs/>
          <w:noProof/>
        </w:rPr>
        <w:t>Pay-TV subscription trends and revenues</w:t>
      </w:r>
    </w:p>
    <w:p w14:paraId="5423EEC4" w14:textId="35A0D53D" w:rsidR="00BF60DB" w:rsidRDefault="00BF60DB" w:rsidP="00BF60DB">
      <w:pPr>
        <w:spacing w:after="240" w:line="240" w:lineRule="auto"/>
        <w:jc w:val="both"/>
        <w:rPr>
          <w:rStyle w:val="eop"/>
          <w:rFonts w:ascii="Times New Roman" w:eastAsiaTheme="minorEastAsia" w:hAnsi="Times New Roman" w:cs="Times New Roman"/>
          <w:noProof/>
          <w:lang w:eastAsia="en-IE"/>
        </w:rPr>
      </w:pPr>
      <w:r w:rsidRPr="34B08AA1">
        <w:rPr>
          <w:rFonts w:ascii="Times New Roman" w:eastAsia="Times New Roman" w:hAnsi="Times New Roman" w:cs="Times New Roman"/>
          <w:noProof/>
        </w:rPr>
        <w:t>Trends in pay-TV subscriptions provide additional insight into the evolving role of different delivery platforms.</w:t>
      </w:r>
      <w:r w:rsidRPr="7482D136">
        <w:rPr>
          <w:rStyle w:val="eop"/>
          <w:rFonts w:ascii="Times New Roman" w:eastAsiaTheme="minorEastAsia" w:hAnsi="Times New Roman" w:cs="Times New Roman"/>
          <w:noProof/>
          <w:lang w:eastAsia="en-IE"/>
        </w:rPr>
        <w:t xml:space="preserve"> </w:t>
      </w:r>
      <w:r w:rsidRPr="7482D136">
        <w:rPr>
          <w:rStyle w:val="eop"/>
          <w:rFonts w:ascii="Times New Roman" w:eastAsiaTheme="minorEastAsia" w:hAnsi="Times New Roman" w:cs="Times New Roman"/>
          <w:noProof/>
          <w:lang w:eastAsia="en-IE"/>
        </w:rPr>
        <w:fldChar w:fldCharType="begin"/>
      </w:r>
      <w:r w:rsidRPr="7482D136">
        <w:rPr>
          <w:rStyle w:val="eop"/>
          <w:rFonts w:ascii="Times New Roman" w:eastAsiaTheme="minorEastAsia" w:hAnsi="Times New Roman" w:cs="Times New Roman"/>
          <w:noProof/>
          <w:lang w:eastAsia="en-IE"/>
        </w:rPr>
        <w:instrText xml:space="preserve"> REF _Ref218692237 \h  \* MERGEFORMAT </w:instrText>
      </w:r>
      <w:r w:rsidRPr="7482D136">
        <w:rPr>
          <w:rStyle w:val="eop"/>
          <w:rFonts w:ascii="Times New Roman" w:eastAsiaTheme="minorEastAsia" w:hAnsi="Times New Roman" w:cs="Times New Roman"/>
          <w:noProof/>
          <w:lang w:eastAsia="en-IE"/>
        </w:rPr>
      </w:r>
      <w:r w:rsidRPr="7482D136">
        <w:rPr>
          <w:rStyle w:val="eop"/>
          <w:rFonts w:ascii="Times New Roman" w:eastAsiaTheme="minorEastAsia" w:hAnsi="Times New Roman" w:cs="Times New Roman"/>
          <w:noProof/>
          <w:lang w:eastAsia="en-IE"/>
        </w:rPr>
        <w:fldChar w:fldCharType="separate"/>
      </w:r>
      <w:r w:rsidR="009B3399" w:rsidRPr="00B54ECF">
        <w:rPr>
          <w:rFonts w:ascii="Times New Roman" w:hAnsi="Times New Roman" w:cs="Times New Roman"/>
          <w:noProof/>
        </w:rPr>
        <w:t xml:space="preserve">Figure </w:t>
      </w:r>
      <w:r w:rsidR="009B3399">
        <w:rPr>
          <w:rFonts w:ascii="Times New Roman" w:hAnsi="Times New Roman" w:cs="Times New Roman"/>
          <w:noProof/>
        </w:rPr>
        <w:t>16</w:t>
      </w:r>
      <w:r w:rsidRPr="7482D136">
        <w:rPr>
          <w:rStyle w:val="eop"/>
          <w:rFonts w:ascii="Times New Roman" w:eastAsiaTheme="minorEastAsia" w:hAnsi="Times New Roman" w:cs="Times New Roman"/>
          <w:noProof/>
          <w:lang w:eastAsia="en-IE"/>
        </w:rPr>
        <w:fldChar w:fldCharType="end"/>
      </w:r>
      <w:r w:rsidRPr="7482D136">
        <w:rPr>
          <w:rStyle w:val="eop"/>
          <w:rFonts w:ascii="Times New Roman" w:eastAsiaTheme="minorEastAsia" w:hAnsi="Times New Roman" w:cs="Times New Roman"/>
          <w:noProof/>
          <w:lang w:eastAsia="en-IE"/>
        </w:rPr>
        <w:t xml:space="preserve"> shows a clear shift in pay-TV subscriptions from traditional platforms towards IP-based services. While cable and satellite subscriptions </w:t>
      </w:r>
      <w:r w:rsidR="00906578">
        <w:rPr>
          <w:rStyle w:val="eop"/>
          <w:rFonts w:ascii="Times New Roman" w:eastAsiaTheme="minorEastAsia" w:hAnsi="Times New Roman" w:cs="Times New Roman"/>
          <w:noProof/>
          <w:lang w:eastAsia="en-IE"/>
        </w:rPr>
        <w:t xml:space="preserve">are </w:t>
      </w:r>
      <w:r w:rsidRPr="00516125">
        <w:rPr>
          <w:rStyle w:val="eop"/>
          <w:rFonts w:ascii="Times New Roman" w:eastAsiaTheme="minorEastAsia" w:hAnsi="Times New Roman" w:cs="Times New Roman"/>
          <w:noProof/>
          <w:lang w:eastAsia="en-IE"/>
        </w:rPr>
        <w:t>declin</w:t>
      </w:r>
      <w:r w:rsidR="00906578">
        <w:rPr>
          <w:rStyle w:val="eop"/>
          <w:rFonts w:ascii="Times New Roman" w:eastAsiaTheme="minorEastAsia" w:hAnsi="Times New Roman" w:cs="Times New Roman"/>
          <w:noProof/>
          <w:lang w:eastAsia="en-IE"/>
        </w:rPr>
        <w:t>ing</w:t>
      </w:r>
      <w:r w:rsidRPr="7482D136">
        <w:rPr>
          <w:rStyle w:val="eop"/>
          <w:rFonts w:ascii="Times New Roman" w:eastAsiaTheme="minorEastAsia" w:hAnsi="Times New Roman" w:cs="Times New Roman"/>
          <w:noProof/>
          <w:lang w:eastAsia="en-IE"/>
        </w:rPr>
        <w:t xml:space="preserve">, IPTV and OTT services </w:t>
      </w:r>
      <w:r w:rsidR="00906578">
        <w:rPr>
          <w:rStyle w:val="eop"/>
          <w:rFonts w:ascii="Times New Roman" w:eastAsiaTheme="minorEastAsia" w:hAnsi="Times New Roman" w:cs="Times New Roman"/>
          <w:noProof/>
          <w:lang w:eastAsia="en-IE"/>
        </w:rPr>
        <w:t xml:space="preserve">are </w:t>
      </w:r>
      <w:r w:rsidRPr="00516125">
        <w:rPr>
          <w:rStyle w:val="eop"/>
          <w:rFonts w:ascii="Times New Roman" w:eastAsiaTheme="minorEastAsia" w:hAnsi="Times New Roman" w:cs="Times New Roman"/>
          <w:noProof/>
          <w:lang w:eastAsia="en-IE"/>
        </w:rPr>
        <w:t>grow</w:t>
      </w:r>
      <w:r w:rsidR="00906578">
        <w:rPr>
          <w:rStyle w:val="eop"/>
          <w:rFonts w:ascii="Times New Roman" w:eastAsiaTheme="minorEastAsia" w:hAnsi="Times New Roman" w:cs="Times New Roman"/>
          <w:noProof/>
          <w:lang w:eastAsia="en-IE"/>
        </w:rPr>
        <w:t>ing</w:t>
      </w:r>
      <w:r w:rsidRPr="7482D136">
        <w:rPr>
          <w:rStyle w:val="eop"/>
          <w:rFonts w:ascii="Times New Roman" w:eastAsiaTheme="minorEastAsia" w:hAnsi="Times New Roman" w:cs="Times New Roman"/>
          <w:noProof/>
          <w:lang w:eastAsia="en-IE"/>
        </w:rPr>
        <w:t xml:space="preserve"> steadily, with IPTV becoming the leading pay-TV platform. Pay-TV delivered over DTT remains marginal and continues to decrease.</w:t>
      </w:r>
    </w:p>
    <w:p w14:paraId="018BC36D" w14:textId="313EF94A" w:rsidR="00BF60DB" w:rsidRPr="00B54ECF" w:rsidRDefault="00BF60DB" w:rsidP="00BF60DB">
      <w:pPr>
        <w:pStyle w:val="Caption"/>
        <w:jc w:val="center"/>
        <w:rPr>
          <w:rFonts w:ascii="Times New Roman" w:hAnsi="Times New Roman" w:cs="Times New Roman"/>
          <w:noProof/>
          <w:color w:val="auto"/>
          <w:sz w:val="24"/>
          <w:szCs w:val="24"/>
        </w:rPr>
      </w:pPr>
      <w:bookmarkStart w:id="23" w:name="_Ref218692237"/>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16</w:t>
      </w:r>
      <w:r w:rsidRPr="00B54ECF">
        <w:rPr>
          <w:rFonts w:ascii="Times New Roman" w:hAnsi="Times New Roman" w:cs="Times New Roman"/>
          <w:noProof/>
          <w:color w:val="auto"/>
          <w:sz w:val="24"/>
          <w:szCs w:val="24"/>
        </w:rPr>
        <w:fldChar w:fldCharType="end"/>
      </w:r>
      <w:bookmarkEnd w:id="23"/>
      <w:r w:rsidRPr="00B54ECF">
        <w:rPr>
          <w:rFonts w:ascii="Times New Roman" w:hAnsi="Times New Roman" w:cs="Times New Roman"/>
          <w:noProof/>
          <w:color w:val="auto"/>
          <w:sz w:val="24"/>
          <w:szCs w:val="24"/>
        </w:rPr>
        <w:t xml:space="preserve">: Number of pay-TV subscriptions by platform </w:t>
      </w:r>
      <w:r w:rsidRPr="00B54ECF">
        <w:rPr>
          <w:noProof/>
          <w:color w:val="auto"/>
          <w:sz w:val="24"/>
          <w:szCs w:val="24"/>
        </w:rPr>
        <w:br/>
      </w:r>
      <w:r w:rsidRPr="00B54ECF">
        <w:rPr>
          <w:rFonts w:ascii="Times New Roman" w:hAnsi="Times New Roman" w:cs="Times New Roman"/>
          <w:noProof/>
          <w:color w:val="auto"/>
          <w:sz w:val="24"/>
          <w:szCs w:val="24"/>
        </w:rPr>
        <w:t>(Source: European Audiovisual Observatory on Dataxis data – Yearbook 2025</w:t>
      </w:r>
      <w:r w:rsidR="00CE5F95">
        <w:rPr>
          <w:rFonts w:ascii="Times New Roman" w:hAnsi="Times New Roman" w:cs="Times New Roman"/>
          <w:noProof/>
          <w:color w:val="auto"/>
          <w:sz w:val="24"/>
          <w:szCs w:val="24"/>
        </w:rPr>
        <w:t>)</w:t>
      </w:r>
    </w:p>
    <w:p w14:paraId="69D4E77D" w14:textId="77777777" w:rsidR="00BF60DB" w:rsidRDefault="00BF60DB" w:rsidP="00BF60DB">
      <w:pPr>
        <w:keepNext/>
        <w:spacing w:after="240" w:line="240" w:lineRule="auto"/>
        <w:jc w:val="center"/>
        <w:rPr>
          <w:noProof/>
        </w:rPr>
      </w:pPr>
      <w:r>
        <w:rPr>
          <w:noProof/>
          <w:lang w:val="en-GB" w:eastAsia="en-GB"/>
        </w:rPr>
        <w:drawing>
          <wp:inline distT="0" distB="0" distL="0" distR="0" wp14:anchorId="26BCD45B" wp14:editId="332B8DE8">
            <wp:extent cx="4657748" cy="2755631"/>
            <wp:effectExtent l="0" t="0" r="0" b="0"/>
            <wp:docPr id="489275069" name="drawing"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75069" name="drawing" descr="A graph of numbers and lines&#10;&#10;AI-generated content may be incorrect."/>
                    <pic:cNvPicPr/>
                  </pic:nvPicPr>
                  <pic:blipFill>
                    <a:blip r:embed="rId33">
                      <a:extLst>
                        <a:ext uri="{28A0092B-C50C-407E-A947-70E740481C1C}">
                          <a14:useLocalDpi xmlns:a14="http://schemas.microsoft.com/office/drawing/2010/main"/>
                        </a:ext>
                      </a:extLst>
                    </a:blip>
                    <a:stretch>
                      <a:fillRect/>
                    </a:stretch>
                  </pic:blipFill>
                  <pic:spPr>
                    <a:xfrm>
                      <a:off x="0" y="0"/>
                      <a:ext cx="4657748" cy="2755631"/>
                    </a:xfrm>
                    <a:prstGeom prst="rect">
                      <a:avLst/>
                    </a:prstGeom>
                  </pic:spPr>
                </pic:pic>
              </a:graphicData>
            </a:graphic>
          </wp:inline>
        </w:drawing>
      </w:r>
    </w:p>
    <w:p w14:paraId="27C19DC6" w14:textId="288FDDF2" w:rsidR="00BF60DB" w:rsidRDefault="00BF60DB" w:rsidP="00BF60DB">
      <w:pPr>
        <w:spacing w:before="240" w:after="240" w:line="240" w:lineRule="auto"/>
        <w:jc w:val="both"/>
        <w:rPr>
          <w:rStyle w:val="eop"/>
          <w:rFonts w:ascii="Times New Roman" w:eastAsiaTheme="minorEastAsia" w:hAnsi="Times New Roman" w:cs="Times New Roman"/>
          <w:noProof/>
          <w:lang w:eastAsia="en-IE"/>
        </w:rPr>
      </w:pPr>
      <w:r w:rsidRPr="7482D136">
        <w:rPr>
          <w:rStyle w:val="eop"/>
          <w:rFonts w:ascii="Times New Roman" w:eastAsiaTheme="minorEastAsia" w:hAnsi="Times New Roman" w:cs="Times New Roman"/>
          <w:noProof/>
          <w:lang w:eastAsia="en-IE"/>
        </w:rPr>
        <w:t xml:space="preserve">These subscription trends are mirrored in pay-TV revenues. As shown in </w:t>
      </w:r>
      <w:r w:rsidRPr="7482D136">
        <w:rPr>
          <w:rStyle w:val="eop"/>
          <w:rFonts w:ascii="Times New Roman" w:eastAsiaTheme="minorEastAsia" w:hAnsi="Times New Roman" w:cs="Times New Roman"/>
          <w:noProof/>
          <w:lang w:eastAsia="en-IE"/>
        </w:rPr>
        <w:fldChar w:fldCharType="begin"/>
      </w:r>
      <w:r w:rsidRPr="7482D136">
        <w:rPr>
          <w:rStyle w:val="eop"/>
          <w:rFonts w:ascii="Times New Roman" w:eastAsiaTheme="minorEastAsia" w:hAnsi="Times New Roman" w:cs="Times New Roman"/>
          <w:noProof/>
          <w:lang w:eastAsia="en-IE"/>
        </w:rPr>
        <w:instrText xml:space="preserve"> REF _Ref218692267 \h  \* MERGEFORMAT </w:instrText>
      </w:r>
      <w:r w:rsidRPr="7482D136">
        <w:rPr>
          <w:rStyle w:val="eop"/>
          <w:rFonts w:ascii="Times New Roman" w:eastAsiaTheme="minorEastAsia" w:hAnsi="Times New Roman" w:cs="Times New Roman"/>
          <w:noProof/>
          <w:lang w:eastAsia="en-IE"/>
        </w:rPr>
      </w:r>
      <w:r w:rsidRPr="7482D136">
        <w:rPr>
          <w:rStyle w:val="eop"/>
          <w:rFonts w:ascii="Times New Roman" w:eastAsiaTheme="minorEastAsia" w:hAnsi="Times New Roman" w:cs="Times New Roman"/>
          <w:noProof/>
          <w:lang w:eastAsia="en-IE"/>
        </w:rPr>
        <w:fldChar w:fldCharType="separate"/>
      </w:r>
      <w:r w:rsidR="009B3399" w:rsidRPr="00B54ECF">
        <w:rPr>
          <w:rFonts w:ascii="Times New Roman" w:hAnsi="Times New Roman" w:cs="Times New Roman"/>
          <w:noProof/>
        </w:rPr>
        <w:t xml:space="preserve">Figure </w:t>
      </w:r>
      <w:r w:rsidR="009B3399">
        <w:rPr>
          <w:rFonts w:ascii="Times New Roman" w:hAnsi="Times New Roman" w:cs="Times New Roman"/>
          <w:noProof/>
        </w:rPr>
        <w:t>17</w:t>
      </w:r>
      <w:r w:rsidRPr="7482D136">
        <w:rPr>
          <w:rStyle w:val="eop"/>
          <w:rFonts w:ascii="Times New Roman" w:eastAsiaTheme="minorEastAsia" w:hAnsi="Times New Roman" w:cs="Times New Roman"/>
          <w:noProof/>
          <w:lang w:eastAsia="en-IE"/>
        </w:rPr>
        <w:fldChar w:fldCharType="end"/>
      </w:r>
      <w:r w:rsidRPr="7482D136">
        <w:rPr>
          <w:rStyle w:val="eop"/>
          <w:rFonts w:ascii="Times New Roman" w:eastAsiaTheme="minorEastAsia" w:hAnsi="Times New Roman" w:cs="Times New Roman"/>
          <w:noProof/>
          <w:lang w:eastAsia="en-IE"/>
        </w:rPr>
        <w:t>, revenues from IPTV have increased steadily and now represent the largest share of pay-TV revenues, while cable and satellite revenues show a sustained decline. OTT revenues, although still smaller in absolute terms, have grown rapidly. By contrast, pay-TV revenues delivered over DTT remain marginal and continue to decrease.</w:t>
      </w:r>
    </w:p>
    <w:p w14:paraId="49CE816E" w14:textId="1DAB5FA2" w:rsidR="00BF60DB" w:rsidRPr="00B54ECF" w:rsidRDefault="00BF60DB" w:rsidP="00BF60DB">
      <w:pPr>
        <w:pStyle w:val="Caption"/>
        <w:jc w:val="center"/>
        <w:rPr>
          <w:i w:val="0"/>
          <w:iCs w:val="0"/>
          <w:noProof/>
          <w:color w:val="auto"/>
          <w:sz w:val="24"/>
          <w:szCs w:val="24"/>
        </w:rPr>
      </w:pPr>
      <w:bookmarkStart w:id="24" w:name="_Ref218692267"/>
      <w:r w:rsidRPr="00B54ECF">
        <w:rPr>
          <w:rFonts w:ascii="Times New Roman" w:hAnsi="Times New Roman" w:cs="Times New Roman"/>
          <w:noProof/>
          <w:color w:val="auto"/>
          <w:sz w:val="24"/>
          <w:szCs w:val="24"/>
        </w:rPr>
        <w:t xml:space="preserve">Figure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Figure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17</w:t>
      </w:r>
      <w:r w:rsidRPr="00B54ECF">
        <w:rPr>
          <w:rFonts w:ascii="Times New Roman" w:hAnsi="Times New Roman" w:cs="Times New Roman"/>
          <w:noProof/>
          <w:color w:val="auto"/>
          <w:sz w:val="24"/>
          <w:szCs w:val="24"/>
        </w:rPr>
        <w:fldChar w:fldCharType="end"/>
      </w:r>
      <w:bookmarkEnd w:id="24"/>
      <w:r w:rsidRPr="00B54ECF">
        <w:rPr>
          <w:rFonts w:ascii="Times New Roman" w:hAnsi="Times New Roman" w:cs="Times New Roman"/>
          <w:noProof/>
          <w:color w:val="auto"/>
          <w:sz w:val="24"/>
          <w:szCs w:val="24"/>
        </w:rPr>
        <w:t xml:space="preserve">: Pay-TV revenues by platform </w:t>
      </w:r>
      <w:r w:rsidRPr="00B54ECF">
        <w:rPr>
          <w:noProof/>
          <w:color w:val="auto"/>
          <w:sz w:val="24"/>
          <w:szCs w:val="24"/>
        </w:rPr>
        <w:br/>
      </w:r>
      <w:r w:rsidRPr="00B54ECF">
        <w:rPr>
          <w:rFonts w:ascii="Times New Roman" w:hAnsi="Times New Roman" w:cs="Times New Roman"/>
          <w:noProof/>
          <w:color w:val="auto"/>
          <w:sz w:val="24"/>
          <w:szCs w:val="24"/>
        </w:rPr>
        <w:t>(Source: European Audiovisual Observatory on Dataxis data – Yearbook 2025)</w:t>
      </w:r>
    </w:p>
    <w:p w14:paraId="12484443" w14:textId="77777777" w:rsidR="00BF60DB" w:rsidRDefault="00BF60DB" w:rsidP="00BF60DB">
      <w:pPr>
        <w:keepNext/>
        <w:spacing w:before="240" w:after="240" w:line="240" w:lineRule="auto"/>
        <w:jc w:val="center"/>
        <w:rPr>
          <w:noProof/>
        </w:rPr>
      </w:pPr>
      <w:r>
        <w:rPr>
          <w:noProof/>
          <w:lang w:val="en-GB" w:eastAsia="en-GB"/>
        </w:rPr>
        <w:drawing>
          <wp:inline distT="0" distB="0" distL="0" distR="0" wp14:anchorId="5C98DBCB" wp14:editId="28EFBD59">
            <wp:extent cx="4337521" cy="2607128"/>
            <wp:effectExtent l="0" t="0" r="6350" b="3175"/>
            <wp:docPr id="190777671" name="drawing" descr="A graph of a number of compan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7671" name="drawing" descr="A graph of a number of companies&#10;&#10;AI-generated content may be incorrect."/>
                    <pic:cNvPicPr/>
                  </pic:nvPicPr>
                  <pic:blipFill>
                    <a:blip r:embed="rId34">
                      <a:extLst>
                        <a:ext uri="{28A0092B-C50C-407E-A947-70E740481C1C}">
                          <a14:useLocalDpi xmlns:a14="http://schemas.microsoft.com/office/drawing/2010/main"/>
                        </a:ext>
                      </a:extLst>
                    </a:blip>
                    <a:stretch>
                      <a:fillRect/>
                    </a:stretch>
                  </pic:blipFill>
                  <pic:spPr>
                    <a:xfrm>
                      <a:off x="0" y="0"/>
                      <a:ext cx="4377985" cy="2631449"/>
                    </a:xfrm>
                    <a:prstGeom prst="rect">
                      <a:avLst/>
                    </a:prstGeom>
                  </pic:spPr>
                </pic:pic>
              </a:graphicData>
            </a:graphic>
          </wp:inline>
        </w:drawing>
      </w:r>
    </w:p>
    <w:p w14:paraId="796F7602" w14:textId="77777777" w:rsidR="00BF60DB" w:rsidRDefault="00BF60DB" w:rsidP="00BF60DB">
      <w:pPr>
        <w:spacing w:before="240" w:after="240" w:line="240" w:lineRule="auto"/>
        <w:jc w:val="center"/>
        <w:rPr>
          <w:rFonts w:ascii="Times New Roman" w:eastAsia="Times New Roman" w:hAnsi="Times New Roman" w:cs="Times New Roman"/>
          <w:b/>
          <w:bCs/>
          <w:noProof/>
        </w:rPr>
      </w:pPr>
    </w:p>
    <w:p w14:paraId="440F295B" w14:textId="77777777" w:rsidR="00BF60DB" w:rsidRPr="0098483A" w:rsidRDefault="00BF60DB" w:rsidP="00BF60DB">
      <w:pPr>
        <w:spacing w:before="240" w:after="240" w:line="240" w:lineRule="auto"/>
        <w:textAlignment w:val="baseline"/>
        <w:rPr>
          <w:rFonts w:ascii="Times New Roman" w:eastAsia="Times New Roman" w:hAnsi="Times New Roman" w:cs="Times New Roman"/>
          <w:b/>
          <w:bCs/>
          <w:noProof/>
        </w:rPr>
      </w:pPr>
      <w:r w:rsidRPr="29C3FA4B">
        <w:rPr>
          <w:rFonts w:ascii="Times New Roman" w:eastAsia="Times New Roman" w:hAnsi="Times New Roman" w:cs="Times New Roman"/>
          <w:b/>
          <w:bCs/>
          <w:noProof/>
        </w:rPr>
        <w:t>Investment and consumer cost of the digital switchover</w:t>
      </w:r>
    </w:p>
    <w:p w14:paraId="14B26100" w14:textId="533CD218" w:rsidR="00BF60DB" w:rsidRPr="0098483A" w:rsidRDefault="00BF60DB" w:rsidP="00BF60DB">
      <w:pPr>
        <w:spacing w:after="240" w:line="240" w:lineRule="auto"/>
        <w:jc w:val="both"/>
        <w:textAlignment w:val="baseline"/>
        <w:rPr>
          <w:rFonts w:ascii="Times New Roman" w:eastAsia="Times New Roman" w:hAnsi="Times New Roman" w:cs="Times New Roman"/>
          <w:noProof/>
        </w:rPr>
      </w:pPr>
      <w:r w:rsidRPr="007548EA">
        <w:rPr>
          <w:rFonts w:ascii="Times New Roman" w:eastAsia="Times New Roman" w:hAnsi="Times New Roman" w:cs="Times New Roman"/>
          <w:noProof/>
        </w:rPr>
        <w:t xml:space="preserve">The scale of infrastructure </w:t>
      </w:r>
      <w:r w:rsidRPr="00516125">
        <w:rPr>
          <w:rFonts w:ascii="Times New Roman" w:eastAsia="Times New Roman" w:hAnsi="Times New Roman" w:cs="Times New Roman"/>
          <w:noProof/>
        </w:rPr>
        <w:t>upgrade</w:t>
      </w:r>
      <w:r w:rsidR="00466267">
        <w:rPr>
          <w:rFonts w:ascii="Times New Roman" w:eastAsia="Times New Roman" w:hAnsi="Times New Roman" w:cs="Times New Roman"/>
          <w:noProof/>
        </w:rPr>
        <w:t>s</w:t>
      </w:r>
      <w:r w:rsidRPr="360DE6F9">
        <w:rPr>
          <w:rFonts w:ascii="Times New Roman" w:eastAsia="Times New Roman" w:hAnsi="Times New Roman" w:cs="Times New Roman"/>
          <w:noProof/>
        </w:rPr>
        <w:t xml:space="preserve"> </w:t>
      </w:r>
      <w:r w:rsidRPr="007548EA">
        <w:rPr>
          <w:rFonts w:ascii="Times New Roman" w:eastAsia="Times New Roman" w:hAnsi="Times New Roman" w:cs="Times New Roman"/>
          <w:noProof/>
        </w:rPr>
        <w:t>and network replanning linked to the evolution of DTT technology generate</w:t>
      </w:r>
      <w:r w:rsidRPr="7558F606">
        <w:rPr>
          <w:rFonts w:ascii="Times New Roman" w:eastAsia="Times New Roman" w:hAnsi="Times New Roman" w:cs="Times New Roman"/>
          <w:noProof/>
        </w:rPr>
        <w:t>s</w:t>
      </w:r>
      <w:r w:rsidRPr="007548EA">
        <w:rPr>
          <w:rFonts w:ascii="Times New Roman" w:eastAsia="Times New Roman" w:hAnsi="Times New Roman" w:cs="Times New Roman"/>
          <w:noProof/>
        </w:rPr>
        <w:t xml:space="preserve"> </w:t>
      </w:r>
      <w:r w:rsidRPr="360DE6F9">
        <w:rPr>
          <w:rFonts w:ascii="Times New Roman" w:eastAsia="Times New Roman" w:hAnsi="Times New Roman" w:cs="Times New Roman"/>
          <w:noProof/>
        </w:rPr>
        <w:t xml:space="preserve">investment </w:t>
      </w:r>
      <w:r w:rsidRPr="00516125">
        <w:rPr>
          <w:rFonts w:ascii="Times New Roman" w:eastAsia="Times New Roman" w:hAnsi="Times New Roman" w:cs="Times New Roman"/>
          <w:noProof/>
        </w:rPr>
        <w:t>cost</w:t>
      </w:r>
      <w:r w:rsidR="00466267">
        <w:rPr>
          <w:rFonts w:ascii="Times New Roman" w:eastAsia="Times New Roman" w:hAnsi="Times New Roman" w:cs="Times New Roman"/>
          <w:noProof/>
        </w:rPr>
        <w:t>s</w:t>
      </w:r>
      <w:r w:rsidRPr="007548EA">
        <w:rPr>
          <w:rFonts w:ascii="Times New Roman" w:eastAsia="Times New Roman" w:hAnsi="Times New Roman" w:cs="Times New Roman"/>
          <w:noProof/>
        </w:rPr>
        <w:t xml:space="preserve">, which </w:t>
      </w:r>
      <w:r w:rsidR="00466267">
        <w:rPr>
          <w:rFonts w:ascii="Times New Roman" w:eastAsia="Times New Roman" w:hAnsi="Times New Roman" w:cs="Times New Roman"/>
          <w:noProof/>
        </w:rPr>
        <w:t>are</w:t>
      </w:r>
      <w:r w:rsidR="00466267" w:rsidRPr="00516125">
        <w:rPr>
          <w:rFonts w:ascii="Times New Roman" w:eastAsia="Times New Roman" w:hAnsi="Times New Roman" w:cs="Times New Roman"/>
          <w:noProof/>
        </w:rPr>
        <w:t xml:space="preserve"> </w:t>
      </w:r>
      <w:r w:rsidRPr="007548EA">
        <w:rPr>
          <w:rFonts w:ascii="Times New Roman" w:eastAsia="Times New Roman" w:hAnsi="Times New Roman" w:cs="Times New Roman"/>
          <w:noProof/>
        </w:rPr>
        <w:t>subject to several factors, most notably the size and scale of the DTT transmission network. The transition from DVB-T to DVB-T2 (approximately 60% of national multiplexes across the Member States</w:t>
      </w:r>
      <w:r w:rsidR="00516125" w:rsidRPr="00516125">
        <w:rPr>
          <w:rFonts w:ascii="Times New Roman" w:eastAsia="Times New Roman" w:hAnsi="Times New Roman" w:cs="Times New Roman"/>
          <w:noProof/>
        </w:rPr>
        <w:t>)</w:t>
      </w:r>
      <w:r w:rsidRPr="007548EA">
        <w:rPr>
          <w:rStyle w:val="FootnoteReference"/>
          <w:rFonts w:ascii="Times New Roman" w:eastAsia="Times New Roman" w:hAnsi="Times New Roman" w:cs="Times New Roman"/>
          <w:noProof/>
        </w:rPr>
        <w:footnoteReference w:id="50"/>
      </w:r>
      <w:r w:rsidRPr="007548EA">
        <w:rPr>
          <w:rFonts w:ascii="Times New Roman" w:eastAsia="Times New Roman" w:hAnsi="Times New Roman" w:cs="Times New Roman"/>
          <w:noProof/>
        </w:rPr>
        <w:t xml:space="preserve"> requires modification </w:t>
      </w:r>
      <w:r w:rsidR="00926D71">
        <w:rPr>
          <w:rFonts w:ascii="Times New Roman" w:eastAsia="Times New Roman" w:hAnsi="Times New Roman" w:cs="Times New Roman"/>
          <w:noProof/>
        </w:rPr>
        <w:t>of</w:t>
      </w:r>
      <w:r w:rsidR="00926D71" w:rsidRPr="00516125">
        <w:rPr>
          <w:rFonts w:ascii="Times New Roman" w:eastAsia="Times New Roman" w:hAnsi="Times New Roman" w:cs="Times New Roman"/>
          <w:noProof/>
        </w:rPr>
        <w:t xml:space="preserve"> </w:t>
      </w:r>
      <w:r w:rsidRPr="007548EA">
        <w:rPr>
          <w:rFonts w:ascii="Times New Roman" w:eastAsia="Times New Roman" w:hAnsi="Times New Roman" w:cs="Times New Roman"/>
          <w:noProof/>
        </w:rPr>
        <w:t>DTT transmission equipment. Estimates</w:t>
      </w:r>
      <w:r w:rsidR="00BA6FC7">
        <w:rPr>
          <w:rStyle w:val="FootnoteReference"/>
          <w:rFonts w:ascii="Times New Roman" w:eastAsia="Times New Roman" w:hAnsi="Times New Roman" w:cs="Times New Roman"/>
          <w:noProof/>
        </w:rPr>
        <w:footnoteReference w:id="51"/>
      </w:r>
      <w:r w:rsidRPr="007548EA">
        <w:rPr>
          <w:rFonts w:ascii="Times New Roman" w:eastAsia="Times New Roman" w:hAnsi="Times New Roman" w:cs="Times New Roman"/>
          <w:noProof/>
        </w:rPr>
        <w:t xml:space="preserve"> produced for a previous European Commission </w:t>
      </w:r>
      <w:r w:rsidRPr="006A7A73">
        <w:rPr>
          <w:rFonts w:ascii="Times New Roman" w:eastAsia="Times New Roman" w:hAnsi="Times New Roman" w:cs="Times New Roman"/>
          <w:noProof/>
        </w:rPr>
        <w:t>study</w:t>
      </w:r>
      <w:bookmarkStart w:id="25" w:name="_Ref214267186"/>
      <w:r w:rsidRPr="006A7A73">
        <w:rPr>
          <w:rStyle w:val="FootnoteReference"/>
          <w:rFonts w:ascii="Times New Roman" w:eastAsia="Times New Roman" w:hAnsi="Times New Roman" w:cs="Times New Roman"/>
          <w:noProof/>
        </w:rPr>
        <w:footnoteReference w:id="52"/>
      </w:r>
      <w:bookmarkEnd w:id="25"/>
      <w:r w:rsidRPr="006A7A73">
        <w:rPr>
          <w:rFonts w:ascii="Times New Roman" w:eastAsia="Times New Roman" w:hAnsi="Times New Roman" w:cs="Times New Roman"/>
          <w:noProof/>
        </w:rPr>
        <w:t xml:space="preserve"> predicted that as of 2016, transition to DVB-T2 and MPEG4 would cost a total of</w:t>
      </w:r>
      <w:r w:rsidRPr="007548EA">
        <w:rPr>
          <w:rFonts w:ascii="Times New Roman" w:eastAsia="Times New Roman" w:hAnsi="Times New Roman" w:cs="Times New Roman"/>
          <w:noProof/>
        </w:rPr>
        <w:t xml:space="preserve"> between </w:t>
      </w:r>
      <w:r>
        <w:rPr>
          <w:rFonts w:ascii="Times New Roman" w:eastAsia="Times New Roman" w:hAnsi="Times New Roman" w:cs="Times New Roman"/>
          <w:noProof/>
        </w:rPr>
        <w:t>EUR</w:t>
      </w:r>
      <w:r w:rsidR="00516125">
        <w:rPr>
          <w:rFonts w:ascii="Times New Roman" w:eastAsia="Times New Roman" w:hAnsi="Times New Roman" w:cs="Times New Roman"/>
          <w:noProof/>
        </w:rPr>
        <w:t> </w:t>
      </w:r>
      <w:r w:rsidRPr="007548EA">
        <w:rPr>
          <w:rFonts w:ascii="Times New Roman" w:eastAsia="Times New Roman" w:hAnsi="Times New Roman" w:cs="Times New Roman"/>
          <w:noProof/>
        </w:rPr>
        <w:t xml:space="preserve">585 million and </w:t>
      </w:r>
      <w:r>
        <w:rPr>
          <w:rFonts w:ascii="Times New Roman" w:eastAsia="Times New Roman" w:hAnsi="Times New Roman" w:cs="Times New Roman"/>
          <w:noProof/>
        </w:rPr>
        <w:t>EUR</w:t>
      </w:r>
      <w:r w:rsidR="00516125">
        <w:rPr>
          <w:rFonts w:ascii="Times New Roman" w:eastAsia="Times New Roman" w:hAnsi="Times New Roman" w:cs="Times New Roman"/>
          <w:noProof/>
        </w:rPr>
        <w:t> </w:t>
      </w:r>
      <w:r w:rsidRPr="007548EA">
        <w:rPr>
          <w:rFonts w:ascii="Times New Roman" w:eastAsia="Times New Roman" w:hAnsi="Times New Roman" w:cs="Times New Roman"/>
          <w:noProof/>
        </w:rPr>
        <w:t xml:space="preserve">856 million for </w:t>
      </w:r>
      <w:r w:rsidR="00466267">
        <w:rPr>
          <w:rFonts w:ascii="Times New Roman" w:eastAsia="Times New Roman" w:hAnsi="Times New Roman" w:cs="Times New Roman"/>
          <w:noProof/>
        </w:rPr>
        <w:t>the</w:t>
      </w:r>
      <w:r w:rsidRPr="00516125">
        <w:rPr>
          <w:rFonts w:ascii="Times New Roman" w:eastAsia="Times New Roman" w:hAnsi="Times New Roman" w:cs="Times New Roman"/>
          <w:noProof/>
        </w:rPr>
        <w:t xml:space="preserve"> </w:t>
      </w:r>
      <w:r w:rsidRPr="360DE6F9">
        <w:rPr>
          <w:rFonts w:ascii="Times New Roman" w:eastAsia="Times New Roman" w:hAnsi="Times New Roman" w:cs="Times New Roman"/>
          <w:noProof/>
        </w:rPr>
        <w:t>EU-</w:t>
      </w:r>
      <w:r w:rsidRPr="007548EA">
        <w:rPr>
          <w:rFonts w:ascii="Times New Roman" w:eastAsia="Times New Roman" w:hAnsi="Times New Roman" w:cs="Times New Roman"/>
          <w:noProof/>
        </w:rPr>
        <w:t>27</w:t>
      </w:r>
      <w:r w:rsidRPr="34B08AA1">
        <w:rPr>
          <w:rFonts w:ascii="Times New Roman" w:eastAsia="Times New Roman" w:hAnsi="Times New Roman" w:cs="Times New Roman"/>
          <w:noProof/>
        </w:rPr>
        <w:t xml:space="preserve"> and the </w:t>
      </w:r>
      <w:r w:rsidRPr="360DE6F9">
        <w:rPr>
          <w:rFonts w:ascii="Times New Roman" w:eastAsia="Times New Roman" w:hAnsi="Times New Roman" w:cs="Times New Roman"/>
          <w:noProof/>
        </w:rPr>
        <w:t>UK</w:t>
      </w:r>
      <w:r>
        <w:rPr>
          <w:rFonts w:ascii="Times New Roman" w:eastAsia="Times New Roman" w:hAnsi="Times New Roman" w:cs="Times New Roman"/>
          <w:noProof/>
        </w:rPr>
        <w:t>,</w:t>
      </w:r>
      <w:r w:rsidRPr="360DE6F9">
        <w:rPr>
          <w:rFonts w:ascii="Times New Roman" w:eastAsia="Times New Roman" w:hAnsi="Times New Roman" w:cs="Times New Roman"/>
          <w:noProof/>
        </w:rPr>
        <w:t xml:space="preserve"> </w:t>
      </w:r>
      <w:r w:rsidRPr="007548EA">
        <w:rPr>
          <w:rFonts w:ascii="Times New Roman" w:eastAsia="Times New Roman" w:hAnsi="Times New Roman" w:cs="Times New Roman"/>
          <w:noProof/>
        </w:rPr>
        <w:t xml:space="preserve">while the transition to DVB-T2 </w:t>
      </w:r>
      <w:r w:rsidRPr="360DE6F9">
        <w:rPr>
          <w:rFonts w:ascii="Times New Roman" w:eastAsia="Times New Roman" w:hAnsi="Times New Roman" w:cs="Times New Roman"/>
          <w:noProof/>
        </w:rPr>
        <w:t xml:space="preserve">and </w:t>
      </w:r>
      <w:r w:rsidRPr="007548EA">
        <w:rPr>
          <w:rFonts w:ascii="Times New Roman" w:eastAsia="Times New Roman" w:hAnsi="Times New Roman" w:cs="Times New Roman"/>
          <w:noProof/>
        </w:rPr>
        <w:t xml:space="preserve">HEVC </w:t>
      </w:r>
      <w:r w:rsidR="00466267">
        <w:rPr>
          <w:rFonts w:ascii="Times New Roman" w:eastAsia="Times New Roman" w:hAnsi="Times New Roman" w:cs="Times New Roman"/>
          <w:noProof/>
        </w:rPr>
        <w:t>would cost</w:t>
      </w:r>
      <w:r w:rsidR="00466267" w:rsidRPr="00516125">
        <w:rPr>
          <w:rFonts w:ascii="Times New Roman" w:eastAsia="Times New Roman" w:hAnsi="Times New Roman" w:cs="Times New Roman"/>
          <w:noProof/>
        </w:rPr>
        <w:t xml:space="preserve"> </w:t>
      </w:r>
      <w:r w:rsidRPr="007548EA">
        <w:rPr>
          <w:rFonts w:ascii="Times New Roman" w:eastAsia="Times New Roman" w:hAnsi="Times New Roman" w:cs="Times New Roman"/>
          <w:noProof/>
        </w:rPr>
        <w:t xml:space="preserve">a total of between </w:t>
      </w:r>
      <w:r>
        <w:rPr>
          <w:rFonts w:ascii="Times New Roman" w:eastAsia="Times New Roman" w:hAnsi="Times New Roman" w:cs="Times New Roman"/>
          <w:noProof/>
        </w:rPr>
        <w:t>EUR</w:t>
      </w:r>
      <w:r w:rsidR="00516125">
        <w:rPr>
          <w:rFonts w:ascii="Times New Roman" w:eastAsia="Times New Roman" w:hAnsi="Times New Roman" w:cs="Times New Roman"/>
          <w:noProof/>
        </w:rPr>
        <w:t> </w:t>
      </w:r>
      <w:r w:rsidRPr="007548EA">
        <w:rPr>
          <w:rFonts w:ascii="Times New Roman" w:eastAsia="Times New Roman" w:hAnsi="Times New Roman" w:cs="Times New Roman"/>
          <w:noProof/>
        </w:rPr>
        <w:t xml:space="preserve">439 million and </w:t>
      </w:r>
      <w:r>
        <w:rPr>
          <w:rFonts w:ascii="Times New Roman" w:eastAsia="Times New Roman" w:hAnsi="Times New Roman" w:cs="Times New Roman"/>
          <w:noProof/>
        </w:rPr>
        <w:t>EUR</w:t>
      </w:r>
      <w:r w:rsidR="00516125">
        <w:rPr>
          <w:rFonts w:ascii="Times New Roman" w:eastAsia="Times New Roman" w:hAnsi="Times New Roman" w:cs="Times New Roman"/>
          <w:noProof/>
        </w:rPr>
        <w:t> </w:t>
      </w:r>
      <w:r w:rsidRPr="007548EA">
        <w:rPr>
          <w:rFonts w:ascii="Times New Roman" w:eastAsia="Times New Roman" w:hAnsi="Times New Roman" w:cs="Times New Roman"/>
          <w:noProof/>
        </w:rPr>
        <w:t>635 million.</w:t>
      </w:r>
    </w:p>
    <w:p w14:paraId="1A4007C8" w14:textId="3040811D" w:rsidR="00BF60DB" w:rsidRDefault="00BF60DB" w:rsidP="00BF60DB">
      <w:pPr>
        <w:spacing w:after="240" w:line="240" w:lineRule="auto"/>
        <w:jc w:val="both"/>
        <w:textAlignment w:val="baseline"/>
        <w:rPr>
          <w:rFonts w:ascii="Times New Roman" w:eastAsia="Times New Roman" w:hAnsi="Times New Roman" w:cs="Times New Roman"/>
          <w:noProof/>
        </w:rPr>
      </w:pPr>
      <w:r w:rsidRPr="001B3E85">
        <w:rPr>
          <w:rFonts w:ascii="Times New Roman" w:eastAsia="Times New Roman" w:hAnsi="Times New Roman" w:cs="Times New Roman"/>
          <w:noProof/>
        </w:rPr>
        <w:t xml:space="preserve">In addition to transmission equipment upgrades, </w:t>
      </w:r>
      <w:r w:rsidRPr="00516125">
        <w:rPr>
          <w:rFonts w:ascii="Times New Roman" w:eastAsia="Times New Roman" w:hAnsi="Times New Roman" w:cs="Times New Roman"/>
          <w:noProof/>
        </w:rPr>
        <w:t>cost</w:t>
      </w:r>
      <w:r w:rsidR="00944B87">
        <w:rPr>
          <w:rFonts w:ascii="Times New Roman" w:eastAsia="Times New Roman" w:hAnsi="Times New Roman" w:cs="Times New Roman"/>
          <w:noProof/>
        </w:rPr>
        <w:t>s</w:t>
      </w:r>
      <w:r w:rsidRPr="001B3E85">
        <w:rPr>
          <w:rFonts w:ascii="Times New Roman" w:eastAsia="Times New Roman" w:hAnsi="Times New Roman" w:cs="Times New Roman"/>
          <w:noProof/>
        </w:rPr>
        <w:t xml:space="preserve"> </w:t>
      </w:r>
      <w:r w:rsidR="00944B87">
        <w:rPr>
          <w:rFonts w:ascii="Times New Roman" w:eastAsia="Times New Roman" w:hAnsi="Times New Roman" w:cs="Times New Roman"/>
          <w:noProof/>
        </w:rPr>
        <w:t>are</w:t>
      </w:r>
      <w:r w:rsidRPr="001B3E85">
        <w:rPr>
          <w:rFonts w:ascii="Times New Roman" w:eastAsia="Times New Roman" w:hAnsi="Times New Roman" w:cs="Times New Roman"/>
          <w:noProof/>
        </w:rPr>
        <w:t xml:space="preserve"> generated also for consumers, who </w:t>
      </w:r>
      <w:r w:rsidR="00466267">
        <w:rPr>
          <w:rFonts w:ascii="Times New Roman" w:eastAsia="Times New Roman" w:hAnsi="Times New Roman" w:cs="Times New Roman"/>
          <w:noProof/>
        </w:rPr>
        <w:t>need</w:t>
      </w:r>
      <w:r w:rsidR="00466267" w:rsidRPr="00516125">
        <w:rPr>
          <w:rFonts w:ascii="Times New Roman" w:eastAsia="Times New Roman" w:hAnsi="Times New Roman" w:cs="Times New Roman"/>
          <w:noProof/>
        </w:rPr>
        <w:t xml:space="preserve"> </w:t>
      </w:r>
      <w:r w:rsidRPr="001B3E85">
        <w:rPr>
          <w:rFonts w:ascii="Times New Roman" w:eastAsia="Times New Roman" w:hAnsi="Times New Roman" w:cs="Times New Roman"/>
          <w:noProof/>
        </w:rPr>
        <w:t xml:space="preserve">new DVB-T2 capable TV receivers. The previous Commission </w:t>
      </w:r>
      <w:r w:rsidRPr="00DB1191">
        <w:rPr>
          <w:rFonts w:ascii="Times New Roman" w:eastAsia="Times New Roman" w:hAnsi="Times New Roman" w:cs="Times New Roman"/>
          <w:noProof/>
        </w:rPr>
        <w:t xml:space="preserve">study estimated the (forced) upgrade cost of TV receivers, </w:t>
      </w:r>
      <w:r w:rsidR="00516125">
        <w:rPr>
          <w:rFonts w:ascii="Times New Roman" w:eastAsia="Times New Roman" w:hAnsi="Times New Roman" w:cs="Times New Roman"/>
          <w:noProof/>
        </w:rPr>
        <w:t>i.e.</w:t>
      </w:r>
      <w:r w:rsidRPr="00DB1191">
        <w:rPr>
          <w:rFonts w:ascii="Times New Roman" w:eastAsia="Times New Roman" w:hAnsi="Times New Roman" w:cs="Times New Roman"/>
          <w:noProof/>
        </w:rPr>
        <w:t xml:space="preserve"> those that were not replaced through </w:t>
      </w:r>
      <w:r w:rsidRPr="001B3E85">
        <w:rPr>
          <w:rFonts w:ascii="Times New Roman" w:eastAsia="Times New Roman" w:hAnsi="Times New Roman" w:cs="Times New Roman"/>
          <w:noProof/>
        </w:rPr>
        <w:t xml:space="preserve">the standard television replacement cycle in the EU-27 and the UK as shown in </w:t>
      </w:r>
      <w:r w:rsidRPr="0014768B">
        <w:rPr>
          <w:rFonts w:ascii="Times New Roman" w:eastAsia="Times New Roman" w:hAnsi="Times New Roman" w:cs="Times New Roman"/>
          <w:noProof/>
        </w:rPr>
        <w:fldChar w:fldCharType="begin"/>
      </w:r>
      <w:r w:rsidRPr="0014768B">
        <w:rPr>
          <w:rFonts w:ascii="Times New Roman" w:eastAsia="Times New Roman" w:hAnsi="Times New Roman" w:cs="Times New Roman"/>
          <w:noProof/>
        </w:rPr>
        <w:instrText xml:space="preserve"> REF _Ref218692329 \h  \* MERGEFORMAT </w:instrText>
      </w:r>
      <w:r w:rsidRPr="0014768B">
        <w:rPr>
          <w:rFonts w:ascii="Times New Roman" w:eastAsia="Times New Roman" w:hAnsi="Times New Roman" w:cs="Times New Roman"/>
          <w:noProof/>
        </w:rPr>
      </w:r>
      <w:r w:rsidRPr="0014768B">
        <w:rPr>
          <w:rFonts w:ascii="Times New Roman" w:eastAsia="Times New Roman" w:hAnsi="Times New Roman" w:cs="Times New Roman"/>
          <w:noProof/>
        </w:rPr>
        <w:fldChar w:fldCharType="separate"/>
      </w:r>
      <w:r w:rsidR="009B3399" w:rsidRPr="00B54ECF">
        <w:rPr>
          <w:rFonts w:ascii="Times New Roman" w:hAnsi="Times New Roman" w:cs="Times New Roman"/>
          <w:noProof/>
        </w:rPr>
        <w:t xml:space="preserve">Table </w:t>
      </w:r>
      <w:r w:rsidR="009B3399">
        <w:rPr>
          <w:rFonts w:ascii="Times New Roman" w:hAnsi="Times New Roman" w:cs="Times New Roman"/>
          <w:noProof/>
        </w:rPr>
        <w:t>2</w:t>
      </w:r>
      <w:r w:rsidRPr="0014768B">
        <w:rPr>
          <w:rFonts w:ascii="Times New Roman" w:eastAsia="Times New Roman" w:hAnsi="Times New Roman" w:cs="Times New Roman"/>
          <w:noProof/>
        </w:rPr>
        <w:fldChar w:fldCharType="end"/>
      </w:r>
      <w:r w:rsidRPr="001B3E85">
        <w:rPr>
          <w:rFonts w:ascii="Times New Roman" w:eastAsia="Times New Roman" w:hAnsi="Times New Roman" w:cs="Times New Roman"/>
          <w:noProof/>
        </w:rPr>
        <w:t xml:space="preserve">. It was assumed that consumers replace their television sets on average </w:t>
      </w:r>
      <w:r w:rsidR="00926D71">
        <w:rPr>
          <w:rFonts w:ascii="Times New Roman" w:eastAsia="Times New Roman" w:hAnsi="Times New Roman" w:cs="Times New Roman"/>
          <w:noProof/>
        </w:rPr>
        <w:t>every</w:t>
      </w:r>
      <w:r w:rsidRPr="001B3E85">
        <w:rPr>
          <w:rFonts w:ascii="Times New Roman" w:eastAsia="Times New Roman" w:hAnsi="Times New Roman" w:cs="Times New Roman"/>
          <w:noProof/>
        </w:rPr>
        <w:t xml:space="preserve"> </w:t>
      </w:r>
      <w:r w:rsidR="00926D71">
        <w:rPr>
          <w:rFonts w:ascii="Times New Roman" w:eastAsia="Times New Roman" w:hAnsi="Times New Roman" w:cs="Times New Roman"/>
          <w:noProof/>
        </w:rPr>
        <w:t>seven</w:t>
      </w:r>
      <w:r w:rsidRPr="001B3E85">
        <w:rPr>
          <w:rFonts w:ascii="Times New Roman" w:eastAsia="Times New Roman" w:hAnsi="Times New Roman" w:cs="Times New Roman"/>
          <w:noProof/>
        </w:rPr>
        <w:t xml:space="preserve"> years and that any publicised switchover dat</w:t>
      </w:r>
      <w:r>
        <w:rPr>
          <w:rFonts w:ascii="Times New Roman" w:eastAsia="Times New Roman" w:hAnsi="Times New Roman" w:cs="Times New Roman"/>
          <w:noProof/>
        </w:rPr>
        <w:t>e</w:t>
      </w:r>
      <w:r w:rsidRPr="001B3E85">
        <w:rPr>
          <w:rFonts w:ascii="Times New Roman" w:eastAsia="Times New Roman" w:hAnsi="Times New Roman" w:cs="Times New Roman"/>
          <w:noProof/>
        </w:rPr>
        <w:t xml:space="preserve"> </w:t>
      </w:r>
      <w:r w:rsidR="00466267">
        <w:rPr>
          <w:rFonts w:ascii="Times New Roman" w:eastAsia="Times New Roman" w:hAnsi="Times New Roman" w:cs="Times New Roman"/>
          <w:noProof/>
        </w:rPr>
        <w:t>could</w:t>
      </w:r>
      <w:r w:rsidR="00466267" w:rsidRPr="00516125">
        <w:rPr>
          <w:rFonts w:ascii="Times New Roman" w:eastAsia="Times New Roman" w:hAnsi="Times New Roman" w:cs="Times New Roman"/>
          <w:noProof/>
        </w:rPr>
        <w:t xml:space="preserve"> </w:t>
      </w:r>
      <w:r w:rsidRPr="001B3E85">
        <w:rPr>
          <w:rFonts w:ascii="Times New Roman" w:eastAsia="Times New Roman" w:hAnsi="Times New Roman" w:cs="Times New Roman"/>
          <w:noProof/>
        </w:rPr>
        <w:t xml:space="preserve">accelerate this (by an assumed 20%), whereas any publicised government support scheme </w:t>
      </w:r>
      <w:r w:rsidR="00466267">
        <w:rPr>
          <w:rFonts w:ascii="Times New Roman" w:eastAsia="Times New Roman" w:hAnsi="Times New Roman" w:cs="Times New Roman"/>
          <w:noProof/>
        </w:rPr>
        <w:t>could</w:t>
      </w:r>
      <w:r w:rsidR="00466267" w:rsidRPr="00516125">
        <w:rPr>
          <w:rFonts w:ascii="Times New Roman" w:eastAsia="Times New Roman" w:hAnsi="Times New Roman" w:cs="Times New Roman"/>
          <w:noProof/>
        </w:rPr>
        <w:t xml:space="preserve"> </w:t>
      </w:r>
      <w:r w:rsidRPr="001B3E85">
        <w:rPr>
          <w:rFonts w:ascii="Times New Roman" w:eastAsia="Times New Roman" w:hAnsi="Times New Roman" w:cs="Times New Roman"/>
          <w:noProof/>
        </w:rPr>
        <w:t xml:space="preserve">delay this (by an assumed 20%). The cost was found to </w:t>
      </w:r>
      <w:r w:rsidR="00466267">
        <w:rPr>
          <w:rFonts w:ascii="Times New Roman" w:eastAsia="Times New Roman" w:hAnsi="Times New Roman" w:cs="Times New Roman"/>
          <w:noProof/>
        </w:rPr>
        <w:t>fall</w:t>
      </w:r>
      <w:r w:rsidR="00466267" w:rsidRPr="00516125">
        <w:rPr>
          <w:rFonts w:ascii="Times New Roman" w:eastAsia="Times New Roman" w:hAnsi="Times New Roman" w:cs="Times New Roman"/>
          <w:noProof/>
        </w:rPr>
        <w:t xml:space="preserve"> </w:t>
      </w:r>
      <w:r w:rsidRPr="001B3E85">
        <w:rPr>
          <w:rFonts w:ascii="Times New Roman" w:eastAsia="Times New Roman" w:hAnsi="Times New Roman" w:cs="Times New Roman"/>
          <w:noProof/>
        </w:rPr>
        <w:t xml:space="preserve">over time through a combination of </w:t>
      </w:r>
      <w:r w:rsidR="006F34A8">
        <w:rPr>
          <w:rFonts w:ascii="Times New Roman" w:eastAsia="Times New Roman" w:hAnsi="Times New Roman" w:cs="Times New Roman"/>
          <w:noProof/>
        </w:rPr>
        <w:t xml:space="preserve">cheaper </w:t>
      </w:r>
      <w:r w:rsidRPr="00516125">
        <w:rPr>
          <w:rFonts w:ascii="Times New Roman" w:eastAsia="Times New Roman" w:hAnsi="Times New Roman" w:cs="Times New Roman"/>
          <w:noProof/>
        </w:rPr>
        <w:t>receiver</w:t>
      </w:r>
      <w:r w:rsidR="00466267">
        <w:rPr>
          <w:rFonts w:ascii="Times New Roman" w:eastAsia="Times New Roman" w:hAnsi="Times New Roman" w:cs="Times New Roman"/>
          <w:noProof/>
        </w:rPr>
        <w:t>s</w:t>
      </w:r>
      <w:r w:rsidRPr="001B3E85">
        <w:rPr>
          <w:rFonts w:ascii="Times New Roman" w:eastAsia="Times New Roman" w:hAnsi="Times New Roman" w:cs="Times New Roman"/>
          <w:noProof/>
        </w:rPr>
        <w:t xml:space="preserve"> (assum</w:t>
      </w:r>
      <w:r w:rsidR="006F34A8">
        <w:rPr>
          <w:rFonts w:ascii="Times New Roman" w:eastAsia="Times New Roman" w:hAnsi="Times New Roman" w:cs="Times New Roman"/>
          <w:noProof/>
        </w:rPr>
        <w:t xml:space="preserve">ing a </w:t>
      </w:r>
      <w:r w:rsidRPr="001B3E85">
        <w:rPr>
          <w:rFonts w:ascii="Times New Roman" w:eastAsia="Times New Roman" w:hAnsi="Times New Roman" w:cs="Times New Roman"/>
          <w:noProof/>
        </w:rPr>
        <w:t xml:space="preserve">5% </w:t>
      </w:r>
      <w:r w:rsidR="006F34A8">
        <w:rPr>
          <w:rFonts w:ascii="Times New Roman" w:eastAsia="Times New Roman" w:hAnsi="Times New Roman" w:cs="Times New Roman"/>
          <w:noProof/>
        </w:rPr>
        <w:t>price reduction</w:t>
      </w:r>
      <w:r w:rsidRPr="00516125">
        <w:rPr>
          <w:rFonts w:ascii="Times New Roman" w:eastAsia="Times New Roman" w:hAnsi="Times New Roman" w:cs="Times New Roman"/>
          <w:noProof/>
        </w:rPr>
        <w:t xml:space="preserve"> </w:t>
      </w:r>
      <w:r w:rsidRPr="001B3E85">
        <w:rPr>
          <w:rFonts w:ascii="Times New Roman" w:eastAsia="Times New Roman" w:hAnsi="Times New Roman" w:cs="Times New Roman"/>
          <w:noProof/>
        </w:rPr>
        <w:t xml:space="preserve">per year) and </w:t>
      </w:r>
      <w:r w:rsidR="006F34A8">
        <w:rPr>
          <w:rFonts w:ascii="Times New Roman" w:eastAsia="Times New Roman" w:hAnsi="Times New Roman" w:cs="Times New Roman"/>
          <w:noProof/>
        </w:rPr>
        <w:t>a smaller</w:t>
      </w:r>
      <w:r w:rsidRPr="001B3E85">
        <w:rPr>
          <w:rFonts w:ascii="Times New Roman" w:eastAsia="Times New Roman" w:hAnsi="Times New Roman" w:cs="Times New Roman"/>
          <w:noProof/>
        </w:rPr>
        <w:t xml:space="preserve"> proportion of receivers not having been replaced through the normal replacement cycle.</w:t>
      </w:r>
    </w:p>
    <w:p w14:paraId="3B8FAD0B" w14:textId="52198EED" w:rsidR="00BF60DB" w:rsidRPr="00B54ECF" w:rsidRDefault="00BF60DB" w:rsidP="00BF60DB">
      <w:pPr>
        <w:pStyle w:val="Caption"/>
        <w:jc w:val="center"/>
        <w:rPr>
          <w:rFonts w:ascii="Times New Roman" w:hAnsi="Times New Roman" w:cs="Times New Roman"/>
          <w:noProof/>
          <w:color w:val="auto"/>
          <w:sz w:val="24"/>
          <w:szCs w:val="24"/>
        </w:rPr>
      </w:pPr>
      <w:bookmarkStart w:id="26" w:name="_Ref218692329"/>
      <w:r w:rsidRPr="00B54ECF">
        <w:rPr>
          <w:rFonts w:ascii="Times New Roman" w:hAnsi="Times New Roman" w:cs="Times New Roman"/>
          <w:noProof/>
          <w:color w:val="auto"/>
          <w:sz w:val="24"/>
          <w:szCs w:val="24"/>
        </w:rPr>
        <w:t xml:space="preserve">Table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Table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2</w:t>
      </w:r>
      <w:r w:rsidRPr="00B54ECF">
        <w:rPr>
          <w:rFonts w:ascii="Times New Roman" w:hAnsi="Times New Roman" w:cs="Times New Roman"/>
          <w:noProof/>
          <w:color w:val="auto"/>
          <w:sz w:val="24"/>
          <w:szCs w:val="24"/>
        </w:rPr>
        <w:fldChar w:fldCharType="end"/>
      </w:r>
      <w:bookmarkEnd w:id="26"/>
      <w:r w:rsidRPr="00B54ECF">
        <w:rPr>
          <w:rFonts w:ascii="Times New Roman" w:hAnsi="Times New Roman" w:cs="Times New Roman"/>
          <w:noProof/>
          <w:color w:val="auto"/>
          <w:sz w:val="24"/>
          <w:szCs w:val="24"/>
        </w:rPr>
        <w:t xml:space="preserve">: Estimated costs for DVB-T2 receiver </w:t>
      </w:r>
      <w:r w:rsidRPr="00765B83">
        <w:rPr>
          <w:rFonts w:ascii="Times New Roman" w:hAnsi="Times New Roman" w:cs="Times New Roman"/>
          <w:noProof/>
          <w:color w:val="auto"/>
          <w:sz w:val="24"/>
          <w:szCs w:val="24"/>
        </w:rPr>
        <w:t>replacement across</w:t>
      </w:r>
      <w:r w:rsidRPr="00B54ECF">
        <w:rPr>
          <w:rFonts w:ascii="Times New Roman" w:hAnsi="Times New Roman" w:cs="Times New Roman"/>
          <w:noProof/>
          <w:color w:val="auto"/>
          <w:sz w:val="24"/>
          <w:szCs w:val="24"/>
        </w:rPr>
        <w:t xml:space="preserve"> </w:t>
      </w:r>
      <w:r w:rsidR="00291539">
        <w:rPr>
          <w:rFonts w:ascii="Times New Roman" w:hAnsi="Times New Roman" w:cs="Times New Roman"/>
          <w:noProof/>
          <w:color w:val="auto"/>
          <w:sz w:val="24"/>
          <w:szCs w:val="24"/>
        </w:rPr>
        <w:t>the</w:t>
      </w:r>
      <w:r w:rsidRPr="00516125">
        <w:rPr>
          <w:rFonts w:ascii="Times New Roman" w:hAnsi="Times New Roman" w:cs="Times New Roman"/>
          <w:noProof/>
          <w:color w:val="auto"/>
          <w:sz w:val="24"/>
          <w:szCs w:val="24"/>
        </w:rPr>
        <w:t xml:space="preserve"> </w:t>
      </w:r>
      <w:r w:rsidRPr="00B54ECF">
        <w:rPr>
          <w:rFonts w:ascii="Times New Roman" w:hAnsi="Times New Roman" w:cs="Times New Roman"/>
          <w:noProof/>
          <w:color w:val="auto"/>
          <w:sz w:val="24"/>
          <w:szCs w:val="24"/>
        </w:rPr>
        <w:t>EU-27 and the UK</w:t>
      </w:r>
    </w:p>
    <w:tbl>
      <w:tblPr>
        <w:tblW w:w="7000" w:type="dxa"/>
        <w:jc w:val="center"/>
        <w:tblCellMar>
          <w:top w:w="15" w:type="dxa"/>
          <w:bottom w:w="15" w:type="dxa"/>
        </w:tblCellMar>
        <w:tblLook w:val="04A0" w:firstRow="1" w:lastRow="0" w:firstColumn="1" w:lastColumn="0" w:noHBand="0" w:noVBand="1"/>
      </w:tblPr>
      <w:tblGrid>
        <w:gridCol w:w="2200"/>
        <w:gridCol w:w="960"/>
        <w:gridCol w:w="960"/>
        <w:gridCol w:w="960"/>
        <w:gridCol w:w="960"/>
        <w:gridCol w:w="960"/>
      </w:tblGrid>
      <w:tr w:rsidR="00B31C08" w:rsidRPr="00B31C08" w14:paraId="3330CD2E"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309B989E"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lang w:eastAsia="en-IE"/>
                <w14:ligatures w14:val="none"/>
              </w:rPr>
            </w:pPr>
            <w:r w:rsidRPr="00B31C08">
              <w:rPr>
                <w:rFonts w:ascii="Calibri" w:eastAsia="Times New Roman" w:hAnsi="Calibri" w:cs="Calibri"/>
                <w:b/>
                <w:bCs/>
                <w:noProof/>
                <w:color w:val="FFFFFF"/>
                <w:kern w:val="0"/>
                <w:sz w:val="22"/>
                <w:szCs w:val="22"/>
                <w:lang w:eastAsia="en-IE"/>
                <w14:ligatures w14:val="none"/>
              </w:rPr>
              <w:t>Year</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C3AAB74"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2018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1D07AF9"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2019</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60A89A2"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2020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D4EEA43"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2021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77DE115"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2022</w:t>
            </w:r>
          </w:p>
        </w:tc>
      </w:tr>
      <w:tr w:rsidR="00B31C08" w:rsidRPr="00B31C08" w14:paraId="07211C75" w14:textId="77777777" w:rsidTr="00F12A37">
        <w:trPr>
          <w:trHeight w:val="300"/>
          <w:jc w:val="center"/>
        </w:trPr>
        <w:tc>
          <w:tcPr>
            <w:tcW w:w="7000" w:type="dxa"/>
            <w:gridSpan w:val="6"/>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723C1C93"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lang w:eastAsia="en-IE"/>
                <w14:ligatures w14:val="none"/>
              </w:rPr>
            </w:pPr>
            <w:r w:rsidRPr="00B31C08">
              <w:rPr>
                <w:rFonts w:ascii="Calibri" w:eastAsia="Times New Roman" w:hAnsi="Calibri" w:cs="Calibri"/>
                <w:b/>
                <w:bCs/>
                <w:noProof/>
                <w:color w:val="FFFFFF"/>
                <w:kern w:val="0"/>
                <w:sz w:val="22"/>
                <w:szCs w:val="22"/>
                <w:lang w:eastAsia="en-IE"/>
                <w14:ligatures w14:val="none"/>
              </w:rPr>
              <w:t>Cost (€ million), Eurobarometer Penetration Figures</w:t>
            </w:r>
          </w:p>
        </w:tc>
      </w:tr>
      <w:tr w:rsidR="00B31C08" w:rsidRPr="00B31C08" w14:paraId="2B540558"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1C4D5B18"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lang w:eastAsia="en-IE"/>
                <w14:ligatures w14:val="none"/>
              </w:rPr>
            </w:pPr>
            <w:r w:rsidRPr="00B31C08">
              <w:rPr>
                <w:rFonts w:ascii="Calibri" w:eastAsia="Times New Roman" w:hAnsi="Calibri" w:cs="Calibri"/>
                <w:b/>
                <w:bCs/>
                <w:noProof/>
                <w:color w:val="FFFFFF"/>
                <w:kern w:val="0"/>
                <w:sz w:val="22"/>
                <w:szCs w:val="22"/>
                <w:lang w:eastAsia="en-IE"/>
                <w14:ligatures w14:val="none"/>
              </w:rPr>
              <w:t>-20% Acceleration</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EAC7019"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1564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8555AC2"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1316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D8778A1"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1108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12B7C25"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932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C469878"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784</w:t>
            </w:r>
          </w:p>
        </w:tc>
      </w:tr>
      <w:tr w:rsidR="00B31C08" w:rsidRPr="00B31C08" w14:paraId="2BDD94E5"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15DBAF6"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lang w:eastAsia="en-IE"/>
                <w14:ligatures w14:val="none"/>
              </w:rPr>
            </w:pPr>
            <w:r w:rsidRPr="00B31C08">
              <w:rPr>
                <w:rFonts w:ascii="Calibri" w:eastAsia="Times New Roman" w:hAnsi="Calibri" w:cs="Calibri"/>
                <w:b/>
                <w:bCs/>
                <w:noProof/>
                <w:color w:val="FFFFFF"/>
                <w:kern w:val="0"/>
                <w:sz w:val="22"/>
                <w:szCs w:val="22"/>
                <w:lang w:eastAsia="en-IE"/>
                <w14:ligatures w14:val="none"/>
              </w:rPr>
              <w:t>Neutral</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DA5FD6"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1418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B9B60DF"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1155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2E01377"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940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957AEDE"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766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3DC7768"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623</w:t>
            </w:r>
          </w:p>
        </w:tc>
      </w:tr>
      <w:tr w:rsidR="00B31C08" w:rsidRPr="00B31C08" w14:paraId="2025311F" w14:textId="77777777" w:rsidTr="00F12A37">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6EA5CCEF" w14:textId="77777777" w:rsidR="00B31C08" w:rsidRPr="00B31C08" w:rsidRDefault="00B31C08" w:rsidP="00B31C08">
            <w:pPr>
              <w:spacing w:after="0" w:line="240" w:lineRule="auto"/>
              <w:rPr>
                <w:rFonts w:ascii="Calibri" w:eastAsia="Times New Roman" w:hAnsi="Calibri" w:cs="Calibri"/>
                <w:b/>
                <w:bCs/>
                <w:noProof/>
                <w:color w:val="FFFFFF"/>
                <w:kern w:val="0"/>
                <w:sz w:val="22"/>
                <w:szCs w:val="22"/>
                <w:lang w:eastAsia="en-IE"/>
                <w14:ligatures w14:val="none"/>
              </w:rPr>
            </w:pPr>
            <w:r w:rsidRPr="00B31C08">
              <w:rPr>
                <w:rFonts w:ascii="Calibri" w:eastAsia="Times New Roman" w:hAnsi="Calibri" w:cs="Calibri"/>
                <w:b/>
                <w:bCs/>
                <w:noProof/>
                <w:color w:val="FFFFFF"/>
                <w:kern w:val="0"/>
                <w:sz w:val="22"/>
                <w:szCs w:val="22"/>
                <w:lang w:eastAsia="en-IE"/>
                <w14:ligatures w14:val="none"/>
              </w:rPr>
              <w:t>20% Acceleration</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9B3F26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1281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767EDF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1008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9217A5F"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794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4604D3B"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625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D7F852E" w14:textId="77777777" w:rsidR="00B31C08" w:rsidRPr="00B31C08" w:rsidRDefault="00B31C08" w:rsidP="00B31C08">
            <w:pPr>
              <w:spacing w:after="0" w:line="240" w:lineRule="auto"/>
              <w:jc w:val="right"/>
              <w:rPr>
                <w:rFonts w:ascii="Calibri" w:eastAsia="Times New Roman" w:hAnsi="Calibri" w:cs="Calibri"/>
                <w:noProof/>
                <w:color w:val="000000"/>
                <w:kern w:val="0"/>
                <w:sz w:val="22"/>
                <w:szCs w:val="22"/>
                <w:lang w:eastAsia="en-IE"/>
                <w14:ligatures w14:val="none"/>
              </w:rPr>
            </w:pPr>
            <w:r w:rsidRPr="00B31C08">
              <w:rPr>
                <w:rFonts w:ascii="Calibri" w:eastAsia="Times New Roman" w:hAnsi="Calibri" w:cs="Calibri"/>
                <w:noProof/>
                <w:color w:val="000000"/>
                <w:kern w:val="0"/>
                <w:sz w:val="22"/>
                <w:szCs w:val="22"/>
                <w:lang w:eastAsia="en-IE"/>
                <w14:ligatures w14:val="none"/>
              </w:rPr>
              <w:t>492</w:t>
            </w:r>
          </w:p>
        </w:tc>
      </w:tr>
    </w:tbl>
    <w:p w14:paraId="39021B95" w14:textId="44D4BBFB" w:rsidR="59F79A67" w:rsidRDefault="59F79A67" w:rsidP="59F79A67">
      <w:pPr>
        <w:keepNext/>
        <w:spacing w:before="120" w:after="240" w:line="240" w:lineRule="auto"/>
        <w:jc w:val="center"/>
        <w:rPr>
          <w:noProof/>
        </w:rPr>
      </w:pPr>
    </w:p>
    <w:p w14:paraId="005155BA" w14:textId="05D09DB0" w:rsidR="00BF60DB" w:rsidRPr="0010331E" w:rsidRDefault="00BF60DB" w:rsidP="00BF60DB">
      <w:pPr>
        <w:pStyle w:val="paragraph"/>
        <w:spacing w:before="240" w:beforeAutospacing="0" w:after="240" w:afterAutospacing="0"/>
        <w:jc w:val="both"/>
        <w:rPr>
          <w:rStyle w:val="eop"/>
          <w:noProof/>
        </w:rPr>
      </w:pPr>
      <w:r w:rsidRPr="004E62A4">
        <w:rPr>
          <w:rStyle w:val="eop"/>
          <w:noProof/>
          <w:lang w:val="en-US"/>
        </w:rPr>
        <w:t xml:space="preserve">The same study </w:t>
      </w:r>
      <w:r w:rsidRPr="0010331E">
        <w:rPr>
          <w:rStyle w:val="eop"/>
          <w:noProof/>
        </w:rPr>
        <w:t>found</w:t>
      </w:r>
      <w:r w:rsidRPr="004E62A4">
        <w:rPr>
          <w:rStyle w:val="eop"/>
          <w:noProof/>
          <w:lang w:val="en-US"/>
        </w:rPr>
        <w:t xml:space="preserve"> that 75% of the costs would be incurred in three Member States (Spain, France, Italy). The neutral</w:t>
      </w:r>
      <w:r w:rsidRPr="004E62A4">
        <w:rPr>
          <w:rStyle w:val="FootnoteReference"/>
          <w:noProof/>
          <w:lang w:val="en-US"/>
        </w:rPr>
        <w:footnoteReference w:id="53"/>
      </w:r>
      <w:r w:rsidRPr="004E62A4">
        <w:rPr>
          <w:rStyle w:val="eop"/>
          <w:noProof/>
          <w:lang w:val="en-US"/>
        </w:rPr>
        <w:t xml:space="preserve"> replacement scenario yields the results shown in </w:t>
      </w:r>
      <w:r w:rsidRPr="004E62A4">
        <w:rPr>
          <w:rStyle w:val="eop"/>
          <w:noProof/>
          <w:lang w:val="en-US"/>
        </w:rPr>
        <w:fldChar w:fldCharType="begin"/>
      </w:r>
      <w:r w:rsidRPr="004E62A4">
        <w:rPr>
          <w:rStyle w:val="eop"/>
          <w:noProof/>
          <w:lang w:val="en-US"/>
        </w:rPr>
        <w:instrText xml:space="preserve"> REF _Ref218692350 \h </w:instrText>
      </w:r>
      <w:r w:rsidRPr="004E62A4">
        <w:rPr>
          <w:rStyle w:val="eop"/>
          <w:noProof/>
          <w:lang w:val="en-US"/>
        </w:rPr>
      </w:r>
      <w:r w:rsidRPr="004E62A4">
        <w:rPr>
          <w:rStyle w:val="eop"/>
          <w:noProof/>
          <w:lang w:val="en-US"/>
        </w:rPr>
        <w:fldChar w:fldCharType="separate"/>
      </w:r>
      <w:r w:rsidR="009B3399" w:rsidRPr="00B54ECF">
        <w:rPr>
          <w:noProof/>
        </w:rPr>
        <w:t xml:space="preserve">Table </w:t>
      </w:r>
      <w:r w:rsidR="009B3399">
        <w:rPr>
          <w:noProof/>
        </w:rPr>
        <w:t>3</w:t>
      </w:r>
      <w:r w:rsidRPr="004E62A4">
        <w:rPr>
          <w:rStyle w:val="eop"/>
          <w:noProof/>
          <w:lang w:val="en-US"/>
        </w:rPr>
        <w:fldChar w:fldCharType="end"/>
      </w:r>
      <w:r w:rsidRPr="004E62A4">
        <w:rPr>
          <w:rStyle w:val="eop"/>
          <w:noProof/>
          <w:lang w:val="en-US"/>
        </w:rPr>
        <w:t xml:space="preserve">, </w:t>
      </w:r>
      <w:r w:rsidR="00291539">
        <w:rPr>
          <w:rStyle w:val="eop"/>
          <w:noProof/>
        </w:rPr>
        <w:t>showing</w:t>
      </w:r>
      <w:r w:rsidR="00291539" w:rsidRPr="00516125">
        <w:rPr>
          <w:rStyle w:val="eop"/>
          <w:noProof/>
        </w:rPr>
        <w:t xml:space="preserve"> </w:t>
      </w:r>
      <w:r w:rsidRPr="004E62A4">
        <w:rPr>
          <w:rStyle w:val="eop"/>
          <w:noProof/>
          <w:lang w:val="en-US"/>
        </w:rPr>
        <w:t>that ~74% of the cost will still be incurred in three EU Member States: Spain (~</w:t>
      </w:r>
      <w:r w:rsidRPr="0010331E">
        <w:rPr>
          <w:rStyle w:val="eop"/>
          <w:noProof/>
        </w:rPr>
        <w:t>EUR</w:t>
      </w:r>
      <w:r w:rsidR="00516125">
        <w:rPr>
          <w:rStyle w:val="eop"/>
          <w:noProof/>
        </w:rPr>
        <w:t> </w:t>
      </w:r>
      <w:r w:rsidRPr="004E62A4">
        <w:rPr>
          <w:rStyle w:val="eop"/>
          <w:noProof/>
          <w:lang w:val="en-US"/>
        </w:rPr>
        <w:t>120 million in 2022), France (~</w:t>
      </w:r>
      <w:r w:rsidRPr="0010331E">
        <w:rPr>
          <w:rStyle w:val="eop"/>
          <w:noProof/>
        </w:rPr>
        <w:t>EUR</w:t>
      </w:r>
      <w:r w:rsidR="00516125">
        <w:rPr>
          <w:rStyle w:val="eop"/>
          <w:noProof/>
        </w:rPr>
        <w:t> </w:t>
      </w:r>
      <w:r w:rsidRPr="004E62A4">
        <w:rPr>
          <w:rStyle w:val="eop"/>
          <w:noProof/>
          <w:lang w:val="en-US"/>
        </w:rPr>
        <w:t>130 million in 2022) and Italy (~</w:t>
      </w:r>
      <w:r w:rsidRPr="0010331E">
        <w:rPr>
          <w:rStyle w:val="eop"/>
          <w:noProof/>
        </w:rPr>
        <w:t>EUR</w:t>
      </w:r>
      <w:r w:rsidR="00516125">
        <w:rPr>
          <w:rStyle w:val="eop"/>
          <w:noProof/>
        </w:rPr>
        <w:t> </w:t>
      </w:r>
      <w:r w:rsidRPr="004E62A4">
        <w:rPr>
          <w:rStyle w:val="eop"/>
          <w:noProof/>
          <w:lang w:val="en-US"/>
        </w:rPr>
        <w:t>170 million in 2022).</w:t>
      </w:r>
    </w:p>
    <w:p w14:paraId="4B527E16" w14:textId="0CEA5F3F" w:rsidR="00BF60DB" w:rsidRPr="00B54ECF" w:rsidRDefault="00BF60DB" w:rsidP="00BF60DB">
      <w:pPr>
        <w:pStyle w:val="Caption"/>
        <w:spacing w:after="120"/>
        <w:jc w:val="center"/>
        <w:rPr>
          <w:rFonts w:ascii="Times New Roman" w:hAnsi="Times New Roman" w:cs="Times New Roman"/>
          <w:noProof/>
          <w:color w:val="auto"/>
          <w:sz w:val="24"/>
          <w:szCs w:val="24"/>
        </w:rPr>
      </w:pPr>
      <w:bookmarkStart w:id="27" w:name="_Ref218692350"/>
      <w:r w:rsidRPr="00B54ECF">
        <w:rPr>
          <w:rFonts w:ascii="Times New Roman" w:hAnsi="Times New Roman" w:cs="Times New Roman"/>
          <w:noProof/>
          <w:color w:val="auto"/>
          <w:sz w:val="24"/>
          <w:szCs w:val="24"/>
        </w:rPr>
        <w:t xml:space="preserve">Table </w:t>
      </w:r>
      <w:r w:rsidRPr="00B54ECF">
        <w:rPr>
          <w:rFonts w:ascii="Times New Roman" w:hAnsi="Times New Roman" w:cs="Times New Roman"/>
          <w:noProof/>
          <w:color w:val="auto"/>
          <w:sz w:val="24"/>
          <w:szCs w:val="24"/>
        </w:rPr>
        <w:fldChar w:fldCharType="begin"/>
      </w:r>
      <w:r w:rsidRPr="00B54ECF">
        <w:rPr>
          <w:rFonts w:ascii="Times New Roman" w:hAnsi="Times New Roman" w:cs="Times New Roman"/>
          <w:noProof/>
          <w:color w:val="auto"/>
          <w:sz w:val="24"/>
          <w:szCs w:val="24"/>
        </w:rPr>
        <w:instrText xml:space="preserve"> SEQ Table \* ARABIC </w:instrText>
      </w:r>
      <w:r w:rsidRPr="00B54ECF">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3</w:t>
      </w:r>
      <w:r w:rsidRPr="00B54ECF">
        <w:rPr>
          <w:rFonts w:ascii="Times New Roman" w:hAnsi="Times New Roman" w:cs="Times New Roman"/>
          <w:noProof/>
          <w:color w:val="auto"/>
          <w:sz w:val="24"/>
          <w:szCs w:val="24"/>
        </w:rPr>
        <w:fldChar w:fldCharType="end"/>
      </w:r>
      <w:bookmarkEnd w:id="27"/>
      <w:r w:rsidRPr="00B54ECF">
        <w:rPr>
          <w:rFonts w:ascii="Times New Roman" w:hAnsi="Times New Roman" w:cs="Times New Roman"/>
          <w:noProof/>
          <w:color w:val="auto"/>
          <w:sz w:val="24"/>
          <w:szCs w:val="24"/>
        </w:rPr>
        <w:t>: Estimated costs for DVB-T2 receiver replacement across EU-27</w:t>
      </w:r>
    </w:p>
    <w:tbl>
      <w:tblPr>
        <w:tblW w:w="5080" w:type="dxa"/>
        <w:jc w:val="center"/>
        <w:tblCellMar>
          <w:top w:w="15" w:type="dxa"/>
          <w:bottom w:w="15" w:type="dxa"/>
        </w:tblCellMar>
        <w:tblLook w:val="04A0" w:firstRow="1" w:lastRow="0" w:firstColumn="1" w:lastColumn="0" w:noHBand="0" w:noVBand="1"/>
      </w:tblPr>
      <w:tblGrid>
        <w:gridCol w:w="2200"/>
        <w:gridCol w:w="960"/>
        <w:gridCol w:w="960"/>
        <w:gridCol w:w="960"/>
      </w:tblGrid>
      <w:tr w:rsidR="00912F7B" w:rsidRPr="00912F7B" w14:paraId="1C2F46EE" w14:textId="77777777" w:rsidTr="00912F7B">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46B9157D"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lang w:eastAsia="en-IE"/>
                <w14:ligatures w14:val="none"/>
              </w:rPr>
            </w:pPr>
            <w:r w:rsidRPr="00912F7B">
              <w:rPr>
                <w:rFonts w:ascii="Calibri" w:eastAsia="Times New Roman" w:hAnsi="Calibri" w:cs="Calibri"/>
                <w:b/>
                <w:bCs/>
                <w:noProof/>
                <w:color w:val="FFFFFF"/>
                <w:kern w:val="0"/>
                <w:sz w:val="22"/>
                <w:szCs w:val="22"/>
                <w:lang w:eastAsia="en-IE"/>
                <w14:ligatures w14:val="none"/>
              </w:rPr>
              <w:t>Year</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57A2ED5"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lang w:eastAsia="en-IE"/>
                <w14:ligatures w14:val="none"/>
              </w:rPr>
            </w:pPr>
            <w:r w:rsidRPr="00912F7B">
              <w:rPr>
                <w:rFonts w:ascii="Calibri" w:eastAsia="Times New Roman" w:hAnsi="Calibri" w:cs="Calibri"/>
                <w:noProof/>
                <w:color w:val="000000"/>
                <w:kern w:val="0"/>
                <w:sz w:val="22"/>
                <w:szCs w:val="22"/>
                <w:lang w:eastAsia="en-IE"/>
                <w14:ligatures w14:val="none"/>
              </w:rPr>
              <w:t>2018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B6373B9"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lang w:eastAsia="en-IE"/>
                <w14:ligatures w14:val="none"/>
              </w:rPr>
            </w:pPr>
            <w:r w:rsidRPr="00912F7B">
              <w:rPr>
                <w:rFonts w:ascii="Calibri" w:eastAsia="Times New Roman" w:hAnsi="Calibri" w:cs="Calibri"/>
                <w:noProof/>
                <w:color w:val="000000"/>
                <w:kern w:val="0"/>
                <w:sz w:val="22"/>
                <w:szCs w:val="22"/>
                <w:lang w:eastAsia="en-IE"/>
                <w14:ligatures w14:val="none"/>
              </w:rPr>
              <w:t>2020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15B71F3"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lang w:eastAsia="en-IE"/>
                <w14:ligatures w14:val="none"/>
              </w:rPr>
            </w:pPr>
            <w:r w:rsidRPr="00912F7B">
              <w:rPr>
                <w:rFonts w:ascii="Calibri" w:eastAsia="Times New Roman" w:hAnsi="Calibri" w:cs="Calibri"/>
                <w:noProof/>
                <w:color w:val="000000"/>
                <w:kern w:val="0"/>
                <w:sz w:val="22"/>
                <w:szCs w:val="22"/>
                <w:lang w:eastAsia="en-IE"/>
                <w14:ligatures w14:val="none"/>
              </w:rPr>
              <w:t>2022</w:t>
            </w:r>
          </w:p>
        </w:tc>
      </w:tr>
      <w:tr w:rsidR="00912F7B" w:rsidRPr="00912F7B" w14:paraId="6BD8224C" w14:textId="77777777" w:rsidTr="00B21E2B">
        <w:trPr>
          <w:trHeight w:val="300"/>
          <w:jc w:val="center"/>
        </w:trPr>
        <w:tc>
          <w:tcPr>
            <w:tcW w:w="5080" w:type="dxa"/>
            <w:gridSpan w:val="4"/>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CC0CF28"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lang w:eastAsia="en-IE"/>
                <w14:ligatures w14:val="none"/>
              </w:rPr>
            </w:pPr>
            <w:r w:rsidRPr="00912F7B">
              <w:rPr>
                <w:rFonts w:ascii="Calibri" w:eastAsia="Times New Roman" w:hAnsi="Calibri" w:cs="Calibri"/>
                <w:b/>
                <w:bCs/>
                <w:noProof/>
                <w:color w:val="FFFFFF"/>
                <w:kern w:val="0"/>
                <w:sz w:val="22"/>
                <w:szCs w:val="22"/>
                <w:lang w:eastAsia="en-IE"/>
                <w14:ligatures w14:val="none"/>
              </w:rPr>
              <w:t>Cost (€ million), Eurobarometer Penetration Figures</w:t>
            </w:r>
          </w:p>
        </w:tc>
      </w:tr>
      <w:tr w:rsidR="00912F7B" w:rsidRPr="00912F7B" w14:paraId="40863966" w14:textId="77777777" w:rsidTr="00B21E2B">
        <w:trPr>
          <w:trHeight w:val="300"/>
          <w:jc w:val="center"/>
        </w:trPr>
        <w:tc>
          <w:tcPr>
            <w:tcW w:w="2200" w:type="dxa"/>
            <w:tcBorders>
              <w:top w:val="single" w:sz="4" w:space="0" w:color="auto"/>
              <w:left w:val="single" w:sz="4" w:space="0" w:color="auto"/>
              <w:bottom w:val="single" w:sz="4" w:space="0" w:color="auto"/>
              <w:right w:val="single" w:sz="4" w:space="0" w:color="auto"/>
            </w:tcBorders>
            <w:shd w:val="clear" w:color="000000" w:fill="C00000"/>
            <w:noWrap/>
            <w:vAlign w:val="bottom"/>
            <w:hideMark/>
          </w:tcPr>
          <w:p w14:paraId="5DA8A59C" w14:textId="77777777" w:rsidR="00912F7B" w:rsidRPr="00912F7B" w:rsidRDefault="00912F7B" w:rsidP="00912F7B">
            <w:pPr>
              <w:spacing w:after="0" w:line="240" w:lineRule="auto"/>
              <w:rPr>
                <w:rFonts w:ascii="Calibri" w:eastAsia="Times New Roman" w:hAnsi="Calibri" w:cs="Calibri"/>
                <w:b/>
                <w:bCs/>
                <w:noProof/>
                <w:color w:val="FFFFFF"/>
                <w:kern w:val="0"/>
                <w:sz w:val="22"/>
                <w:szCs w:val="22"/>
                <w:lang w:eastAsia="en-IE"/>
                <w14:ligatures w14:val="none"/>
              </w:rPr>
            </w:pPr>
            <w:r w:rsidRPr="00912F7B">
              <w:rPr>
                <w:rFonts w:ascii="Calibri" w:eastAsia="Times New Roman" w:hAnsi="Calibri" w:cs="Calibri"/>
                <w:b/>
                <w:bCs/>
                <w:noProof/>
                <w:color w:val="FFFFFF"/>
                <w:kern w:val="0"/>
                <w:sz w:val="22"/>
                <w:szCs w:val="22"/>
                <w:lang w:eastAsia="en-IE"/>
                <w14:ligatures w14:val="none"/>
              </w:rPr>
              <w:t>Neutral</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9E63002"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lang w:eastAsia="en-IE"/>
                <w14:ligatures w14:val="none"/>
              </w:rPr>
            </w:pPr>
            <w:r w:rsidRPr="00912F7B">
              <w:rPr>
                <w:rFonts w:ascii="Calibri" w:eastAsia="Times New Roman" w:hAnsi="Calibri" w:cs="Calibri"/>
                <w:noProof/>
                <w:color w:val="000000"/>
                <w:kern w:val="0"/>
                <w:sz w:val="22"/>
                <w:szCs w:val="22"/>
                <w:lang w:eastAsia="en-IE"/>
                <w14:ligatures w14:val="none"/>
              </w:rPr>
              <w:t>1306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ECC8A80"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lang w:eastAsia="en-IE"/>
                <w14:ligatures w14:val="none"/>
              </w:rPr>
            </w:pPr>
            <w:r w:rsidRPr="00912F7B">
              <w:rPr>
                <w:rFonts w:ascii="Calibri" w:eastAsia="Times New Roman" w:hAnsi="Calibri" w:cs="Calibri"/>
                <w:noProof/>
                <w:color w:val="000000"/>
                <w:kern w:val="0"/>
                <w:sz w:val="22"/>
                <w:szCs w:val="22"/>
                <w:lang w:eastAsia="en-IE"/>
                <w14:ligatures w14:val="none"/>
              </w:rPr>
              <w:t>865</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7EA3F2C" w14:textId="77777777" w:rsidR="00912F7B" w:rsidRPr="00912F7B" w:rsidRDefault="00912F7B" w:rsidP="00912F7B">
            <w:pPr>
              <w:spacing w:after="0" w:line="240" w:lineRule="auto"/>
              <w:jc w:val="right"/>
              <w:rPr>
                <w:rFonts w:ascii="Calibri" w:eastAsia="Times New Roman" w:hAnsi="Calibri" w:cs="Calibri"/>
                <w:noProof/>
                <w:color w:val="000000"/>
                <w:kern w:val="0"/>
                <w:sz w:val="22"/>
                <w:szCs w:val="22"/>
                <w:lang w:eastAsia="en-IE"/>
                <w14:ligatures w14:val="none"/>
              </w:rPr>
            </w:pPr>
            <w:r w:rsidRPr="00912F7B">
              <w:rPr>
                <w:rFonts w:ascii="Calibri" w:eastAsia="Times New Roman" w:hAnsi="Calibri" w:cs="Calibri"/>
                <w:noProof/>
                <w:color w:val="000000"/>
                <w:kern w:val="0"/>
                <w:sz w:val="22"/>
                <w:szCs w:val="22"/>
                <w:lang w:eastAsia="en-IE"/>
                <w14:ligatures w14:val="none"/>
              </w:rPr>
              <w:t>573</w:t>
            </w:r>
          </w:p>
        </w:tc>
      </w:tr>
    </w:tbl>
    <w:p w14:paraId="630E0207" w14:textId="1F8CCA0E" w:rsidR="00BF60DB" w:rsidRPr="004E62A4" w:rsidRDefault="00BF60DB" w:rsidP="00BF60DB">
      <w:pPr>
        <w:pStyle w:val="paragraph"/>
        <w:spacing w:before="240" w:beforeAutospacing="0" w:after="240" w:afterAutospacing="0"/>
        <w:jc w:val="both"/>
        <w:rPr>
          <w:rStyle w:val="eop"/>
          <w:noProof/>
          <w:lang w:val="en-US"/>
        </w:rPr>
      </w:pPr>
      <w:r w:rsidRPr="00F26B77">
        <w:rPr>
          <w:rStyle w:val="eop"/>
          <w:noProof/>
          <w:lang w:val="en-US"/>
        </w:rPr>
        <w:t>The cost per household seems quite</w:t>
      </w:r>
      <w:r w:rsidRPr="004E62A4">
        <w:rPr>
          <w:rStyle w:val="eop"/>
          <w:b/>
          <w:bCs/>
          <w:noProof/>
          <w:lang w:val="en-US"/>
        </w:rPr>
        <w:t xml:space="preserve"> </w:t>
      </w:r>
      <w:r w:rsidR="003421DC" w:rsidRPr="00516125">
        <w:rPr>
          <w:rStyle w:val="eop"/>
          <w:noProof/>
        </w:rPr>
        <w:t>mode</w:t>
      </w:r>
      <w:r w:rsidR="003421DC">
        <w:rPr>
          <w:rStyle w:val="eop"/>
          <w:noProof/>
        </w:rPr>
        <w:t>st</w:t>
      </w:r>
      <w:r w:rsidR="003421DC" w:rsidRPr="00516125">
        <w:rPr>
          <w:rStyle w:val="eop"/>
          <w:noProof/>
        </w:rPr>
        <w:t xml:space="preserve"> </w:t>
      </w:r>
      <w:r w:rsidR="00926D71">
        <w:rPr>
          <w:rStyle w:val="eop"/>
          <w:noProof/>
        </w:rPr>
        <w:t>at</w:t>
      </w:r>
      <w:r w:rsidR="00926D71" w:rsidRPr="00516125">
        <w:rPr>
          <w:rStyle w:val="eop"/>
          <w:noProof/>
        </w:rPr>
        <w:t xml:space="preserve"> </w:t>
      </w:r>
      <w:r w:rsidRPr="004E62A4">
        <w:rPr>
          <w:rStyle w:val="eop"/>
          <w:noProof/>
          <w:lang w:val="en-US"/>
        </w:rPr>
        <w:t>EUR</w:t>
      </w:r>
      <w:r w:rsidR="00516125">
        <w:rPr>
          <w:rStyle w:val="eop"/>
          <w:noProof/>
        </w:rPr>
        <w:t> </w:t>
      </w:r>
      <w:r w:rsidRPr="004E62A4">
        <w:rPr>
          <w:rStyle w:val="eop"/>
          <w:noProof/>
          <w:lang w:val="en-US"/>
        </w:rPr>
        <w:t>6.68 in 2018, EUR</w:t>
      </w:r>
      <w:r w:rsidR="00516125">
        <w:rPr>
          <w:rStyle w:val="eop"/>
          <w:noProof/>
        </w:rPr>
        <w:t> </w:t>
      </w:r>
      <w:r w:rsidRPr="004E62A4">
        <w:rPr>
          <w:rStyle w:val="eop"/>
          <w:noProof/>
          <w:lang w:val="en-US"/>
        </w:rPr>
        <w:t>4.43 in 2020 and EUR</w:t>
      </w:r>
      <w:r w:rsidR="00516125">
        <w:rPr>
          <w:rStyle w:val="eop"/>
          <w:noProof/>
        </w:rPr>
        <w:t> </w:t>
      </w:r>
      <w:r w:rsidRPr="004E62A4">
        <w:rPr>
          <w:rStyle w:val="eop"/>
          <w:noProof/>
          <w:lang w:val="en-US"/>
        </w:rPr>
        <w:t>2.93 in 2022, assuming 195.4 million households within the 27 EU Member States (Eurostat, 2021). However, this per-household average does not reflect the actual cost for those users who may need to spend several hundred euros to replace their television set.</w:t>
      </w:r>
    </w:p>
    <w:p w14:paraId="2B70C22D" w14:textId="023B147F" w:rsidR="00BF60DB" w:rsidRPr="00B21E2B" w:rsidRDefault="7E270F48" w:rsidP="59F79A67">
      <w:pPr>
        <w:pStyle w:val="paragraph"/>
        <w:spacing w:before="0" w:beforeAutospacing="0" w:after="240" w:afterAutospacing="0"/>
        <w:jc w:val="both"/>
        <w:rPr>
          <w:rFonts w:eastAsiaTheme="minorEastAsia"/>
          <w:noProof/>
        </w:rPr>
      </w:pPr>
      <w:r w:rsidRPr="59F79A67">
        <w:rPr>
          <w:noProof/>
          <w:lang w:val="en-GB"/>
        </w:rPr>
        <w:t xml:space="preserve">There is limited publicly available information </w:t>
      </w:r>
      <w:r w:rsidR="724731EC">
        <w:rPr>
          <w:noProof/>
        </w:rPr>
        <w:t xml:space="preserve">on </w:t>
      </w:r>
      <w:r w:rsidRPr="59F79A67">
        <w:rPr>
          <w:noProof/>
          <w:lang w:val="en-GB"/>
        </w:rPr>
        <w:t xml:space="preserve">the cost </w:t>
      </w:r>
      <w:r w:rsidR="5F0A0987">
        <w:rPr>
          <w:noProof/>
        </w:rPr>
        <w:t xml:space="preserve">of </w:t>
      </w:r>
      <w:r>
        <w:rPr>
          <w:noProof/>
        </w:rPr>
        <w:t>deploy</w:t>
      </w:r>
      <w:r w:rsidR="5F0A0987">
        <w:rPr>
          <w:noProof/>
        </w:rPr>
        <w:t>ing</w:t>
      </w:r>
      <w:r w:rsidRPr="59F79A67">
        <w:rPr>
          <w:noProof/>
          <w:lang w:val="en-GB"/>
        </w:rPr>
        <w:t xml:space="preserve"> SFNs within a broadcast network, often because they are adopted at the same time as other improvements. </w:t>
      </w:r>
      <w:r w:rsidRPr="59F79A67">
        <w:rPr>
          <w:rFonts w:eastAsiaTheme="minorEastAsia"/>
          <w:noProof/>
          <w:lang w:val="en-GB"/>
        </w:rPr>
        <w:t xml:space="preserve">However, studies comparing the operational expenditure of SFNs and equivalent </w:t>
      </w:r>
      <w:r w:rsidR="26E4C5F4" w:rsidRPr="59F79A67">
        <w:rPr>
          <w:noProof/>
          <w:lang w:val="en-GB"/>
        </w:rPr>
        <w:t>Multi</w:t>
      </w:r>
      <w:r w:rsidR="2D2409F5" w:rsidRPr="59F79A67">
        <w:rPr>
          <w:noProof/>
          <w:lang w:val="en-GB"/>
        </w:rPr>
        <w:t>-</w:t>
      </w:r>
      <w:r w:rsidR="26E4C5F4" w:rsidRPr="59F79A67">
        <w:rPr>
          <w:noProof/>
          <w:lang w:val="en-GB"/>
        </w:rPr>
        <w:t xml:space="preserve"> Frequency Network</w:t>
      </w:r>
      <w:r w:rsidR="6729C2CE" w:rsidRPr="59F79A67">
        <w:rPr>
          <w:noProof/>
          <w:lang w:val="en-GB"/>
        </w:rPr>
        <w:t>s</w:t>
      </w:r>
      <w:r w:rsidR="26E4C5F4" w:rsidRPr="59F79A67">
        <w:rPr>
          <w:noProof/>
          <w:lang w:val="en-GB"/>
        </w:rPr>
        <w:t xml:space="preserve"> (</w:t>
      </w:r>
      <w:r w:rsidRPr="59F79A67">
        <w:rPr>
          <w:rFonts w:eastAsiaTheme="minorEastAsia"/>
          <w:noProof/>
        </w:rPr>
        <w:t>MFN</w:t>
      </w:r>
      <w:r w:rsidR="6729C2CE" w:rsidRPr="59F79A67">
        <w:rPr>
          <w:rFonts w:eastAsiaTheme="minorEastAsia"/>
          <w:noProof/>
        </w:rPr>
        <w:t>s</w:t>
      </w:r>
      <w:r w:rsidR="4CCC1E7A" w:rsidRPr="59F79A67">
        <w:rPr>
          <w:rFonts w:eastAsiaTheme="minorEastAsia"/>
          <w:noProof/>
        </w:rPr>
        <w:t>)</w:t>
      </w:r>
      <w:r w:rsidR="141BA210" w:rsidRPr="59F79A67">
        <w:rPr>
          <w:rFonts w:eastAsiaTheme="minorEastAsia"/>
          <w:noProof/>
          <w:lang w:val="en-GB"/>
        </w:rPr>
        <w:t xml:space="preserve"> </w:t>
      </w:r>
      <w:r w:rsidR="16FD7035" w:rsidRPr="6BDEC307">
        <w:rPr>
          <w:rFonts w:eastAsiaTheme="minorEastAsia"/>
          <w:noProof/>
          <w:lang w:val="en-GB"/>
        </w:rPr>
        <w:t>-</w:t>
      </w:r>
      <w:r w:rsidRPr="59F79A67">
        <w:rPr>
          <w:rFonts w:eastAsiaTheme="minorEastAsia"/>
          <w:noProof/>
          <w:lang w:val="en-GB"/>
        </w:rPr>
        <w:t>based on gains in spectral efficiency</w:t>
      </w:r>
      <w:r w:rsidR="141BA210" w:rsidRPr="59F79A67">
        <w:rPr>
          <w:rFonts w:eastAsiaTheme="minorEastAsia"/>
          <w:noProof/>
          <w:lang w:val="en-GB"/>
        </w:rPr>
        <w:t> </w:t>
      </w:r>
      <w:r w:rsidR="5B7AC510" w:rsidRPr="6BDEC307">
        <w:rPr>
          <w:rFonts w:eastAsiaTheme="minorEastAsia"/>
          <w:noProof/>
          <w:lang w:val="en-GB"/>
        </w:rPr>
        <w:t>-</w:t>
      </w:r>
      <w:r w:rsidR="141BA210" w:rsidRPr="59F79A67">
        <w:rPr>
          <w:rFonts w:eastAsiaTheme="minorEastAsia"/>
          <w:noProof/>
          <w:lang w:val="en-GB"/>
        </w:rPr>
        <w:t xml:space="preserve"> </w:t>
      </w:r>
      <w:r w:rsidRPr="59F79A67">
        <w:rPr>
          <w:rFonts w:eastAsiaTheme="minorEastAsia"/>
          <w:noProof/>
          <w:lang w:val="en-GB"/>
        </w:rPr>
        <w:t>indicate that achieving a 25% increase in spectral efficiency (an optimistic estimate for a national SFN) results in transmission costs that are approximately double those of the MFN approach (Bettancourt &amp; Peha, 2015).</w:t>
      </w:r>
    </w:p>
    <w:p w14:paraId="1FD606F3" w14:textId="10127705" w:rsidR="00BF60DB" w:rsidRPr="004E62A4" w:rsidRDefault="00BF60DB" w:rsidP="00BF60DB">
      <w:pPr>
        <w:pStyle w:val="paragraph"/>
        <w:spacing w:before="0" w:beforeAutospacing="0" w:after="240" w:afterAutospacing="0"/>
        <w:jc w:val="both"/>
        <w:rPr>
          <w:rStyle w:val="eop"/>
          <w:noProof/>
          <w:lang w:val="en-US"/>
        </w:rPr>
      </w:pPr>
      <w:r w:rsidRPr="004E62A4">
        <w:rPr>
          <w:rStyle w:val="eop"/>
          <w:noProof/>
          <w:lang w:val="en-US"/>
        </w:rPr>
        <w:t xml:space="preserve">Detailed analysis </w:t>
      </w:r>
      <w:r w:rsidR="003421DC">
        <w:rPr>
          <w:rStyle w:val="eop"/>
          <w:noProof/>
        </w:rPr>
        <w:t>of</w:t>
      </w:r>
      <w:r w:rsidRPr="004E62A4">
        <w:rPr>
          <w:rStyle w:val="eop"/>
          <w:noProof/>
          <w:lang w:val="en-US"/>
        </w:rPr>
        <w:t xml:space="preserve"> the cost that might be associated with a 5G Broadcast network has not been published. However, the 2025 report ‘5G Broadcast: Horizons for Europe’</w:t>
      </w:r>
      <w:r w:rsidRPr="004E62A4">
        <w:rPr>
          <w:rStyle w:val="FootnoteReference"/>
          <w:noProof/>
          <w:lang w:val="en-US"/>
        </w:rPr>
        <w:footnoteReference w:id="54"/>
      </w:r>
      <w:r w:rsidRPr="004E62A4">
        <w:rPr>
          <w:rStyle w:val="eop"/>
          <w:noProof/>
          <w:lang w:val="en-US"/>
        </w:rPr>
        <w:t xml:space="preserve"> underlines that multicast, one-to-many delivery is more cost-efficient than unicast for mass audiences and live events. As video accounted for around 60% of mobile network traffic in 2022 and is expected to rise to 72% by 2030 (Arthur D. Little, 2023), 5G Broadcast could offload up to 35% of mobile video traffic, reducing network load and limiting the need for further investment or additional spectrum.</w:t>
      </w:r>
    </w:p>
    <w:p w14:paraId="70D56081" w14:textId="6B7F269D" w:rsidR="00BF60DB" w:rsidRPr="004E62A4" w:rsidRDefault="00BF60DB" w:rsidP="00BF60DB">
      <w:pPr>
        <w:pStyle w:val="paragraph"/>
        <w:spacing w:before="0" w:beforeAutospacing="0" w:after="240" w:afterAutospacing="0"/>
        <w:jc w:val="both"/>
        <w:rPr>
          <w:rStyle w:val="eop"/>
          <w:noProof/>
          <w:lang w:val="en-US"/>
        </w:rPr>
      </w:pPr>
      <w:r w:rsidRPr="004E62A4">
        <w:rPr>
          <w:rStyle w:val="eop"/>
          <w:noProof/>
          <w:lang w:val="en-US"/>
        </w:rPr>
        <w:t xml:space="preserve">A </w:t>
      </w:r>
      <w:r w:rsidR="00944B87">
        <w:rPr>
          <w:rStyle w:val="eop"/>
          <w:noProof/>
        </w:rPr>
        <w:t>2019</w:t>
      </w:r>
      <w:r w:rsidRPr="00516125">
        <w:rPr>
          <w:rStyle w:val="eop"/>
          <w:noProof/>
        </w:rPr>
        <w:t xml:space="preserve"> </w:t>
      </w:r>
      <w:r w:rsidR="006F34A8">
        <w:rPr>
          <w:rStyle w:val="eop"/>
          <w:noProof/>
        </w:rPr>
        <w:t xml:space="preserve">EBU </w:t>
      </w:r>
      <w:r w:rsidRPr="004E62A4">
        <w:rPr>
          <w:rStyle w:val="eop"/>
          <w:noProof/>
          <w:lang w:val="en-US"/>
        </w:rPr>
        <w:t>analysis</w:t>
      </w:r>
      <w:r w:rsidRPr="004E62A4">
        <w:rPr>
          <w:rStyle w:val="FootnoteReference"/>
          <w:noProof/>
          <w:lang w:val="en-US"/>
        </w:rPr>
        <w:footnoteReference w:id="55"/>
      </w:r>
      <w:r w:rsidRPr="004E62A4">
        <w:rPr>
          <w:rStyle w:val="eop"/>
          <w:noProof/>
          <w:lang w:val="en-US"/>
        </w:rPr>
        <w:t xml:space="preserve"> based on unicast 5G content delivery (thus not applicable to 5G Broadcast) compared estimated transmission and deployment costs for content distribution under several scenarios within a ‘normalised’ European country. It found that continuation of DTT would </w:t>
      </w:r>
      <w:r w:rsidR="003421DC">
        <w:rPr>
          <w:rStyle w:val="eop"/>
          <w:noProof/>
        </w:rPr>
        <w:t>involve</w:t>
      </w:r>
      <w:r w:rsidRPr="004E62A4">
        <w:rPr>
          <w:rStyle w:val="eop"/>
          <w:noProof/>
          <w:lang w:val="en-US"/>
        </w:rPr>
        <w:t xml:space="preserve"> ongoing annual costs of </w:t>
      </w:r>
      <w:r w:rsidRPr="0010331E">
        <w:rPr>
          <w:rStyle w:val="eop"/>
          <w:noProof/>
        </w:rPr>
        <w:t>EUR</w:t>
      </w:r>
      <w:r w:rsidR="00516125">
        <w:rPr>
          <w:rStyle w:val="eop"/>
          <w:noProof/>
        </w:rPr>
        <w:t> </w:t>
      </w:r>
      <w:r w:rsidRPr="004E62A4">
        <w:rPr>
          <w:rStyle w:val="eop"/>
          <w:noProof/>
          <w:lang w:val="en-US"/>
        </w:rPr>
        <w:t xml:space="preserve">0.28 per person, increasing to </w:t>
      </w:r>
      <w:r w:rsidRPr="0010331E">
        <w:rPr>
          <w:rStyle w:val="eop"/>
          <w:noProof/>
        </w:rPr>
        <w:t>EUR</w:t>
      </w:r>
      <w:r w:rsidR="00516125">
        <w:rPr>
          <w:rStyle w:val="eop"/>
          <w:noProof/>
        </w:rPr>
        <w:t> </w:t>
      </w:r>
      <w:r w:rsidRPr="004E62A4">
        <w:rPr>
          <w:rStyle w:val="eop"/>
          <w:noProof/>
          <w:lang w:val="en-US"/>
        </w:rPr>
        <w:t xml:space="preserve">7.32 per person for content shared over DTT and 5G, and </w:t>
      </w:r>
      <w:r w:rsidRPr="0010331E">
        <w:rPr>
          <w:rStyle w:val="eop"/>
          <w:noProof/>
        </w:rPr>
        <w:t>EUR</w:t>
      </w:r>
      <w:r w:rsidR="00516125">
        <w:rPr>
          <w:rStyle w:val="eop"/>
          <w:noProof/>
        </w:rPr>
        <w:t> </w:t>
      </w:r>
      <w:r w:rsidRPr="004E62A4">
        <w:rPr>
          <w:rStyle w:val="eop"/>
          <w:noProof/>
          <w:lang w:val="en-US"/>
        </w:rPr>
        <w:t>15.05 per person</w:t>
      </w:r>
      <w:r w:rsidRPr="004E62A4">
        <w:rPr>
          <w:rStyle w:val="eop"/>
          <w:rFonts w:eastAsiaTheme="minorEastAsia"/>
          <w:noProof/>
          <w:lang w:val="en-US"/>
        </w:rPr>
        <w:t xml:space="preserve"> for content carried exclusively over 5G. The significant increase in costs </w:t>
      </w:r>
      <w:r w:rsidR="00944B87">
        <w:rPr>
          <w:rStyle w:val="eop"/>
          <w:rFonts w:eastAsiaTheme="minorEastAsia"/>
          <w:noProof/>
        </w:rPr>
        <w:t>is due</w:t>
      </w:r>
      <w:r w:rsidRPr="00516125">
        <w:rPr>
          <w:rStyle w:val="eop"/>
          <w:rFonts w:eastAsiaTheme="minorEastAsia"/>
          <w:noProof/>
        </w:rPr>
        <w:t xml:space="preserve"> </w:t>
      </w:r>
      <w:r w:rsidRPr="004E62A4">
        <w:rPr>
          <w:rStyle w:val="eop"/>
          <w:rFonts w:eastAsiaTheme="minorEastAsia"/>
          <w:noProof/>
          <w:lang w:val="en-US"/>
        </w:rPr>
        <w:t>to the higher dimensioning required for 5G networks when carrying 100% of media traffic.</w:t>
      </w:r>
    </w:p>
    <w:p w14:paraId="44E438F6" w14:textId="66DCB8C6" w:rsidR="00BF60DB" w:rsidRDefault="00BF60DB" w:rsidP="00BF60DB">
      <w:pPr>
        <w:spacing w:after="240" w:line="240" w:lineRule="auto"/>
        <w:jc w:val="both"/>
        <w:rPr>
          <w:rFonts w:ascii="Times New Roman" w:eastAsia="Times New Roman" w:hAnsi="Times New Roman" w:cs="Times New Roman"/>
          <w:noProof/>
        </w:rPr>
      </w:pPr>
      <w:r w:rsidRPr="7482D136">
        <w:rPr>
          <w:rFonts w:ascii="Times New Roman" w:eastAsia="Times New Roman" w:hAnsi="Times New Roman" w:cs="Times New Roman"/>
          <w:noProof/>
        </w:rPr>
        <w:t>While PMSE stakeholders underline the growing need for bandwidth due to the increasing number of events and content productions</w:t>
      </w:r>
      <w:r w:rsidR="006F34A8">
        <w:rPr>
          <w:rFonts w:ascii="Times New Roman" w:eastAsia="Times New Roman" w:hAnsi="Times New Roman" w:cs="Times New Roman"/>
          <w:noProof/>
        </w:rPr>
        <w:t xml:space="preserve"> (also across borders)</w:t>
      </w:r>
      <w:r w:rsidRPr="00516125">
        <w:rPr>
          <w:rFonts w:ascii="Times New Roman" w:eastAsia="Times New Roman" w:hAnsi="Times New Roman" w:cs="Times New Roman"/>
          <w:noProof/>
        </w:rPr>
        <w:t>,</w:t>
      </w:r>
      <w:r w:rsidRPr="7482D136">
        <w:rPr>
          <w:rFonts w:ascii="Times New Roman" w:eastAsia="Times New Roman" w:hAnsi="Times New Roman" w:cs="Times New Roman"/>
          <w:noProof/>
        </w:rPr>
        <w:t xml:space="preserve"> they also point out that usage of new bands other than UHF would </w:t>
      </w:r>
      <w:r w:rsidR="009D1B75">
        <w:rPr>
          <w:rFonts w:ascii="Times New Roman" w:eastAsia="Times New Roman" w:hAnsi="Times New Roman" w:cs="Times New Roman"/>
          <w:noProof/>
        </w:rPr>
        <w:t>give rise to</w:t>
      </w:r>
      <w:r w:rsidRPr="7482D136">
        <w:rPr>
          <w:rFonts w:ascii="Times New Roman" w:eastAsia="Times New Roman" w:hAnsi="Times New Roman" w:cs="Times New Roman"/>
          <w:noProof/>
        </w:rPr>
        <w:t xml:space="preserve"> additional </w:t>
      </w:r>
      <w:r w:rsidRPr="00516125">
        <w:rPr>
          <w:rFonts w:ascii="Times New Roman" w:eastAsia="Times New Roman" w:hAnsi="Times New Roman" w:cs="Times New Roman"/>
          <w:noProof/>
        </w:rPr>
        <w:t>cost</w:t>
      </w:r>
      <w:r w:rsidR="00944B87">
        <w:rPr>
          <w:rFonts w:ascii="Times New Roman" w:eastAsia="Times New Roman" w:hAnsi="Times New Roman" w:cs="Times New Roman"/>
          <w:noProof/>
        </w:rPr>
        <w:t>s</w:t>
      </w:r>
      <w:r w:rsidRPr="7482D136">
        <w:rPr>
          <w:rFonts w:ascii="Times New Roman" w:eastAsia="Times New Roman" w:hAnsi="Times New Roman" w:cs="Times New Roman"/>
          <w:noProof/>
        </w:rPr>
        <w:t xml:space="preserve"> </w:t>
      </w:r>
      <w:r w:rsidR="009D1B75">
        <w:rPr>
          <w:rFonts w:ascii="Times New Roman" w:eastAsia="Times New Roman" w:hAnsi="Times New Roman" w:cs="Times New Roman"/>
          <w:noProof/>
        </w:rPr>
        <w:t>in terms of</w:t>
      </w:r>
      <w:r w:rsidR="009D1B75" w:rsidRPr="00516125">
        <w:rPr>
          <w:rFonts w:ascii="Times New Roman" w:eastAsia="Times New Roman" w:hAnsi="Times New Roman" w:cs="Times New Roman"/>
          <w:noProof/>
        </w:rPr>
        <w:t xml:space="preserve"> </w:t>
      </w:r>
      <w:r w:rsidRPr="00516125">
        <w:rPr>
          <w:rFonts w:ascii="Times New Roman" w:eastAsia="Times New Roman" w:hAnsi="Times New Roman" w:cs="Times New Roman"/>
          <w:noProof/>
        </w:rPr>
        <w:t>foster</w:t>
      </w:r>
      <w:r w:rsidR="009D1B75">
        <w:rPr>
          <w:rFonts w:ascii="Times New Roman" w:eastAsia="Times New Roman" w:hAnsi="Times New Roman" w:cs="Times New Roman"/>
          <w:noProof/>
        </w:rPr>
        <w:t>ing</w:t>
      </w:r>
      <w:r w:rsidRPr="7482D136">
        <w:rPr>
          <w:rFonts w:ascii="Times New Roman" w:eastAsia="Times New Roman" w:hAnsi="Times New Roman" w:cs="Times New Roman"/>
          <w:noProof/>
        </w:rPr>
        <w:t xml:space="preserve"> an ecosystem of standardised equipment. A key benefit associated with </w:t>
      </w:r>
      <w:r w:rsidR="003421DC">
        <w:rPr>
          <w:rFonts w:ascii="Times New Roman" w:eastAsia="Times New Roman" w:hAnsi="Times New Roman" w:cs="Times New Roman"/>
          <w:noProof/>
        </w:rPr>
        <w:t xml:space="preserve">the </w:t>
      </w:r>
      <w:r w:rsidRPr="7482D136">
        <w:rPr>
          <w:rFonts w:ascii="Times New Roman" w:eastAsia="Times New Roman" w:hAnsi="Times New Roman" w:cs="Times New Roman"/>
          <w:noProof/>
        </w:rPr>
        <w:t>(often licence</w:t>
      </w:r>
      <w:r w:rsidR="003421DC">
        <w:rPr>
          <w:rFonts w:ascii="Times New Roman" w:eastAsia="Times New Roman" w:hAnsi="Times New Roman" w:cs="Times New Roman"/>
          <w:noProof/>
        </w:rPr>
        <w:t>-</w:t>
      </w:r>
      <w:r w:rsidRPr="7482D136">
        <w:rPr>
          <w:rFonts w:ascii="Times New Roman" w:eastAsia="Times New Roman" w:hAnsi="Times New Roman" w:cs="Times New Roman"/>
          <w:noProof/>
        </w:rPr>
        <w:t>exempt) use of the sub-700</w:t>
      </w:r>
      <w:r w:rsidR="003B563B">
        <w:rPr>
          <w:rFonts w:ascii="Times New Roman" w:eastAsia="Times New Roman" w:hAnsi="Times New Roman" w:cs="Times New Roman"/>
          <w:noProof/>
        </w:rPr>
        <w:t> </w:t>
      </w:r>
      <w:r w:rsidRPr="7482D136">
        <w:rPr>
          <w:rFonts w:ascii="Times New Roman" w:eastAsia="Times New Roman" w:hAnsi="Times New Roman" w:cs="Times New Roman"/>
          <w:noProof/>
        </w:rPr>
        <w:t>MHz band across Europe is that PMSE users can travel widely with standardised equipment, with minimal retuning and administration required in different areas.</w:t>
      </w:r>
    </w:p>
    <w:p w14:paraId="026A1834" w14:textId="77777777" w:rsidR="00BF60DB" w:rsidRPr="000F4480" w:rsidRDefault="00BF60DB" w:rsidP="00BF60DB">
      <w:pPr>
        <w:spacing w:after="240" w:line="240" w:lineRule="auto"/>
        <w:jc w:val="both"/>
        <w:rPr>
          <w:rFonts w:ascii="Times New Roman" w:hAnsi="Times New Roman" w:cs="Times New Roman"/>
          <w:b/>
          <w:bCs/>
          <w:noProof/>
        </w:rPr>
      </w:pPr>
      <w:r w:rsidRPr="7482D136">
        <w:rPr>
          <w:rFonts w:ascii="Times New Roman" w:hAnsi="Times New Roman" w:cs="Times New Roman"/>
          <w:b/>
          <w:bCs/>
          <w:noProof/>
        </w:rPr>
        <w:t>Energy efficiency</w:t>
      </w:r>
    </w:p>
    <w:p w14:paraId="369C4FDB" w14:textId="537975A4" w:rsidR="005944ED" w:rsidRDefault="7E270F48" w:rsidP="44D6BF82">
      <w:pPr>
        <w:spacing w:after="240" w:line="240" w:lineRule="auto"/>
        <w:jc w:val="both"/>
        <w:rPr>
          <w:rFonts w:ascii="Times New Roman" w:eastAsiaTheme="minorEastAsia" w:hAnsi="Times New Roman" w:cs="Times New Roman"/>
          <w:noProof/>
        </w:rPr>
      </w:pPr>
      <w:r w:rsidRPr="44D6BF82">
        <w:rPr>
          <w:rFonts w:ascii="Times New Roman" w:hAnsi="Times New Roman" w:cs="Times New Roman"/>
          <w:noProof/>
        </w:rPr>
        <w:t xml:space="preserve">DTT </w:t>
      </w:r>
      <w:r w:rsidRPr="44D6BF82">
        <w:rPr>
          <w:rFonts w:ascii="Times New Roman" w:hAnsi="Times New Roman"/>
          <w:noProof/>
          <w:lang w:val="en-GB"/>
        </w:rPr>
        <w:t>stakeholders</w:t>
      </w:r>
      <w:r w:rsidRPr="44D6BF82">
        <w:rPr>
          <w:rFonts w:ascii="Times New Roman" w:hAnsi="Times New Roman"/>
          <w:noProof/>
          <w:lang w:val="en-US"/>
        </w:rPr>
        <w:t xml:space="preserve"> stress that DTT is the most energy-efficient distribution technology for linear television,</w:t>
      </w:r>
      <w:r w:rsidRPr="44D6BF82">
        <w:rPr>
          <w:rFonts w:ascii="Times New Roman" w:hAnsi="Times New Roman"/>
          <w:noProof/>
          <w:lang w:val="en-GB"/>
        </w:rPr>
        <w:t xml:space="preserve"> with minimal carbon impact. It also has low access costs for users. Technological innovation (5G broadcasting, UHD) is seen as important to support DTT </w:t>
      </w:r>
      <w:r w:rsidRPr="00C27DF9">
        <w:rPr>
          <w:rFonts w:ascii="Times New Roman" w:hAnsi="Times New Roman"/>
          <w:noProof/>
          <w:lang w:val="en-US"/>
        </w:rPr>
        <w:t xml:space="preserve">as a </w:t>
      </w:r>
      <w:r w:rsidR="5E193F08" w:rsidRPr="00C27DF9">
        <w:rPr>
          <w:rFonts w:ascii="Times New Roman" w:hAnsi="Times New Roman"/>
          <w:noProof/>
          <w:lang w:val="en-US"/>
        </w:rPr>
        <w:t xml:space="preserve"> vital digital</w:t>
      </w:r>
      <w:r w:rsidR="5E193F08" w:rsidRPr="00C27DF9">
        <w:rPr>
          <w:rFonts w:eastAsiaTheme="minorEastAsia"/>
          <w:noProof/>
          <w:lang w:val="en-GB"/>
        </w:rPr>
        <w:t xml:space="preserve"> </w:t>
      </w:r>
      <w:r w:rsidRPr="44D6BF82">
        <w:rPr>
          <w:rFonts w:ascii="Times New Roman" w:hAnsi="Times New Roman"/>
          <w:noProof/>
          <w:lang w:val="en-GB"/>
        </w:rPr>
        <w:t xml:space="preserve">infrastructure. </w:t>
      </w:r>
      <w:r w:rsidRPr="44D6BF82">
        <w:rPr>
          <w:rFonts w:ascii="Times New Roman" w:eastAsiaTheme="minorEastAsia" w:hAnsi="Times New Roman" w:cs="Times New Roman"/>
          <w:noProof/>
        </w:rPr>
        <w:t>The LOCAT Study (2021)</w:t>
      </w:r>
      <w:r w:rsidRPr="44D6BF82">
        <w:rPr>
          <w:rStyle w:val="FootnoteReference"/>
          <w:rFonts w:ascii="Times New Roman" w:eastAsiaTheme="minorEastAsia" w:hAnsi="Times New Roman" w:cs="Times New Roman"/>
          <w:noProof/>
        </w:rPr>
        <w:footnoteReference w:id="56"/>
      </w:r>
      <w:r w:rsidRPr="44D6BF82">
        <w:rPr>
          <w:rFonts w:ascii="Times New Roman" w:eastAsiaTheme="minorEastAsia" w:hAnsi="Times New Roman" w:cs="Times New Roman"/>
          <w:noProof/>
        </w:rPr>
        <w:t xml:space="preserve"> confirms this assessment, showing that DTT consumes only a small fraction of the electricity required by OTT streaming and managed IPTV services</w:t>
      </w:r>
      <w:r w:rsidRPr="44D6BF82">
        <w:rPr>
          <w:rStyle w:val="FootnoteReference"/>
          <w:rFonts w:ascii="Times New Roman" w:eastAsiaTheme="minorEastAsia" w:hAnsi="Times New Roman" w:cs="Times New Roman"/>
          <w:noProof/>
        </w:rPr>
        <w:footnoteReference w:id="57"/>
      </w:r>
      <w:r w:rsidRPr="44D6BF82">
        <w:rPr>
          <w:rFonts w:ascii="Times New Roman" w:eastAsiaTheme="minorEastAsia" w:hAnsi="Times New Roman" w:cs="Times New Roman"/>
          <w:noProof/>
        </w:rPr>
        <w:t>. As shown in Figure 18, across the countries analysed, DTT uses only a few watt-hours per device viewing hour (</w:t>
      </w:r>
      <w:r w:rsidR="61B57DD0" w:rsidRPr="44D6BF82">
        <w:rPr>
          <w:rFonts w:ascii="Times New Roman" w:eastAsiaTheme="minorEastAsia" w:hAnsi="Times New Roman" w:cs="Times New Roman"/>
          <w:noProof/>
        </w:rPr>
        <w:t>e.g.</w:t>
      </w:r>
      <w:r w:rsidRPr="44D6BF82">
        <w:rPr>
          <w:rFonts w:ascii="Times New Roman" w:eastAsiaTheme="minorEastAsia" w:hAnsi="Times New Roman" w:cs="Times New Roman"/>
          <w:noProof/>
        </w:rPr>
        <w:t xml:space="preserve"> 14 Wh in the EU-28), while OTT consumption is several times higher (up to 109 Wh in the EU-28). Managed IPTV generally records the highest energy use among all platforms.</w:t>
      </w:r>
    </w:p>
    <w:p w14:paraId="0F0E2CA4" w14:textId="696D8642" w:rsidR="005944ED" w:rsidRPr="005944ED" w:rsidRDefault="005944ED" w:rsidP="005944ED">
      <w:pPr>
        <w:spacing w:after="240" w:line="240" w:lineRule="auto"/>
        <w:jc w:val="center"/>
        <w:rPr>
          <w:rFonts w:ascii="Times New Roman" w:hAnsi="Times New Roman" w:cs="Times New Roman"/>
          <w:noProof/>
        </w:rPr>
      </w:pPr>
      <w:r w:rsidRPr="00B54ECF">
        <w:rPr>
          <w:rFonts w:ascii="Times New Roman" w:hAnsi="Times New Roman" w:cs="Times New Roman"/>
          <w:noProof/>
        </w:rPr>
        <w:t xml:space="preserve">Figure </w:t>
      </w:r>
      <w:r w:rsidRPr="00B54ECF">
        <w:rPr>
          <w:rFonts w:ascii="Times New Roman" w:hAnsi="Times New Roman" w:cs="Times New Roman"/>
          <w:noProof/>
        </w:rPr>
        <w:fldChar w:fldCharType="begin"/>
      </w:r>
      <w:r w:rsidRPr="00B54ECF">
        <w:rPr>
          <w:rFonts w:ascii="Times New Roman" w:hAnsi="Times New Roman" w:cs="Times New Roman"/>
          <w:noProof/>
        </w:rPr>
        <w:instrText xml:space="preserve"> SEQ Figure \* ARABIC </w:instrText>
      </w:r>
      <w:r w:rsidRPr="00B54ECF">
        <w:rPr>
          <w:rFonts w:ascii="Times New Roman" w:hAnsi="Times New Roman" w:cs="Times New Roman"/>
          <w:noProof/>
        </w:rPr>
        <w:fldChar w:fldCharType="separate"/>
      </w:r>
      <w:r w:rsidR="009B3399">
        <w:rPr>
          <w:rFonts w:ascii="Times New Roman" w:hAnsi="Times New Roman" w:cs="Times New Roman"/>
          <w:noProof/>
        </w:rPr>
        <w:t>18</w:t>
      </w:r>
      <w:r w:rsidRPr="00B54ECF">
        <w:rPr>
          <w:rFonts w:ascii="Times New Roman" w:hAnsi="Times New Roman" w:cs="Times New Roman"/>
          <w:noProof/>
        </w:rPr>
        <w:fldChar w:fldCharType="end"/>
      </w:r>
      <w:r w:rsidRPr="00B54ECF">
        <w:rPr>
          <w:rFonts w:ascii="Times New Roman" w:hAnsi="Times New Roman" w:cs="Times New Roman"/>
          <w:noProof/>
        </w:rPr>
        <w:t xml:space="preserve">: Energy efficiency of different platforms </w:t>
      </w:r>
      <w:r w:rsidRPr="00B54ECF">
        <w:rPr>
          <w:noProof/>
        </w:rPr>
        <w:br/>
      </w:r>
      <w:r w:rsidRPr="00B54ECF">
        <w:rPr>
          <w:rFonts w:ascii="Times New Roman" w:hAnsi="Times New Roman" w:cs="Times New Roman"/>
          <w:noProof/>
        </w:rPr>
        <w:t xml:space="preserve">(Source: Quantitative study of the </w:t>
      </w:r>
      <w:r>
        <w:rPr>
          <w:rFonts w:ascii="Times New Roman" w:hAnsi="Times New Roman" w:cs="Times New Roman"/>
          <w:noProof/>
        </w:rPr>
        <w:t>greenhouse gas</w:t>
      </w:r>
      <w:r w:rsidRPr="00516125">
        <w:rPr>
          <w:rFonts w:ascii="Times New Roman" w:hAnsi="Times New Roman" w:cs="Times New Roman"/>
          <w:noProof/>
        </w:rPr>
        <w:t xml:space="preserve"> </w:t>
      </w:r>
      <w:r w:rsidRPr="00B54ECF">
        <w:rPr>
          <w:rFonts w:ascii="Times New Roman" w:hAnsi="Times New Roman" w:cs="Times New Roman"/>
          <w:noProof/>
        </w:rPr>
        <w:t>emissions of delivering TV content, The LoCaT Project)</w:t>
      </w:r>
    </w:p>
    <w:p w14:paraId="65825FB9" w14:textId="77777777" w:rsidR="005944ED" w:rsidRDefault="005944ED" w:rsidP="005944ED">
      <w:pPr>
        <w:spacing w:after="240" w:line="240" w:lineRule="auto"/>
        <w:jc w:val="center"/>
        <w:rPr>
          <w:rFonts w:ascii="Times New Roman" w:eastAsiaTheme="minorEastAsia" w:hAnsi="Times New Roman" w:cs="Times New Roman"/>
          <w:noProof/>
        </w:rPr>
      </w:pPr>
      <w:r>
        <w:rPr>
          <w:noProof/>
          <w:lang w:val="en-GB" w:eastAsia="en-GB"/>
        </w:rPr>
        <w:drawing>
          <wp:inline distT="0" distB="0" distL="0" distR="0" wp14:anchorId="0A445B3C" wp14:editId="7B6CCFA1">
            <wp:extent cx="4463007" cy="2651760"/>
            <wp:effectExtent l="0" t="0" r="0" b="0"/>
            <wp:docPr id="984931104" name="drawing"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25493" name="drawing" descr="A graph of different colored bars&#10;&#10;AI-generated content may be incorrect."/>
                    <pic:cNvPicPr/>
                  </pic:nvPicPr>
                  <pic:blipFill>
                    <a:blip r:embed="rId35">
                      <a:extLst>
                        <a:ext uri="{28A0092B-C50C-407E-A947-70E740481C1C}">
                          <a14:useLocalDpi xmlns:a14="http://schemas.microsoft.com/office/drawing/2010/main"/>
                        </a:ext>
                      </a:extLst>
                    </a:blip>
                    <a:stretch>
                      <a:fillRect/>
                    </a:stretch>
                  </pic:blipFill>
                  <pic:spPr>
                    <a:xfrm>
                      <a:off x="0" y="0"/>
                      <a:ext cx="4466787" cy="2654006"/>
                    </a:xfrm>
                    <a:prstGeom prst="rect">
                      <a:avLst/>
                    </a:prstGeom>
                  </pic:spPr>
                </pic:pic>
              </a:graphicData>
            </a:graphic>
          </wp:inline>
        </w:drawing>
      </w:r>
    </w:p>
    <w:p w14:paraId="318EF30A" w14:textId="77777777" w:rsidR="005944ED" w:rsidRPr="002753D9" w:rsidRDefault="005944ED" w:rsidP="005944ED">
      <w:pPr>
        <w:pStyle w:val="paragraph"/>
        <w:spacing w:before="0" w:beforeAutospacing="0" w:after="240" w:afterAutospacing="0"/>
        <w:rPr>
          <w:rStyle w:val="eop"/>
          <w:rFonts w:eastAsiaTheme="minorEastAsia"/>
          <w:b/>
          <w:bCs/>
          <w:noProof/>
          <w:lang w:val="en-US"/>
        </w:rPr>
      </w:pPr>
      <w:r w:rsidRPr="005944ED">
        <w:rPr>
          <w:rStyle w:val="eop"/>
          <w:rFonts w:eastAsiaTheme="minorEastAsia"/>
          <w:b/>
          <w:bCs/>
          <w:noProof/>
          <w:lang w:val="en-US"/>
        </w:rPr>
        <w:t xml:space="preserve">Investment </w:t>
      </w:r>
      <w:r w:rsidRPr="002753D9">
        <w:rPr>
          <w:rStyle w:val="eop"/>
          <w:rFonts w:eastAsiaTheme="minorEastAsia"/>
          <w:b/>
          <w:bCs/>
          <w:noProof/>
          <w:lang w:val="en-US"/>
        </w:rPr>
        <w:t>opportunity for alternative uses</w:t>
      </w:r>
    </w:p>
    <w:p w14:paraId="540E8AF7" w14:textId="2B3D46A3" w:rsidR="005944ED" w:rsidRPr="002753D9" w:rsidRDefault="005944ED" w:rsidP="005944ED">
      <w:pPr>
        <w:pStyle w:val="paragraph"/>
        <w:spacing w:before="0" w:beforeAutospacing="0" w:after="240" w:afterAutospacing="0"/>
        <w:jc w:val="both"/>
        <w:rPr>
          <w:rStyle w:val="eop"/>
          <w:rFonts w:eastAsiaTheme="minorEastAsia"/>
          <w:b/>
          <w:bCs/>
          <w:noProof/>
        </w:rPr>
      </w:pPr>
      <w:bookmarkStart w:id="28" w:name="_Hlk233126398"/>
      <w:r w:rsidRPr="002753D9">
        <w:rPr>
          <w:rStyle w:val="eop"/>
          <w:rFonts w:eastAsiaTheme="minorEastAsia"/>
          <w:b/>
          <w:bCs/>
          <w:noProof/>
          <w:lang w:val="en-US"/>
        </w:rPr>
        <w:t>Mobile communications (IMT)</w:t>
      </w:r>
    </w:p>
    <w:p w14:paraId="4CF618BF" w14:textId="7C5DDF45" w:rsidR="005944ED" w:rsidRPr="0010331E" w:rsidRDefault="005944ED" w:rsidP="005944ED">
      <w:pPr>
        <w:pStyle w:val="paragraph"/>
        <w:spacing w:before="0" w:beforeAutospacing="0" w:after="240" w:afterAutospacing="0"/>
        <w:jc w:val="both"/>
        <w:rPr>
          <w:rStyle w:val="eop"/>
          <w:rFonts w:eastAsiaTheme="minorEastAsia"/>
          <w:noProof/>
        </w:rPr>
      </w:pPr>
      <w:bookmarkStart w:id="29" w:name="_Hlk233213899"/>
      <w:r w:rsidRPr="002753D9">
        <w:rPr>
          <w:rStyle w:val="eop"/>
          <w:rFonts w:eastAsiaTheme="minorEastAsia"/>
          <w:noProof/>
          <w:lang w:val="en-GB"/>
        </w:rPr>
        <w:t xml:space="preserve">According to </w:t>
      </w:r>
      <w:r w:rsidRPr="002753D9">
        <w:rPr>
          <w:rStyle w:val="eop"/>
          <w:rFonts w:eastAsiaTheme="minorEastAsia"/>
          <w:noProof/>
        </w:rPr>
        <w:t>GSMA’s</w:t>
      </w:r>
      <w:r w:rsidRPr="002753D9">
        <w:rPr>
          <w:rStyle w:val="eop"/>
          <w:rFonts w:eastAsiaTheme="minorEastAsia"/>
          <w:noProof/>
          <w:lang w:val="en-GB"/>
        </w:rPr>
        <w:t xml:space="preserve"> response to the 2024 RSPG questionnaire, mobile data traffic in European cellular networks is expected to increase by a factor of between two and seven by the end of the decade, depending on the country. Ericsson’s Mobility Report</w:t>
      </w:r>
      <w:r w:rsidRPr="002753D9">
        <w:rPr>
          <w:rStyle w:val="FootnoteReference"/>
          <w:rFonts w:eastAsiaTheme="minorEastAsia"/>
          <w:noProof/>
          <w:lang w:val="en-GB"/>
        </w:rPr>
        <w:footnoteReference w:id="58"/>
      </w:r>
      <w:r w:rsidRPr="002753D9">
        <w:rPr>
          <w:rStyle w:val="eop"/>
          <w:rFonts w:eastAsiaTheme="minorEastAsia"/>
          <w:noProof/>
          <w:lang w:val="en-GB"/>
        </w:rPr>
        <w:t xml:space="preserve"> indicates that mobile network data traffic will continue to grow, albeit at a declining year-on-year rate, with </w:t>
      </w:r>
      <w:r w:rsidRPr="002753D9" w:rsidDel="00AD41F5">
        <w:rPr>
          <w:rStyle w:val="eop"/>
          <w:rFonts w:eastAsiaTheme="minorEastAsia"/>
          <w:noProof/>
          <w:lang w:val="en-GB"/>
        </w:rPr>
        <w:t>an average</w:t>
      </w:r>
      <w:r w:rsidRPr="002753D9">
        <w:rPr>
          <w:rStyle w:val="eop"/>
          <w:rFonts w:eastAsiaTheme="minorEastAsia"/>
          <w:noProof/>
          <w:lang w:val="en-GB"/>
        </w:rPr>
        <w:t xml:space="preserve">CAGR of around 17% projected </w:t>
      </w:r>
      <w:r w:rsidRPr="002753D9">
        <w:rPr>
          <w:rStyle w:val="eop"/>
          <w:rFonts w:eastAsiaTheme="minorEastAsia"/>
          <w:noProof/>
        </w:rPr>
        <w:t xml:space="preserve">until </w:t>
      </w:r>
      <w:r w:rsidRPr="002753D9">
        <w:rPr>
          <w:rStyle w:val="eop"/>
          <w:rFonts w:eastAsiaTheme="minorEastAsia"/>
          <w:noProof/>
          <w:lang w:val="en-GB"/>
        </w:rPr>
        <w:t>2030.</w:t>
      </w:r>
      <w:r w:rsidR="00FA57A9" w:rsidRPr="002753D9">
        <w:rPr>
          <w:noProof/>
        </w:rPr>
        <w:t xml:space="preserve"> </w:t>
      </w:r>
      <w:r w:rsidR="00FA57A9" w:rsidRPr="002753D9">
        <w:rPr>
          <w:rStyle w:val="eop"/>
          <w:rFonts w:eastAsiaTheme="minorEastAsia"/>
          <w:noProof/>
          <w:lang w:val="en-GB"/>
        </w:rPr>
        <w:t>In Western Europe, monthly mobile data traffic per active smartphone is projected to grow at a CAGR of around 1</w:t>
      </w:r>
      <w:r w:rsidR="00D76271" w:rsidRPr="002753D9">
        <w:rPr>
          <w:rStyle w:val="eop"/>
          <w:rFonts w:eastAsiaTheme="minorEastAsia"/>
          <w:noProof/>
          <w:lang w:val="en-GB"/>
        </w:rPr>
        <w:t>3</w:t>
      </w:r>
      <w:r w:rsidR="00FA57A9" w:rsidRPr="002753D9">
        <w:rPr>
          <w:rStyle w:val="eop"/>
          <w:rFonts w:eastAsiaTheme="minorEastAsia"/>
          <w:noProof/>
          <w:lang w:val="en-GB"/>
        </w:rPr>
        <w:t>% between 202</w:t>
      </w:r>
      <w:r w:rsidR="00D76271" w:rsidRPr="002753D9">
        <w:rPr>
          <w:rStyle w:val="eop"/>
          <w:rFonts w:eastAsiaTheme="minorEastAsia"/>
          <w:noProof/>
          <w:lang w:val="en-GB"/>
        </w:rPr>
        <w:t>4</w:t>
      </w:r>
      <w:r w:rsidR="004665DD" w:rsidRPr="002753D9">
        <w:rPr>
          <w:rStyle w:val="eop"/>
          <w:rFonts w:eastAsiaTheme="minorEastAsia"/>
          <w:noProof/>
          <w:lang w:val="en-GB"/>
        </w:rPr>
        <w:t xml:space="preserve"> </w:t>
      </w:r>
      <w:r w:rsidR="00FA57A9" w:rsidRPr="002753D9">
        <w:rPr>
          <w:rStyle w:val="eop"/>
          <w:rFonts w:eastAsiaTheme="minorEastAsia"/>
          <w:noProof/>
          <w:lang w:val="en-GB"/>
        </w:rPr>
        <w:t>and 203</w:t>
      </w:r>
      <w:r w:rsidR="00D76271" w:rsidRPr="002753D9">
        <w:rPr>
          <w:rStyle w:val="eop"/>
          <w:rFonts w:eastAsiaTheme="minorEastAsia"/>
          <w:noProof/>
          <w:lang w:val="en-GB"/>
        </w:rPr>
        <w:t>0</w:t>
      </w:r>
      <w:r w:rsidR="00FA57A9" w:rsidRPr="002753D9">
        <w:rPr>
          <w:rStyle w:val="eop"/>
          <w:rFonts w:eastAsiaTheme="minorEastAsia"/>
          <w:noProof/>
          <w:lang w:val="en-GB"/>
        </w:rPr>
        <w:t xml:space="preserve">, </w:t>
      </w:r>
      <w:r w:rsidR="00D76271" w:rsidRPr="002753D9">
        <w:rPr>
          <w:noProof/>
        </w:rPr>
        <w:t>rising from 22 GB in 2024 to 47 GB in 2030 per month. This represents growth by a factor of 2.1 by the end of the decade</w:t>
      </w:r>
      <w:r w:rsidR="00FA57A9" w:rsidRPr="002753D9">
        <w:rPr>
          <w:rStyle w:val="eop"/>
          <w:rFonts w:eastAsiaTheme="minorEastAsia"/>
          <w:noProof/>
          <w:lang w:val="en-GB"/>
        </w:rPr>
        <w:t>.</w:t>
      </w:r>
      <w:r w:rsidR="007A205D" w:rsidRPr="002753D9">
        <w:rPr>
          <w:rStyle w:val="eop"/>
          <w:rFonts w:eastAsiaTheme="minorEastAsia"/>
          <w:noProof/>
          <w:lang w:val="en-GB"/>
        </w:rPr>
        <w:t xml:space="preserve"> </w:t>
      </w:r>
      <w:bookmarkStart w:id="30" w:name="_Hlk233224095"/>
      <w:bookmarkStart w:id="31" w:name="_Hlk233224070"/>
      <w:r w:rsidR="007A205D" w:rsidRPr="002753D9">
        <w:rPr>
          <w:rStyle w:val="eop"/>
          <w:rFonts w:eastAsiaTheme="minorEastAsia"/>
          <w:noProof/>
          <w:lang w:val="en-GB"/>
        </w:rPr>
        <w:t xml:space="preserve">Arthur D. Little’s </w:t>
      </w:r>
      <w:bookmarkEnd w:id="30"/>
      <w:r w:rsidR="007A205D" w:rsidRPr="002753D9">
        <w:rPr>
          <w:rStyle w:val="eop"/>
          <w:rFonts w:eastAsiaTheme="minorEastAsia"/>
          <w:noProof/>
          <w:lang w:val="en-GB"/>
        </w:rPr>
        <w:t>report</w:t>
      </w:r>
      <w:bookmarkEnd w:id="31"/>
      <w:r w:rsidR="00D649DE" w:rsidRPr="002753D9">
        <w:rPr>
          <w:rStyle w:val="FootnoteReference"/>
          <w:rFonts w:eastAsiaTheme="minorEastAsia"/>
          <w:noProof/>
          <w:lang w:val="en-GB"/>
        </w:rPr>
        <w:footnoteReference w:id="59"/>
      </w:r>
      <w:r w:rsidR="007A205D" w:rsidRPr="002753D9">
        <w:rPr>
          <w:rStyle w:val="eop"/>
          <w:rFonts w:eastAsiaTheme="minorEastAsia"/>
          <w:noProof/>
          <w:lang w:val="en-GB"/>
        </w:rPr>
        <w:t xml:space="preserve"> estimates a CAGR of 25% on average for mobile uses (excluding FWA but including mobile-only </w:t>
      </w:r>
      <w:r w:rsidR="004665DD" w:rsidRPr="002753D9">
        <w:rPr>
          <w:rStyle w:val="eop"/>
          <w:rFonts w:eastAsiaTheme="minorEastAsia"/>
          <w:noProof/>
          <w:lang w:val="en-GB"/>
        </w:rPr>
        <w:t>households</w:t>
      </w:r>
      <w:r w:rsidR="007A205D" w:rsidRPr="002753D9">
        <w:rPr>
          <w:rStyle w:val="eop"/>
          <w:rFonts w:eastAsiaTheme="minorEastAsia"/>
          <w:noProof/>
          <w:lang w:val="en-GB"/>
        </w:rPr>
        <w:t xml:space="preserve">), resulting in a growth factor of 4.75 on average for the EU. Traffic is expected to continue </w:t>
      </w:r>
      <w:r w:rsidR="007A205D" w:rsidRPr="007A205D">
        <w:rPr>
          <w:rStyle w:val="eop"/>
          <w:rFonts w:eastAsiaTheme="minorEastAsia"/>
          <w:noProof/>
          <w:lang w:val="en-GB"/>
        </w:rPr>
        <w:t xml:space="preserve">to grow in </w:t>
      </w:r>
      <w:r w:rsidR="005C68EF">
        <w:rPr>
          <w:rStyle w:val="eop"/>
          <w:rFonts w:eastAsiaTheme="minorEastAsia"/>
          <w:noProof/>
          <w:lang w:val="en-GB"/>
        </w:rPr>
        <w:t xml:space="preserve">mobile </w:t>
      </w:r>
      <w:r w:rsidR="007A205D" w:rsidRPr="007A205D">
        <w:rPr>
          <w:rStyle w:val="eop"/>
          <w:rFonts w:eastAsiaTheme="minorEastAsia"/>
          <w:noProof/>
          <w:lang w:val="en-GB"/>
        </w:rPr>
        <w:t xml:space="preserve"> networks </w:t>
      </w:r>
      <w:r w:rsidR="005F6F41">
        <w:rPr>
          <w:rStyle w:val="eop"/>
          <w:rFonts w:eastAsiaTheme="minorEastAsia"/>
          <w:noProof/>
          <w:lang w:val="en-GB"/>
        </w:rPr>
        <w:t xml:space="preserve">also </w:t>
      </w:r>
      <w:r w:rsidR="007A205D" w:rsidRPr="007A205D">
        <w:rPr>
          <w:rStyle w:val="eop"/>
          <w:rFonts w:eastAsiaTheme="minorEastAsia"/>
          <w:noProof/>
          <w:lang w:val="en-GB"/>
        </w:rPr>
        <w:t xml:space="preserve">beyond 2030, while 6G and new use cases </w:t>
      </w:r>
      <w:r w:rsidR="00021A76">
        <w:rPr>
          <w:rStyle w:val="eop"/>
          <w:rFonts w:eastAsiaTheme="minorEastAsia"/>
          <w:noProof/>
          <w:lang w:val="en-GB"/>
        </w:rPr>
        <w:t xml:space="preserve">would </w:t>
      </w:r>
      <w:r w:rsidR="007A205D" w:rsidRPr="007A205D">
        <w:rPr>
          <w:rStyle w:val="eop"/>
          <w:rFonts w:eastAsiaTheme="minorEastAsia"/>
          <w:noProof/>
          <w:lang w:val="en-GB"/>
        </w:rPr>
        <w:t xml:space="preserve"> increase the annual growth rate. FWA and IoT will further add to network </w:t>
      </w:r>
      <w:r w:rsidR="00021A76">
        <w:rPr>
          <w:rStyle w:val="eop"/>
          <w:rFonts w:eastAsiaTheme="minorEastAsia"/>
          <w:noProof/>
          <w:lang w:val="en-GB"/>
        </w:rPr>
        <w:t xml:space="preserve">capacity </w:t>
      </w:r>
      <w:r w:rsidR="007A205D" w:rsidRPr="007A205D">
        <w:rPr>
          <w:rStyle w:val="eop"/>
          <w:rFonts w:eastAsiaTheme="minorEastAsia"/>
          <w:noProof/>
          <w:lang w:val="en-GB"/>
        </w:rPr>
        <w:t>demands.</w:t>
      </w:r>
    </w:p>
    <w:bookmarkEnd w:id="29"/>
    <w:p w14:paraId="18202A43" w14:textId="20F63D04" w:rsidR="005944ED" w:rsidRPr="002753D9" w:rsidRDefault="4823A461" w:rsidP="65B45B23">
      <w:pPr>
        <w:pStyle w:val="paragraph"/>
        <w:spacing w:before="0" w:beforeAutospacing="0" w:after="240" w:afterAutospacing="0"/>
        <w:jc w:val="both"/>
        <w:rPr>
          <w:rStyle w:val="eop"/>
          <w:rFonts w:eastAsiaTheme="minorEastAsia"/>
          <w:noProof/>
          <w:lang w:val="en-GB"/>
        </w:rPr>
      </w:pPr>
      <w:r w:rsidRPr="65B45B23">
        <w:rPr>
          <w:rStyle w:val="eop"/>
          <w:rFonts w:eastAsiaTheme="minorEastAsia"/>
          <w:noProof/>
          <w:lang w:val="en-GB"/>
        </w:rPr>
        <w:t xml:space="preserve">In the RSPG questionnaire, mobile stakeholders </w:t>
      </w:r>
      <w:r w:rsidRPr="65B45B23">
        <w:rPr>
          <w:rStyle w:val="eop"/>
          <w:rFonts w:eastAsiaTheme="minorEastAsia"/>
          <w:noProof/>
        </w:rPr>
        <w:t>advocated</w:t>
      </w:r>
      <w:r w:rsidRPr="65B45B23">
        <w:rPr>
          <w:rStyle w:val="eop"/>
          <w:rFonts w:eastAsiaTheme="minorEastAsia"/>
          <w:noProof/>
          <w:lang w:val="en-GB"/>
        </w:rPr>
        <w:t xml:space="preserve"> for the primary allocation of the sub-700</w:t>
      </w:r>
      <w:r w:rsidRPr="65B45B23">
        <w:rPr>
          <w:rStyle w:val="eop"/>
          <w:rFonts w:eastAsiaTheme="minorEastAsia"/>
          <w:noProof/>
        </w:rPr>
        <w:t> </w:t>
      </w:r>
      <w:r w:rsidRPr="65B45B23">
        <w:rPr>
          <w:rStyle w:val="eop"/>
          <w:rFonts w:eastAsiaTheme="minorEastAsia"/>
          <w:noProof/>
          <w:lang w:val="en-GB"/>
        </w:rPr>
        <w:t xml:space="preserve">MHz band to IMT, arguing that mobile services require greater capacity potential in this band and that it is well suited to support future 5G and 6G expansion. They further </w:t>
      </w:r>
      <w:r w:rsidRPr="65B45B23">
        <w:rPr>
          <w:rStyle w:val="eop"/>
          <w:rFonts w:eastAsiaTheme="minorEastAsia"/>
          <w:noProof/>
        </w:rPr>
        <w:t>contended</w:t>
      </w:r>
      <w:r w:rsidRPr="65B45B23">
        <w:rPr>
          <w:rStyle w:val="eop"/>
          <w:rFonts w:eastAsiaTheme="minorEastAsia"/>
          <w:noProof/>
          <w:lang w:val="en-GB"/>
        </w:rPr>
        <w:t xml:space="preserve"> that reallocating the band to IMT would represent the most efficient use of this scarce spectrum resource. Low-band spectrum is also regarded as crucial for promoting digital inclusion, in particular by improving coverage in rural area</w:t>
      </w:r>
      <w:r w:rsidRPr="002753D9">
        <w:rPr>
          <w:rStyle w:val="eop"/>
          <w:rFonts w:eastAsiaTheme="minorEastAsia"/>
          <w:noProof/>
          <w:lang w:val="en-GB"/>
        </w:rPr>
        <w:t>s.</w:t>
      </w:r>
      <w:r w:rsidR="564963B2" w:rsidRPr="002753D9">
        <w:rPr>
          <w:rStyle w:val="eop"/>
          <w:rFonts w:eastAsiaTheme="minorEastAsia"/>
          <w:noProof/>
          <w:lang w:val="en-GB"/>
        </w:rPr>
        <w:t xml:space="preserve"> </w:t>
      </w:r>
      <w:r w:rsidR="1D290ED4" w:rsidRPr="002753D9">
        <w:rPr>
          <w:rStyle w:val="eop"/>
          <w:rFonts w:eastAsiaTheme="minorEastAsia"/>
          <w:noProof/>
          <w:lang w:val="en-GB"/>
        </w:rPr>
        <w:t>Beyond 2030, the introduction of 6G is expected to enable new wide-area applications that will further stimulate mobile traffic growth</w:t>
      </w:r>
      <w:r w:rsidRPr="65B45B23">
        <w:rPr>
          <w:rStyle w:val="FootnoteReference"/>
          <w:rFonts w:asciiTheme="minorHAnsi" w:eastAsiaTheme="minorEastAsia" w:hAnsiTheme="minorHAnsi" w:cstheme="minorBidi"/>
          <w:noProof/>
          <w:lang w:val="en-GB"/>
        </w:rPr>
        <w:footnoteReference w:id="60"/>
      </w:r>
      <w:r w:rsidR="4470274E" w:rsidRPr="65B45B23">
        <w:rPr>
          <w:rStyle w:val="eop"/>
          <w:rFonts w:asciiTheme="minorHAnsi" w:eastAsiaTheme="minorEastAsia" w:hAnsiTheme="minorHAnsi" w:cstheme="minorBidi"/>
          <w:noProof/>
          <w:lang w:val="en-GB"/>
        </w:rPr>
        <w:t>.</w:t>
      </w:r>
      <w:r w:rsidR="1D290ED4" w:rsidRPr="65B45B23">
        <w:rPr>
          <w:rStyle w:val="eop"/>
          <w:rFonts w:asciiTheme="minorHAnsi" w:eastAsiaTheme="minorEastAsia" w:hAnsiTheme="minorHAnsi" w:cstheme="minorBidi"/>
          <w:noProof/>
          <w:lang w:val="en-GB"/>
        </w:rPr>
        <w:t xml:space="preserve"> </w:t>
      </w:r>
      <w:r w:rsidR="11659624" w:rsidRPr="002753D9">
        <w:rPr>
          <w:rStyle w:val="eop"/>
          <w:rFonts w:eastAsiaTheme="minorEastAsia"/>
          <w:noProof/>
          <w:lang w:val="en-GB"/>
        </w:rPr>
        <w:t xml:space="preserve">These include </w:t>
      </w:r>
      <w:r w:rsidR="1D290ED4" w:rsidRPr="002753D9">
        <w:rPr>
          <w:rStyle w:val="eop"/>
          <w:rFonts w:eastAsiaTheme="minorEastAsia"/>
          <w:noProof/>
          <w:lang w:val="en-GB"/>
        </w:rPr>
        <w:t>immersive communication (e.g. Extended Reality), massive IoT deployments, hyper-reliable and low-latency services, ubiquitous connectivity, AI-enabled communications and integrated sensing and communication (ISAC). These applications require ubiquitous, reliable wide-area connectivity and will therefore particularly benefit from the coverage characteristics of low-band spectrum.</w:t>
      </w:r>
    </w:p>
    <w:p w14:paraId="474CB653" w14:textId="3C0CAF3F" w:rsidR="00FA57A9" w:rsidRPr="002753D9" w:rsidDel="008053F0" w:rsidRDefault="00FA57A9" w:rsidP="65B45B23">
      <w:pPr>
        <w:pStyle w:val="paragraph"/>
        <w:spacing w:before="0" w:beforeAutospacing="0" w:after="240" w:afterAutospacing="0"/>
        <w:jc w:val="both"/>
        <w:rPr>
          <w:rStyle w:val="eop"/>
          <w:rFonts w:eastAsiaTheme="minorEastAsia"/>
          <w:noProof/>
          <w:lang w:val="en-GB"/>
        </w:rPr>
      </w:pPr>
      <w:r w:rsidRPr="65B45B23">
        <w:rPr>
          <w:rStyle w:val="eop"/>
          <w:rFonts w:eastAsiaTheme="minorEastAsia"/>
          <w:noProof/>
        </w:rPr>
        <w:t>A GSMA report</w:t>
      </w:r>
      <w:r>
        <w:rPr>
          <w:rStyle w:val="FootnoteReference"/>
          <w:rFonts w:eastAsiaTheme="minorEastAsia"/>
          <w:noProof/>
        </w:rPr>
        <w:footnoteReference w:id="61"/>
      </w:r>
      <w:r w:rsidRPr="65B45B23">
        <w:rPr>
          <w:rStyle w:val="eop"/>
          <w:rFonts w:eastAsiaTheme="minorEastAsia"/>
          <w:noProof/>
        </w:rPr>
        <w:t xml:space="preserve"> provides </w:t>
      </w:r>
      <w:r w:rsidRPr="002753D9">
        <w:rPr>
          <w:rStyle w:val="eop"/>
          <w:rFonts w:eastAsiaTheme="minorEastAsia"/>
          <w:noProof/>
          <w:lang w:val="en-GB"/>
        </w:rPr>
        <w:t xml:space="preserve">quantitative support for </w:t>
      </w:r>
      <w:r w:rsidR="703FDAB3" w:rsidRPr="002753D9">
        <w:rPr>
          <w:rStyle w:val="eop"/>
          <w:rFonts w:eastAsiaTheme="minorEastAsia"/>
          <w:noProof/>
          <w:lang w:val="en-GB"/>
        </w:rPr>
        <w:t>the importance of additional sub-1 GHz spectrum:</w:t>
      </w:r>
      <w:r w:rsidRPr="002753D9">
        <w:rPr>
          <w:rStyle w:val="eop"/>
          <w:rFonts w:eastAsiaTheme="minorEastAsia"/>
          <w:noProof/>
          <w:lang w:val="en-GB"/>
        </w:rPr>
        <w:t>each additional 50 MHz of sub-1 GHz spectrum is associated with a 7 percentage-point increase in 4G coverage and an 11 percentage-point increase in 5G coverage in rural areas, while rural users already spend more than twice as much time connected to low bands as urban users on both 4G and 5G networks.</w:t>
      </w:r>
    </w:p>
    <w:p w14:paraId="2501FBC5" w14:textId="4DABE332" w:rsidR="005944ED" w:rsidRPr="004E62A4" w:rsidRDefault="005944ED" w:rsidP="005944ED">
      <w:pPr>
        <w:pStyle w:val="paragraph"/>
        <w:spacing w:before="0" w:beforeAutospacing="0" w:after="240" w:afterAutospacing="0"/>
        <w:jc w:val="both"/>
        <w:rPr>
          <w:rStyle w:val="eop"/>
          <w:rFonts w:eastAsiaTheme="minorEastAsia"/>
          <w:noProof/>
          <w:lang w:val="en-GB"/>
        </w:rPr>
      </w:pPr>
      <w:r w:rsidRPr="65B45B23">
        <w:rPr>
          <w:rStyle w:val="eop"/>
          <w:rFonts w:eastAsiaTheme="minorEastAsia"/>
          <w:noProof/>
        </w:rPr>
        <w:t>GSMA’s</w:t>
      </w:r>
      <w:r w:rsidRPr="65B45B23">
        <w:rPr>
          <w:rStyle w:val="FootnoteReference"/>
          <w:rFonts w:eastAsiaTheme="minorEastAsia"/>
          <w:noProof/>
          <w:lang w:val="en-GB"/>
        </w:rPr>
        <w:t xml:space="preserve"> </w:t>
      </w:r>
      <w:r w:rsidRPr="65B45B23">
        <w:rPr>
          <w:rStyle w:val="eop"/>
          <w:rFonts w:eastAsiaTheme="minorEastAsia"/>
          <w:noProof/>
          <w:lang w:val="en-GB"/>
        </w:rPr>
        <w:t>analysis</w:t>
      </w:r>
      <w:r w:rsidRPr="65B45B23">
        <w:rPr>
          <w:rStyle w:val="FootnoteReference"/>
          <w:rFonts w:eastAsiaTheme="minorEastAsia"/>
          <w:noProof/>
          <w:lang w:val="en-GB"/>
        </w:rPr>
        <w:footnoteReference w:id="62"/>
      </w:r>
      <w:r w:rsidRPr="65B45B23">
        <w:rPr>
          <w:rStyle w:val="eop"/>
          <w:rFonts w:eastAsiaTheme="minorEastAsia"/>
          <w:noProof/>
          <w:lang w:val="en-GB"/>
        </w:rPr>
        <w:t xml:space="preserve"> further indicates that the main low-frequency bands currently used around the world for 5G are 600</w:t>
      </w:r>
      <w:r w:rsidRPr="65B45B23">
        <w:rPr>
          <w:rStyle w:val="eop"/>
          <w:rFonts w:eastAsiaTheme="minorEastAsia"/>
          <w:noProof/>
        </w:rPr>
        <w:t> </w:t>
      </w:r>
      <w:r w:rsidRPr="65B45B23">
        <w:rPr>
          <w:rStyle w:val="eop"/>
          <w:rFonts w:eastAsiaTheme="minorEastAsia"/>
          <w:noProof/>
          <w:lang w:val="en-GB"/>
        </w:rPr>
        <w:t>MHz and 700</w:t>
      </w:r>
      <w:r w:rsidRPr="65B45B23">
        <w:rPr>
          <w:rStyle w:val="eop"/>
          <w:rFonts w:eastAsiaTheme="minorEastAsia"/>
          <w:noProof/>
        </w:rPr>
        <w:t> </w:t>
      </w:r>
      <w:r w:rsidRPr="65B45B23">
        <w:rPr>
          <w:rStyle w:val="eop"/>
          <w:rFonts w:eastAsiaTheme="minorEastAsia"/>
          <w:noProof/>
          <w:lang w:val="en-GB"/>
        </w:rPr>
        <w:t>MHz, while the 800</w:t>
      </w:r>
      <w:r w:rsidRPr="65B45B23">
        <w:rPr>
          <w:rStyle w:val="eop"/>
          <w:rFonts w:eastAsiaTheme="minorEastAsia"/>
          <w:noProof/>
        </w:rPr>
        <w:t> </w:t>
      </w:r>
      <w:r w:rsidRPr="65B45B23">
        <w:rPr>
          <w:rStyle w:val="eop"/>
          <w:rFonts w:eastAsiaTheme="minorEastAsia"/>
          <w:noProof/>
          <w:lang w:val="en-GB"/>
        </w:rPr>
        <w:t xml:space="preserve">MHz and 900 MHz bands </w:t>
      </w:r>
      <w:r w:rsidRPr="65B45B23">
        <w:rPr>
          <w:rStyle w:val="eop"/>
          <w:rFonts w:eastAsiaTheme="minorEastAsia"/>
          <w:noProof/>
        </w:rPr>
        <w:t xml:space="preserve">are still </w:t>
      </w:r>
      <w:r w:rsidRPr="65B45B23">
        <w:rPr>
          <w:rStyle w:val="eop"/>
          <w:rFonts w:eastAsiaTheme="minorEastAsia"/>
          <w:noProof/>
          <w:lang w:val="en-GB"/>
        </w:rPr>
        <w:t>largely used for previous generations. Countries deploying 5G in the 600/700</w:t>
      </w:r>
      <w:r w:rsidRPr="65B45B23">
        <w:rPr>
          <w:rStyle w:val="eop"/>
          <w:rFonts w:eastAsiaTheme="minorEastAsia"/>
          <w:noProof/>
        </w:rPr>
        <w:t> </w:t>
      </w:r>
      <w:r w:rsidRPr="65B45B23">
        <w:rPr>
          <w:rStyle w:val="eop"/>
          <w:rFonts w:eastAsiaTheme="minorEastAsia"/>
          <w:noProof/>
          <w:lang w:val="en-GB"/>
        </w:rPr>
        <w:t>MHz bands have achieved higher coverage, better availability and improved indoor performance. Low-band 5G is projected to contribute approximately USD</w:t>
      </w:r>
      <w:r w:rsidRPr="65B45B23">
        <w:rPr>
          <w:rStyle w:val="eop"/>
          <w:rFonts w:eastAsiaTheme="minorEastAsia"/>
          <w:noProof/>
        </w:rPr>
        <w:t> </w:t>
      </w:r>
      <w:r w:rsidRPr="65B45B23">
        <w:rPr>
          <w:rStyle w:val="eop"/>
          <w:rFonts w:eastAsiaTheme="minorEastAsia"/>
          <w:noProof/>
          <w:lang w:val="en-GB"/>
        </w:rPr>
        <w:t xml:space="preserve">130 billion to global GDP in 2030, with around half of this impact driven by massive </w:t>
      </w:r>
      <w:r w:rsidRPr="65B45B23">
        <w:rPr>
          <w:rStyle w:val="eop"/>
          <w:rFonts w:eastAsiaTheme="minorEastAsia"/>
          <w:noProof/>
        </w:rPr>
        <w:t>Internet of Things</w:t>
      </w:r>
      <w:r w:rsidRPr="65B45B23">
        <w:rPr>
          <w:rStyle w:val="eop"/>
          <w:rFonts w:eastAsiaTheme="minorEastAsia"/>
          <w:noProof/>
          <w:lang w:val="en-GB"/>
        </w:rPr>
        <w:t xml:space="preserve"> (mIoT)</w:t>
      </w:r>
      <w:r w:rsidRPr="65B45B23">
        <w:rPr>
          <w:rStyle w:val="FootnoteReference"/>
          <w:rFonts w:eastAsiaTheme="minorEastAsia"/>
          <w:noProof/>
          <w:lang w:val="en-GB"/>
        </w:rPr>
        <w:footnoteReference w:id="63"/>
      </w:r>
      <w:r w:rsidRPr="65B45B23">
        <w:rPr>
          <w:rStyle w:val="FootnoteReference"/>
          <w:rFonts w:eastAsiaTheme="minorEastAsia"/>
          <w:noProof/>
          <w:lang w:val="en-GB"/>
        </w:rPr>
        <w:t xml:space="preserve"> </w:t>
      </w:r>
      <w:r w:rsidRPr="65B45B23">
        <w:rPr>
          <w:rStyle w:val="eop"/>
          <w:rFonts w:eastAsiaTheme="minorEastAsia"/>
          <w:noProof/>
          <w:lang w:val="en-GB"/>
        </w:rPr>
        <w:t>i.e. the large-scale deployment of connected low-power devices such as smart meters, environmental sensors and asset-tracking devices. For Europe, the estimated contribution is approximately USD</w:t>
      </w:r>
      <w:r w:rsidRPr="65B45B23">
        <w:rPr>
          <w:rStyle w:val="eop"/>
          <w:rFonts w:eastAsiaTheme="minorEastAsia"/>
          <w:noProof/>
        </w:rPr>
        <w:t> </w:t>
      </w:r>
      <w:r w:rsidRPr="65B45B23">
        <w:rPr>
          <w:rStyle w:val="eop"/>
          <w:rFonts w:eastAsiaTheme="minorEastAsia"/>
          <w:noProof/>
          <w:lang w:val="en-GB"/>
        </w:rPr>
        <w:t>26 billion. Furthermore, using the UHF band for mobile services could deliver significant infrastructure efficiencies, potentially reducing base-station requirements by up to 33%</w:t>
      </w:r>
      <w:r w:rsidRPr="65B45B23">
        <w:rPr>
          <w:rStyle w:val="FootnoteReference"/>
          <w:rFonts w:eastAsiaTheme="minorEastAsia"/>
          <w:noProof/>
          <w:lang w:val="en-GB"/>
        </w:rPr>
        <w:footnoteReference w:id="64"/>
      </w:r>
      <w:r w:rsidRPr="65B45B23">
        <w:rPr>
          <w:rStyle w:val="eop"/>
          <w:rFonts w:eastAsiaTheme="minorEastAsia"/>
          <w:noProof/>
          <w:lang w:val="en-GB"/>
        </w:rPr>
        <w:t>, as fewer sites would be needed to provide the same level of coverage and performance, particularly in rural areas. This would also support EU environmental sustainability objectives.</w:t>
      </w:r>
    </w:p>
    <w:bookmarkEnd w:id="28"/>
    <w:p w14:paraId="545C4CC4" w14:textId="77777777" w:rsidR="007C0ADA" w:rsidRPr="007C0ADA" w:rsidRDefault="007C0ADA" w:rsidP="007C0ADA">
      <w:pPr>
        <w:pStyle w:val="paragraph"/>
        <w:spacing w:before="0" w:beforeAutospacing="0" w:after="240" w:afterAutospacing="0"/>
        <w:jc w:val="both"/>
        <w:rPr>
          <w:rStyle w:val="eop"/>
          <w:rFonts w:eastAsiaTheme="minorEastAsia"/>
          <w:b/>
          <w:bCs/>
          <w:noProof/>
        </w:rPr>
      </w:pPr>
      <w:r w:rsidRPr="007C0ADA">
        <w:rPr>
          <w:rStyle w:val="eop"/>
          <w:rFonts w:eastAsiaTheme="minorEastAsia"/>
          <w:b/>
          <w:bCs/>
          <w:noProof/>
          <w:lang w:val="en-GB"/>
        </w:rPr>
        <w:t xml:space="preserve">Public </w:t>
      </w:r>
      <w:r w:rsidRPr="007C0ADA">
        <w:rPr>
          <w:rStyle w:val="eop"/>
          <w:rFonts w:eastAsiaTheme="minorEastAsia"/>
          <w:b/>
          <w:bCs/>
          <w:noProof/>
        </w:rPr>
        <w:t>P</w:t>
      </w:r>
      <w:r w:rsidRPr="007C0ADA">
        <w:rPr>
          <w:rStyle w:val="eop"/>
          <w:rFonts w:eastAsiaTheme="minorEastAsia"/>
          <w:b/>
          <w:bCs/>
          <w:noProof/>
          <w:lang w:val="en-GB"/>
        </w:rPr>
        <w:t xml:space="preserve">rotection and Disaster </w:t>
      </w:r>
      <w:r w:rsidRPr="007C0ADA">
        <w:rPr>
          <w:rStyle w:val="eop"/>
          <w:rFonts w:eastAsiaTheme="minorEastAsia"/>
          <w:b/>
          <w:bCs/>
          <w:noProof/>
        </w:rPr>
        <w:t xml:space="preserve">Relief </w:t>
      </w:r>
      <w:r w:rsidRPr="007C0ADA">
        <w:rPr>
          <w:rStyle w:val="eop"/>
          <w:rFonts w:eastAsiaTheme="minorEastAsia"/>
          <w:b/>
          <w:bCs/>
          <w:noProof/>
          <w:lang w:val="en-GB"/>
        </w:rPr>
        <w:t>(PPDR)</w:t>
      </w:r>
    </w:p>
    <w:p w14:paraId="73F9E8E5" w14:textId="77777777" w:rsidR="007C0ADA" w:rsidRPr="004E62A4" w:rsidRDefault="007C0ADA" w:rsidP="007C0ADA">
      <w:pPr>
        <w:pStyle w:val="paragraph"/>
        <w:spacing w:before="0" w:beforeAutospacing="0" w:after="240" w:afterAutospacing="0"/>
        <w:jc w:val="both"/>
        <w:rPr>
          <w:rStyle w:val="eop"/>
          <w:rFonts w:eastAsiaTheme="minorEastAsia"/>
          <w:noProof/>
          <w:lang w:val="en-GB"/>
        </w:rPr>
      </w:pPr>
      <w:r w:rsidRPr="004E62A4">
        <w:rPr>
          <w:rStyle w:val="eop"/>
          <w:rFonts w:eastAsiaTheme="minorEastAsia"/>
          <w:noProof/>
          <w:lang w:val="en-GB"/>
        </w:rPr>
        <w:t>In the RSPG Report, PPDR users emphasise the importance of rural coverage, highlighting the need for additional spectrum in the 470</w:t>
      </w:r>
      <w:r>
        <w:rPr>
          <w:rStyle w:val="eop"/>
          <w:rFonts w:eastAsiaTheme="minorEastAsia"/>
          <w:noProof/>
        </w:rPr>
        <w:t>-</w:t>
      </w:r>
      <w:r w:rsidRPr="004E62A4">
        <w:rPr>
          <w:rStyle w:val="eop"/>
          <w:rFonts w:eastAsiaTheme="minorEastAsia"/>
          <w:noProof/>
          <w:lang w:val="en-GB"/>
        </w:rPr>
        <w:t>694</w:t>
      </w:r>
      <w:r>
        <w:rPr>
          <w:rStyle w:val="eop"/>
          <w:rFonts w:eastAsiaTheme="minorEastAsia"/>
          <w:noProof/>
        </w:rPr>
        <w:t> </w:t>
      </w:r>
      <w:r w:rsidRPr="00F03FEF">
        <w:rPr>
          <w:rStyle w:val="eop"/>
          <w:rFonts w:eastAsiaTheme="minorEastAsia"/>
          <w:noProof/>
          <w:lang w:val="en-GB"/>
        </w:rPr>
        <w:t xml:space="preserve">MHz band to support PPDR systems. They note that existing PPDR frequency allocations are no longer sufficient to meet evolving operational requirements, citing limitations in the number of simultaneous voice channels </w:t>
      </w:r>
      <w:r>
        <w:rPr>
          <w:rStyle w:val="eop"/>
          <w:rFonts w:eastAsiaTheme="minorEastAsia"/>
          <w:noProof/>
        </w:rPr>
        <w:t>and</w:t>
      </w:r>
      <w:r w:rsidRPr="004E62A4">
        <w:rPr>
          <w:rStyle w:val="eop"/>
          <w:rFonts w:eastAsiaTheme="minorEastAsia"/>
          <w:noProof/>
          <w:lang w:val="en-GB"/>
        </w:rPr>
        <w:t xml:space="preserve"> constraints on video and data transmission.</w:t>
      </w:r>
    </w:p>
    <w:p w14:paraId="55689665" w14:textId="77777777" w:rsidR="007C0ADA" w:rsidRPr="004E62A4" w:rsidRDefault="007C0ADA" w:rsidP="007C0ADA">
      <w:pPr>
        <w:pStyle w:val="paragraph"/>
        <w:spacing w:before="0" w:beforeAutospacing="0" w:after="240" w:afterAutospacing="0"/>
        <w:jc w:val="both"/>
        <w:rPr>
          <w:rStyle w:val="eop"/>
          <w:rFonts w:eastAsiaTheme="minorEastAsia"/>
          <w:noProof/>
          <w:lang w:val="en-GB"/>
        </w:rPr>
      </w:pPr>
      <w:r w:rsidRPr="65B45B23">
        <w:rPr>
          <w:rStyle w:val="eop"/>
          <w:rFonts w:eastAsiaTheme="minorEastAsia"/>
          <w:noProof/>
          <w:lang w:val="en-GB"/>
        </w:rPr>
        <w:t>In this context, PPDR stakeholders indicate a spectrum requirement of up to 60</w:t>
      </w:r>
      <w:r w:rsidRPr="65B45B23">
        <w:rPr>
          <w:rStyle w:val="eop"/>
          <w:rFonts w:eastAsiaTheme="minorEastAsia"/>
          <w:noProof/>
        </w:rPr>
        <w:t> </w:t>
      </w:r>
      <w:r w:rsidRPr="65B45B23">
        <w:rPr>
          <w:rStyle w:val="eop"/>
          <w:rFonts w:eastAsiaTheme="minorEastAsia"/>
          <w:noProof/>
          <w:lang w:val="en-GB"/>
        </w:rPr>
        <w:t>MHz to support secure broadband services, including mission-critical live video streaming</w:t>
      </w:r>
      <w:r w:rsidRPr="65B45B23">
        <w:rPr>
          <w:rStyle w:val="FootnoteReference"/>
          <w:rFonts w:eastAsiaTheme="minorEastAsia"/>
          <w:noProof/>
          <w:lang w:val="en-GB"/>
        </w:rPr>
        <w:footnoteReference w:id="65"/>
      </w:r>
      <w:r w:rsidRPr="65B45B23">
        <w:rPr>
          <w:rStyle w:val="eop"/>
          <w:rFonts w:eastAsiaTheme="minorEastAsia"/>
          <w:noProof/>
          <w:lang w:val="en-GB"/>
        </w:rPr>
        <w:t xml:space="preserve">, and underline that a primary allocation of </w:t>
      </w:r>
      <w:r w:rsidRPr="65B45B23">
        <w:rPr>
          <w:rStyle w:val="eop"/>
          <w:rFonts w:eastAsiaTheme="minorEastAsia"/>
          <w:noProof/>
        </w:rPr>
        <w:t xml:space="preserve">that </w:t>
      </w:r>
      <w:r w:rsidRPr="65B45B23">
        <w:rPr>
          <w:rStyle w:val="eop"/>
          <w:rFonts w:eastAsiaTheme="minorEastAsia"/>
          <w:noProof/>
          <w:lang w:val="en-GB"/>
        </w:rPr>
        <w:t>spectrum to PPDR would facilitate pan-European cooperation and long-term technology investment.</w:t>
      </w:r>
    </w:p>
    <w:p w14:paraId="285E8E9D" w14:textId="77777777" w:rsidR="007C0ADA" w:rsidRPr="007C0ADA" w:rsidRDefault="007C0ADA" w:rsidP="007C0ADA">
      <w:pPr>
        <w:pStyle w:val="paragraph"/>
        <w:spacing w:before="0" w:beforeAutospacing="0" w:after="240" w:afterAutospacing="0"/>
        <w:jc w:val="both"/>
        <w:rPr>
          <w:rStyle w:val="eop"/>
          <w:rFonts w:eastAsiaTheme="minorEastAsia"/>
          <w:b/>
          <w:bCs/>
          <w:noProof/>
        </w:rPr>
      </w:pPr>
      <w:r w:rsidRPr="007C0ADA">
        <w:rPr>
          <w:rStyle w:val="eop"/>
          <w:rFonts w:eastAsiaTheme="minorEastAsia"/>
          <w:b/>
          <w:bCs/>
          <w:noProof/>
          <w:lang w:val="en-GB"/>
        </w:rPr>
        <w:t>Defence/</w:t>
      </w:r>
      <w:r w:rsidRPr="007C0ADA">
        <w:rPr>
          <w:rStyle w:val="eop"/>
          <w:rFonts w:eastAsiaTheme="minorEastAsia"/>
          <w:b/>
          <w:bCs/>
          <w:noProof/>
        </w:rPr>
        <w:t>m</w:t>
      </w:r>
      <w:r w:rsidRPr="007C0ADA">
        <w:rPr>
          <w:rStyle w:val="eop"/>
          <w:rFonts w:eastAsiaTheme="minorEastAsia"/>
          <w:b/>
          <w:bCs/>
          <w:noProof/>
          <w:lang w:val="en-GB"/>
        </w:rPr>
        <w:t>ilitary uses</w:t>
      </w:r>
    </w:p>
    <w:p w14:paraId="4E91E26B" w14:textId="77777777" w:rsidR="007C0ADA" w:rsidRPr="0010331E" w:rsidRDefault="007C0ADA" w:rsidP="007C0ADA">
      <w:pPr>
        <w:pStyle w:val="paragraph"/>
        <w:spacing w:before="0" w:beforeAutospacing="0" w:after="240" w:afterAutospacing="0"/>
        <w:jc w:val="both"/>
        <w:rPr>
          <w:rStyle w:val="eop"/>
          <w:rFonts w:eastAsiaTheme="minorEastAsia"/>
          <w:noProof/>
        </w:rPr>
      </w:pPr>
      <w:r w:rsidRPr="004E62A4">
        <w:rPr>
          <w:rStyle w:val="eop"/>
          <w:rFonts w:eastAsiaTheme="minorEastAsia"/>
          <w:noProof/>
          <w:lang w:val="en-GB"/>
        </w:rPr>
        <w:t>Defence stakeholders have signalled interest in access to parts of the 470</w:t>
      </w:r>
      <w:r>
        <w:rPr>
          <w:rStyle w:val="eop"/>
          <w:rFonts w:eastAsiaTheme="minorEastAsia"/>
          <w:noProof/>
        </w:rPr>
        <w:t>-</w:t>
      </w:r>
      <w:r w:rsidRPr="004E62A4">
        <w:rPr>
          <w:rStyle w:val="eop"/>
          <w:rFonts w:eastAsiaTheme="minorEastAsia"/>
          <w:noProof/>
          <w:lang w:val="en-GB"/>
        </w:rPr>
        <w:t>694</w:t>
      </w:r>
      <w:r>
        <w:rPr>
          <w:rStyle w:val="eop"/>
          <w:rFonts w:eastAsiaTheme="minorEastAsia"/>
          <w:noProof/>
        </w:rPr>
        <w:t> </w:t>
      </w:r>
      <w:r w:rsidRPr="00F03FEF">
        <w:rPr>
          <w:rStyle w:val="eop"/>
          <w:rFonts w:eastAsiaTheme="minorEastAsia"/>
          <w:noProof/>
          <w:lang w:val="en-GB"/>
        </w:rPr>
        <w:t>MHz band to support secure and mission-critical military communications. They have identified pressing requirements for reliable communications, including access to white spaces or specific sub-bands, in order to address current and future operational needs.</w:t>
      </w:r>
    </w:p>
    <w:p w14:paraId="4DA8045A" w14:textId="77777777" w:rsidR="007C0ADA" w:rsidRPr="0010331E" w:rsidRDefault="007C0ADA" w:rsidP="007C0ADA">
      <w:pPr>
        <w:pStyle w:val="paragraph"/>
        <w:spacing w:before="0" w:beforeAutospacing="0" w:after="240" w:afterAutospacing="0"/>
        <w:jc w:val="both"/>
        <w:rPr>
          <w:rStyle w:val="eop"/>
          <w:rFonts w:eastAsiaTheme="minorEastAsia"/>
          <w:noProof/>
        </w:rPr>
      </w:pPr>
      <w:r w:rsidRPr="004E62A4">
        <w:rPr>
          <w:rStyle w:val="eop"/>
          <w:rFonts w:eastAsiaTheme="minorEastAsia"/>
          <w:noProof/>
          <w:lang w:val="en-GB"/>
        </w:rPr>
        <w:t>According to the RSPG Report, military spectrum requirements are estimated to range between 48</w:t>
      </w:r>
      <w:r>
        <w:rPr>
          <w:rStyle w:val="eop"/>
          <w:rFonts w:eastAsiaTheme="minorEastAsia"/>
          <w:noProof/>
        </w:rPr>
        <w:t> </w:t>
      </w:r>
      <w:r w:rsidRPr="00F03FEF">
        <w:rPr>
          <w:rStyle w:val="eop"/>
          <w:rFonts w:eastAsiaTheme="minorEastAsia"/>
          <w:noProof/>
          <w:lang w:val="en-GB"/>
        </w:rPr>
        <w:t>MHz and 100</w:t>
      </w:r>
      <w:r>
        <w:rPr>
          <w:rStyle w:val="eop"/>
          <w:rFonts w:eastAsiaTheme="minorEastAsia"/>
          <w:noProof/>
        </w:rPr>
        <w:t> </w:t>
      </w:r>
      <w:r w:rsidRPr="00F03FEF">
        <w:rPr>
          <w:rStyle w:val="eop"/>
          <w:rFonts w:eastAsiaTheme="minorEastAsia"/>
          <w:noProof/>
          <w:lang w:val="en-GB"/>
        </w:rPr>
        <w:t>MHz, with several national use cases indicating the need for access to portions of the band up to 2030 and beyond. In particular, access to the lower part of the band (470</w:t>
      </w:r>
      <w:r>
        <w:rPr>
          <w:rStyle w:val="eop"/>
          <w:rFonts w:eastAsiaTheme="minorEastAsia"/>
          <w:noProof/>
        </w:rPr>
        <w:t>-</w:t>
      </w:r>
      <w:r w:rsidRPr="004E62A4">
        <w:rPr>
          <w:rStyle w:val="eop"/>
          <w:rFonts w:eastAsiaTheme="minorEastAsia"/>
          <w:noProof/>
          <w:lang w:val="en-GB"/>
        </w:rPr>
        <w:t>512</w:t>
      </w:r>
      <w:r w:rsidRPr="0010331E">
        <w:rPr>
          <w:rStyle w:val="eop"/>
          <w:rFonts w:eastAsiaTheme="minorEastAsia"/>
          <w:noProof/>
        </w:rPr>
        <w:t> </w:t>
      </w:r>
      <w:r>
        <w:rPr>
          <w:rStyle w:val="eop"/>
          <w:rFonts w:eastAsiaTheme="minorEastAsia"/>
          <w:noProof/>
        </w:rPr>
        <w:t> MHz</w:t>
      </w:r>
      <w:r w:rsidRPr="00F03FEF">
        <w:rPr>
          <w:rStyle w:val="eop"/>
          <w:rFonts w:eastAsiaTheme="minorEastAsia"/>
          <w:noProof/>
          <w:lang w:val="en-GB"/>
        </w:rPr>
        <w:t>) has been highlighted, as many existing military radio devices are configurable up to 512 MHz, enabling immediate operational deployment. Such access could also help alleviate congestion in the primary military VHF/UHF bands (230</w:t>
      </w:r>
      <w:r>
        <w:rPr>
          <w:rStyle w:val="eop"/>
          <w:rFonts w:eastAsiaTheme="minorEastAsia"/>
          <w:noProof/>
        </w:rPr>
        <w:t>-</w:t>
      </w:r>
      <w:r w:rsidRPr="004E62A4">
        <w:rPr>
          <w:rStyle w:val="eop"/>
          <w:rFonts w:eastAsiaTheme="minorEastAsia"/>
          <w:noProof/>
          <w:lang w:val="en-GB"/>
        </w:rPr>
        <w:t>400</w:t>
      </w:r>
      <w:r>
        <w:rPr>
          <w:rStyle w:val="eop"/>
          <w:rFonts w:eastAsiaTheme="minorEastAsia"/>
          <w:noProof/>
        </w:rPr>
        <w:t> </w:t>
      </w:r>
      <w:r w:rsidRPr="00F03FEF">
        <w:rPr>
          <w:rStyle w:val="eop"/>
          <w:rFonts w:eastAsiaTheme="minorEastAsia"/>
          <w:noProof/>
          <w:lang w:val="en-GB"/>
        </w:rPr>
        <w:t>MHz).</w:t>
      </w:r>
    </w:p>
    <w:p w14:paraId="41BBD699" w14:textId="77777777" w:rsidR="007C0ADA" w:rsidRPr="003509BD" w:rsidRDefault="007C0ADA" w:rsidP="007C0ADA">
      <w:pPr>
        <w:pStyle w:val="Heading1"/>
        <w:spacing w:after="240"/>
        <w:rPr>
          <w:rFonts w:cs="Times New Roman"/>
          <w:noProof/>
          <w:color w:val="auto"/>
        </w:rPr>
      </w:pPr>
      <w:r w:rsidRPr="00BF60DB">
        <w:rPr>
          <w:rFonts w:ascii="Times New Roman" w:hAnsi="Times New Roman" w:cs="Times New Roman"/>
          <w:b/>
          <w:noProof/>
          <w:color w:val="auto"/>
          <w:sz w:val="28"/>
          <w:szCs w:val="32"/>
        </w:rPr>
        <w:t xml:space="preserve">6. EVOLUTION OF CONSUMER </w:t>
      </w:r>
      <w:r w:rsidRPr="00516125">
        <w:rPr>
          <w:rFonts w:ascii="Times New Roman" w:hAnsi="Times New Roman" w:cs="Times New Roman"/>
          <w:b/>
          <w:noProof/>
          <w:color w:val="auto"/>
          <w:sz w:val="28"/>
          <w:szCs w:val="32"/>
        </w:rPr>
        <w:t>BEHAVIO</w:t>
      </w:r>
      <w:r>
        <w:rPr>
          <w:rFonts w:ascii="Times New Roman" w:hAnsi="Times New Roman" w:cs="Times New Roman"/>
          <w:b/>
          <w:noProof/>
          <w:color w:val="auto"/>
          <w:sz w:val="28"/>
          <w:szCs w:val="32"/>
        </w:rPr>
        <w:t>U</w:t>
      </w:r>
      <w:r w:rsidRPr="00516125">
        <w:rPr>
          <w:rFonts w:ascii="Times New Roman" w:hAnsi="Times New Roman" w:cs="Times New Roman"/>
          <w:b/>
          <w:noProof/>
          <w:color w:val="auto"/>
          <w:sz w:val="28"/>
          <w:szCs w:val="32"/>
        </w:rPr>
        <w:t>R</w:t>
      </w:r>
    </w:p>
    <w:p w14:paraId="5E24869E" w14:textId="3A77641B" w:rsidR="007C0ADA" w:rsidRPr="00ED5A11" w:rsidRDefault="007C0ADA" w:rsidP="007C0ADA">
      <w:pPr>
        <w:spacing w:after="240" w:line="240" w:lineRule="auto"/>
        <w:jc w:val="both"/>
        <w:rPr>
          <w:rFonts w:ascii="Times New Roman" w:hAnsi="Times New Roman" w:cs="Times New Roman"/>
          <w:noProof/>
        </w:rPr>
      </w:pPr>
      <w:r w:rsidRPr="65E61F16">
        <w:rPr>
          <w:rFonts w:ascii="Times New Roman" w:hAnsi="Times New Roman" w:cs="Times New Roman"/>
          <w:noProof/>
        </w:rPr>
        <w:t>Audience behaviour across the EU reflects mixed consumption of traditional and digital audiovisual services. Although DTT provides linear TV broadcasting</w:t>
      </w:r>
      <w:r w:rsidR="4B641701" w:rsidRPr="0A249039">
        <w:rPr>
          <w:rFonts w:ascii="Times New Roman" w:hAnsi="Times New Roman" w:cs="Times New Roman"/>
          <w:noProof/>
        </w:rPr>
        <w:t>,</w:t>
      </w:r>
      <w:r w:rsidR="371C9C1D" w:rsidRPr="0A249039">
        <w:rPr>
          <w:rFonts w:ascii="Times New Roman" w:hAnsi="Times New Roman" w:cs="Times New Roman"/>
          <w:noProof/>
        </w:rPr>
        <w:t xml:space="preserve"> </w:t>
      </w:r>
      <w:r w:rsidRPr="65E61F16">
        <w:rPr>
          <w:rFonts w:ascii="Times New Roman" w:hAnsi="Times New Roman" w:cs="Times New Roman"/>
          <w:noProof/>
        </w:rPr>
        <w:t>historically the cornerstone of media consumption in the EU</w:t>
      </w:r>
      <w:r w:rsidR="027E7924" w:rsidRPr="0A249039">
        <w:rPr>
          <w:rFonts w:ascii="Times New Roman" w:hAnsi="Times New Roman" w:cs="Times New Roman"/>
          <w:noProof/>
        </w:rPr>
        <w:t xml:space="preserve">, </w:t>
      </w:r>
      <w:r w:rsidRPr="65E61F16">
        <w:rPr>
          <w:rFonts w:ascii="Times New Roman" w:hAnsi="Times New Roman" w:cs="Times New Roman"/>
          <w:noProof/>
        </w:rPr>
        <w:t>data show that viewing trends have shifted in recent years and vary significantly across Member States and demographic groups.</w:t>
      </w:r>
    </w:p>
    <w:p w14:paraId="3A4D4FD6" w14:textId="1FE7D2F0" w:rsidR="007C0ADA" w:rsidRDefault="00DA5AD5" w:rsidP="007C0ADA">
      <w:pPr>
        <w:spacing w:after="240" w:line="240"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Figure 19 </w:t>
      </w:r>
      <w:r w:rsidR="007C0ADA" w:rsidRPr="003509BD">
        <w:rPr>
          <w:rFonts w:ascii="Times New Roman" w:eastAsia="Times New Roman" w:hAnsi="Times New Roman" w:cs="Times New Roman"/>
          <w:noProof/>
        </w:rPr>
        <w:t>illustrates a steady decline in the number of DTT households</w:t>
      </w:r>
      <w:r w:rsidR="007C0ADA" w:rsidRPr="003509BD">
        <w:rPr>
          <w:rStyle w:val="FootnoteReference"/>
          <w:rFonts w:ascii="Times New Roman" w:eastAsia="Times New Roman" w:hAnsi="Times New Roman" w:cs="Times New Roman"/>
          <w:noProof/>
        </w:rPr>
        <w:footnoteReference w:id="66"/>
      </w:r>
      <w:r w:rsidR="007C0ADA" w:rsidRPr="003509BD">
        <w:rPr>
          <w:rFonts w:ascii="Times New Roman" w:eastAsia="Times New Roman" w:hAnsi="Times New Roman" w:cs="Times New Roman"/>
          <w:noProof/>
        </w:rPr>
        <w:t xml:space="preserve"> between 2015 and 2024, reflecting a shift in consumer behaviour. Overall, the evolution shown in the figure suggests that DTT continues to play an important role for a significant number of households, </w:t>
      </w:r>
      <w:r w:rsidR="007C0ADA">
        <w:rPr>
          <w:rFonts w:ascii="Times New Roman" w:eastAsia="Times New Roman" w:hAnsi="Times New Roman" w:cs="Times New Roman"/>
          <w:noProof/>
        </w:rPr>
        <w:t>but</w:t>
      </w:r>
      <w:r w:rsidR="007C0ADA" w:rsidRPr="00516125">
        <w:rPr>
          <w:rFonts w:ascii="Times New Roman" w:eastAsia="Times New Roman" w:hAnsi="Times New Roman" w:cs="Times New Roman"/>
          <w:noProof/>
        </w:rPr>
        <w:t xml:space="preserve"> </w:t>
      </w:r>
      <w:r w:rsidR="007C0ADA" w:rsidRPr="003509BD">
        <w:rPr>
          <w:rFonts w:ascii="Times New Roman" w:eastAsia="Times New Roman" w:hAnsi="Times New Roman" w:cs="Times New Roman"/>
          <w:noProof/>
        </w:rPr>
        <w:t>its relative importance in household television reception has been diminishing over time, mirroring wider trends towards platform diversification.</w:t>
      </w:r>
    </w:p>
    <w:p w14:paraId="42FCA8EC" w14:textId="57F50EA5" w:rsidR="007C0ADA" w:rsidRPr="00E130FA" w:rsidRDefault="007C0ADA" w:rsidP="007C0ADA">
      <w:pPr>
        <w:pStyle w:val="Caption"/>
        <w:spacing w:after="240"/>
        <w:jc w:val="both"/>
        <w:rPr>
          <w:rFonts w:ascii="Times New Roman" w:eastAsia="Times New Roman" w:hAnsi="Times New Roman" w:cs="Times New Roman"/>
          <w:noProof/>
          <w:color w:val="auto"/>
          <w:sz w:val="24"/>
          <w:szCs w:val="24"/>
        </w:rPr>
      </w:pPr>
      <w:r w:rsidRPr="00E130FA">
        <w:rPr>
          <w:rFonts w:ascii="Times New Roman" w:hAnsi="Times New Roman" w:cs="Times New Roman"/>
          <w:noProof/>
          <w:color w:val="auto"/>
          <w:sz w:val="24"/>
          <w:szCs w:val="24"/>
        </w:rPr>
        <w:t xml:space="preserve">Figure </w:t>
      </w:r>
      <w:r w:rsidRPr="00E130FA">
        <w:rPr>
          <w:rFonts w:ascii="Times New Roman" w:hAnsi="Times New Roman" w:cs="Times New Roman"/>
          <w:noProof/>
          <w:color w:val="auto"/>
          <w:sz w:val="24"/>
          <w:szCs w:val="24"/>
        </w:rPr>
        <w:fldChar w:fldCharType="begin"/>
      </w:r>
      <w:r w:rsidRPr="00E130FA">
        <w:rPr>
          <w:rFonts w:ascii="Times New Roman" w:hAnsi="Times New Roman" w:cs="Times New Roman"/>
          <w:noProof/>
          <w:color w:val="auto"/>
          <w:sz w:val="24"/>
          <w:szCs w:val="24"/>
        </w:rPr>
        <w:instrText xml:space="preserve"> SEQ Figure \* ARABIC </w:instrText>
      </w:r>
      <w:r w:rsidRPr="00E130FA">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19</w:t>
      </w:r>
      <w:r w:rsidRPr="00E130FA">
        <w:rPr>
          <w:rFonts w:ascii="Times New Roman" w:hAnsi="Times New Roman" w:cs="Times New Roman"/>
          <w:noProof/>
          <w:color w:val="auto"/>
          <w:sz w:val="24"/>
          <w:szCs w:val="24"/>
        </w:rPr>
        <w:fldChar w:fldCharType="end"/>
      </w:r>
      <w:r w:rsidRPr="00E130FA">
        <w:rPr>
          <w:rFonts w:ascii="Times New Roman" w:hAnsi="Times New Roman" w:cs="Times New Roman"/>
          <w:noProof/>
          <w:color w:val="auto"/>
          <w:sz w:val="24"/>
          <w:szCs w:val="24"/>
        </w:rPr>
        <w:t xml:space="preserve">: Evolution of DTT households in the EU (2015–2024) </w:t>
      </w:r>
      <w:r>
        <w:rPr>
          <w:rFonts w:ascii="Times New Roman" w:hAnsi="Times New Roman" w:cs="Times New Roman"/>
          <w:noProof/>
          <w:color w:val="auto"/>
          <w:sz w:val="24"/>
          <w:szCs w:val="24"/>
        </w:rPr>
        <w:br/>
      </w:r>
      <w:r w:rsidRPr="00E130FA">
        <w:rPr>
          <w:rFonts w:ascii="Times New Roman" w:hAnsi="Times New Roman" w:cs="Times New Roman"/>
          <w:noProof/>
          <w:color w:val="auto"/>
          <w:sz w:val="24"/>
          <w:szCs w:val="24"/>
        </w:rPr>
        <w:t>(Source: European Audiovisual Observatory on Dataxis data – Yearbook 2025)</w:t>
      </w:r>
    </w:p>
    <w:p w14:paraId="71E939F3" w14:textId="77777777" w:rsidR="007C0ADA" w:rsidRDefault="007C0ADA" w:rsidP="007C0ADA">
      <w:pPr>
        <w:keepNext/>
        <w:spacing w:after="240" w:line="240" w:lineRule="auto"/>
        <w:jc w:val="center"/>
        <w:rPr>
          <w:noProof/>
        </w:rPr>
      </w:pPr>
      <w:r>
        <w:rPr>
          <w:noProof/>
          <w:lang w:val="en-GB" w:eastAsia="en-GB"/>
        </w:rPr>
        <w:drawing>
          <wp:inline distT="0" distB="0" distL="0" distR="0" wp14:anchorId="57B0CC4D" wp14:editId="349A7A1E">
            <wp:extent cx="4257040" cy="2629348"/>
            <wp:effectExtent l="0" t="0" r="0" b="0"/>
            <wp:docPr id="569676758" name="drawing"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70332" name="drawing" descr="A graph with a line going up&#10;&#10;AI-generated content may be incorrect."/>
                    <pic:cNvPicPr/>
                  </pic:nvPicPr>
                  <pic:blipFill>
                    <a:blip r:embed="rId36">
                      <a:extLst>
                        <a:ext uri="{28A0092B-C50C-407E-A947-70E740481C1C}">
                          <a14:useLocalDpi xmlns:a14="http://schemas.microsoft.com/office/drawing/2010/main"/>
                        </a:ext>
                      </a:extLst>
                    </a:blip>
                    <a:stretch>
                      <a:fillRect/>
                    </a:stretch>
                  </pic:blipFill>
                  <pic:spPr>
                    <a:xfrm>
                      <a:off x="0" y="0"/>
                      <a:ext cx="4269567" cy="2637085"/>
                    </a:xfrm>
                    <a:prstGeom prst="rect">
                      <a:avLst/>
                    </a:prstGeom>
                  </pic:spPr>
                </pic:pic>
              </a:graphicData>
            </a:graphic>
          </wp:inline>
        </w:drawing>
      </w:r>
    </w:p>
    <w:p w14:paraId="1B6125C7" w14:textId="77777777" w:rsidR="007C0ADA" w:rsidRDefault="007C0ADA" w:rsidP="007C0ADA">
      <w:pPr>
        <w:spacing w:before="240" w:after="240" w:line="240" w:lineRule="auto"/>
        <w:jc w:val="both"/>
        <w:rPr>
          <w:rFonts w:ascii="Times New Roman" w:eastAsiaTheme="minorEastAsia" w:hAnsi="Times New Roman" w:cs="Times New Roman"/>
          <w:noProof/>
        </w:rPr>
      </w:pPr>
    </w:p>
    <w:p w14:paraId="78F2F890" w14:textId="6C75FFDE" w:rsidR="007C0ADA" w:rsidRDefault="007C0ADA" w:rsidP="007C0ADA">
      <w:pPr>
        <w:spacing w:before="240" w:after="240" w:line="240" w:lineRule="auto"/>
        <w:jc w:val="both"/>
        <w:rPr>
          <w:rFonts w:ascii="Times New Roman" w:eastAsia="Times New Roman" w:hAnsi="Times New Roman" w:cs="Times New Roman"/>
          <w:noProof/>
        </w:rPr>
      </w:pPr>
      <w:bookmarkStart w:id="32" w:name="_Hlk233190306"/>
      <w:r w:rsidRPr="65B45B23">
        <w:rPr>
          <w:rFonts w:ascii="Times New Roman" w:eastAsiaTheme="minorEastAsia" w:hAnsi="Times New Roman" w:cs="Times New Roman"/>
          <w:noProof/>
        </w:rPr>
        <w:t xml:space="preserve">Alongside DTT, audiences across the EU continue to engage with both traditional and digital forms of audiovisual content. </w:t>
      </w:r>
      <w:r w:rsidRPr="00586B58">
        <w:rPr>
          <w:rFonts w:ascii="Times New Roman" w:eastAsia="Times New Roman" w:hAnsi="Times New Roman" w:cs="Times New Roman"/>
          <w:noProof/>
        </w:rPr>
        <w:t>According to</w:t>
      </w:r>
      <w:r w:rsidR="00DA5AD5">
        <w:rPr>
          <w:rFonts w:ascii="Times New Roman" w:eastAsia="Times New Roman" w:hAnsi="Times New Roman" w:cs="Times New Roman"/>
          <w:noProof/>
        </w:rPr>
        <w:t xml:space="preserve"> Figure 20</w:t>
      </w:r>
      <w:r w:rsidRPr="00586B58">
        <w:rPr>
          <w:rFonts w:ascii="Times New Roman" w:eastAsia="Times New Roman" w:hAnsi="Times New Roman" w:cs="Times New Roman"/>
          <w:noProof/>
        </w:rPr>
        <w:t xml:space="preserve">, </w:t>
      </w:r>
      <w:r w:rsidRPr="65B45B23">
        <w:rPr>
          <w:rFonts w:ascii="Times New Roman" w:eastAsiaTheme="minorEastAsia" w:hAnsi="Times New Roman" w:cs="Times New Roman"/>
          <w:noProof/>
        </w:rPr>
        <w:t xml:space="preserve">watching traditional TV at the time of broadcast </w:t>
      </w:r>
      <w:r w:rsidRPr="00365820">
        <w:rPr>
          <w:rFonts w:ascii="Times New Roman" w:eastAsia="Times New Roman" w:hAnsi="Times New Roman" w:cs="Times New Roman"/>
          <w:noProof/>
        </w:rPr>
        <w:t xml:space="preserve">remains the most frequent mode of consumption </w:t>
      </w:r>
      <w:r w:rsidR="00D55062" w:rsidRPr="65B45B23">
        <w:rPr>
          <w:rFonts w:ascii="Times New Roman" w:eastAsia="Times New Roman" w:hAnsi="Times New Roman" w:cs="Times New Roman"/>
          <w:noProof/>
        </w:rPr>
        <w:t xml:space="preserve"> with </w:t>
      </w:r>
      <w:r w:rsidRPr="00365820">
        <w:rPr>
          <w:rFonts w:ascii="Times New Roman" w:eastAsia="Times New Roman" w:hAnsi="Times New Roman" w:cs="Times New Roman"/>
          <w:noProof/>
        </w:rPr>
        <w:t xml:space="preserve">58% </w:t>
      </w:r>
      <w:r w:rsidR="00D55062" w:rsidRPr="65B45B23">
        <w:rPr>
          <w:rFonts w:ascii="Times New Roman" w:eastAsia="Times New Roman" w:hAnsi="Times New Roman" w:cs="Times New Roman"/>
          <w:noProof/>
        </w:rPr>
        <w:t>of European</w:t>
      </w:r>
      <w:r w:rsidR="00DA18E3" w:rsidRPr="65B45B23">
        <w:rPr>
          <w:rFonts w:ascii="Times New Roman" w:eastAsia="Times New Roman" w:hAnsi="Times New Roman" w:cs="Times New Roman"/>
          <w:noProof/>
        </w:rPr>
        <w:t>s</w:t>
      </w:r>
      <w:r w:rsidR="00D55062" w:rsidRPr="65B45B23">
        <w:rPr>
          <w:rFonts w:ascii="Times New Roman" w:eastAsia="Times New Roman" w:hAnsi="Times New Roman" w:cs="Times New Roman"/>
          <w:noProof/>
        </w:rPr>
        <w:t xml:space="preserve"> </w:t>
      </w:r>
      <w:r w:rsidRPr="00365820">
        <w:rPr>
          <w:rFonts w:ascii="Times New Roman" w:eastAsia="Times New Roman" w:hAnsi="Times New Roman" w:cs="Times New Roman"/>
          <w:noProof/>
        </w:rPr>
        <w:t xml:space="preserve">watching </w:t>
      </w:r>
      <w:r w:rsidR="00DA18E3" w:rsidRPr="65B45B23">
        <w:rPr>
          <w:rFonts w:ascii="Times New Roman" w:eastAsia="Times New Roman" w:hAnsi="Times New Roman" w:cs="Times New Roman"/>
          <w:noProof/>
        </w:rPr>
        <w:t>at least</w:t>
      </w:r>
      <w:r w:rsidRPr="00365820">
        <w:rPr>
          <w:rFonts w:ascii="Times New Roman" w:eastAsia="Times New Roman" w:hAnsi="Times New Roman" w:cs="Times New Roman"/>
          <w:noProof/>
        </w:rPr>
        <w:t xml:space="preserve"> week</w:t>
      </w:r>
      <w:r w:rsidR="00DA18E3" w:rsidRPr="65B45B23">
        <w:rPr>
          <w:rFonts w:ascii="Times New Roman" w:eastAsia="Times New Roman" w:hAnsi="Times New Roman" w:cs="Times New Roman"/>
          <w:noProof/>
        </w:rPr>
        <w:t>ly</w:t>
      </w:r>
      <w:r w:rsidRPr="064E9491">
        <w:rPr>
          <w:rFonts w:ascii="Times New Roman" w:eastAsia="Times New Roman" w:hAnsi="Times New Roman" w:cs="Times New Roman"/>
          <w:noProof/>
        </w:rPr>
        <w:t xml:space="preserve">, </w:t>
      </w:r>
      <w:r w:rsidR="00DA18E3" w:rsidRPr="65B45B23">
        <w:rPr>
          <w:rFonts w:ascii="Times New Roman" w:eastAsia="Times New Roman" w:hAnsi="Times New Roman" w:cs="Times New Roman"/>
          <w:noProof/>
        </w:rPr>
        <w:t>(</w:t>
      </w:r>
      <w:r w:rsidRPr="064E9491">
        <w:rPr>
          <w:rFonts w:ascii="Times New Roman" w:eastAsia="Times New Roman" w:hAnsi="Times New Roman" w:cs="Times New Roman"/>
          <w:noProof/>
        </w:rPr>
        <w:t xml:space="preserve">comprising 32% </w:t>
      </w:r>
      <w:r w:rsidR="00DA18E3" w:rsidRPr="65B45B23">
        <w:rPr>
          <w:rFonts w:ascii="Times New Roman" w:eastAsia="Times New Roman" w:hAnsi="Times New Roman" w:cs="Times New Roman"/>
          <w:noProof/>
        </w:rPr>
        <w:t xml:space="preserve">who watch </w:t>
      </w:r>
      <w:r w:rsidRPr="064E9491">
        <w:rPr>
          <w:rFonts w:ascii="Times New Roman" w:eastAsia="Times New Roman" w:hAnsi="Times New Roman" w:cs="Times New Roman"/>
          <w:noProof/>
        </w:rPr>
        <w:t>at</w:t>
      </w:r>
      <w:r w:rsidRPr="7558F606">
        <w:rPr>
          <w:rFonts w:ascii="Times New Roman" w:eastAsia="Times New Roman" w:hAnsi="Times New Roman" w:cs="Times New Roman"/>
          <w:noProof/>
        </w:rPr>
        <w:t xml:space="preserve"> least once a day </w:t>
      </w:r>
      <w:r w:rsidRPr="064E9491">
        <w:rPr>
          <w:rFonts w:ascii="Times New Roman" w:eastAsia="Times New Roman" w:hAnsi="Times New Roman" w:cs="Times New Roman"/>
          <w:noProof/>
        </w:rPr>
        <w:t>and 26</w:t>
      </w:r>
      <w:r w:rsidRPr="7558F606">
        <w:rPr>
          <w:rFonts w:ascii="Times New Roman" w:eastAsia="Times New Roman" w:hAnsi="Times New Roman" w:cs="Times New Roman"/>
          <w:noProof/>
        </w:rPr>
        <w:t>%</w:t>
      </w:r>
      <w:r w:rsidRPr="00516125">
        <w:rPr>
          <w:rFonts w:ascii="Times New Roman" w:eastAsia="Times New Roman" w:hAnsi="Times New Roman" w:cs="Times New Roman"/>
          <w:noProof/>
        </w:rPr>
        <w:t xml:space="preserve"> </w:t>
      </w:r>
      <w:r w:rsidR="00DA18E3" w:rsidRPr="65B45B23">
        <w:rPr>
          <w:rFonts w:ascii="Times New Roman" w:eastAsia="Times New Roman" w:hAnsi="Times New Roman" w:cs="Times New Roman"/>
          <w:noProof/>
        </w:rPr>
        <w:t xml:space="preserve">who watch </w:t>
      </w:r>
      <w:r w:rsidRPr="7558F606">
        <w:rPr>
          <w:rFonts w:ascii="Times New Roman" w:eastAsia="Times New Roman" w:hAnsi="Times New Roman" w:cs="Times New Roman"/>
          <w:noProof/>
        </w:rPr>
        <w:t>at least once a week</w:t>
      </w:r>
      <w:r w:rsidRPr="00365820">
        <w:rPr>
          <w:rFonts w:ascii="Times New Roman" w:eastAsia="Times New Roman" w:hAnsi="Times New Roman" w:cs="Times New Roman"/>
          <w:noProof/>
        </w:rPr>
        <w:t xml:space="preserve">), unchanged from previous years. Subscription-based streaming services closely follow </w:t>
      </w:r>
      <w:r w:rsidR="00DA18E3" w:rsidRPr="002753D9">
        <w:rPr>
          <w:rFonts w:ascii="Times New Roman" w:eastAsia="Times New Roman" w:hAnsi="Times New Roman" w:cs="Times New Roman"/>
          <w:noProof/>
        </w:rPr>
        <w:t>with 50% of Europeans using them at least weekly</w:t>
      </w:r>
      <w:r w:rsidR="00DA18E3" w:rsidRPr="65B45B23">
        <w:rPr>
          <w:rFonts w:ascii="Times New Roman" w:eastAsia="Times New Roman" w:hAnsi="Times New Roman" w:cs="Times New Roman"/>
          <w:noProof/>
        </w:rPr>
        <w:t xml:space="preserve"> (</w:t>
      </w:r>
      <w:r w:rsidR="00554D84" w:rsidRPr="65B45B23">
        <w:rPr>
          <w:rFonts w:ascii="Times New Roman" w:eastAsia="Times New Roman" w:hAnsi="Times New Roman" w:cs="Times New Roman"/>
          <w:noProof/>
        </w:rPr>
        <w:t>comprising</w:t>
      </w:r>
      <w:r w:rsidR="00DA18E3" w:rsidRPr="65B45B23">
        <w:rPr>
          <w:rFonts w:ascii="Times New Roman" w:eastAsia="Times New Roman" w:hAnsi="Times New Roman" w:cs="Times New Roman"/>
          <w:noProof/>
        </w:rPr>
        <w:t xml:space="preserve"> 25% </w:t>
      </w:r>
      <w:r w:rsidR="00554D84" w:rsidRPr="65B45B23">
        <w:rPr>
          <w:rFonts w:ascii="Times New Roman" w:eastAsia="Times New Roman" w:hAnsi="Times New Roman" w:cs="Times New Roman"/>
          <w:noProof/>
        </w:rPr>
        <w:t xml:space="preserve">who use them </w:t>
      </w:r>
      <w:r w:rsidR="00DA18E3" w:rsidRPr="65B45B23">
        <w:rPr>
          <w:rFonts w:ascii="Times New Roman" w:eastAsia="Times New Roman" w:hAnsi="Times New Roman" w:cs="Times New Roman"/>
          <w:noProof/>
        </w:rPr>
        <w:t xml:space="preserve">at least once a day and 25% </w:t>
      </w:r>
      <w:r w:rsidR="00554D84" w:rsidRPr="65B45B23">
        <w:rPr>
          <w:rFonts w:ascii="Times New Roman" w:eastAsia="Times New Roman" w:hAnsi="Times New Roman" w:cs="Times New Roman"/>
          <w:noProof/>
        </w:rPr>
        <w:t>who use them</w:t>
      </w:r>
      <w:r w:rsidR="00DA18E3" w:rsidRPr="65B45B23">
        <w:rPr>
          <w:rFonts w:ascii="Times New Roman" w:eastAsia="Times New Roman" w:hAnsi="Times New Roman" w:cs="Times New Roman"/>
          <w:noProof/>
        </w:rPr>
        <w:t xml:space="preserve"> at least once a week)</w:t>
      </w:r>
      <w:r w:rsidRPr="00365820">
        <w:rPr>
          <w:rFonts w:ascii="Times New Roman" w:eastAsia="Times New Roman" w:hAnsi="Times New Roman" w:cs="Times New Roman"/>
          <w:noProof/>
        </w:rPr>
        <w:t xml:space="preserve">, which reflects how streamers are catching up with broadcasters. </w:t>
      </w:r>
      <w:r>
        <w:rPr>
          <w:rFonts w:ascii="Times New Roman" w:eastAsia="Times New Roman" w:hAnsi="Times New Roman" w:cs="Times New Roman"/>
          <w:noProof/>
        </w:rPr>
        <w:t>By comparison</w:t>
      </w:r>
      <w:r w:rsidRPr="00365820">
        <w:rPr>
          <w:rFonts w:ascii="Times New Roman" w:eastAsia="Times New Roman" w:hAnsi="Times New Roman" w:cs="Times New Roman"/>
          <w:noProof/>
        </w:rPr>
        <w:t>, online services provided by traditional TV channels (BVoD) are used by 41% of Europeans</w:t>
      </w:r>
      <w:r w:rsidR="00DA18E3">
        <w:rPr>
          <w:noProof/>
        </w:rPr>
        <w:t xml:space="preserve"> </w:t>
      </w:r>
      <w:r w:rsidR="00DA18E3" w:rsidRPr="65B45B23">
        <w:rPr>
          <w:rFonts w:ascii="Times New Roman" w:eastAsia="Times New Roman" w:hAnsi="Times New Roman" w:cs="Times New Roman"/>
          <w:noProof/>
        </w:rPr>
        <w:t>at least weekly</w:t>
      </w:r>
      <w:r w:rsidRPr="00365820">
        <w:rPr>
          <w:rFonts w:ascii="Times New Roman" w:eastAsia="Times New Roman" w:hAnsi="Times New Roman" w:cs="Times New Roman"/>
          <w:noProof/>
        </w:rPr>
        <w:t xml:space="preserve">. Regarding cinema attendance, 15% of Europeans report going at least </w:t>
      </w:r>
      <w:r w:rsidR="00DA18E3" w:rsidRPr="65B45B23">
        <w:rPr>
          <w:rFonts w:ascii="Times New Roman" w:eastAsia="Times New Roman" w:hAnsi="Times New Roman" w:cs="Times New Roman"/>
          <w:noProof/>
        </w:rPr>
        <w:t>weekly</w:t>
      </w:r>
      <w:r w:rsidRPr="00365820">
        <w:rPr>
          <w:rFonts w:ascii="Times New Roman" w:eastAsia="Times New Roman" w:hAnsi="Times New Roman" w:cs="Times New Roman"/>
          <w:noProof/>
        </w:rPr>
        <w:t xml:space="preserve"> (mostly </w:t>
      </w:r>
      <w:r>
        <w:rPr>
          <w:rFonts w:ascii="Times New Roman" w:eastAsia="Times New Roman" w:hAnsi="Times New Roman" w:cs="Times New Roman"/>
          <w:noProof/>
        </w:rPr>
        <w:t>in</w:t>
      </w:r>
      <w:r w:rsidRPr="00516125">
        <w:rPr>
          <w:rFonts w:ascii="Times New Roman" w:eastAsia="Times New Roman" w:hAnsi="Times New Roman" w:cs="Times New Roman"/>
          <w:noProof/>
        </w:rPr>
        <w:t xml:space="preserve"> </w:t>
      </w:r>
      <w:r w:rsidRPr="00365820">
        <w:rPr>
          <w:rFonts w:ascii="Times New Roman" w:eastAsia="Times New Roman" w:hAnsi="Times New Roman" w:cs="Times New Roman"/>
          <w:noProof/>
        </w:rPr>
        <w:t>big cities)</w:t>
      </w:r>
      <w:r w:rsidRPr="3CE86475">
        <w:rPr>
          <w:rStyle w:val="FootnoteReference"/>
          <w:rFonts w:ascii="Times New Roman" w:eastAsia="Times New Roman" w:hAnsi="Times New Roman" w:cs="Times New Roman"/>
          <w:noProof/>
        </w:rPr>
        <w:footnoteReference w:id="67"/>
      </w:r>
      <w:r>
        <w:rPr>
          <w:rFonts w:ascii="Times New Roman" w:eastAsia="Times New Roman" w:hAnsi="Times New Roman" w:cs="Times New Roman"/>
          <w:noProof/>
        </w:rPr>
        <w:t xml:space="preserve">, </w:t>
      </w:r>
      <w:r w:rsidRPr="00365820">
        <w:rPr>
          <w:rFonts w:ascii="Times New Roman" w:eastAsia="Times New Roman" w:hAnsi="Times New Roman" w:cs="Times New Roman"/>
          <w:noProof/>
        </w:rPr>
        <w:t xml:space="preserve">while the majority (49%) </w:t>
      </w:r>
      <w:r>
        <w:rPr>
          <w:rFonts w:ascii="Times New Roman" w:eastAsia="Times New Roman" w:hAnsi="Times New Roman" w:cs="Times New Roman"/>
          <w:noProof/>
        </w:rPr>
        <w:t>go once a month</w:t>
      </w:r>
      <w:r w:rsidRPr="00516125">
        <w:rPr>
          <w:rFonts w:ascii="Times New Roman" w:eastAsia="Times New Roman" w:hAnsi="Times New Roman" w:cs="Times New Roman"/>
          <w:noProof/>
        </w:rPr>
        <w:t xml:space="preserve"> </w:t>
      </w:r>
      <w:r w:rsidRPr="00365820">
        <w:rPr>
          <w:rFonts w:ascii="Times New Roman" w:eastAsia="Times New Roman" w:hAnsi="Times New Roman" w:cs="Times New Roman"/>
          <w:noProof/>
        </w:rPr>
        <w:t>or a few times a year.</w:t>
      </w:r>
    </w:p>
    <w:bookmarkEnd w:id="32"/>
    <w:p w14:paraId="1C36B223" w14:textId="52965F91" w:rsidR="007C0ADA" w:rsidRPr="00E130FA" w:rsidRDefault="007C0ADA" w:rsidP="007C0ADA">
      <w:pPr>
        <w:keepNext/>
        <w:spacing w:line="257" w:lineRule="auto"/>
        <w:jc w:val="center"/>
        <w:rPr>
          <w:noProof/>
        </w:rPr>
      </w:pPr>
      <w:r w:rsidRPr="00E130FA">
        <w:rPr>
          <w:rFonts w:ascii="Times New Roman" w:hAnsi="Times New Roman" w:cs="Times New Roman"/>
          <w:i/>
          <w:iCs/>
          <w:noProof/>
        </w:rPr>
        <w:t xml:space="preserve">Figure </w:t>
      </w:r>
      <w:r w:rsidRPr="00E130FA">
        <w:rPr>
          <w:rFonts w:ascii="Times New Roman" w:hAnsi="Times New Roman" w:cs="Times New Roman"/>
          <w:i/>
          <w:iCs/>
          <w:noProof/>
        </w:rPr>
        <w:fldChar w:fldCharType="begin"/>
      </w:r>
      <w:r w:rsidRPr="00E130FA">
        <w:rPr>
          <w:rFonts w:ascii="Times New Roman" w:hAnsi="Times New Roman" w:cs="Times New Roman"/>
          <w:i/>
          <w:iCs/>
          <w:noProof/>
        </w:rPr>
        <w:instrText xml:space="preserve"> SEQ Figure \* ARABIC </w:instrText>
      </w:r>
      <w:r w:rsidRPr="00E130FA">
        <w:rPr>
          <w:rFonts w:ascii="Times New Roman" w:hAnsi="Times New Roman" w:cs="Times New Roman"/>
          <w:i/>
          <w:iCs/>
          <w:noProof/>
        </w:rPr>
        <w:fldChar w:fldCharType="separate"/>
      </w:r>
      <w:r w:rsidR="009B3399">
        <w:rPr>
          <w:rFonts w:ascii="Times New Roman" w:hAnsi="Times New Roman" w:cs="Times New Roman"/>
          <w:i/>
          <w:iCs/>
          <w:noProof/>
        </w:rPr>
        <w:t>20</w:t>
      </w:r>
      <w:r w:rsidRPr="00E130FA">
        <w:rPr>
          <w:rFonts w:ascii="Times New Roman" w:hAnsi="Times New Roman" w:cs="Times New Roman"/>
          <w:i/>
          <w:iCs/>
          <w:noProof/>
        </w:rPr>
        <w:fldChar w:fldCharType="end"/>
      </w:r>
      <w:r w:rsidRPr="00E130FA">
        <w:rPr>
          <w:rFonts w:ascii="Times New Roman" w:hAnsi="Times New Roman" w:cs="Times New Roman"/>
          <w:i/>
          <w:iCs/>
          <w:noProof/>
        </w:rPr>
        <w:t xml:space="preserve">: Frequency of use of audiovisual services </w:t>
      </w:r>
      <w:r w:rsidRPr="00E130FA">
        <w:rPr>
          <w:rFonts w:ascii="Times New Roman" w:hAnsi="Times New Roman" w:cs="Times New Roman"/>
          <w:noProof/>
        </w:rPr>
        <w:br/>
      </w:r>
      <w:r w:rsidRPr="00E130FA">
        <w:rPr>
          <w:rFonts w:ascii="Times New Roman" w:hAnsi="Times New Roman" w:cs="Times New Roman"/>
          <w:i/>
          <w:iCs/>
          <w:noProof/>
        </w:rPr>
        <w:t>(Source: Study on audiences, consumer behaviour and preferences relating to the consumption of media content, EC 2025)</w:t>
      </w:r>
    </w:p>
    <w:p w14:paraId="795CAC12" w14:textId="77777777" w:rsidR="007C0ADA" w:rsidRDefault="007C0ADA" w:rsidP="007C0ADA">
      <w:pPr>
        <w:keepNext/>
        <w:spacing w:line="257" w:lineRule="auto"/>
        <w:jc w:val="center"/>
        <w:rPr>
          <w:noProof/>
        </w:rPr>
      </w:pPr>
      <w:r>
        <w:rPr>
          <w:noProof/>
          <w:lang w:val="en-GB" w:eastAsia="en-GB"/>
        </w:rPr>
        <w:drawing>
          <wp:inline distT="0" distB="0" distL="0" distR="0" wp14:anchorId="254BAA11" wp14:editId="62C8077E">
            <wp:extent cx="3429000" cy="3562350"/>
            <wp:effectExtent l="0" t="0" r="0" b="0"/>
            <wp:docPr id="1315332991" name="drawing" descr="A graph of data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628" name="drawing" descr="A graph of data on a white background&#10;&#10;AI-generated content may be incorrect."/>
                    <pic:cNvPicPr/>
                  </pic:nvPicPr>
                  <pic:blipFill rotWithShape="1">
                    <a:blip r:embed="rId37">
                      <a:extLst>
                        <a:ext uri="{28A0092B-C50C-407E-A947-70E740481C1C}">
                          <a14:useLocalDpi xmlns:a14="http://schemas.microsoft.com/office/drawing/2010/main"/>
                        </a:ext>
                      </a:extLst>
                    </a:blip>
                    <a:srcRect l="-1" r="39829" b="7836"/>
                    <a:stretch>
                      <a:fillRect/>
                    </a:stretch>
                  </pic:blipFill>
                  <pic:spPr bwMode="auto">
                    <a:xfrm>
                      <a:off x="0" y="0"/>
                      <a:ext cx="3433322" cy="3566840"/>
                    </a:xfrm>
                    <a:prstGeom prst="rect">
                      <a:avLst/>
                    </a:prstGeom>
                    <a:ln>
                      <a:noFill/>
                    </a:ln>
                    <a:extLst>
                      <a:ext uri="{53640926-AAD7-44D8-BBD7-CCE9431645EC}">
                        <a14:shadowObscured xmlns:a14="http://schemas.microsoft.com/office/drawing/2010/main"/>
                      </a:ext>
                    </a:extLst>
                  </pic:spPr>
                </pic:pic>
              </a:graphicData>
            </a:graphic>
          </wp:inline>
        </w:drawing>
      </w:r>
    </w:p>
    <w:p w14:paraId="5565DA92" w14:textId="76C56D34" w:rsidR="007C0ADA" w:rsidRDefault="009B3399" w:rsidP="007C0ADA">
      <w:pPr>
        <w:spacing w:after="240" w:line="240" w:lineRule="auto"/>
        <w:jc w:val="both"/>
        <w:rPr>
          <w:noProof/>
        </w:rPr>
      </w:pPr>
      <w:r>
        <w:rPr>
          <w:rFonts w:ascii="Times New Roman" w:eastAsia="Times New Roman" w:hAnsi="Times New Roman" w:cs="Times New Roman"/>
          <w:noProof/>
        </w:rPr>
        <w:t xml:space="preserve">Figure 21 shows </w:t>
      </w:r>
      <w:r w:rsidR="007C0ADA" w:rsidRPr="00E325E8">
        <w:rPr>
          <w:rFonts w:ascii="Times New Roman" w:eastAsia="Times New Roman" w:hAnsi="Times New Roman" w:cs="Times New Roman"/>
          <w:noProof/>
        </w:rPr>
        <w:t>that average daily TV viewing time per person in the EU was broadly stable between 2015 and 20</w:t>
      </w:r>
      <w:r w:rsidR="50CAE8FD" w:rsidRPr="181E6A7A">
        <w:rPr>
          <w:rFonts w:ascii="Times New Roman" w:eastAsia="Times New Roman" w:hAnsi="Times New Roman" w:cs="Times New Roman"/>
          <w:noProof/>
        </w:rPr>
        <w:t>19</w:t>
      </w:r>
      <w:r w:rsidR="007C0ADA" w:rsidRPr="12BBAC3D">
        <w:rPr>
          <w:rFonts w:ascii="Times New Roman" w:eastAsia="Times New Roman" w:hAnsi="Times New Roman" w:cs="Times New Roman"/>
          <w:noProof/>
        </w:rPr>
        <w:t xml:space="preserve">, </w:t>
      </w:r>
      <w:r w:rsidR="4DBEA632" w:rsidRPr="12BBAC3D">
        <w:rPr>
          <w:rFonts w:ascii="Times New Roman" w:eastAsia="Times New Roman" w:hAnsi="Times New Roman" w:cs="Times New Roman"/>
          <w:noProof/>
        </w:rPr>
        <w:t>before reaching a temporary peak during the COVID-19 period (2020–2021) and subsequently declining.</w:t>
      </w:r>
    </w:p>
    <w:p w14:paraId="2DA6A999" w14:textId="2586A921" w:rsidR="12BBAC3D" w:rsidRDefault="12BBAC3D" w:rsidP="12BBAC3D">
      <w:pPr>
        <w:spacing w:after="240" w:line="240" w:lineRule="auto"/>
        <w:jc w:val="both"/>
        <w:rPr>
          <w:rFonts w:ascii="Times New Roman" w:eastAsia="Times New Roman" w:hAnsi="Times New Roman" w:cs="Times New Roman"/>
          <w:noProof/>
        </w:rPr>
      </w:pPr>
    </w:p>
    <w:p w14:paraId="4EBA0D51" w14:textId="4C1A44FD" w:rsidR="007C0ADA" w:rsidRPr="00E130FA" w:rsidRDefault="007C0ADA" w:rsidP="007C0ADA">
      <w:pPr>
        <w:pStyle w:val="Caption"/>
        <w:jc w:val="center"/>
        <w:rPr>
          <w:rFonts w:ascii="Times New Roman" w:hAnsi="Times New Roman" w:cs="Times New Roman"/>
          <w:noProof/>
          <w:color w:val="auto"/>
          <w:sz w:val="24"/>
          <w:szCs w:val="24"/>
        </w:rPr>
      </w:pPr>
      <w:r w:rsidRPr="00E130FA">
        <w:rPr>
          <w:rFonts w:ascii="Times New Roman" w:hAnsi="Times New Roman" w:cs="Times New Roman"/>
          <w:noProof/>
          <w:color w:val="auto"/>
          <w:sz w:val="24"/>
          <w:szCs w:val="24"/>
        </w:rPr>
        <w:t xml:space="preserve">Figure </w:t>
      </w:r>
      <w:r w:rsidRPr="00E130FA">
        <w:rPr>
          <w:rFonts w:ascii="Times New Roman" w:hAnsi="Times New Roman" w:cs="Times New Roman"/>
          <w:noProof/>
          <w:color w:val="auto"/>
          <w:sz w:val="24"/>
          <w:szCs w:val="24"/>
        </w:rPr>
        <w:fldChar w:fldCharType="begin"/>
      </w:r>
      <w:r w:rsidRPr="00E130FA">
        <w:rPr>
          <w:rFonts w:ascii="Times New Roman" w:hAnsi="Times New Roman" w:cs="Times New Roman"/>
          <w:noProof/>
          <w:color w:val="auto"/>
          <w:sz w:val="24"/>
          <w:szCs w:val="24"/>
        </w:rPr>
        <w:instrText xml:space="preserve"> SEQ Figure \* ARABIC </w:instrText>
      </w:r>
      <w:r w:rsidRPr="00E130FA">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21</w:t>
      </w:r>
      <w:r w:rsidRPr="00E130FA">
        <w:rPr>
          <w:rFonts w:ascii="Times New Roman" w:hAnsi="Times New Roman" w:cs="Times New Roman"/>
          <w:noProof/>
          <w:color w:val="auto"/>
          <w:sz w:val="24"/>
          <w:szCs w:val="24"/>
        </w:rPr>
        <w:fldChar w:fldCharType="end"/>
      </w:r>
      <w:r w:rsidRPr="00E130FA">
        <w:rPr>
          <w:rFonts w:ascii="Times New Roman" w:hAnsi="Times New Roman" w:cs="Times New Roman"/>
          <w:noProof/>
          <w:color w:val="auto"/>
          <w:sz w:val="24"/>
          <w:szCs w:val="24"/>
        </w:rPr>
        <w:t xml:space="preserve">: Average daily TV viewing time per person in the EU (Source: European Audiovisual Observatory on Eurodata TV Worldwide until 2020; Dataxis and press as of 2021 – Yearbook 2025)  </w:t>
      </w:r>
    </w:p>
    <w:p w14:paraId="529DBB5C" w14:textId="77777777" w:rsidR="007C0ADA" w:rsidRDefault="007C0ADA" w:rsidP="007C0ADA">
      <w:pPr>
        <w:keepNext/>
        <w:spacing w:after="240" w:line="257" w:lineRule="auto"/>
        <w:jc w:val="center"/>
        <w:rPr>
          <w:noProof/>
        </w:rPr>
      </w:pPr>
      <w:r>
        <w:rPr>
          <w:noProof/>
          <w:lang w:val="en-GB" w:eastAsia="en-GB"/>
        </w:rPr>
        <w:drawing>
          <wp:inline distT="0" distB="0" distL="0" distR="0" wp14:anchorId="2ED46B41" wp14:editId="26236778">
            <wp:extent cx="4267570" cy="2389839"/>
            <wp:effectExtent l="0" t="0" r="0" b="0"/>
            <wp:docPr id="1656535000" name="drawing" descr="A graph with a line and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45425" name="drawing" descr="A graph with a line and a blue line&#10;&#10;AI-generated content may be incorrect."/>
                    <pic:cNvPicPr/>
                  </pic:nvPicPr>
                  <pic:blipFill>
                    <a:blip r:embed="rId38">
                      <a:extLst>
                        <a:ext uri="{28A0092B-C50C-407E-A947-70E740481C1C}">
                          <a14:useLocalDpi xmlns:a14="http://schemas.microsoft.com/office/drawing/2010/main"/>
                        </a:ext>
                      </a:extLst>
                    </a:blip>
                    <a:stretch>
                      <a:fillRect/>
                    </a:stretch>
                  </pic:blipFill>
                  <pic:spPr>
                    <a:xfrm>
                      <a:off x="0" y="0"/>
                      <a:ext cx="4267570" cy="2389839"/>
                    </a:xfrm>
                    <a:prstGeom prst="rect">
                      <a:avLst/>
                    </a:prstGeom>
                  </pic:spPr>
                </pic:pic>
              </a:graphicData>
            </a:graphic>
          </wp:inline>
        </w:drawing>
      </w:r>
    </w:p>
    <w:p w14:paraId="08299796" w14:textId="70E392AA" w:rsidR="007C0ADA" w:rsidRDefault="007C0ADA" w:rsidP="007C0ADA">
      <w:pPr>
        <w:spacing w:before="240" w:after="240" w:line="240" w:lineRule="auto"/>
        <w:jc w:val="both"/>
        <w:rPr>
          <w:rFonts w:ascii="Times New Roman" w:eastAsiaTheme="minorEastAsia" w:hAnsi="Times New Roman" w:cs="Times New Roman"/>
          <w:noProof/>
        </w:rPr>
      </w:pPr>
      <w:r w:rsidRPr="09023B5C">
        <w:rPr>
          <w:rFonts w:ascii="Times New Roman" w:eastAsiaTheme="minorEastAsia" w:hAnsi="Times New Roman" w:cs="Times New Roman"/>
          <w:noProof/>
        </w:rPr>
        <w:t xml:space="preserve">While linear TV remains the medium where people spent most time overall, followed by social media, YouTube has emerged as a major driver of audiovisual content consumption. </w:t>
      </w:r>
      <w:r w:rsidRPr="4907A228">
        <w:rPr>
          <w:rFonts w:ascii="Times New Roman" w:eastAsia="Times New Roman" w:hAnsi="Times New Roman" w:cs="Times New Roman"/>
          <w:noProof/>
        </w:rPr>
        <w:t xml:space="preserve">YouTube is now almost as significant as the combined total for </w:t>
      </w:r>
      <w:r w:rsidRPr="09023B5C">
        <w:rPr>
          <w:rFonts w:ascii="Times New Roman" w:eastAsiaTheme="minorEastAsia" w:hAnsi="Times New Roman" w:cs="Times New Roman"/>
          <w:noProof/>
        </w:rPr>
        <w:t>SVoD</w:t>
      </w:r>
      <w:r w:rsidRPr="4907A228">
        <w:rPr>
          <w:rFonts w:ascii="Times New Roman" w:eastAsia="Times New Roman" w:hAnsi="Times New Roman" w:cs="Times New Roman"/>
          <w:noProof/>
        </w:rPr>
        <w:t xml:space="preserve"> in the EU, underscoring its central role in reshaping audiovisual consumption patterns</w:t>
      </w:r>
      <w:r w:rsidRPr="09023B5C">
        <w:rPr>
          <w:rFonts w:ascii="Times New Roman" w:eastAsiaTheme="minorEastAsia" w:hAnsi="Times New Roman" w:cs="Times New Roman"/>
          <w:noProof/>
        </w:rPr>
        <w:t xml:space="preserve"> (see</w:t>
      </w:r>
      <w:r w:rsidR="00DA5AD5">
        <w:rPr>
          <w:rFonts w:ascii="Times New Roman" w:eastAsiaTheme="minorEastAsia" w:hAnsi="Times New Roman" w:cs="Times New Roman"/>
          <w:noProof/>
        </w:rPr>
        <w:t xml:space="preserve"> Figure 22)</w:t>
      </w:r>
      <w:r w:rsidRPr="09023B5C">
        <w:rPr>
          <w:rFonts w:ascii="Times New Roman" w:eastAsiaTheme="minorEastAsia" w:hAnsi="Times New Roman" w:cs="Times New Roman"/>
          <w:noProof/>
        </w:rPr>
        <w:t>.</w:t>
      </w:r>
    </w:p>
    <w:p w14:paraId="3EA8FCD4" w14:textId="78797FC9" w:rsidR="007C0ADA" w:rsidRPr="00E130FA" w:rsidRDefault="007C0ADA" w:rsidP="007C0ADA">
      <w:pPr>
        <w:pStyle w:val="Caption"/>
        <w:jc w:val="center"/>
        <w:rPr>
          <w:rFonts w:ascii="Times New Roman" w:eastAsia="Times New Roman" w:hAnsi="Times New Roman" w:cs="Times New Roman"/>
          <w:noProof/>
          <w:color w:val="auto"/>
          <w:sz w:val="24"/>
          <w:szCs w:val="24"/>
        </w:rPr>
      </w:pPr>
      <w:r w:rsidRPr="00E130FA">
        <w:rPr>
          <w:rFonts w:ascii="Times New Roman" w:hAnsi="Times New Roman" w:cs="Times New Roman"/>
          <w:noProof/>
          <w:color w:val="auto"/>
          <w:sz w:val="24"/>
          <w:szCs w:val="24"/>
        </w:rPr>
        <w:t xml:space="preserve">Figure </w:t>
      </w:r>
      <w:r w:rsidRPr="00E130FA">
        <w:rPr>
          <w:rFonts w:ascii="Times New Roman" w:hAnsi="Times New Roman" w:cs="Times New Roman"/>
          <w:noProof/>
          <w:color w:val="auto"/>
          <w:sz w:val="24"/>
          <w:szCs w:val="24"/>
        </w:rPr>
        <w:fldChar w:fldCharType="begin"/>
      </w:r>
      <w:r w:rsidRPr="00E130FA">
        <w:rPr>
          <w:rFonts w:ascii="Times New Roman" w:hAnsi="Times New Roman" w:cs="Times New Roman"/>
          <w:noProof/>
          <w:color w:val="auto"/>
          <w:sz w:val="24"/>
          <w:szCs w:val="24"/>
        </w:rPr>
        <w:instrText xml:space="preserve"> SEQ Figure \* ARABIC </w:instrText>
      </w:r>
      <w:r w:rsidRPr="00E130FA">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22</w:t>
      </w:r>
      <w:r w:rsidRPr="00E130FA">
        <w:rPr>
          <w:rFonts w:ascii="Times New Roman" w:hAnsi="Times New Roman" w:cs="Times New Roman"/>
          <w:noProof/>
          <w:color w:val="auto"/>
          <w:sz w:val="24"/>
          <w:szCs w:val="24"/>
        </w:rPr>
        <w:fldChar w:fldCharType="end"/>
      </w:r>
      <w:r w:rsidRPr="00E130FA">
        <w:rPr>
          <w:rFonts w:ascii="Times New Roman" w:hAnsi="Times New Roman" w:cs="Times New Roman"/>
          <w:noProof/>
          <w:color w:val="auto"/>
          <w:sz w:val="24"/>
          <w:szCs w:val="24"/>
        </w:rPr>
        <w:t xml:space="preserve">: Viewing time of different media services in the EU </w:t>
      </w:r>
      <w:r w:rsidRPr="00E130FA">
        <w:rPr>
          <w:rFonts w:ascii="Times New Roman" w:hAnsi="Times New Roman" w:cs="Times New Roman"/>
          <w:noProof/>
          <w:color w:val="auto"/>
          <w:sz w:val="24"/>
          <w:szCs w:val="24"/>
        </w:rPr>
        <w:br/>
        <w:t xml:space="preserve">(Source: Study on audiences, consumer behaviour and preferences relating to the consumption of media content, EC 2025)  </w:t>
      </w:r>
    </w:p>
    <w:p w14:paraId="73F838B7" w14:textId="77777777" w:rsidR="007C0ADA" w:rsidRDefault="007C0ADA" w:rsidP="007C0ADA">
      <w:pPr>
        <w:keepNext/>
        <w:spacing w:line="257" w:lineRule="auto"/>
        <w:jc w:val="center"/>
        <w:rPr>
          <w:noProof/>
        </w:rPr>
      </w:pPr>
      <w:r>
        <w:rPr>
          <w:noProof/>
          <w:lang w:val="en-GB" w:eastAsia="en-GB"/>
        </w:rPr>
        <w:drawing>
          <wp:inline distT="0" distB="0" distL="0" distR="0" wp14:anchorId="37452BAE" wp14:editId="73A977D1">
            <wp:extent cx="4250488" cy="1868098"/>
            <wp:effectExtent l="0" t="0" r="0" b="0"/>
            <wp:docPr id="880922497" name="drawing" descr="A graph of blu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29183" name="drawing" descr="A graph of blue and green squares&#10;&#10;AI-generated content may be incorrect."/>
                    <pic:cNvPicPr/>
                  </pic:nvPicPr>
                  <pic:blipFill>
                    <a:blip r:embed="rId39">
                      <a:extLst>
                        <a:ext uri="{28A0092B-C50C-407E-A947-70E740481C1C}">
                          <a14:useLocalDpi xmlns:a14="http://schemas.microsoft.com/office/drawing/2010/main"/>
                        </a:ext>
                      </a:extLst>
                    </a:blip>
                    <a:stretch>
                      <a:fillRect/>
                    </a:stretch>
                  </pic:blipFill>
                  <pic:spPr>
                    <a:xfrm>
                      <a:off x="0" y="0"/>
                      <a:ext cx="4250488" cy="1868098"/>
                    </a:xfrm>
                    <a:prstGeom prst="rect">
                      <a:avLst/>
                    </a:prstGeom>
                  </pic:spPr>
                </pic:pic>
              </a:graphicData>
            </a:graphic>
          </wp:inline>
        </w:drawing>
      </w:r>
    </w:p>
    <w:p w14:paraId="14A4AD4F" w14:textId="77777777" w:rsidR="007C0ADA" w:rsidRPr="00763027" w:rsidRDefault="007C0ADA" w:rsidP="007C0ADA">
      <w:pPr>
        <w:spacing w:after="240" w:line="240" w:lineRule="auto"/>
        <w:jc w:val="both"/>
        <w:rPr>
          <w:rFonts w:ascii="Times New Roman" w:eastAsiaTheme="minorEastAsia" w:hAnsi="Times New Roman" w:cs="Times New Roman"/>
          <w:noProof/>
        </w:rPr>
      </w:pPr>
      <w:r w:rsidRPr="004E62A4">
        <w:rPr>
          <w:rFonts w:ascii="Times New Roman" w:hAnsi="Times New Roman"/>
          <w:noProof/>
          <w:lang w:val="en-US"/>
        </w:rPr>
        <w:t>At the same time, audiovisual consumption patterns differ sharply across age groups. Young people’s audiovisual consumption patterns are characteri</w:t>
      </w:r>
      <w:r w:rsidRPr="0010331E">
        <w:rPr>
          <w:rFonts w:ascii="Times New Roman" w:hAnsi="Times New Roman"/>
          <w:noProof/>
        </w:rPr>
        <w:t>s</w:t>
      </w:r>
      <w:r w:rsidRPr="004E62A4">
        <w:rPr>
          <w:rFonts w:ascii="Times New Roman" w:hAnsi="Times New Roman"/>
          <w:noProof/>
          <w:lang w:val="en-US"/>
        </w:rPr>
        <w:t>ed by a shift towards on-demand, digital-first viewing and away from traditional broadcasting. Subscription streaming services are central to young people’s audiovisual habits. Around one</w:t>
      </w:r>
      <w:r>
        <w:rPr>
          <w:rFonts w:ascii="Times New Roman" w:hAnsi="Times New Roman"/>
          <w:noProof/>
          <w:lang w:val="en-US"/>
        </w:rPr>
        <w:t xml:space="preserve"> </w:t>
      </w:r>
      <w:r w:rsidRPr="00F03FEF">
        <w:rPr>
          <w:rFonts w:ascii="Times New Roman" w:hAnsi="Times New Roman"/>
          <w:noProof/>
          <w:lang w:val="en-US"/>
        </w:rPr>
        <w:t>third use these platforms daily (vs 25% of the general population), while traditional TV is far less used, with only 15% watching daily (vs 32</w:t>
      </w:r>
      <w:r w:rsidRPr="00516125">
        <w:rPr>
          <w:rFonts w:ascii="Times New Roman" w:eastAsia="Times New Roman" w:hAnsi="Times New Roman" w:cs="Times New Roman"/>
          <w:noProof/>
        </w:rPr>
        <w:t>%</w:t>
      </w:r>
      <w:r>
        <w:rPr>
          <w:rFonts w:ascii="Times New Roman" w:eastAsia="Times New Roman" w:hAnsi="Times New Roman" w:cs="Times New Roman"/>
          <w:noProof/>
        </w:rPr>
        <w:t xml:space="preserve"> of the general population</w:t>
      </w:r>
      <w:r w:rsidRPr="00516125">
        <w:rPr>
          <w:rFonts w:ascii="Times New Roman" w:eastAsia="Times New Roman" w:hAnsi="Times New Roman" w:cs="Times New Roman"/>
          <w:noProof/>
        </w:rPr>
        <w:t>)</w:t>
      </w:r>
      <w:r w:rsidRPr="004E62A4">
        <w:rPr>
          <w:rStyle w:val="FootnoteReference"/>
          <w:rFonts w:ascii="Times New Roman" w:hAnsi="Times New Roman"/>
          <w:noProof/>
          <w:lang w:val="en-US"/>
        </w:rPr>
        <w:footnoteReference w:id="68"/>
      </w:r>
      <w:r w:rsidRPr="004E62A4">
        <w:rPr>
          <w:rFonts w:ascii="Times New Roman" w:hAnsi="Times New Roman"/>
          <w:noProof/>
          <w:lang w:val="en-US"/>
        </w:rPr>
        <w:t>.</w:t>
      </w:r>
    </w:p>
    <w:p w14:paraId="64E00547" w14:textId="4A88963A" w:rsidR="002753D9" w:rsidRPr="00C8724C" w:rsidRDefault="007C0ADA" w:rsidP="002753D9">
      <w:pPr>
        <w:spacing w:after="240" w:line="240" w:lineRule="auto"/>
        <w:jc w:val="both"/>
        <w:rPr>
          <w:rFonts w:ascii="Times New Roman" w:eastAsiaTheme="minorEastAsia" w:hAnsi="Times New Roman" w:cs="Times New Roman"/>
          <w:noProof/>
        </w:rPr>
      </w:pPr>
      <w:r w:rsidRPr="65B45B23">
        <w:rPr>
          <w:rFonts w:ascii="Times New Roman" w:eastAsiaTheme="minorEastAsia" w:hAnsi="Times New Roman" w:cs="Times New Roman"/>
          <w:noProof/>
        </w:rPr>
        <w:t xml:space="preserve">Evidence from the EBU further confirms this generational divide </w:t>
      </w:r>
      <w:r w:rsidR="00DA5AD5">
        <w:rPr>
          <w:rFonts w:ascii="Times New Roman" w:eastAsiaTheme="minorEastAsia" w:hAnsi="Times New Roman" w:cs="Times New Roman"/>
          <w:noProof/>
        </w:rPr>
        <w:t>(Figure 23)</w:t>
      </w:r>
      <w:r w:rsidRPr="65B45B23">
        <w:rPr>
          <w:rFonts w:ascii="Times New Roman" w:eastAsiaTheme="minorEastAsia" w:hAnsi="Times New Roman" w:cs="Times New Roman"/>
          <w:noProof/>
        </w:rPr>
        <w:t>. The average daily viewing time across all audiences is still around three hours, whereby seniors (60+) watch about five hours per day, showing stable habits and strong attachment to broadcasting. In contrast, younger viewers (aged under 35)</w:t>
      </w:r>
      <w:r w:rsidR="00AA1DF5">
        <w:rPr>
          <w:rFonts w:ascii="Times New Roman" w:eastAsiaTheme="minorEastAsia" w:hAnsi="Times New Roman" w:cs="Times New Roman"/>
          <w:noProof/>
        </w:rPr>
        <w:t xml:space="preserve"> -</w:t>
      </w:r>
      <w:r w:rsidRPr="65B45B23">
        <w:rPr>
          <w:rFonts w:ascii="Times New Roman" w:eastAsiaTheme="minorEastAsia" w:hAnsi="Times New Roman" w:cs="Times New Roman"/>
          <w:noProof/>
        </w:rPr>
        <w:t xml:space="preserve"> especially 14-25 year olds </w:t>
      </w:r>
      <w:r w:rsidR="00AA1DF5">
        <w:rPr>
          <w:rFonts w:ascii="Times New Roman" w:eastAsiaTheme="minorEastAsia" w:hAnsi="Times New Roman" w:cs="Times New Roman"/>
          <w:noProof/>
        </w:rPr>
        <w:t xml:space="preserve">- </w:t>
      </w:r>
      <w:r w:rsidRPr="65B45B23">
        <w:rPr>
          <w:rFonts w:ascii="Times New Roman" w:eastAsiaTheme="minorEastAsia" w:hAnsi="Times New Roman" w:cs="Times New Roman"/>
          <w:noProof/>
        </w:rPr>
        <w:t>watch just over one hour daily and are shifting rapidly toward digital, on-demand and mobile platforms</w:t>
      </w:r>
      <w:r w:rsidRPr="65B45B23">
        <w:rPr>
          <w:rStyle w:val="FootnoteReference"/>
          <w:rFonts w:ascii="Times New Roman" w:eastAsiaTheme="minorEastAsia" w:hAnsi="Times New Roman" w:cs="Times New Roman"/>
          <w:noProof/>
        </w:rPr>
        <w:footnoteReference w:id="69"/>
      </w:r>
      <w:r w:rsidRPr="65B45B23">
        <w:rPr>
          <w:rFonts w:ascii="Times New Roman" w:eastAsiaTheme="minorEastAsia" w:hAnsi="Times New Roman" w:cs="Times New Roman"/>
          <w:noProof/>
        </w:rPr>
        <w:t>. The temporary rise in 2020 due to COVID-19 was followed by a continued decline, confirming a long-term shift.</w:t>
      </w:r>
    </w:p>
    <w:p w14:paraId="308F75A6" w14:textId="3D81BFA3" w:rsidR="007C0ADA" w:rsidRPr="002753D9" w:rsidRDefault="007C0ADA" w:rsidP="002753D9">
      <w:pPr>
        <w:pStyle w:val="Caption"/>
        <w:jc w:val="center"/>
        <w:rPr>
          <w:rFonts w:ascii="Times New Roman" w:hAnsi="Times New Roman" w:cs="Times New Roman"/>
          <w:noProof/>
          <w:color w:val="auto"/>
          <w:sz w:val="24"/>
          <w:szCs w:val="24"/>
        </w:rPr>
      </w:pPr>
      <w:r w:rsidRPr="00E130FA">
        <w:rPr>
          <w:rFonts w:ascii="Times New Roman" w:hAnsi="Times New Roman" w:cs="Times New Roman"/>
          <w:noProof/>
          <w:color w:val="auto"/>
          <w:sz w:val="24"/>
          <w:szCs w:val="24"/>
        </w:rPr>
        <w:t xml:space="preserve">Figure </w:t>
      </w:r>
      <w:r w:rsidRPr="00E130FA">
        <w:rPr>
          <w:rFonts w:ascii="Times New Roman" w:hAnsi="Times New Roman" w:cs="Times New Roman"/>
          <w:noProof/>
          <w:color w:val="auto"/>
          <w:sz w:val="24"/>
          <w:szCs w:val="24"/>
        </w:rPr>
        <w:fldChar w:fldCharType="begin"/>
      </w:r>
      <w:r w:rsidRPr="00E130FA">
        <w:rPr>
          <w:rFonts w:ascii="Times New Roman" w:hAnsi="Times New Roman" w:cs="Times New Roman"/>
          <w:noProof/>
          <w:color w:val="auto"/>
          <w:sz w:val="24"/>
          <w:szCs w:val="24"/>
        </w:rPr>
        <w:instrText xml:space="preserve"> SEQ Figure \* ARABIC </w:instrText>
      </w:r>
      <w:r w:rsidRPr="00E130FA">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23</w:t>
      </w:r>
      <w:r w:rsidRPr="00E130FA">
        <w:rPr>
          <w:rFonts w:ascii="Times New Roman" w:hAnsi="Times New Roman" w:cs="Times New Roman"/>
          <w:noProof/>
          <w:color w:val="auto"/>
          <w:sz w:val="24"/>
          <w:szCs w:val="24"/>
        </w:rPr>
        <w:fldChar w:fldCharType="end"/>
      </w:r>
      <w:r w:rsidRPr="00E130FA">
        <w:rPr>
          <w:rFonts w:ascii="Times New Roman" w:hAnsi="Times New Roman" w:cs="Times New Roman"/>
          <w:noProof/>
          <w:color w:val="auto"/>
          <w:sz w:val="24"/>
          <w:szCs w:val="24"/>
        </w:rPr>
        <w:t xml:space="preserve">: Daily average TV viewing time </w:t>
      </w:r>
      <w:r w:rsidRPr="00E130FA">
        <w:rPr>
          <w:rFonts w:ascii="Times New Roman" w:hAnsi="Times New Roman" w:cs="Times New Roman"/>
          <w:noProof/>
          <w:color w:val="auto"/>
          <w:sz w:val="24"/>
          <w:szCs w:val="24"/>
        </w:rPr>
        <w:br/>
        <w:t>(Source: Audience Trends Television 2025, Media Intelligence Service, EBU)</w:t>
      </w:r>
    </w:p>
    <w:p w14:paraId="0AA11FB9" w14:textId="77777777" w:rsidR="007C0ADA" w:rsidRDefault="007C0ADA" w:rsidP="007C0ADA">
      <w:pPr>
        <w:keepNext/>
        <w:spacing w:line="257" w:lineRule="auto"/>
        <w:jc w:val="center"/>
        <w:rPr>
          <w:noProof/>
        </w:rPr>
      </w:pPr>
      <w:r>
        <w:rPr>
          <w:noProof/>
          <w:lang w:val="en-GB" w:eastAsia="en-GB"/>
        </w:rPr>
        <w:drawing>
          <wp:inline distT="0" distB="0" distL="0" distR="0" wp14:anchorId="47668350" wp14:editId="42C86D9A">
            <wp:extent cx="4166649" cy="2669150"/>
            <wp:effectExtent l="0" t="0" r="0" b="0"/>
            <wp:docPr id="582509625" name="drawing"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70066" name="drawing" descr="A graph of different colored lines&#10;&#10;AI-generated content may be incorrect."/>
                    <pic:cNvPicPr/>
                  </pic:nvPicPr>
                  <pic:blipFill>
                    <a:blip r:embed="rId40">
                      <a:extLst>
                        <a:ext uri="{28A0092B-C50C-407E-A947-70E740481C1C}">
                          <a14:useLocalDpi xmlns:a14="http://schemas.microsoft.com/office/drawing/2010/main"/>
                        </a:ext>
                      </a:extLst>
                    </a:blip>
                    <a:stretch>
                      <a:fillRect/>
                    </a:stretch>
                  </pic:blipFill>
                  <pic:spPr>
                    <a:xfrm>
                      <a:off x="0" y="0"/>
                      <a:ext cx="4166649" cy="2669150"/>
                    </a:xfrm>
                    <a:prstGeom prst="rect">
                      <a:avLst/>
                    </a:prstGeom>
                  </pic:spPr>
                </pic:pic>
              </a:graphicData>
            </a:graphic>
          </wp:inline>
        </w:drawing>
      </w:r>
    </w:p>
    <w:p w14:paraId="624ABB72" w14:textId="77777777" w:rsidR="007C0ADA" w:rsidRPr="004A5C42" w:rsidRDefault="007C0ADA" w:rsidP="007C0ADA">
      <w:pPr>
        <w:pStyle w:val="Heading1"/>
        <w:spacing w:after="240"/>
        <w:rPr>
          <w:rFonts w:cs="Times New Roman"/>
          <w:noProof/>
        </w:rPr>
      </w:pPr>
      <w:r w:rsidRPr="00BF60DB">
        <w:rPr>
          <w:rFonts w:ascii="Times New Roman" w:hAnsi="Times New Roman" w:cs="Times New Roman"/>
          <w:b/>
          <w:noProof/>
          <w:color w:val="auto"/>
          <w:sz w:val="28"/>
          <w:szCs w:val="32"/>
        </w:rPr>
        <w:t>7. SOCIAL AND CULTURAL DEVELOPMENTS</w:t>
      </w:r>
    </w:p>
    <w:p w14:paraId="6805E9F1" w14:textId="77777777" w:rsidR="007C0ADA" w:rsidRDefault="007C0ADA" w:rsidP="007C0ADA">
      <w:pPr>
        <w:spacing w:after="240" w:line="240" w:lineRule="auto"/>
        <w:jc w:val="both"/>
        <w:rPr>
          <w:rFonts w:ascii="Times New Roman" w:eastAsia="Times New Roman" w:hAnsi="Times New Roman" w:cs="Times New Roman"/>
          <w:noProof/>
        </w:rPr>
      </w:pPr>
      <w:r w:rsidRPr="220295B1">
        <w:rPr>
          <w:rStyle w:val="eop"/>
          <w:rFonts w:ascii="Times New Roman" w:eastAsia="Times New Roman" w:hAnsi="Times New Roman" w:cs="Times New Roman"/>
          <w:noProof/>
        </w:rPr>
        <w:t>The broadcasting sector considers the sub-700</w:t>
      </w:r>
      <w:r>
        <w:rPr>
          <w:rStyle w:val="eop"/>
          <w:rFonts w:ascii="Times New Roman" w:eastAsia="Times New Roman" w:hAnsi="Times New Roman" w:cs="Times New Roman"/>
          <w:noProof/>
        </w:rPr>
        <w:t> </w:t>
      </w:r>
      <w:r w:rsidRPr="220295B1">
        <w:rPr>
          <w:rStyle w:val="eop"/>
          <w:rFonts w:ascii="Times New Roman" w:eastAsia="Times New Roman" w:hAnsi="Times New Roman" w:cs="Times New Roman"/>
          <w:noProof/>
        </w:rPr>
        <w:t xml:space="preserve">MHz band </w:t>
      </w:r>
      <w:r>
        <w:rPr>
          <w:rStyle w:val="eop"/>
          <w:rFonts w:ascii="Times New Roman" w:eastAsia="Times New Roman" w:hAnsi="Times New Roman" w:cs="Times New Roman"/>
          <w:noProof/>
        </w:rPr>
        <w:t>to be</w:t>
      </w:r>
      <w:r w:rsidRPr="00516125">
        <w:rPr>
          <w:rStyle w:val="eop"/>
          <w:rFonts w:ascii="Times New Roman" w:eastAsia="Times New Roman" w:hAnsi="Times New Roman" w:cs="Times New Roman"/>
          <w:noProof/>
        </w:rPr>
        <w:t xml:space="preserve"> </w:t>
      </w:r>
      <w:r w:rsidRPr="220295B1">
        <w:rPr>
          <w:rStyle w:val="eop"/>
          <w:rFonts w:ascii="Times New Roman" w:eastAsia="Times New Roman" w:hAnsi="Times New Roman" w:cs="Times New Roman"/>
          <w:noProof/>
        </w:rPr>
        <w:t xml:space="preserve">Europe’s </w:t>
      </w:r>
      <w:r>
        <w:rPr>
          <w:rStyle w:val="eop"/>
          <w:rFonts w:ascii="Times New Roman" w:eastAsia="Times New Roman" w:hAnsi="Times New Roman" w:cs="Times New Roman"/>
          <w:noProof/>
        </w:rPr>
        <w:t>‘</w:t>
      </w:r>
      <w:r w:rsidRPr="220295B1">
        <w:rPr>
          <w:rStyle w:val="eop"/>
          <w:rFonts w:ascii="Times New Roman" w:eastAsia="Times New Roman" w:hAnsi="Times New Roman" w:cs="Times New Roman"/>
          <w:noProof/>
        </w:rPr>
        <w:t>cultural band</w:t>
      </w:r>
      <w:r>
        <w:rPr>
          <w:rStyle w:val="eop"/>
          <w:rFonts w:ascii="Times New Roman" w:eastAsia="Times New Roman" w:hAnsi="Times New Roman" w:cs="Times New Roman"/>
          <w:noProof/>
        </w:rPr>
        <w:t>’,</w:t>
      </w:r>
      <w:r w:rsidRPr="220295B1">
        <w:rPr>
          <w:rStyle w:val="eop"/>
          <w:rFonts w:ascii="Times New Roman" w:eastAsia="Times New Roman" w:hAnsi="Times New Roman" w:cs="Times New Roman"/>
          <w:noProof/>
        </w:rPr>
        <w:t xml:space="preserve"> set in the long-term </w:t>
      </w:r>
      <w:r>
        <w:rPr>
          <w:rStyle w:val="eop"/>
          <w:rFonts w:ascii="Times New Roman" w:eastAsia="Times New Roman" w:hAnsi="Times New Roman" w:cs="Times New Roman"/>
          <w:noProof/>
        </w:rPr>
        <w:t>to promote:</w:t>
      </w:r>
      <w:r w:rsidRPr="00516125">
        <w:rPr>
          <w:rStyle w:val="eop"/>
          <w:rFonts w:ascii="Times New Roman" w:eastAsia="Times New Roman" w:hAnsi="Times New Roman" w:cs="Times New Roman"/>
          <w:noProof/>
        </w:rPr>
        <w:t xml:space="preserve"> </w:t>
      </w:r>
      <w:r>
        <w:rPr>
          <w:rStyle w:val="eop"/>
          <w:rFonts w:ascii="Times New Roman" w:eastAsia="Times New Roman" w:hAnsi="Times New Roman" w:cs="Times New Roman"/>
          <w:noProof/>
        </w:rPr>
        <w:t xml:space="preserve">(i) </w:t>
      </w:r>
      <w:r w:rsidRPr="220295B1">
        <w:rPr>
          <w:rStyle w:val="eop"/>
          <w:rFonts w:ascii="Times New Roman" w:eastAsia="Times New Roman" w:hAnsi="Times New Roman" w:cs="Times New Roman"/>
          <w:noProof/>
        </w:rPr>
        <w:t>universality and accessibility of media content</w:t>
      </w:r>
      <w:r>
        <w:rPr>
          <w:rStyle w:val="eop"/>
          <w:rFonts w:ascii="Times New Roman" w:eastAsia="Times New Roman" w:hAnsi="Times New Roman" w:cs="Times New Roman"/>
          <w:noProof/>
        </w:rPr>
        <w:t>; (ii)</w:t>
      </w:r>
      <w:r w:rsidRPr="220295B1">
        <w:rPr>
          <w:rStyle w:val="eop"/>
          <w:rFonts w:ascii="Times New Roman" w:eastAsia="Times New Roman" w:hAnsi="Times New Roman" w:cs="Times New Roman"/>
          <w:noProof/>
        </w:rPr>
        <w:t xml:space="preserve"> local and sustainable media production</w:t>
      </w:r>
      <w:r>
        <w:rPr>
          <w:rStyle w:val="eop"/>
          <w:rFonts w:ascii="Times New Roman" w:eastAsia="Times New Roman" w:hAnsi="Times New Roman" w:cs="Times New Roman"/>
          <w:noProof/>
        </w:rPr>
        <w:t>;</w:t>
      </w:r>
      <w:r w:rsidRPr="220295B1">
        <w:rPr>
          <w:rStyle w:val="eop"/>
          <w:rFonts w:ascii="Times New Roman" w:eastAsia="Times New Roman" w:hAnsi="Times New Roman" w:cs="Times New Roman"/>
          <w:noProof/>
        </w:rPr>
        <w:t xml:space="preserve"> </w:t>
      </w:r>
      <w:r>
        <w:rPr>
          <w:rStyle w:val="eop"/>
          <w:rFonts w:ascii="Times New Roman" w:eastAsia="Times New Roman" w:hAnsi="Times New Roman" w:cs="Times New Roman"/>
          <w:noProof/>
        </w:rPr>
        <w:t>and</w:t>
      </w:r>
      <w:r w:rsidRPr="00516125">
        <w:rPr>
          <w:rStyle w:val="eop"/>
          <w:rFonts w:ascii="Times New Roman" w:eastAsia="Times New Roman" w:hAnsi="Times New Roman" w:cs="Times New Roman"/>
          <w:noProof/>
        </w:rPr>
        <w:t xml:space="preserve"> </w:t>
      </w:r>
      <w:r>
        <w:rPr>
          <w:rStyle w:val="eop"/>
          <w:rFonts w:ascii="Times New Roman" w:eastAsia="Times New Roman" w:hAnsi="Times New Roman" w:cs="Times New Roman"/>
          <w:noProof/>
        </w:rPr>
        <w:t>(iii) the</w:t>
      </w:r>
      <w:r w:rsidRPr="220295B1">
        <w:rPr>
          <w:rStyle w:val="eop"/>
          <w:rFonts w:ascii="Times New Roman" w:eastAsia="Times New Roman" w:hAnsi="Times New Roman" w:cs="Times New Roman"/>
          <w:noProof/>
        </w:rPr>
        <w:t xml:space="preserve"> diversity and richness of national and regional cultural values. Self-sustained public media </w:t>
      </w:r>
      <w:r>
        <w:rPr>
          <w:rStyle w:val="eop"/>
          <w:rFonts w:ascii="Times New Roman" w:eastAsia="Times New Roman" w:hAnsi="Times New Roman" w:cs="Times New Roman"/>
          <w:noProof/>
        </w:rPr>
        <w:t>are</w:t>
      </w:r>
      <w:r w:rsidRPr="220295B1">
        <w:rPr>
          <w:rStyle w:val="eop"/>
          <w:rFonts w:ascii="Times New Roman" w:eastAsia="Times New Roman" w:hAnsi="Times New Roman" w:cs="Times New Roman"/>
          <w:noProof/>
        </w:rPr>
        <w:t xml:space="preserve"> considered a key enabler of social, cultural and democratic developments. </w:t>
      </w:r>
      <w:r w:rsidRPr="220295B1">
        <w:rPr>
          <w:rFonts w:ascii="Times New Roman" w:eastAsia="Times New Roman" w:hAnsi="Times New Roman" w:cs="Times New Roman"/>
          <w:noProof/>
        </w:rPr>
        <w:t xml:space="preserve">While cultural and media policies are </w:t>
      </w:r>
      <w:r>
        <w:rPr>
          <w:rFonts w:ascii="Times New Roman" w:eastAsia="Times New Roman" w:hAnsi="Times New Roman" w:cs="Times New Roman"/>
          <w:noProof/>
        </w:rPr>
        <w:t>decided  by Member States</w:t>
      </w:r>
      <w:r w:rsidRPr="220295B1">
        <w:rPr>
          <w:rFonts w:ascii="Times New Roman" w:eastAsia="Times New Roman" w:hAnsi="Times New Roman" w:cs="Times New Roman"/>
          <w:noProof/>
        </w:rPr>
        <w:t>, Article</w:t>
      </w:r>
      <w:r>
        <w:rPr>
          <w:rFonts w:ascii="Times New Roman" w:eastAsia="Times New Roman" w:hAnsi="Times New Roman" w:cs="Times New Roman"/>
          <w:noProof/>
        </w:rPr>
        <w:t> </w:t>
      </w:r>
      <w:r w:rsidRPr="220295B1">
        <w:rPr>
          <w:rFonts w:ascii="Times New Roman" w:eastAsia="Times New Roman" w:hAnsi="Times New Roman" w:cs="Times New Roman"/>
          <w:noProof/>
        </w:rPr>
        <w:t xml:space="preserve">167(4) TFEU requires the </w:t>
      </w:r>
      <w:r>
        <w:rPr>
          <w:rFonts w:ascii="Times New Roman" w:eastAsia="Times New Roman" w:hAnsi="Times New Roman" w:cs="Times New Roman"/>
          <w:noProof/>
        </w:rPr>
        <w:t>EU</w:t>
      </w:r>
      <w:r w:rsidRPr="00516125">
        <w:rPr>
          <w:rFonts w:ascii="Times New Roman" w:eastAsia="Times New Roman" w:hAnsi="Times New Roman" w:cs="Times New Roman"/>
          <w:noProof/>
        </w:rPr>
        <w:t xml:space="preserve"> </w:t>
      </w:r>
      <w:r w:rsidRPr="220295B1">
        <w:rPr>
          <w:rFonts w:ascii="Times New Roman" w:eastAsia="Times New Roman" w:hAnsi="Times New Roman" w:cs="Times New Roman"/>
          <w:noProof/>
        </w:rPr>
        <w:t>to take into account cultural aspects and</w:t>
      </w:r>
      <w:r>
        <w:rPr>
          <w:rFonts w:ascii="Times New Roman" w:eastAsia="Times New Roman" w:hAnsi="Times New Roman" w:cs="Times New Roman"/>
          <w:noProof/>
        </w:rPr>
        <w:t>,</w:t>
      </w:r>
      <w:r w:rsidRPr="220295B1">
        <w:rPr>
          <w:rFonts w:ascii="Times New Roman" w:eastAsia="Times New Roman" w:hAnsi="Times New Roman" w:cs="Times New Roman"/>
          <w:noProof/>
        </w:rPr>
        <w:t xml:space="preserve"> in particular, to respect and promote the diversity of </w:t>
      </w:r>
      <w:r>
        <w:rPr>
          <w:rFonts w:ascii="Times New Roman" w:eastAsia="Times New Roman" w:hAnsi="Times New Roman" w:cs="Times New Roman"/>
          <w:noProof/>
        </w:rPr>
        <w:t xml:space="preserve">its </w:t>
      </w:r>
      <w:r w:rsidRPr="220295B1">
        <w:rPr>
          <w:rFonts w:ascii="Times New Roman" w:eastAsia="Times New Roman" w:hAnsi="Times New Roman" w:cs="Times New Roman"/>
          <w:noProof/>
        </w:rPr>
        <w:t>cultures.</w:t>
      </w:r>
    </w:p>
    <w:p w14:paraId="45ECA11C" w14:textId="77777777" w:rsidR="007C0ADA" w:rsidRDefault="007C0ADA" w:rsidP="007C0ADA">
      <w:pPr>
        <w:spacing w:after="240" w:line="240" w:lineRule="auto"/>
        <w:jc w:val="both"/>
        <w:rPr>
          <w:rFonts w:ascii="Times New Roman" w:eastAsia="Times New Roman" w:hAnsi="Times New Roman" w:cs="Times New Roman"/>
          <w:noProof/>
        </w:rPr>
      </w:pPr>
      <w:r w:rsidRPr="64854A04">
        <w:rPr>
          <w:rFonts w:ascii="Times New Roman" w:eastAsia="Times New Roman" w:hAnsi="Times New Roman" w:cs="Times New Roman"/>
          <w:noProof/>
        </w:rPr>
        <w:t>The UHF Decision (</w:t>
      </w:r>
      <w:r>
        <w:rPr>
          <w:rFonts w:ascii="Times New Roman" w:eastAsia="Times New Roman" w:hAnsi="Times New Roman" w:cs="Times New Roman"/>
          <w:noProof/>
        </w:rPr>
        <w:t>r</w:t>
      </w:r>
      <w:r w:rsidRPr="64854A04">
        <w:rPr>
          <w:rFonts w:ascii="Times New Roman" w:eastAsia="Times New Roman" w:hAnsi="Times New Roman" w:cs="Times New Roman"/>
          <w:noProof/>
        </w:rPr>
        <w:t xml:space="preserve">ecital 11) stresses the need for regulatory predictability with regard to the availability of sufficient spectrum </w:t>
      </w:r>
      <w:r>
        <w:rPr>
          <w:rFonts w:ascii="Times New Roman" w:eastAsia="Times New Roman" w:hAnsi="Times New Roman" w:cs="Times New Roman"/>
          <w:noProof/>
        </w:rPr>
        <w:t>to ensure</w:t>
      </w:r>
      <w:r w:rsidRPr="64854A04">
        <w:rPr>
          <w:rFonts w:ascii="Times New Roman" w:eastAsia="Times New Roman" w:hAnsi="Times New Roman" w:cs="Times New Roman"/>
          <w:noProof/>
        </w:rPr>
        <w:t xml:space="preserve"> an environment for investment, so that </w:t>
      </w:r>
      <w:r>
        <w:rPr>
          <w:rFonts w:ascii="Times New Roman" w:eastAsia="Times New Roman" w:hAnsi="Times New Roman" w:cs="Times New Roman"/>
          <w:noProof/>
        </w:rPr>
        <w:t>EU</w:t>
      </w:r>
      <w:r w:rsidRPr="00516125">
        <w:rPr>
          <w:rFonts w:ascii="Times New Roman" w:eastAsia="Times New Roman" w:hAnsi="Times New Roman" w:cs="Times New Roman"/>
          <w:noProof/>
        </w:rPr>
        <w:t xml:space="preserve"> </w:t>
      </w:r>
      <w:r w:rsidRPr="64854A04">
        <w:rPr>
          <w:rFonts w:ascii="Times New Roman" w:eastAsia="Times New Roman" w:hAnsi="Times New Roman" w:cs="Times New Roman"/>
          <w:noProof/>
        </w:rPr>
        <w:t>and national audiovisual (AV) objectives such as social cohesion, media pluralism and cultural diversity can be met. The Lamy Report</w:t>
      </w:r>
      <w:r w:rsidRPr="64854A04">
        <w:rPr>
          <w:rStyle w:val="FootnoteReference"/>
          <w:rFonts w:ascii="Times New Roman" w:eastAsia="Times New Roman" w:hAnsi="Times New Roman" w:cs="Times New Roman"/>
          <w:noProof/>
        </w:rPr>
        <w:footnoteReference w:id="70"/>
      </w:r>
      <w:r w:rsidRPr="220295B1">
        <w:rPr>
          <w:rFonts w:ascii="Times New Roman" w:eastAsia="Times New Roman" w:hAnsi="Times New Roman" w:cs="Times New Roman"/>
          <w:noProof/>
        </w:rPr>
        <w:t xml:space="preserve"> to the Commission emphasi</w:t>
      </w:r>
      <w:r>
        <w:rPr>
          <w:rFonts w:ascii="Times New Roman" w:eastAsia="Times New Roman" w:hAnsi="Times New Roman" w:cs="Times New Roman"/>
          <w:noProof/>
        </w:rPr>
        <w:t>s</w:t>
      </w:r>
      <w:r w:rsidRPr="220295B1">
        <w:rPr>
          <w:rFonts w:ascii="Times New Roman" w:eastAsia="Times New Roman" w:hAnsi="Times New Roman" w:cs="Times New Roman"/>
          <w:noProof/>
        </w:rPr>
        <w:t>ed the core principles of pluralism and cultural diversity that underpin Europe’s AV model</w:t>
      </w:r>
      <w:r w:rsidRPr="360DE6F9">
        <w:rPr>
          <w:rFonts w:ascii="Times New Roman" w:eastAsia="Times New Roman" w:hAnsi="Times New Roman" w:cs="Times New Roman"/>
          <w:noProof/>
        </w:rPr>
        <w:t>.</w:t>
      </w:r>
    </w:p>
    <w:p w14:paraId="21ED91DB" w14:textId="6867DD8C" w:rsidR="007C0ADA" w:rsidRPr="004E62A4" w:rsidRDefault="007C0ADA" w:rsidP="007C0ADA">
      <w:pPr>
        <w:spacing w:after="240" w:line="240" w:lineRule="auto"/>
        <w:jc w:val="both"/>
        <w:rPr>
          <w:rFonts w:ascii="Times New Roman" w:hAnsi="Times New Roman"/>
          <w:noProof/>
          <w:lang w:val="en-US"/>
        </w:rPr>
      </w:pPr>
      <w:r w:rsidRPr="220295B1">
        <w:rPr>
          <w:rFonts w:ascii="Times New Roman" w:eastAsia="Times New Roman" w:hAnsi="Times New Roman" w:cs="Times New Roman"/>
          <w:noProof/>
        </w:rPr>
        <w:t xml:space="preserve">Terrestrial broadcasting has traditionally played a key role in the delivery of public service media. The digital switchover of terrestrial broadcasting increased the capacity of DTT networks and facilitated the introduction of a greater number of </w:t>
      </w:r>
      <w:r>
        <w:rPr>
          <w:rFonts w:ascii="Times New Roman" w:eastAsia="Times New Roman" w:hAnsi="Times New Roman" w:cs="Times New Roman"/>
          <w:noProof/>
        </w:rPr>
        <w:t>f</w:t>
      </w:r>
      <w:r w:rsidRPr="220295B1">
        <w:rPr>
          <w:rFonts w:ascii="Times New Roman" w:eastAsia="Times New Roman" w:hAnsi="Times New Roman" w:cs="Times New Roman"/>
          <w:noProof/>
        </w:rPr>
        <w:t>ree-to-</w:t>
      </w:r>
      <w:r>
        <w:rPr>
          <w:rFonts w:ascii="Times New Roman" w:eastAsia="Times New Roman" w:hAnsi="Times New Roman" w:cs="Times New Roman"/>
          <w:noProof/>
        </w:rPr>
        <w:t>a</w:t>
      </w:r>
      <w:r w:rsidRPr="220295B1">
        <w:rPr>
          <w:rFonts w:ascii="Times New Roman" w:eastAsia="Times New Roman" w:hAnsi="Times New Roman" w:cs="Times New Roman"/>
          <w:noProof/>
        </w:rPr>
        <w:t xml:space="preserve">ir (FTA) public </w:t>
      </w:r>
      <w:r>
        <w:rPr>
          <w:rFonts w:ascii="Times New Roman" w:eastAsia="Times New Roman" w:hAnsi="Times New Roman" w:cs="Times New Roman"/>
          <w:noProof/>
        </w:rPr>
        <w:t>and</w:t>
      </w:r>
      <w:r w:rsidRPr="220295B1">
        <w:rPr>
          <w:rFonts w:ascii="Times New Roman" w:eastAsia="Times New Roman" w:hAnsi="Times New Roman" w:cs="Times New Roman"/>
          <w:noProof/>
        </w:rPr>
        <w:t xml:space="preserve"> commercial TV services, alongside pay-DTT. </w:t>
      </w:r>
      <w:r w:rsidRPr="004E62A4">
        <w:rPr>
          <w:rFonts w:ascii="Times New Roman" w:hAnsi="Times New Roman"/>
          <w:noProof/>
          <w:lang w:val="en-US"/>
        </w:rPr>
        <w:t xml:space="preserve">The low cost of DTT for consumers means that it remains a common method of accessing </w:t>
      </w:r>
      <w:r>
        <w:rPr>
          <w:rFonts w:ascii="Times New Roman" w:eastAsia="Times New Roman" w:hAnsi="Times New Roman" w:cs="Times New Roman"/>
          <w:noProof/>
        </w:rPr>
        <w:t>P</w:t>
      </w:r>
      <w:r w:rsidRPr="00516125">
        <w:rPr>
          <w:rFonts w:ascii="Times New Roman" w:eastAsia="Times New Roman" w:hAnsi="Times New Roman" w:cs="Times New Roman"/>
          <w:noProof/>
        </w:rPr>
        <w:t xml:space="preserve">ublic </w:t>
      </w:r>
      <w:r>
        <w:rPr>
          <w:rFonts w:ascii="Times New Roman" w:eastAsia="Times New Roman" w:hAnsi="Times New Roman" w:cs="Times New Roman"/>
          <w:noProof/>
        </w:rPr>
        <w:t>S</w:t>
      </w:r>
      <w:r w:rsidRPr="00516125">
        <w:rPr>
          <w:rFonts w:ascii="Times New Roman" w:eastAsia="Times New Roman" w:hAnsi="Times New Roman" w:cs="Times New Roman"/>
          <w:noProof/>
        </w:rPr>
        <w:t xml:space="preserve">ervice </w:t>
      </w:r>
      <w:r>
        <w:rPr>
          <w:rFonts w:ascii="Times New Roman" w:hAnsi="Times New Roman"/>
          <w:noProof/>
          <w:lang w:val="en-US"/>
        </w:rPr>
        <w:t>M</w:t>
      </w:r>
      <w:r w:rsidRPr="00F03FEF">
        <w:rPr>
          <w:rFonts w:ascii="Times New Roman" w:hAnsi="Times New Roman"/>
          <w:noProof/>
          <w:lang w:val="en-US"/>
        </w:rPr>
        <w:t>edia (PSM)</w:t>
      </w:r>
      <w:r w:rsidRPr="004E62A4">
        <w:rPr>
          <w:rStyle w:val="FootnoteReference"/>
          <w:rFonts w:ascii="Times New Roman" w:hAnsi="Times New Roman"/>
          <w:noProof/>
          <w:lang w:val="en-US"/>
        </w:rPr>
        <w:footnoteReference w:id="71"/>
      </w:r>
      <w:r w:rsidRPr="004E62A4">
        <w:rPr>
          <w:rFonts w:ascii="Times New Roman" w:hAnsi="Times New Roman"/>
          <w:noProof/>
          <w:lang w:val="en-US"/>
        </w:rPr>
        <w:t xml:space="preserve"> broadcasting, which has been an essential source of social interpretation for news and events. Accessibility requirements for PSM channels are set to ensure continued access to </w:t>
      </w:r>
      <w:r w:rsidRPr="00516125">
        <w:rPr>
          <w:rFonts w:ascii="Times New Roman" w:eastAsia="Times New Roman" w:hAnsi="Times New Roman" w:cs="Times New Roman"/>
          <w:noProof/>
        </w:rPr>
        <w:t>program</w:t>
      </w:r>
      <w:r>
        <w:rPr>
          <w:rFonts w:ascii="Times New Roman" w:eastAsia="Times New Roman" w:hAnsi="Times New Roman" w:cs="Times New Roman"/>
          <w:noProof/>
        </w:rPr>
        <w:t>me</w:t>
      </w:r>
      <w:r w:rsidRPr="00516125">
        <w:rPr>
          <w:rFonts w:ascii="Times New Roman" w:eastAsia="Times New Roman" w:hAnsi="Times New Roman" w:cs="Times New Roman"/>
          <w:noProof/>
        </w:rPr>
        <w:t>s</w:t>
      </w:r>
      <w:r w:rsidRPr="004E62A4">
        <w:rPr>
          <w:rFonts w:ascii="Times New Roman" w:hAnsi="Times New Roman"/>
          <w:noProof/>
          <w:lang w:val="en-US"/>
        </w:rPr>
        <w:t xml:space="preserve"> for socially vulnerable people and people with disabilities, particularly for those with hearing and </w:t>
      </w:r>
      <w:r>
        <w:rPr>
          <w:rFonts w:ascii="Times New Roman" w:eastAsia="Times New Roman" w:hAnsi="Times New Roman" w:cs="Times New Roman"/>
          <w:noProof/>
        </w:rPr>
        <w:t>visual</w:t>
      </w:r>
      <w:r w:rsidRPr="00516125">
        <w:rPr>
          <w:rFonts w:ascii="Times New Roman" w:eastAsia="Times New Roman" w:hAnsi="Times New Roman" w:cs="Times New Roman"/>
          <w:noProof/>
        </w:rPr>
        <w:t xml:space="preserve"> impairment</w:t>
      </w:r>
      <w:r>
        <w:rPr>
          <w:rFonts w:ascii="Times New Roman" w:eastAsia="Times New Roman" w:hAnsi="Times New Roman" w:cs="Times New Roman"/>
          <w:noProof/>
        </w:rPr>
        <w:t>s</w:t>
      </w:r>
      <w:r w:rsidRPr="004E62A4">
        <w:rPr>
          <w:rFonts w:ascii="Times New Roman" w:hAnsi="Times New Roman"/>
          <w:noProof/>
          <w:lang w:val="en-US"/>
        </w:rPr>
        <w:t>, thereby contributing to a diverse and trustworthy information landscape based on reliable public-interest content.</w:t>
      </w:r>
    </w:p>
    <w:p w14:paraId="32013A81" w14:textId="77777777" w:rsidR="007C0ADA" w:rsidRPr="004E62A4" w:rsidRDefault="007C0ADA" w:rsidP="007C0ADA">
      <w:pPr>
        <w:spacing w:after="240" w:line="240" w:lineRule="auto"/>
        <w:jc w:val="both"/>
        <w:rPr>
          <w:rFonts w:ascii="Times New Roman" w:hAnsi="Times New Roman"/>
          <w:noProof/>
          <w:lang w:val="en-US"/>
        </w:rPr>
      </w:pPr>
      <w:r w:rsidRPr="004E62A4">
        <w:rPr>
          <w:rFonts w:ascii="Times New Roman" w:hAnsi="Times New Roman"/>
          <w:noProof/>
          <w:lang w:val="en-US"/>
        </w:rPr>
        <w:t xml:space="preserve">The Commission study assessed the availability of alternative PSM platforms in 16 Member States. </w:t>
      </w:r>
      <w:r>
        <w:rPr>
          <w:rFonts w:ascii="Times New Roman" w:eastAsia="Times New Roman" w:hAnsi="Times New Roman" w:cs="Times New Roman"/>
          <w:noProof/>
        </w:rPr>
        <w:t>Content from p</w:t>
      </w:r>
      <w:r w:rsidRPr="00516125">
        <w:rPr>
          <w:rFonts w:ascii="Times New Roman" w:eastAsia="Times New Roman" w:hAnsi="Times New Roman" w:cs="Times New Roman"/>
          <w:noProof/>
        </w:rPr>
        <w:t>ublic</w:t>
      </w:r>
      <w:r>
        <w:rPr>
          <w:rFonts w:ascii="Times New Roman" w:eastAsia="Times New Roman" w:hAnsi="Times New Roman" w:cs="Times New Roman"/>
          <w:noProof/>
        </w:rPr>
        <w:t xml:space="preserve"> </w:t>
      </w:r>
      <w:r w:rsidRPr="00F03FEF">
        <w:rPr>
          <w:rFonts w:ascii="Times New Roman" w:hAnsi="Times New Roman"/>
          <w:noProof/>
          <w:lang w:val="en-US"/>
        </w:rPr>
        <w:t xml:space="preserve">service broadcasters is available on DTT in all analysed Member States, but not consistently on each alternative platform. DTT provides FTA services in almost all cases, except in Belgium (Wallonia only) and Austria. In many Member States, legal or licensing requirements ensure that DTT reaches a large portion of the population. Alternative platforms cannot guarantee this coverage: cable and IPTV networks are often </w:t>
      </w:r>
      <w:r>
        <w:rPr>
          <w:rFonts w:ascii="Times New Roman" w:eastAsia="Times New Roman" w:hAnsi="Times New Roman" w:cs="Times New Roman"/>
          <w:noProof/>
        </w:rPr>
        <w:t>un</w:t>
      </w:r>
      <w:r w:rsidRPr="00516125">
        <w:rPr>
          <w:rFonts w:ascii="Times New Roman" w:eastAsia="Times New Roman" w:hAnsi="Times New Roman" w:cs="Times New Roman"/>
          <w:noProof/>
        </w:rPr>
        <w:t>available</w:t>
      </w:r>
      <w:r w:rsidRPr="004E62A4">
        <w:rPr>
          <w:rFonts w:ascii="Times New Roman" w:hAnsi="Times New Roman"/>
          <w:noProof/>
          <w:lang w:val="en-US"/>
        </w:rPr>
        <w:t xml:space="preserve"> in rural areas due to high deployment costs. Existing alternatives to FTA DTT are accessible only to subscribers, either as part of a paid package, via a </w:t>
      </w:r>
      <w:r>
        <w:rPr>
          <w:rFonts w:ascii="Times New Roman" w:eastAsia="Times New Roman" w:hAnsi="Times New Roman" w:cs="Times New Roman"/>
          <w:noProof/>
        </w:rPr>
        <w:t>‘f</w:t>
      </w:r>
      <w:r w:rsidRPr="00F03FEF">
        <w:rPr>
          <w:rFonts w:ascii="Times New Roman" w:hAnsi="Times New Roman"/>
          <w:noProof/>
          <w:lang w:val="en-US"/>
        </w:rPr>
        <w:t>ree-to-</w:t>
      </w:r>
      <w:r>
        <w:rPr>
          <w:rFonts w:ascii="Times New Roman" w:eastAsia="Times New Roman" w:hAnsi="Times New Roman" w:cs="Times New Roman"/>
          <w:noProof/>
        </w:rPr>
        <w:t>v</w:t>
      </w:r>
      <w:r w:rsidRPr="00516125">
        <w:rPr>
          <w:rFonts w:ascii="Times New Roman" w:eastAsia="Times New Roman" w:hAnsi="Times New Roman" w:cs="Times New Roman"/>
          <w:noProof/>
        </w:rPr>
        <w:t>iew</w:t>
      </w:r>
      <w:r>
        <w:rPr>
          <w:rFonts w:ascii="Times New Roman" w:eastAsia="Times New Roman" w:hAnsi="Times New Roman" w:cs="Times New Roman"/>
          <w:noProof/>
        </w:rPr>
        <w:t>’</w:t>
      </w:r>
      <w:r w:rsidRPr="004E62A4">
        <w:rPr>
          <w:rFonts w:ascii="Times New Roman" w:hAnsi="Times New Roman"/>
          <w:noProof/>
          <w:lang w:val="en-US"/>
        </w:rPr>
        <w:t xml:space="preserve"> access card, or through an internet or mobile subscription. These subscription-based alternatives </w:t>
      </w:r>
      <w:r>
        <w:rPr>
          <w:rFonts w:ascii="Times New Roman" w:eastAsia="Times New Roman" w:hAnsi="Times New Roman" w:cs="Times New Roman"/>
          <w:noProof/>
        </w:rPr>
        <w:t>could present</w:t>
      </w:r>
      <w:r w:rsidRPr="004E62A4">
        <w:rPr>
          <w:rFonts w:ascii="Times New Roman" w:hAnsi="Times New Roman"/>
          <w:noProof/>
          <w:lang w:val="en-US"/>
        </w:rPr>
        <w:t xml:space="preserve"> a financial hurdle for </w:t>
      </w:r>
      <w:r>
        <w:rPr>
          <w:rFonts w:ascii="Times New Roman" w:eastAsia="Times New Roman" w:hAnsi="Times New Roman" w:cs="Times New Roman"/>
          <w:noProof/>
        </w:rPr>
        <w:t>people</w:t>
      </w:r>
      <w:r w:rsidRPr="00516125">
        <w:rPr>
          <w:rFonts w:ascii="Times New Roman" w:eastAsia="Times New Roman" w:hAnsi="Times New Roman" w:cs="Times New Roman"/>
          <w:noProof/>
        </w:rPr>
        <w:t xml:space="preserve"> </w:t>
      </w:r>
      <w:r w:rsidRPr="004E62A4">
        <w:rPr>
          <w:rFonts w:ascii="Times New Roman" w:hAnsi="Times New Roman"/>
          <w:noProof/>
          <w:lang w:val="en-US"/>
        </w:rPr>
        <w:t>who cannot afford, or do not wish to pay for</w:t>
      </w:r>
      <w:r>
        <w:rPr>
          <w:rFonts w:ascii="Times New Roman" w:eastAsia="Times New Roman" w:hAnsi="Times New Roman" w:cs="Times New Roman"/>
          <w:noProof/>
        </w:rPr>
        <w:t>,</w:t>
      </w:r>
      <w:r w:rsidRPr="004E62A4">
        <w:rPr>
          <w:rFonts w:ascii="Times New Roman" w:hAnsi="Times New Roman"/>
          <w:noProof/>
          <w:lang w:val="en-US"/>
        </w:rPr>
        <w:t xml:space="preserve"> commercial packages.</w:t>
      </w:r>
    </w:p>
    <w:p w14:paraId="742E2653" w14:textId="77777777" w:rsidR="007C0ADA" w:rsidRPr="00F03FEF" w:rsidRDefault="007C0ADA" w:rsidP="007C0ADA">
      <w:pPr>
        <w:spacing w:after="240" w:line="240" w:lineRule="auto"/>
        <w:jc w:val="both"/>
        <w:rPr>
          <w:rFonts w:ascii="Times New Roman" w:hAnsi="Times New Roman"/>
          <w:noProof/>
        </w:rPr>
      </w:pPr>
      <w:r w:rsidRPr="004E62A4">
        <w:rPr>
          <w:rFonts w:ascii="Times New Roman" w:hAnsi="Times New Roman"/>
          <w:noProof/>
          <w:lang w:val="en-US"/>
        </w:rPr>
        <w:t xml:space="preserve">DTT plays a particularly important role </w:t>
      </w:r>
      <w:r>
        <w:rPr>
          <w:rFonts w:ascii="Times New Roman" w:eastAsiaTheme="minorEastAsia" w:hAnsi="Times New Roman" w:cs="Times New Roman"/>
          <w:noProof/>
        </w:rPr>
        <w:t>in</w:t>
      </w:r>
      <w:r w:rsidRPr="004E62A4">
        <w:rPr>
          <w:rFonts w:ascii="Times New Roman" w:hAnsi="Times New Roman"/>
          <w:noProof/>
          <w:lang w:val="en-US"/>
        </w:rPr>
        <w:t xml:space="preserve"> local and regional broadcasting: nearly 49% of all local and regional channels use DTT, compared with only 21% of national channels. Three out of four TV channels available on digital terrestrial networks have generalist programming. Public service media are generally given priority access to DTT networks, and their services are predominantly generalist channels with a broad programming offering. By contrast, the programming content of TV channels available across all distribution platforms tends to be more thematic.</w:t>
      </w:r>
    </w:p>
    <w:p w14:paraId="29813896" w14:textId="3333F603" w:rsidR="007C0ADA" w:rsidRPr="0010331E" w:rsidRDefault="00DA5AD5" w:rsidP="007C0ADA">
      <w:pPr>
        <w:spacing w:after="240" w:line="240" w:lineRule="auto"/>
        <w:jc w:val="both"/>
        <w:rPr>
          <w:rFonts w:ascii="Times New Roman" w:hAnsi="Times New Roman"/>
          <w:noProof/>
        </w:rPr>
      </w:pPr>
      <w:r>
        <w:rPr>
          <w:rFonts w:ascii="Times New Roman" w:hAnsi="Times New Roman"/>
          <w:noProof/>
          <w:lang w:val="en-US"/>
        </w:rPr>
        <w:t xml:space="preserve">Figure 24 </w:t>
      </w:r>
      <w:r w:rsidR="007C0ADA" w:rsidRPr="004E62A4">
        <w:rPr>
          <w:rFonts w:ascii="Times New Roman" w:hAnsi="Times New Roman"/>
          <w:noProof/>
          <w:lang w:val="en-US"/>
        </w:rPr>
        <w:t xml:space="preserve">illustrates which countries provide FTA content at national, regional and local levels. It shows that dependence on DTT is very high in </w:t>
      </w:r>
      <w:r w:rsidR="007C0ADA">
        <w:rPr>
          <w:rFonts w:ascii="Times New Roman" w:eastAsia="Times New Roman" w:hAnsi="Times New Roman" w:cs="Times New Roman"/>
          <w:noProof/>
        </w:rPr>
        <w:t>most</w:t>
      </w:r>
      <w:r w:rsidR="007C0ADA" w:rsidRPr="004E62A4">
        <w:rPr>
          <w:rFonts w:ascii="Times New Roman" w:hAnsi="Times New Roman"/>
          <w:noProof/>
          <w:lang w:val="en-US"/>
        </w:rPr>
        <w:t xml:space="preserve"> EU countries and increases from the national to the regional and local levels. This indicates that audiences rely heavily on DTT to access content of local and regional interest, including local news, cultural programming and community-relevant content.</w:t>
      </w:r>
    </w:p>
    <w:p w14:paraId="5D64A4D6" w14:textId="77777777" w:rsidR="007C0ADA" w:rsidRPr="0010331E" w:rsidRDefault="007C0ADA" w:rsidP="007C0ADA">
      <w:pPr>
        <w:rPr>
          <w:rFonts w:ascii="Times New Roman" w:hAnsi="Times New Roman"/>
          <w:noProof/>
        </w:rPr>
      </w:pPr>
      <w:r w:rsidRPr="0010331E">
        <w:rPr>
          <w:rFonts w:ascii="Times New Roman" w:hAnsi="Times New Roman"/>
          <w:noProof/>
        </w:rPr>
        <w:br w:type="page"/>
      </w:r>
    </w:p>
    <w:p w14:paraId="7914977B" w14:textId="40A4E18B" w:rsidR="007C0ADA" w:rsidRPr="00E130FA" w:rsidRDefault="007C0ADA" w:rsidP="007C0ADA">
      <w:pPr>
        <w:pStyle w:val="Caption"/>
        <w:jc w:val="center"/>
        <w:rPr>
          <w:rFonts w:ascii="Times New Roman" w:hAnsi="Times New Roman" w:cs="Times New Roman"/>
          <w:noProof/>
          <w:color w:val="auto"/>
          <w:sz w:val="24"/>
          <w:szCs w:val="24"/>
        </w:rPr>
      </w:pPr>
      <w:r w:rsidRPr="00E130FA">
        <w:rPr>
          <w:rFonts w:ascii="Times New Roman" w:hAnsi="Times New Roman" w:cs="Times New Roman"/>
          <w:noProof/>
          <w:color w:val="auto"/>
          <w:sz w:val="24"/>
          <w:szCs w:val="24"/>
        </w:rPr>
        <w:t xml:space="preserve">Figure </w:t>
      </w:r>
      <w:r w:rsidRPr="00E130FA">
        <w:rPr>
          <w:rFonts w:ascii="Times New Roman" w:hAnsi="Times New Roman" w:cs="Times New Roman"/>
          <w:noProof/>
          <w:color w:val="auto"/>
          <w:sz w:val="24"/>
          <w:szCs w:val="24"/>
        </w:rPr>
        <w:fldChar w:fldCharType="begin"/>
      </w:r>
      <w:r w:rsidRPr="00E130FA">
        <w:rPr>
          <w:rFonts w:ascii="Times New Roman" w:hAnsi="Times New Roman" w:cs="Times New Roman"/>
          <w:noProof/>
          <w:color w:val="auto"/>
          <w:sz w:val="24"/>
          <w:szCs w:val="24"/>
        </w:rPr>
        <w:instrText xml:space="preserve"> SEQ Figure \* ARABIC </w:instrText>
      </w:r>
      <w:r w:rsidRPr="00E130FA">
        <w:rPr>
          <w:rFonts w:ascii="Times New Roman" w:hAnsi="Times New Roman" w:cs="Times New Roman"/>
          <w:noProof/>
          <w:color w:val="auto"/>
          <w:sz w:val="24"/>
          <w:szCs w:val="24"/>
        </w:rPr>
        <w:fldChar w:fldCharType="separate"/>
      </w:r>
      <w:r w:rsidR="009B3399">
        <w:rPr>
          <w:rFonts w:ascii="Times New Roman" w:hAnsi="Times New Roman" w:cs="Times New Roman"/>
          <w:noProof/>
          <w:color w:val="auto"/>
          <w:sz w:val="24"/>
          <w:szCs w:val="24"/>
        </w:rPr>
        <w:t>24</w:t>
      </w:r>
      <w:r w:rsidRPr="00E130FA">
        <w:rPr>
          <w:rFonts w:ascii="Times New Roman" w:hAnsi="Times New Roman" w:cs="Times New Roman"/>
          <w:noProof/>
          <w:color w:val="auto"/>
          <w:sz w:val="24"/>
          <w:szCs w:val="24"/>
        </w:rPr>
        <w:fldChar w:fldCharType="end"/>
      </w:r>
      <w:r w:rsidRPr="00E130FA">
        <w:rPr>
          <w:rFonts w:ascii="Times New Roman" w:hAnsi="Times New Roman" w:cs="Times New Roman"/>
          <w:noProof/>
          <w:color w:val="auto"/>
          <w:sz w:val="24"/>
          <w:szCs w:val="24"/>
        </w:rPr>
        <w:t>: Free</w:t>
      </w:r>
      <w:r>
        <w:rPr>
          <w:rFonts w:ascii="Times New Roman" w:hAnsi="Times New Roman" w:cs="Times New Roman"/>
          <w:noProof/>
          <w:color w:val="auto"/>
          <w:sz w:val="24"/>
          <w:szCs w:val="24"/>
        </w:rPr>
        <w:t>-</w:t>
      </w:r>
      <w:r w:rsidRPr="00E130FA">
        <w:rPr>
          <w:rFonts w:ascii="Times New Roman" w:hAnsi="Times New Roman" w:cs="Times New Roman"/>
          <w:noProof/>
          <w:color w:val="auto"/>
          <w:sz w:val="24"/>
          <w:szCs w:val="24"/>
        </w:rPr>
        <w:t>to</w:t>
      </w:r>
      <w:r>
        <w:rPr>
          <w:rFonts w:ascii="Times New Roman" w:hAnsi="Times New Roman" w:cs="Times New Roman"/>
          <w:noProof/>
          <w:color w:val="auto"/>
          <w:sz w:val="24"/>
          <w:szCs w:val="24"/>
        </w:rPr>
        <w:t>-a</w:t>
      </w:r>
      <w:r w:rsidRPr="00E130FA">
        <w:rPr>
          <w:rFonts w:ascii="Times New Roman" w:hAnsi="Times New Roman" w:cs="Times New Roman"/>
          <w:noProof/>
          <w:color w:val="auto"/>
          <w:sz w:val="24"/>
          <w:szCs w:val="24"/>
        </w:rPr>
        <w:t xml:space="preserve">ir (FTA) DTTB </w:t>
      </w:r>
      <w:r>
        <w:rPr>
          <w:rFonts w:ascii="Times New Roman" w:hAnsi="Times New Roman" w:cs="Times New Roman"/>
          <w:noProof/>
          <w:color w:val="auto"/>
          <w:sz w:val="24"/>
          <w:szCs w:val="24"/>
        </w:rPr>
        <w:t>at</w:t>
      </w:r>
      <w:r w:rsidRPr="00516125">
        <w:rPr>
          <w:rFonts w:ascii="Times New Roman" w:hAnsi="Times New Roman" w:cs="Times New Roman"/>
          <w:noProof/>
          <w:color w:val="auto"/>
          <w:sz w:val="24"/>
          <w:szCs w:val="24"/>
        </w:rPr>
        <w:t xml:space="preserve"> </w:t>
      </w:r>
      <w:r>
        <w:rPr>
          <w:rFonts w:ascii="Times New Roman" w:hAnsi="Times New Roman" w:cs="Times New Roman"/>
          <w:noProof/>
          <w:color w:val="auto"/>
          <w:sz w:val="24"/>
          <w:szCs w:val="24"/>
        </w:rPr>
        <w:t>n</w:t>
      </w:r>
      <w:r w:rsidRPr="00516125">
        <w:rPr>
          <w:rFonts w:ascii="Times New Roman" w:hAnsi="Times New Roman" w:cs="Times New Roman"/>
          <w:noProof/>
          <w:color w:val="auto"/>
          <w:sz w:val="24"/>
          <w:szCs w:val="24"/>
        </w:rPr>
        <w:t xml:space="preserve">ational, </w:t>
      </w:r>
      <w:r>
        <w:rPr>
          <w:rFonts w:ascii="Times New Roman" w:hAnsi="Times New Roman" w:cs="Times New Roman"/>
          <w:noProof/>
          <w:color w:val="auto"/>
          <w:sz w:val="24"/>
          <w:szCs w:val="24"/>
        </w:rPr>
        <w:t>r</w:t>
      </w:r>
      <w:r w:rsidRPr="00E130FA">
        <w:rPr>
          <w:rFonts w:ascii="Times New Roman" w:hAnsi="Times New Roman" w:cs="Times New Roman"/>
          <w:noProof/>
          <w:color w:val="auto"/>
          <w:sz w:val="24"/>
          <w:szCs w:val="24"/>
        </w:rPr>
        <w:t xml:space="preserve">egional and </w:t>
      </w:r>
      <w:r>
        <w:rPr>
          <w:rFonts w:ascii="Times New Roman" w:hAnsi="Times New Roman" w:cs="Times New Roman"/>
          <w:noProof/>
          <w:color w:val="auto"/>
          <w:sz w:val="24"/>
          <w:szCs w:val="24"/>
        </w:rPr>
        <w:t>l</w:t>
      </w:r>
      <w:r w:rsidRPr="00E130FA">
        <w:rPr>
          <w:rFonts w:ascii="Times New Roman" w:hAnsi="Times New Roman" w:cs="Times New Roman"/>
          <w:noProof/>
          <w:color w:val="auto"/>
          <w:sz w:val="24"/>
          <w:szCs w:val="24"/>
        </w:rPr>
        <w:t>ocal level across EU countries (Source: RSPG Report)</w:t>
      </w:r>
    </w:p>
    <w:p w14:paraId="26043F8C" w14:textId="77777777" w:rsidR="007C0ADA" w:rsidRDefault="007C0ADA" w:rsidP="007C0ADA">
      <w:pPr>
        <w:keepNext/>
        <w:spacing w:line="257" w:lineRule="auto"/>
        <w:ind w:left="-993"/>
        <w:jc w:val="center"/>
        <w:rPr>
          <w:noProof/>
        </w:rPr>
      </w:pPr>
      <w:r>
        <w:rPr>
          <w:noProof/>
          <w:lang w:val="en-GB" w:eastAsia="en-GB"/>
        </w:rPr>
        <w:drawing>
          <wp:inline distT="0" distB="0" distL="0" distR="0" wp14:anchorId="1E21891C" wp14:editId="0795BAB0">
            <wp:extent cx="7297396" cy="6269126"/>
            <wp:effectExtent l="0" t="0" r="0" b="0"/>
            <wp:docPr id="1839199281" name="drawing" descr="A collage of maps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8906" name="drawing" descr="A collage of maps of different countries/regions&#10;&#10;AI-generated content may be incorrect."/>
                    <pic:cNvPicPr/>
                  </pic:nvPicPr>
                  <pic:blipFill>
                    <a:blip r:embed="rId41">
                      <a:extLst>
                        <a:ext uri="{28A0092B-C50C-407E-A947-70E740481C1C}">
                          <a14:useLocalDpi xmlns:a14="http://schemas.microsoft.com/office/drawing/2010/main"/>
                        </a:ext>
                      </a:extLst>
                    </a:blip>
                    <a:stretch>
                      <a:fillRect/>
                    </a:stretch>
                  </pic:blipFill>
                  <pic:spPr>
                    <a:xfrm>
                      <a:off x="0" y="0"/>
                      <a:ext cx="7317279" cy="6286207"/>
                    </a:xfrm>
                    <a:prstGeom prst="rect">
                      <a:avLst/>
                    </a:prstGeom>
                  </pic:spPr>
                </pic:pic>
              </a:graphicData>
            </a:graphic>
          </wp:inline>
        </w:drawing>
      </w:r>
    </w:p>
    <w:p w14:paraId="0C06AD10" w14:textId="77777777" w:rsidR="007C0ADA" w:rsidRDefault="007C0ADA" w:rsidP="007C0ADA">
      <w:pPr>
        <w:keepNext/>
        <w:spacing w:line="257" w:lineRule="auto"/>
        <w:jc w:val="center"/>
        <w:rPr>
          <w:noProof/>
        </w:rPr>
      </w:pPr>
    </w:p>
    <w:p w14:paraId="7729F20F" w14:textId="77777777" w:rsidR="007C0ADA" w:rsidRPr="00BF60DB" w:rsidRDefault="007C0ADA" w:rsidP="007C0ADA">
      <w:pPr>
        <w:pStyle w:val="Heading1"/>
        <w:spacing w:after="240"/>
        <w:rPr>
          <w:rFonts w:ascii="Times New Roman" w:hAnsi="Times New Roman" w:cs="Times New Roman"/>
          <w:b/>
          <w:noProof/>
          <w:color w:val="auto"/>
          <w:sz w:val="28"/>
          <w:szCs w:val="32"/>
        </w:rPr>
      </w:pPr>
      <w:r w:rsidRPr="00BF60DB">
        <w:rPr>
          <w:rFonts w:ascii="Times New Roman" w:hAnsi="Times New Roman" w:cs="Times New Roman"/>
          <w:b/>
          <w:noProof/>
          <w:color w:val="auto"/>
          <w:sz w:val="28"/>
          <w:szCs w:val="32"/>
        </w:rPr>
        <w:t>8. CONCLUSIONS</w:t>
      </w:r>
    </w:p>
    <w:p w14:paraId="1F3832F2" w14:textId="331FFB33" w:rsidR="007C0ADA" w:rsidRPr="001F67E1" w:rsidRDefault="007C0ADA" w:rsidP="007C0ADA">
      <w:pPr>
        <w:pStyle w:val="paragraph"/>
        <w:spacing w:before="0" w:beforeAutospacing="0" w:after="240" w:afterAutospacing="0"/>
        <w:jc w:val="both"/>
        <w:rPr>
          <w:rFonts w:eastAsiaTheme="minorEastAsia"/>
          <w:noProof/>
        </w:rPr>
      </w:pPr>
      <w:r w:rsidRPr="064E9491">
        <w:rPr>
          <w:rStyle w:val="eop"/>
          <w:noProof/>
        </w:rPr>
        <w:t>The 470</w:t>
      </w:r>
      <w:r>
        <w:rPr>
          <w:rStyle w:val="eop"/>
          <w:noProof/>
        </w:rPr>
        <w:t>-</w:t>
      </w:r>
      <w:r w:rsidRPr="064E9491">
        <w:rPr>
          <w:rStyle w:val="eop"/>
          <w:noProof/>
        </w:rPr>
        <w:t>694</w:t>
      </w:r>
      <w:r>
        <w:rPr>
          <w:rStyle w:val="eop"/>
          <w:noProof/>
        </w:rPr>
        <w:t> </w:t>
      </w:r>
      <w:r w:rsidRPr="064E9491">
        <w:rPr>
          <w:rStyle w:val="eop"/>
          <w:noProof/>
        </w:rPr>
        <w:t xml:space="preserve">MHz frequency band </w:t>
      </w:r>
      <w:r>
        <w:rPr>
          <w:rStyle w:val="eop"/>
          <w:noProof/>
        </w:rPr>
        <w:t>is still</w:t>
      </w:r>
      <w:r w:rsidRPr="00516125">
        <w:rPr>
          <w:rStyle w:val="eop"/>
          <w:noProof/>
        </w:rPr>
        <w:t xml:space="preserve"> </w:t>
      </w:r>
      <w:r w:rsidRPr="064E9491">
        <w:rPr>
          <w:rStyle w:val="eop"/>
          <w:noProof/>
        </w:rPr>
        <w:t xml:space="preserve">the most strategic and essential portion of terrestrial spectrum for the European Union. </w:t>
      </w:r>
      <w:r w:rsidRPr="2FD0666D">
        <w:rPr>
          <w:rStyle w:val="eop"/>
          <w:noProof/>
        </w:rPr>
        <w:t>At international level, the sub-700 MHz band in ITU Region 1 is governed by the ITU RR and the Geneva 2006 Agreement (GE06), the latter setting the frequency plan and the cross-border coordination procedures. The band is also included in the provisional agenda for WRC-31, which should review the allocation of the band and consider possible regulatory measures.</w:t>
      </w:r>
    </w:p>
    <w:p w14:paraId="4A072D61" w14:textId="5724EE18" w:rsidR="007C0ADA" w:rsidRPr="001F67E1" w:rsidRDefault="007C0ADA" w:rsidP="007C0ADA">
      <w:pPr>
        <w:pStyle w:val="paragraph"/>
        <w:spacing w:before="0" w:beforeAutospacing="0" w:after="240" w:afterAutospacing="0"/>
        <w:jc w:val="both"/>
        <w:textAlignment w:val="baseline"/>
        <w:rPr>
          <w:rStyle w:val="eop"/>
          <w:rFonts w:asciiTheme="minorHAnsi" w:eastAsiaTheme="minorEastAsia" w:hAnsiTheme="minorHAnsi" w:cstheme="minorBidi"/>
          <w:b/>
          <w:noProof/>
          <w:kern w:val="2"/>
          <w:sz w:val="22"/>
          <w:szCs w:val="22"/>
          <w:lang w:eastAsia="en-US"/>
        </w:rPr>
      </w:pPr>
      <w:r>
        <w:rPr>
          <w:rStyle w:val="eop"/>
          <w:noProof/>
        </w:rPr>
        <w:t>The sub-700 MHz band</w:t>
      </w:r>
      <w:r w:rsidRPr="064E9491">
        <w:rPr>
          <w:rStyle w:val="eop"/>
          <w:noProof/>
        </w:rPr>
        <w:t xml:space="preserve"> continues to underpin both </w:t>
      </w:r>
      <w:r w:rsidR="000D4CE4">
        <w:rPr>
          <w:rStyle w:val="eop"/>
          <w:noProof/>
        </w:rPr>
        <w:t xml:space="preserve">digital </w:t>
      </w:r>
      <w:r w:rsidRPr="064E9491">
        <w:rPr>
          <w:rStyle w:val="eop"/>
          <w:noProof/>
        </w:rPr>
        <w:t>terrestrial broadcasting and audio PMSE applications, which play vital roles in support</w:t>
      </w:r>
      <w:r>
        <w:rPr>
          <w:rStyle w:val="eop"/>
          <w:noProof/>
        </w:rPr>
        <w:t>ing</w:t>
      </w:r>
      <w:r w:rsidRPr="064E9491">
        <w:rPr>
          <w:rStyle w:val="eop"/>
          <w:noProof/>
        </w:rPr>
        <w:t xml:space="preserve"> cultural diversity, media pluralism and live content production. At the same time, alternative media platforms </w:t>
      </w:r>
      <w:r w:rsidR="000D4CE4">
        <w:rPr>
          <w:rStyle w:val="eop"/>
          <w:noProof/>
        </w:rPr>
        <w:t xml:space="preserve">to DTT </w:t>
      </w:r>
      <w:r w:rsidRPr="064E9491">
        <w:rPr>
          <w:rStyle w:val="eop"/>
          <w:noProof/>
        </w:rPr>
        <w:t xml:space="preserve">(satellite and cable/fibre-based) increasingly </w:t>
      </w:r>
      <w:r>
        <w:rPr>
          <w:rStyle w:val="eop"/>
          <w:noProof/>
        </w:rPr>
        <w:t>provide</w:t>
      </w:r>
      <w:r w:rsidRPr="00516125">
        <w:rPr>
          <w:rStyle w:val="eop"/>
          <w:noProof/>
        </w:rPr>
        <w:t xml:space="preserve"> </w:t>
      </w:r>
      <w:r w:rsidRPr="064E9491">
        <w:rPr>
          <w:rStyle w:val="eop"/>
          <w:noProof/>
        </w:rPr>
        <w:t xml:space="preserve">access to versatile TV and video content, also in support of public policy objectives. </w:t>
      </w:r>
      <w:r>
        <w:rPr>
          <w:rStyle w:val="eop"/>
          <w:noProof/>
        </w:rPr>
        <w:t>T</w:t>
      </w:r>
      <w:r w:rsidRPr="064E9491">
        <w:rPr>
          <w:rStyle w:val="eop"/>
          <w:noProof/>
        </w:rPr>
        <w:t>he emerging competiti</w:t>
      </w:r>
      <w:r>
        <w:rPr>
          <w:rStyle w:val="eop"/>
          <w:noProof/>
        </w:rPr>
        <w:t>on</w:t>
      </w:r>
      <w:r w:rsidRPr="064E9491">
        <w:rPr>
          <w:rStyle w:val="eop"/>
          <w:noProof/>
        </w:rPr>
        <w:t xml:space="preserve"> for the band</w:t>
      </w:r>
      <w:r>
        <w:rPr>
          <w:rStyle w:val="eop"/>
          <w:noProof/>
        </w:rPr>
        <w:t xml:space="preserve"> </w:t>
      </w:r>
      <w:r w:rsidR="000E3DC4">
        <w:rPr>
          <w:rStyle w:val="eop"/>
          <w:noProof/>
        </w:rPr>
        <w:t xml:space="preserve">- </w:t>
      </w:r>
      <w:r w:rsidRPr="064E9491">
        <w:rPr>
          <w:rStyle w:val="eop"/>
          <w:noProof/>
        </w:rPr>
        <w:t>in particular fr</w:t>
      </w:r>
      <w:r>
        <w:rPr>
          <w:rStyle w:val="eop"/>
          <w:noProof/>
        </w:rPr>
        <w:t>om</w:t>
      </w:r>
      <w:r w:rsidRPr="064E9491">
        <w:rPr>
          <w:rStyle w:val="eop"/>
          <w:noProof/>
        </w:rPr>
        <w:t xml:space="preserve"> mobile communications (IMT), PPDR and defence</w:t>
      </w:r>
      <w:r w:rsidR="000D4CE4">
        <w:rPr>
          <w:rStyle w:val="eop"/>
          <w:noProof/>
        </w:rPr>
        <w:t xml:space="preserve"> </w:t>
      </w:r>
      <w:r w:rsidR="000E3DC4">
        <w:rPr>
          <w:rStyle w:val="eop"/>
          <w:noProof/>
        </w:rPr>
        <w:t>-</w:t>
      </w:r>
      <w:r w:rsidR="000D4CE4">
        <w:rPr>
          <w:rStyle w:val="eop"/>
          <w:noProof/>
        </w:rPr>
        <w:t xml:space="preserve"> requires monitoring of spectrum usage and scrutiny of spectrum needs and </w:t>
      </w:r>
      <w:r w:rsidRPr="064E9491">
        <w:rPr>
          <w:rStyle w:val="eop"/>
          <w:noProof/>
        </w:rPr>
        <w:t>highlight</w:t>
      </w:r>
      <w:r w:rsidR="000D4CE4">
        <w:rPr>
          <w:rStyle w:val="eop"/>
          <w:noProof/>
        </w:rPr>
        <w:t>s</w:t>
      </w:r>
      <w:r w:rsidRPr="064E9491">
        <w:rPr>
          <w:rStyle w:val="eop"/>
          <w:noProof/>
        </w:rPr>
        <w:t xml:space="preserve"> the importance of maintaining a flexible and forward-looking spectrum regulatory framework </w:t>
      </w:r>
      <w:r>
        <w:rPr>
          <w:rStyle w:val="eop"/>
          <w:noProof/>
        </w:rPr>
        <w:t>that can</w:t>
      </w:r>
      <w:r w:rsidRPr="00516125">
        <w:rPr>
          <w:rStyle w:val="eop"/>
          <w:noProof/>
        </w:rPr>
        <w:t xml:space="preserve"> </w:t>
      </w:r>
      <w:r w:rsidRPr="064E9491">
        <w:rPr>
          <w:rStyle w:val="eop"/>
          <w:noProof/>
        </w:rPr>
        <w:t>respond to evolving market trends underpinned by technological enablers and societal demand.</w:t>
      </w:r>
    </w:p>
    <w:p w14:paraId="1064B650" w14:textId="4BC669A0" w:rsidR="007C0ADA" w:rsidRDefault="007C0ADA" w:rsidP="007C0ADA">
      <w:pPr>
        <w:pStyle w:val="paragraph"/>
        <w:spacing w:before="0" w:beforeAutospacing="0" w:after="240" w:afterAutospacing="0"/>
        <w:jc w:val="both"/>
        <w:textAlignment w:val="baseline"/>
        <w:rPr>
          <w:rStyle w:val="eop"/>
          <w:rFonts w:eastAsiaTheme="majorEastAsia" w:cstheme="majorBidi"/>
          <w:b/>
          <w:noProof/>
          <w:kern w:val="2"/>
          <w:sz w:val="28"/>
          <w:szCs w:val="32"/>
          <w:lang w:eastAsia="en-US"/>
        </w:rPr>
      </w:pPr>
      <w:r w:rsidRPr="3CE86475">
        <w:rPr>
          <w:rStyle w:val="eop"/>
          <w:noProof/>
        </w:rPr>
        <w:t xml:space="preserve">Current and planned DTT and PMSE usage of the band varies considerably across the Member States, and reflects differences in national market needs, technology deployment and audience behaviour. </w:t>
      </w:r>
      <w:bookmarkStart w:id="33" w:name="_Hlk233272049"/>
      <w:r w:rsidR="00AF5379">
        <w:rPr>
          <w:rStyle w:val="eop"/>
          <w:noProof/>
        </w:rPr>
        <w:t>,</w:t>
      </w:r>
      <w:r w:rsidRPr="3CE86475">
        <w:rPr>
          <w:rStyle w:val="eop"/>
          <w:noProof/>
        </w:rPr>
        <w:t>DTT remains widely used and essential for PSM</w:t>
      </w:r>
      <w:r w:rsidR="00AF5379" w:rsidRPr="00AF5379">
        <w:rPr>
          <w:rStyle w:val="eop"/>
          <w:noProof/>
        </w:rPr>
        <w:t xml:space="preserve"> </w:t>
      </w:r>
      <w:r w:rsidR="00AF5379">
        <w:rPr>
          <w:rStyle w:val="eop"/>
          <w:noProof/>
        </w:rPr>
        <w:t>i</w:t>
      </w:r>
      <w:r w:rsidR="00AF5379" w:rsidRPr="3CE86475">
        <w:rPr>
          <w:rStyle w:val="eop"/>
          <w:noProof/>
        </w:rPr>
        <w:t>n several Member States</w:t>
      </w:r>
      <w:r w:rsidRPr="3CE86475">
        <w:rPr>
          <w:rStyle w:val="eop"/>
          <w:noProof/>
        </w:rPr>
        <w:t xml:space="preserve">, while in some others its role has diminished in favour of alternative platforms such as cable, IPTV </w:t>
      </w:r>
      <w:r>
        <w:rPr>
          <w:rStyle w:val="eop"/>
          <w:noProof/>
        </w:rPr>
        <w:t>and</w:t>
      </w:r>
      <w:r w:rsidRPr="00516125">
        <w:rPr>
          <w:rStyle w:val="eop"/>
          <w:noProof/>
        </w:rPr>
        <w:t xml:space="preserve"> </w:t>
      </w:r>
      <w:r w:rsidRPr="3CE86475">
        <w:rPr>
          <w:rStyle w:val="eop"/>
          <w:noProof/>
        </w:rPr>
        <w:t xml:space="preserve">satellite. One Member State has already </w:t>
      </w:r>
      <w:r>
        <w:rPr>
          <w:rStyle w:val="eop"/>
          <w:noProof/>
        </w:rPr>
        <w:t>plans for</w:t>
      </w:r>
      <w:r w:rsidRPr="3CE86475">
        <w:rPr>
          <w:rStyle w:val="eop"/>
          <w:noProof/>
        </w:rPr>
        <w:t xml:space="preserve"> vacating DTT from the band beyond 2027.</w:t>
      </w:r>
      <w:r w:rsidRPr="00516125">
        <w:rPr>
          <w:rStyle w:val="eop"/>
          <w:noProof/>
        </w:rPr>
        <w:t xml:space="preserve"> </w:t>
      </w:r>
      <w:r w:rsidRPr="3CE86475">
        <w:rPr>
          <w:rStyle w:val="eop"/>
          <w:noProof/>
        </w:rPr>
        <w:t xml:space="preserve">These variations make a </w:t>
      </w:r>
      <w:r>
        <w:rPr>
          <w:rStyle w:val="eop"/>
          <w:noProof/>
        </w:rPr>
        <w:t>uniform</w:t>
      </w:r>
      <w:r w:rsidRPr="3CE86475">
        <w:rPr>
          <w:rStyle w:val="eop"/>
          <w:noProof/>
        </w:rPr>
        <w:t xml:space="preserve"> EU-wide solution for the long-term use of the band impractical at this stage.</w:t>
      </w:r>
      <w:r w:rsidR="000E1B91" w:rsidRPr="000E1B91">
        <w:rPr>
          <w:rStyle w:val="eop"/>
          <w:noProof/>
        </w:rPr>
        <w:t xml:space="preserve"> </w:t>
      </w:r>
      <w:r w:rsidR="000E1B91">
        <w:rPr>
          <w:rStyle w:val="eop"/>
          <w:noProof/>
        </w:rPr>
        <w:t xml:space="preserve">On </w:t>
      </w:r>
      <w:r w:rsidR="00DB71B8">
        <w:rPr>
          <w:rStyle w:val="eop"/>
          <w:noProof/>
        </w:rPr>
        <w:t>EU</w:t>
      </w:r>
      <w:r w:rsidR="000E1B91">
        <w:rPr>
          <w:rStyle w:val="eop"/>
          <w:noProof/>
        </w:rPr>
        <w:t xml:space="preserve"> average, DTT usage has been </w:t>
      </w:r>
      <w:r w:rsidR="00396510">
        <w:rPr>
          <w:rStyle w:val="eop"/>
          <w:noProof/>
        </w:rPr>
        <w:t>tangib</w:t>
      </w:r>
      <w:r w:rsidR="00F4252B">
        <w:rPr>
          <w:rStyle w:val="eop"/>
          <w:noProof/>
        </w:rPr>
        <w:t xml:space="preserve">ly </w:t>
      </w:r>
      <w:r w:rsidR="000E1B91">
        <w:rPr>
          <w:rStyle w:val="eop"/>
          <w:noProof/>
        </w:rPr>
        <w:t xml:space="preserve">declining in </w:t>
      </w:r>
      <w:r w:rsidR="00FD6A77">
        <w:rPr>
          <w:rStyle w:val="eop"/>
          <w:noProof/>
        </w:rPr>
        <w:t xml:space="preserve">the </w:t>
      </w:r>
      <w:r w:rsidR="000E1B91">
        <w:rPr>
          <w:rStyle w:val="eop"/>
          <w:noProof/>
        </w:rPr>
        <w:t>recent years</w:t>
      </w:r>
      <w:r w:rsidR="000E1B91" w:rsidRPr="00AF5379">
        <w:rPr>
          <w:noProof/>
        </w:rPr>
        <w:t xml:space="preserve"> </w:t>
      </w:r>
      <w:r w:rsidR="000E1B91" w:rsidRPr="00AF5379">
        <w:rPr>
          <w:rStyle w:val="eop"/>
          <w:noProof/>
        </w:rPr>
        <w:t>with the estimated number of DTT households falling from around 52.1 million in 2015 to 34.9 million in 2024 (an overall decline of approximately 33%)</w:t>
      </w:r>
      <w:r w:rsidR="000E1B91">
        <w:rPr>
          <w:rStyle w:val="eop"/>
          <w:noProof/>
        </w:rPr>
        <w:t>.</w:t>
      </w:r>
      <w:r w:rsidR="00760672">
        <w:rPr>
          <w:rStyle w:val="eop"/>
          <w:noProof/>
        </w:rPr>
        <w:t xml:space="preserve"> A more </w:t>
      </w:r>
      <w:r w:rsidR="00796175">
        <w:rPr>
          <w:rStyle w:val="eop"/>
          <w:noProof/>
        </w:rPr>
        <w:t>convergent</w:t>
      </w:r>
      <w:r w:rsidR="00D8100B">
        <w:rPr>
          <w:rStyle w:val="eop"/>
          <w:noProof/>
        </w:rPr>
        <w:t xml:space="preserve"> solution could hence be more likely in </w:t>
      </w:r>
      <w:r w:rsidR="00C42FCC">
        <w:rPr>
          <w:rStyle w:val="eop"/>
          <w:noProof/>
        </w:rPr>
        <w:t>the mid term</w:t>
      </w:r>
      <w:r w:rsidR="00D8100B">
        <w:rPr>
          <w:rStyle w:val="eop"/>
          <w:noProof/>
        </w:rPr>
        <w:t>.</w:t>
      </w:r>
    </w:p>
    <w:bookmarkEnd w:id="33"/>
    <w:p w14:paraId="02B2C6E6" w14:textId="51AAF4BB" w:rsidR="007C0ADA" w:rsidRDefault="000A1718" w:rsidP="007C0ADA">
      <w:pPr>
        <w:pStyle w:val="paragraph"/>
        <w:spacing w:before="0" w:beforeAutospacing="0" w:after="240" w:afterAutospacing="0"/>
        <w:jc w:val="both"/>
        <w:rPr>
          <w:rStyle w:val="eop"/>
          <w:noProof/>
        </w:rPr>
      </w:pPr>
      <w:r>
        <w:rPr>
          <w:rStyle w:val="eop"/>
          <w:noProof/>
        </w:rPr>
        <w:t>For the time being, e</w:t>
      </w:r>
      <w:r w:rsidR="000B66C5">
        <w:rPr>
          <w:rStyle w:val="eop"/>
          <w:noProof/>
        </w:rPr>
        <w:t xml:space="preserve">volving </w:t>
      </w:r>
      <w:r w:rsidR="000B66C5" w:rsidRPr="2FD0666D">
        <w:rPr>
          <w:rStyle w:val="eop"/>
          <w:noProof/>
        </w:rPr>
        <w:t>EU</w:t>
      </w:r>
      <w:r w:rsidR="000B66C5">
        <w:rPr>
          <w:rStyle w:val="eop"/>
          <w:noProof/>
        </w:rPr>
        <w:t>-level spectrum</w:t>
      </w:r>
      <w:r w:rsidR="000B66C5" w:rsidRPr="2FD0666D">
        <w:rPr>
          <w:rStyle w:val="eop"/>
          <w:noProof/>
        </w:rPr>
        <w:t xml:space="preserve"> policy should </w:t>
      </w:r>
      <w:r w:rsidR="000B66C5">
        <w:rPr>
          <w:rStyle w:val="eop"/>
          <w:noProof/>
        </w:rPr>
        <w:t>therefore take into account</w:t>
      </w:r>
      <w:r w:rsidR="000B66C5" w:rsidRPr="2FD0666D">
        <w:rPr>
          <w:rStyle w:val="eop"/>
          <w:noProof/>
        </w:rPr>
        <w:t xml:space="preserve"> national needs </w:t>
      </w:r>
      <w:r w:rsidR="000B66C5">
        <w:rPr>
          <w:rStyle w:val="eop"/>
          <w:noProof/>
        </w:rPr>
        <w:t xml:space="preserve">and </w:t>
      </w:r>
      <w:r w:rsidR="000B66C5" w:rsidRPr="2FD0666D">
        <w:rPr>
          <w:rStyle w:val="eop"/>
          <w:noProof/>
        </w:rPr>
        <w:t>enable both</w:t>
      </w:r>
      <w:r w:rsidR="000B66C5">
        <w:rPr>
          <w:rStyle w:val="eop"/>
          <w:noProof/>
        </w:rPr>
        <w:t>,</w:t>
      </w:r>
      <w:r w:rsidR="000B66C5" w:rsidRPr="2FD0666D">
        <w:rPr>
          <w:rStyle w:val="eop"/>
          <w:noProof/>
        </w:rPr>
        <w:t xml:space="preserve"> continued access for terrestrial broadcasting and audio PMSE</w:t>
      </w:r>
      <w:r w:rsidR="000B66C5">
        <w:rPr>
          <w:rStyle w:val="eop"/>
          <w:noProof/>
        </w:rPr>
        <w:t>,</w:t>
      </w:r>
      <w:r w:rsidR="000B66C5" w:rsidRPr="001B5E54">
        <w:rPr>
          <w:rStyle w:val="eop"/>
          <w:noProof/>
        </w:rPr>
        <w:t xml:space="preserve"> </w:t>
      </w:r>
      <w:r w:rsidR="000B66C5" w:rsidRPr="2FD0666D">
        <w:rPr>
          <w:rStyle w:val="eop"/>
          <w:noProof/>
        </w:rPr>
        <w:t xml:space="preserve">and new uses such as mobile </w:t>
      </w:r>
      <w:r w:rsidR="00164688">
        <w:rPr>
          <w:rStyle w:val="eop"/>
          <w:noProof/>
        </w:rPr>
        <w:t xml:space="preserve">communications </w:t>
      </w:r>
      <w:r w:rsidR="000B66C5" w:rsidRPr="2FD0666D">
        <w:rPr>
          <w:rStyle w:val="eop"/>
          <w:noProof/>
        </w:rPr>
        <w:t>or PPDR, while ensuring coexistence between both</w:t>
      </w:r>
      <w:r w:rsidR="000B66C5">
        <w:rPr>
          <w:rStyle w:val="eop"/>
          <w:noProof/>
        </w:rPr>
        <w:t>, also</w:t>
      </w:r>
      <w:r w:rsidR="000B66C5" w:rsidRPr="2FD0666D">
        <w:rPr>
          <w:rStyle w:val="eop"/>
          <w:noProof/>
        </w:rPr>
        <w:t xml:space="preserve"> across borders. </w:t>
      </w:r>
      <w:r w:rsidR="007C0ADA" w:rsidRPr="2FD0666D">
        <w:rPr>
          <w:rStyle w:val="eop"/>
          <w:noProof/>
        </w:rPr>
        <w:t xml:space="preserve">EU policy should </w:t>
      </w:r>
      <w:r w:rsidR="000B66C5">
        <w:rPr>
          <w:rStyle w:val="eop"/>
          <w:noProof/>
        </w:rPr>
        <w:t>promote</w:t>
      </w:r>
      <w:r w:rsidR="007C0ADA" w:rsidRPr="2FD0666D">
        <w:rPr>
          <w:rStyle w:val="eop"/>
          <w:noProof/>
        </w:rPr>
        <w:t xml:space="preserve"> co-existing scenarios for the long-term use of the sub-700 MHz band across the Member States and allow for different speeds in potentially repurposing the sub-700 MHz spectrum for alternative use cases. This approach necessitates EU-level coordination and a future-proof legal framework, and it will largely depend on a bold regulatory mindset and the availability of appropriate technical solutions. </w:t>
      </w:r>
    </w:p>
    <w:p w14:paraId="1F852300" w14:textId="77777777" w:rsidR="007C0ADA" w:rsidRPr="001F67E1" w:rsidRDefault="007C0ADA" w:rsidP="007C0ADA">
      <w:pPr>
        <w:pStyle w:val="paragraph"/>
        <w:spacing w:before="0" w:beforeAutospacing="0" w:after="240" w:afterAutospacing="0"/>
        <w:jc w:val="both"/>
        <w:textAlignment w:val="baseline"/>
        <w:rPr>
          <w:rStyle w:val="eop"/>
          <w:rFonts w:asciiTheme="minorHAnsi" w:eastAsiaTheme="minorEastAsia" w:hAnsiTheme="minorHAnsi" w:cstheme="minorBidi"/>
          <w:b/>
          <w:noProof/>
          <w:kern w:val="2"/>
          <w:sz w:val="22"/>
          <w:szCs w:val="22"/>
          <w:lang w:eastAsia="en-US"/>
        </w:rPr>
      </w:pPr>
      <w:r w:rsidRPr="3CE86475">
        <w:rPr>
          <w:rStyle w:val="eop"/>
          <w:noProof/>
        </w:rPr>
        <w:t>In this regard, the RSPG Opinion emphasises that any future EU regulatory action should, to the extent feasible</w:t>
      </w:r>
      <w:r>
        <w:rPr>
          <w:rStyle w:val="eop"/>
          <w:noProof/>
        </w:rPr>
        <w:t>:</w:t>
      </w:r>
      <w:r w:rsidRPr="00516125">
        <w:rPr>
          <w:rStyle w:val="eop"/>
          <w:noProof/>
        </w:rPr>
        <w:t xml:space="preserve"> </w:t>
      </w:r>
      <w:r>
        <w:rPr>
          <w:rStyle w:val="eop"/>
          <w:noProof/>
        </w:rPr>
        <w:t>(i)</w:t>
      </w:r>
      <w:r w:rsidRPr="3CE86475">
        <w:rPr>
          <w:rStyle w:val="eop"/>
          <w:noProof/>
        </w:rPr>
        <w:t xml:space="preserve"> facilitate the implementation of various scenarios among Member States</w:t>
      </w:r>
      <w:r>
        <w:rPr>
          <w:rStyle w:val="eop"/>
          <w:noProof/>
        </w:rPr>
        <w:t>;</w:t>
      </w:r>
      <w:r w:rsidRPr="00516125">
        <w:rPr>
          <w:rStyle w:val="eop"/>
          <w:noProof/>
        </w:rPr>
        <w:t xml:space="preserve"> </w:t>
      </w:r>
      <w:r>
        <w:rPr>
          <w:rStyle w:val="eop"/>
          <w:noProof/>
        </w:rPr>
        <w:t>(ii)</w:t>
      </w:r>
      <w:r w:rsidRPr="3CE86475">
        <w:rPr>
          <w:rStyle w:val="eop"/>
          <w:noProof/>
        </w:rPr>
        <w:t xml:space="preserve"> promote the pursuit of compatible uses</w:t>
      </w:r>
      <w:r>
        <w:rPr>
          <w:rStyle w:val="eop"/>
          <w:noProof/>
        </w:rPr>
        <w:t>;</w:t>
      </w:r>
      <w:r w:rsidRPr="3CE86475">
        <w:rPr>
          <w:rStyle w:val="eop"/>
          <w:noProof/>
        </w:rPr>
        <w:t xml:space="preserve"> and </w:t>
      </w:r>
      <w:r>
        <w:rPr>
          <w:rStyle w:val="eop"/>
          <w:noProof/>
        </w:rPr>
        <w:t xml:space="preserve">(iii) </w:t>
      </w:r>
      <w:r w:rsidRPr="3CE86475">
        <w:rPr>
          <w:rStyle w:val="eop"/>
          <w:noProof/>
        </w:rPr>
        <w:t xml:space="preserve">focus on the means to achieve them. In the same vein, the RSPG Report underlines the need for a flexible, forward-looking framework that recognises the continued importance of DTT and audio PMSE in some Member States, while also addressing the demand for other uses, such as mobile broadband, in </w:t>
      </w:r>
      <w:r w:rsidRPr="00516125">
        <w:rPr>
          <w:rStyle w:val="eop"/>
          <w:noProof/>
        </w:rPr>
        <w:t>other</w:t>
      </w:r>
      <w:r>
        <w:rPr>
          <w:rStyle w:val="eop"/>
          <w:noProof/>
        </w:rPr>
        <w:t xml:space="preserve"> Member State</w:t>
      </w:r>
      <w:r w:rsidRPr="00516125">
        <w:rPr>
          <w:rStyle w:val="eop"/>
          <w:noProof/>
        </w:rPr>
        <w:t>s</w:t>
      </w:r>
      <w:r w:rsidRPr="3CE86475">
        <w:rPr>
          <w:rStyle w:val="eop"/>
          <w:noProof/>
        </w:rPr>
        <w:t>.</w:t>
      </w:r>
    </w:p>
    <w:p w14:paraId="519C6861" w14:textId="18A5ABED" w:rsidR="007C0ADA" w:rsidRPr="00F03FEF" w:rsidRDefault="007C0ADA" w:rsidP="007C0ADA">
      <w:pPr>
        <w:pStyle w:val="paragraph"/>
        <w:spacing w:before="0" w:beforeAutospacing="0" w:after="240" w:afterAutospacing="0"/>
        <w:jc w:val="both"/>
        <w:rPr>
          <w:rStyle w:val="eop"/>
          <w:rFonts w:eastAsiaTheme="minorEastAsia"/>
          <w:b/>
          <w:noProof/>
        </w:rPr>
      </w:pPr>
      <w:r w:rsidRPr="3CE86475">
        <w:rPr>
          <w:rStyle w:val="eop"/>
          <w:noProof/>
        </w:rPr>
        <w:t xml:space="preserve">From a spectrum management perspective, </w:t>
      </w:r>
      <w:r w:rsidRPr="00516125">
        <w:rPr>
          <w:rStyle w:val="eop"/>
          <w:noProof/>
        </w:rPr>
        <w:t xml:space="preserve">an overarching EU policy objective </w:t>
      </w:r>
      <w:r>
        <w:rPr>
          <w:rStyle w:val="eop"/>
          <w:noProof/>
        </w:rPr>
        <w:t xml:space="preserve">should continue to be </w:t>
      </w:r>
      <w:r w:rsidRPr="3CE86475">
        <w:rPr>
          <w:rStyle w:val="eop"/>
          <w:noProof/>
        </w:rPr>
        <w:t>ensuring the effective and efficient use of the 470</w:t>
      </w:r>
      <w:r>
        <w:rPr>
          <w:rStyle w:val="eop"/>
          <w:noProof/>
        </w:rPr>
        <w:t>-</w:t>
      </w:r>
      <w:r w:rsidRPr="3CE86475">
        <w:rPr>
          <w:rStyle w:val="eop"/>
          <w:noProof/>
        </w:rPr>
        <w:t>694</w:t>
      </w:r>
      <w:r>
        <w:rPr>
          <w:rStyle w:val="eop"/>
          <w:noProof/>
        </w:rPr>
        <w:t> </w:t>
      </w:r>
      <w:r w:rsidRPr="3CE86475">
        <w:rPr>
          <w:rStyle w:val="eop"/>
          <w:noProof/>
        </w:rPr>
        <w:t>MHz band</w:t>
      </w:r>
      <w:r w:rsidR="000B66C5" w:rsidRPr="000B66C5">
        <w:rPr>
          <w:rStyle w:val="eop"/>
          <w:noProof/>
        </w:rPr>
        <w:t xml:space="preserve"> </w:t>
      </w:r>
      <w:r w:rsidR="000B66C5">
        <w:rPr>
          <w:rStyle w:val="eop"/>
          <w:noProof/>
        </w:rPr>
        <w:t>within a coordinated and differentiated approach</w:t>
      </w:r>
      <w:r w:rsidRPr="3CE86475">
        <w:rPr>
          <w:rStyle w:val="eop"/>
          <w:noProof/>
        </w:rPr>
        <w:t xml:space="preserve"> respecting the diversity of national circumstances</w:t>
      </w:r>
      <w:r w:rsidR="00E550E9">
        <w:rPr>
          <w:rStyle w:val="eop"/>
          <w:noProof/>
        </w:rPr>
        <w:t xml:space="preserve">, </w:t>
      </w:r>
      <w:r w:rsidR="00E550E9" w:rsidRPr="00E550E9">
        <w:rPr>
          <w:rStyle w:val="eop"/>
          <w:noProof/>
        </w:rPr>
        <w:t>while preserving the flexibility needed to respond to future technological developments, evolving connectivity requirements and emerging spectrum demands</w:t>
      </w:r>
      <w:r w:rsidRPr="3CE86475">
        <w:rPr>
          <w:rStyle w:val="eop"/>
          <w:noProof/>
        </w:rPr>
        <w:t xml:space="preserve">.Striking </w:t>
      </w:r>
      <w:r w:rsidR="000B66C5">
        <w:rPr>
          <w:rStyle w:val="eop"/>
          <w:noProof/>
        </w:rPr>
        <w:t>the</w:t>
      </w:r>
      <w:r w:rsidR="000B66C5" w:rsidRPr="3CE86475">
        <w:rPr>
          <w:rStyle w:val="eop"/>
          <w:noProof/>
        </w:rPr>
        <w:t xml:space="preserve"> </w:t>
      </w:r>
      <w:r w:rsidRPr="3CE86475">
        <w:rPr>
          <w:rStyle w:val="eop"/>
          <w:noProof/>
        </w:rPr>
        <w:t xml:space="preserve">challenging balance </w:t>
      </w:r>
      <w:r w:rsidR="008E4246">
        <w:rPr>
          <w:rStyle w:val="eop"/>
          <w:noProof/>
        </w:rPr>
        <w:t xml:space="preserve">on </w:t>
      </w:r>
      <w:r w:rsidR="008C773B">
        <w:rPr>
          <w:rStyle w:val="eop"/>
          <w:noProof/>
        </w:rPr>
        <w:t>a</w:t>
      </w:r>
      <w:r w:rsidR="008E4246">
        <w:rPr>
          <w:rStyle w:val="eop"/>
          <w:noProof/>
        </w:rPr>
        <w:t xml:space="preserve"> path of transition</w:t>
      </w:r>
      <w:r w:rsidR="000B66C5">
        <w:rPr>
          <w:rStyle w:val="eop"/>
          <w:noProof/>
        </w:rPr>
        <w:t xml:space="preserve"> </w:t>
      </w:r>
      <w:r w:rsidRPr="3CE86475">
        <w:rPr>
          <w:rStyle w:val="eop"/>
          <w:noProof/>
        </w:rPr>
        <w:t xml:space="preserve">seems feasible at EU level </w:t>
      </w:r>
      <w:r>
        <w:rPr>
          <w:rStyle w:val="eop"/>
          <w:noProof/>
        </w:rPr>
        <w:t>but</w:t>
      </w:r>
      <w:r w:rsidRPr="00516125">
        <w:rPr>
          <w:rStyle w:val="eop"/>
          <w:noProof/>
        </w:rPr>
        <w:t xml:space="preserve"> </w:t>
      </w:r>
      <w:r w:rsidRPr="3CE86475">
        <w:rPr>
          <w:rStyle w:val="eop"/>
          <w:noProof/>
        </w:rPr>
        <w:t xml:space="preserve">relies </w:t>
      </w:r>
      <w:r w:rsidRPr="00516125">
        <w:rPr>
          <w:rStyle w:val="eop"/>
          <w:noProof/>
        </w:rPr>
        <w:t xml:space="preserve">heavily </w:t>
      </w:r>
      <w:r w:rsidRPr="3CE86475">
        <w:rPr>
          <w:rStyle w:val="eop"/>
          <w:noProof/>
        </w:rPr>
        <w:t xml:space="preserve">on </w:t>
      </w:r>
      <w:r w:rsidRPr="00516125">
        <w:rPr>
          <w:rStyle w:val="eop"/>
          <w:noProof/>
        </w:rPr>
        <w:t>intens</w:t>
      </w:r>
      <w:r>
        <w:rPr>
          <w:rStyle w:val="eop"/>
          <w:noProof/>
        </w:rPr>
        <w:t>iv</w:t>
      </w:r>
      <w:r w:rsidRPr="00516125">
        <w:rPr>
          <w:rStyle w:val="eop"/>
          <w:noProof/>
        </w:rPr>
        <w:t>e</w:t>
      </w:r>
      <w:r w:rsidRPr="3CE86475">
        <w:rPr>
          <w:rStyle w:val="eop"/>
          <w:noProof/>
        </w:rPr>
        <w:t xml:space="preserve"> cooperation and preparatory work </w:t>
      </w:r>
      <w:r>
        <w:rPr>
          <w:rStyle w:val="eop"/>
          <w:noProof/>
        </w:rPr>
        <w:t>by</w:t>
      </w:r>
      <w:r w:rsidRPr="00516125">
        <w:rPr>
          <w:rStyle w:val="eop"/>
          <w:noProof/>
        </w:rPr>
        <w:t xml:space="preserve"> </w:t>
      </w:r>
      <w:r w:rsidRPr="3CE86475">
        <w:rPr>
          <w:rStyle w:val="eop"/>
          <w:noProof/>
        </w:rPr>
        <w:t>Member States</w:t>
      </w:r>
      <w:r>
        <w:rPr>
          <w:rStyle w:val="eop"/>
          <w:noProof/>
        </w:rPr>
        <w:t xml:space="preserve"> and the Commission</w:t>
      </w:r>
      <w:r w:rsidRPr="3CE86475">
        <w:rPr>
          <w:rStyle w:val="eop"/>
          <w:noProof/>
        </w:rPr>
        <w:t xml:space="preserve"> for the</w:t>
      </w:r>
      <w:r>
        <w:rPr>
          <w:rStyle w:val="eop"/>
          <w:noProof/>
        </w:rPr>
        <w:t xml:space="preserve"> post-</w:t>
      </w:r>
      <w:r w:rsidRPr="3CE86475">
        <w:rPr>
          <w:rStyle w:val="eop"/>
          <w:noProof/>
        </w:rPr>
        <w:t>2030</w:t>
      </w:r>
      <w:r>
        <w:rPr>
          <w:rStyle w:val="eop"/>
          <w:noProof/>
        </w:rPr>
        <w:t xml:space="preserve"> period</w:t>
      </w:r>
      <w:r w:rsidRPr="3CE86475">
        <w:rPr>
          <w:rStyle w:val="eop"/>
          <w:noProof/>
        </w:rPr>
        <w:t>.</w:t>
      </w:r>
    </w:p>
    <w:p w14:paraId="785D369D" w14:textId="77777777" w:rsidR="007C0ADA" w:rsidRPr="00F03FEF" w:rsidRDefault="007C0ADA" w:rsidP="007C0ADA">
      <w:pPr>
        <w:rPr>
          <w:rStyle w:val="eop"/>
          <w:b/>
          <w:noProof/>
          <w:kern w:val="0"/>
        </w:rPr>
      </w:pPr>
      <w:r w:rsidRPr="00F03FEF">
        <w:rPr>
          <w:rStyle w:val="eop"/>
          <w:noProof/>
        </w:rPr>
        <w:br w:type="page"/>
      </w:r>
    </w:p>
    <w:p w14:paraId="2B051C06" w14:textId="77777777" w:rsidR="007C0ADA" w:rsidRPr="00E130FA" w:rsidRDefault="007C0ADA" w:rsidP="007C0ADA">
      <w:pPr>
        <w:pStyle w:val="Heading1"/>
        <w:spacing w:after="240"/>
        <w:jc w:val="center"/>
        <w:rPr>
          <w:rFonts w:ascii="Times New Roman" w:hAnsi="Times New Roman" w:cs="Times New Roman"/>
          <w:noProof/>
          <w:color w:val="auto"/>
          <w:sz w:val="28"/>
          <w:szCs w:val="32"/>
        </w:rPr>
      </w:pPr>
      <w:r w:rsidRPr="00E130FA">
        <w:rPr>
          <w:rFonts w:ascii="Times New Roman" w:hAnsi="Times New Roman" w:cs="Times New Roman"/>
          <w:b/>
          <w:noProof/>
          <w:color w:val="auto"/>
          <w:sz w:val="28"/>
          <w:szCs w:val="32"/>
        </w:rPr>
        <w:t>APPENDIX</w:t>
      </w:r>
    </w:p>
    <w:p w14:paraId="7E10D6BC" w14:textId="77777777" w:rsidR="007C0ADA" w:rsidRPr="00B54ECF" w:rsidRDefault="007C0ADA" w:rsidP="007C0ADA">
      <w:pPr>
        <w:pStyle w:val="paragraph"/>
        <w:spacing w:before="0" w:beforeAutospacing="0" w:after="0" w:afterAutospacing="0"/>
        <w:jc w:val="both"/>
        <w:rPr>
          <w:rStyle w:val="eop"/>
          <w:noProof/>
        </w:rPr>
      </w:pPr>
      <w:r w:rsidRPr="00B54ECF">
        <w:rPr>
          <w:rStyle w:val="eop"/>
          <w:noProof/>
        </w:rPr>
        <w:t>List of abbreviations</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35"/>
        <w:gridCol w:w="6953"/>
      </w:tblGrid>
      <w:tr w:rsidR="007C0ADA" w:rsidRPr="00B54ECF" w14:paraId="206185DB" w14:textId="77777777" w:rsidTr="00021A76">
        <w:trPr>
          <w:trHeight w:val="300"/>
        </w:trPr>
        <w:tc>
          <w:tcPr>
            <w:tcW w:w="2035" w:type="dxa"/>
            <w:tcMar>
              <w:left w:w="108" w:type="dxa"/>
              <w:right w:w="108" w:type="dxa"/>
            </w:tcMar>
          </w:tcPr>
          <w:p w14:paraId="670AF237" w14:textId="77777777" w:rsidR="007C0ADA" w:rsidRPr="00B54ECF" w:rsidRDefault="007C0ADA" w:rsidP="00021A76">
            <w:pPr>
              <w:rPr>
                <w:rStyle w:val="eop"/>
                <w:rFonts w:ascii="Times New Roman" w:eastAsia="Times New Roman" w:hAnsi="Times New Roman" w:cs="Times New Roman"/>
                <w:b/>
                <w:noProof/>
                <w:sz w:val="24"/>
                <w:szCs w:val="24"/>
              </w:rPr>
            </w:pPr>
            <w:r w:rsidRPr="00B54ECF">
              <w:rPr>
                <w:rStyle w:val="eop"/>
                <w:rFonts w:ascii="Times New Roman" w:eastAsia="Times New Roman" w:hAnsi="Times New Roman" w:cs="Times New Roman"/>
                <w:noProof/>
                <w:sz w:val="24"/>
                <w:szCs w:val="24"/>
                <w:lang w:eastAsia="en-IE"/>
              </w:rPr>
              <w:t>Abbreviation</w:t>
            </w:r>
          </w:p>
        </w:tc>
        <w:tc>
          <w:tcPr>
            <w:tcW w:w="6953" w:type="dxa"/>
            <w:tcMar>
              <w:left w:w="108" w:type="dxa"/>
              <w:right w:w="108" w:type="dxa"/>
            </w:tcMar>
          </w:tcPr>
          <w:p w14:paraId="29FB1501" w14:textId="77777777" w:rsidR="007C0ADA" w:rsidRPr="00B54ECF" w:rsidRDefault="007C0ADA" w:rsidP="00021A76">
            <w:pPr>
              <w:rPr>
                <w:rStyle w:val="eop"/>
                <w:rFonts w:ascii="Times New Roman" w:eastAsia="Times New Roman" w:hAnsi="Times New Roman" w:cs="Times New Roman"/>
                <w:b/>
                <w:bCs/>
                <w:noProof/>
                <w:sz w:val="24"/>
                <w:szCs w:val="24"/>
              </w:rPr>
            </w:pPr>
            <w:r w:rsidRPr="00B54ECF">
              <w:rPr>
                <w:rStyle w:val="eop"/>
                <w:rFonts w:ascii="Times New Roman" w:eastAsia="Times New Roman" w:hAnsi="Times New Roman" w:cs="Times New Roman"/>
                <w:noProof/>
                <w:sz w:val="24"/>
                <w:szCs w:val="24"/>
                <w:lang w:eastAsia="en-IE"/>
              </w:rPr>
              <w:t xml:space="preserve">Explanation </w:t>
            </w:r>
          </w:p>
        </w:tc>
      </w:tr>
      <w:tr w:rsidR="007C0ADA" w:rsidRPr="00B54ECF" w14:paraId="5813A79B" w14:textId="77777777" w:rsidTr="00021A76">
        <w:trPr>
          <w:trHeight w:val="300"/>
        </w:trPr>
        <w:tc>
          <w:tcPr>
            <w:tcW w:w="2035" w:type="dxa"/>
            <w:tcMar>
              <w:left w:w="108" w:type="dxa"/>
              <w:right w:w="108" w:type="dxa"/>
            </w:tcMar>
          </w:tcPr>
          <w:p w14:paraId="5858E8C4"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5BSTF</w:t>
            </w:r>
          </w:p>
        </w:tc>
        <w:tc>
          <w:tcPr>
            <w:tcW w:w="6953" w:type="dxa"/>
            <w:tcMar>
              <w:left w:w="108" w:type="dxa"/>
              <w:right w:w="108" w:type="dxa"/>
            </w:tcMar>
          </w:tcPr>
          <w:p w14:paraId="65E6889C"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5G Broadcast Strategic Task Force</w:t>
            </w:r>
          </w:p>
        </w:tc>
      </w:tr>
      <w:tr w:rsidR="00846CAF" w:rsidRPr="00B54ECF" w14:paraId="2B886EF4" w14:textId="77777777" w:rsidTr="00021A76">
        <w:trPr>
          <w:trHeight w:val="300"/>
        </w:trPr>
        <w:tc>
          <w:tcPr>
            <w:tcW w:w="2035" w:type="dxa"/>
            <w:tcMar>
              <w:left w:w="108" w:type="dxa"/>
              <w:right w:w="108" w:type="dxa"/>
            </w:tcMar>
          </w:tcPr>
          <w:p w14:paraId="6DA3226C" w14:textId="64771CBE" w:rsidR="00846CAF" w:rsidRPr="00B54ECF" w:rsidRDefault="00846CAF" w:rsidP="00021A76">
            <w:pPr>
              <w:rPr>
                <w:rStyle w:val="eop"/>
                <w:rFonts w:ascii="Times New Roman" w:eastAsia="Times New Roman" w:hAnsi="Times New Roman" w:cs="Times New Roman"/>
                <w:noProof/>
                <w:lang w:eastAsia="en-IE"/>
              </w:rPr>
            </w:pPr>
            <w:r>
              <w:rPr>
                <w:rStyle w:val="eop"/>
                <w:rFonts w:ascii="Times New Roman" w:eastAsia="Times New Roman" w:hAnsi="Times New Roman" w:cs="Times New Roman"/>
                <w:noProof/>
                <w:lang w:eastAsia="en-IE"/>
              </w:rPr>
              <w:t>AI</w:t>
            </w:r>
          </w:p>
        </w:tc>
        <w:tc>
          <w:tcPr>
            <w:tcW w:w="6953" w:type="dxa"/>
            <w:tcMar>
              <w:left w:w="108" w:type="dxa"/>
              <w:right w:w="108" w:type="dxa"/>
            </w:tcMar>
          </w:tcPr>
          <w:p w14:paraId="266C8072" w14:textId="77F5445E" w:rsidR="00846CAF" w:rsidRPr="00B54ECF" w:rsidRDefault="00846CAF" w:rsidP="00021A76">
            <w:pPr>
              <w:rPr>
                <w:rStyle w:val="eop"/>
                <w:rFonts w:ascii="Times New Roman" w:eastAsia="Times New Roman" w:hAnsi="Times New Roman" w:cs="Times New Roman"/>
                <w:noProof/>
                <w:lang w:eastAsia="en-IE"/>
              </w:rPr>
            </w:pPr>
            <w:r>
              <w:rPr>
                <w:rStyle w:val="eop"/>
                <w:rFonts w:ascii="Times New Roman" w:eastAsia="Times New Roman" w:hAnsi="Times New Roman" w:cs="Times New Roman"/>
                <w:noProof/>
                <w:lang w:eastAsia="en-IE"/>
              </w:rPr>
              <w:t>A</w:t>
            </w:r>
            <w:r w:rsidRPr="00846CAF">
              <w:rPr>
                <w:rStyle w:val="eop"/>
                <w:rFonts w:ascii="Times New Roman" w:eastAsia="Times New Roman" w:hAnsi="Times New Roman" w:cs="Times New Roman"/>
                <w:noProof/>
                <w:lang w:eastAsia="en-IE"/>
              </w:rPr>
              <w:t xml:space="preserve">rtificial </w:t>
            </w:r>
            <w:r>
              <w:rPr>
                <w:rStyle w:val="eop"/>
                <w:rFonts w:ascii="Times New Roman" w:eastAsia="Times New Roman" w:hAnsi="Times New Roman" w:cs="Times New Roman"/>
                <w:noProof/>
                <w:lang w:eastAsia="en-IE"/>
              </w:rPr>
              <w:t>I</w:t>
            </w:r>
            <w:r w:rsidRPr="00846CAF">
              <w:rPr>
                <w:rStyle w:val="eop"/>
                <w:rFonts w:ascii="Times New Roman" w:eastAsia="Times New Roman" w:hAnsi="Times New Roman" w:cs="Times New Roman"/>
                <w:noProof/>
                <w:lang w:eastAsia="en-IE"/>
              </w:rPr>
              <w:t xml:space="preserve">ntelligence </w:t>
            </w:r>
          </w:p>
        </w:tc>
      </w:tr>
      <w:tr w:rsidR="007C0ADA" w:rsidRPr="00B54ECF" w14:paraId="5BC40DF2" w14:textId="77777777" w:rsidTr="00021A76">
        <w:trPr>
          <w:trHeight w:val="300"/>
        </w:trPr>
        <w:tc>
          <w:tcPr>
            <w:tcW w:w="2035" w:type="dxa"/>
            <w:tcMar>
              <w:left w:w="108" w:type="dxa"/>
              <w:right w:w="108" w:type="dxa"/>
            </w:tcMar>
          </w:tcPr>
          <w:p w14:paraId="0511C479"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 xml:space="preserve">AV </w:t>
            </w:r>
          </w:p>
        </w:tc>
        <w:tc>
          <w:tcPr>
            <w:tcW w:w="6953" w:type="dxa"/>
            <w:tcMar>
              <w:left w:w="108" w:type="dxa"/>
              <w:right w:w="108" w:type="dxa"/>
            </w:tcMar>
          </w:tcPr>
          <w:p w14:paraId="15AAFD4C"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 xml:space="preserve">Audiovisual </w:t>
            </w:r>
          </w:p>
        </w:tc>
      </w:tr>
      <w:tr w:rsidR="007C0ADA" w:rsidRPr="00B54ECF" w14:paraId="3D5A618B" w14:textId="77777777" w:rsidTr="00021A76">
        <w:trPr>
          <w:trHeight w:val="300"/>
        </w:trPr>
        <w:tc>
          <w:tcPr>
            <w:tcW w:w="2035" w:type="dxa"/>
            <w:tcMar>
              <w:left w:w="108" w:type="dxa"/>
              <w:right w:w="108" w:type="dxa"/>
            </w:tcMar>
          </w:tcPr>
          <w:p w14:paraId="0B57E5BE" w14:textId="77777777" w:rsidR="007C0ADA" w:rsidRPr="00F12A37" w:rsidRDefault="007C0ADA" w:rsidP="00021A76">
            <w:pPr>
              <w:rPr>
                <w:rStyle w:val="eop"/>
                <w:rFonts w:ascii="Times New Roman" w:eastAsia="Times New Roman" w:hAnsi="Times New Roman" w:cs="Times New Roman"/>
                <w:noProof/>
                <w:sz w:val="24"/>
                <w:szCs w:val="24"/>
                <w:lang w:eastAsia="en-IE"/>
              </w:rPr>
            </w:pPr>
            <w:r w:rsidRPr="00F12A37">
              <w:rPr>
                <w:rStyle w:val="eop"/>
                <w:rFonts w:ascii="Times New Roman" w:eastAsia="Times New Roman" w:hAnsi="Times New Roman" w:cs="Times New Roman"/>
                <w:noProof/>
                <w:sz w:val="24"/>
                <w:szCs w:val="24"/>
                <w:lang w:eastAsia="en-IE"/>
              </w:rPr>
              <w:t>AVC</w:t>
            </w:r>
          </w:p>
        </w:tc>
        <w:tc>
          <w:tcPr>
            <w:tcW w:w="6953" w:type="dxa"/>
            <w:tcMar>
              <w:left w:w="108" w:type="dxa"/>
              <w:right w:w="108" w:type="dxa"/>
            </w:tcMar>
          </w:tcPr>
          <w:p w14:paraId="461561EB" w14:textId="77777777" w:rsidR="007C0ADA" w:rsidRPr="00F12A37" w:rsidRDefault="007C0ADA" w:rsidP="00021A76">
            <w:pPr>
              <w:rPr>
                <w:rStyle w:val="eop"/>
                <w:rFonts w:ascii="Times New Roman" w:eastAsia="Times New Roman" w:hAnsi="Times New Roman" w:cs="Times New Roman"/>
                <w:noProof/>
                <w:sz w:val="24"/>
                <w:szCs w:val="24"/>
                <w:lang w:eastAsia="en-IE"/>
              </w:rPr>
            </w:pPr>
            <w:r w:rsidRPr="00F12A37">
              <w:rPr>
                <w:rStyle w:val="eop"/>
                <w:rFonts w:ascii="Times New Roman" w:eastAsia="Times New Roman" w:hAnsi="Times New Roman" w:cs="Times New Roman"/>
                <w:noProof/>
                <w:sz w:val="24"/>
                <w:szCs w:val="24"/>
                <w:lang w:eastAsia="en-IE"/>
              </w:rPr>
              <w:t>Advanced Video Coding</w:t>
            </w:r>
          </w:p>
        </w:tc>
      </w:tr>
      <w:tr w:rsidR="007C0ADA" w:rsidRPr="00B54ECF" w14:paraId="6775C6F7" w14:textId="77777777" w:rsidTr="00021A76">
        <w:trPr>
          <w:trHeight w:val="300"/>
        </w:trPr>
        <w:tc>
          <w:tcPr>
            <w:tcW w:w="2035" w:type="dxa"/>
            <w:tcMar>
              <w:left w:w="108" w:type="dxa"/>
              <w:right w:w="108" w:type="dxa"/>
            </w:tcMar>
          </w:tcPr>
          <w:p w14:paraId="4F5CDDEC" w14:textId="77777777" w:rsidR="007C0ADA" w:rsidRPr="00F12A37" w:rsidRDefault="007C0ADA" w:rsidP="00021A76">
            <w:pPr>
              <w:rPr>
                <w:rStyle w:val="eop"/>
                <w:noProof/>
                <w:lang w:eastAsia="en-IE"/>
              </w:rPr>
            </w:pPr>
            <w:r w:rsidRPr="002753D9">
              <w:rPr>
                <w:rStyle w:val="eop"/>
                <w:rFonts w:ascii="Times New Roman" w:eastAsia="Times New Roman" w:hAnsi="Times New Roman" w:cs="Times New Roman"/>
                <w:noProof/>
                <w:lang w:eastAsia="en-IE"/>
              </w:rPr>
              <w:t>BVoD</w:t>
            </w:r>
          </w:p>
        </w:tc>
        <w:tc>
          <w:tcPr>
            <w:tcW w:w="6953" w:type="dxa"/>
            <w:tcMar>
              <w:left w:w="108" w:type="dxa"/>
              <w:right w:w="108" w:type="dxa"/>
            </w:tcMar>
          </w:tcPr>
          <w:p w14:paraId="38BA8B10" w14:textId="77777777" w:rsidR="007C0ADA" w:rsidRPr="00F12A37" w:rsidRDefault="007C0ADA" w:rsidP="00021A76">
            <w:pPr>
              <w:rPr>
                <w:rStyle w:val="eop"/>
                <w:noProof/>
                <w:lang w:eastAsia="en-IE"/>
              </w:rPr>
            </w:pPr>
            <w:r w:rsidRPr="00B54ECF">
              <w:rPr>
                <w:rStyle w:val="eop"/>
                <w:rFonts w:ascii="Times New Roman" w:eastAsia="Times New Roman" w:hAnsi="Times New Roman" w:cs="Times New Roman"/>
                <w:noProof/>
                <w:sz w:val="24"/>
                <w:szCs w:val="24"/>
                <w:lang w:eastAsia="en-IE"/>
              </w:rPr>
              <w:t xml:space="preserve">Broadcaster </w:t>
            </w:r>
            <w:r>
              <w:rPr>
                <w:rStyle w:val="eop"/>
                <w:rFonts w:ascii="Times New Roman" w:eastAsia="Times New Roman" w:hAnsi="Times New Roman" w:cs="Times New Roman"/>
                <w:noProof/>
                <w:sz w:val="24"/>
                <w:szCs w:val="24"/>
                <w:lang w:eastAsia="en-IE"/>
              </w:rPr>
              <w:t>v</w:t>
            </w:r>
            <w:r w:rsidRPr="00516125">
              <w:rPr>
                <w:rStyle w:val="eop"/>
                <w:rFonts w:ascii="Times New Roman" w:eastAsia="Times New Roman" w:hAnsi="Times New Roman" w:cs="Times New Roman"/>
                <w:noProof/>
                <w:sz w:val="24"/>
                <w:szCs w:val="24"/>
                <w:lang w:eastAsia="en-IE"/>
              </w:rPr>
              <w:t>ideo</w:t>
            </w:r>
            <w:r>
              <w:rPr>
                <w:rStyle w:val="eop"/>
                <w:rFonts w:ascii="Times New Roman" w:eastAsia="Times New Roman" w:hAnsi="Times New Roman" w:cs="Times New Roman"/>
                <w:noProof/>
                <w:sz w:val="24"/>
                <w:szCs w:val="24"/>
                <w:lang w:eastAsia="en-IE"/>
              </w:rPr>
              <w:t xml:space="preserve"> </w:t>
            </w:r>
            <w:r w:rsidRPr="00B54ECF">
              <w:rPr>
                <w:rStyle w:val="eop"/>
                <w:rFonts w:ascii="Times New Roman" w:eastAsia="Times New Roman" w:hAnsi="Times New Roman" w:cs="Times New Roman"/>
                <w:noProof/>
                <w:sz w:val="24"/>
                <w:szCs w:val="24"/>
                <w:lang w:eastAsia="en-IE"/>
              </w:rPr>
              <w:t>on</w:t>
            </w:r>
            <w:r>
              <w:rPr>
                <w:rStyle w:val="eop"/>
                <w:rFonts w:ascii="Times New Roman" w:eastAsia="Times New Roman" w:hAnsi="Times New Roman" w:cs="Times New Roman"/>
                <w:noProof/>
                <w:sz w:val="24"/>
                <w:szCs w:val="24"/>
                <w:lang w:eastAsia="en-IE"/>
              </w:rPr>
              <w:t xml:space="preserve"> d</w:t>
            </w:r>
            <w:r w:rsidRPr="00B54ECF">
              <w:rPr>
                <w:rStyle w:val="eop"/>
                <w:rFonts w:ascii="Times New Roman" w:eastAsia="Times New Roman" w:hAnsi="Times New Roman" w:cs="Times New Roman"/>
                <w:noProof/>
                <w:sz w:val="24"/>
                <w:szCs w:val="24"/>
                <w:lang w:eastAsia="en-IE"/>
              </w:rPr>
              <w:t>emand refers to video-on-demand services created by traditional television</w:t>
            </w:r>
            <w:r w:rsidRPr="00F12A37">
              <w:rPr>
                <w:rStyle w:val="eop"/>
                <w:noProof/>
                <w:lang w:eastAsia="en-IE"/>
              </w:rPr>
              <w:t xml:space="preserve"> broadcasters. </w:t>
            </w:r>
          </w:p>
        </w:tc>
      </w:tr>
      <w:tr w:rsidR="007C0ADA" w:rsidRPr="00B54ECF" w14:paraId="3E28335F" w14:textId="77777777" w:rsidTr="00021A76">
        <w:trPr>
          <w:trHeight w:val="300"/>
        </w:trPr>
        <w:tc>
          <w:tcPr>
            <w:tcW w:w="2035" w:type="dxa"/>
            <w:tcMar>
              <w:left w:w="108" w:type="dxa"/>
              <w:right w:w="108" w:type="dxa"/>
            </w:tcMar>
          </w:tcPr>
          <w:p w14:paraId="2C5EEFFC"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BNE</w:t>
            </w:r>
          </w:p>
        </w:tc>
        <w:tc>
          <w:tcPr>
            <w:tcW w:w="6953" w:type="dxa"/>
            <w:tcMar>
              <w:left w:w="108" w:type="dxa"/>
              <w:right w:w="108" w:type="dxa"/>
            </w:tcMar>
          </w:tcPr>
          <w:p w14:paraId="512972DC"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Broadcast Networks Europe</w:t>
            </w:r>
          </w:p>
        </w:tc>
      </w:tr>
      <w:tr w:rsidR="007C0ADA" w:rsidRPr="00B54ECF" w14:paraId="6FFCA7B2" w14:textId="77777777" w:rsidTr="00021A76">
        <w:trPr>
          <w:trHeight w:val="300"/>
        </w:trPr>
        <w:tc>
          <w:tcPr>
            <w:tcW w:w="2035" w:type="dxa"/>
            <w:tcMar>
              <w:left w:w="108" w:type="dxa"/>
              <w:right w:w="108" w:type="dxa"/>
            </w:tcMar>
          </w:tcPr>
          <w:p w14:paraId="274787FF" w14:textId="77777777" w:rsidR="007C0ADA" w:rsidRPr="00F12A37" w:rsidRDefault="007C0ADA" w:rsidP="00021A76">
            <w:pPr>
              <w:rPr>
                <w:rStyle w:val="eop"/>
                <w:rFonts w:eastAsia="Times New Roman" w:cs="Times New Roman"/>
                <w:noProof/>
                <w:szCs w:val="24"/>
                <w:lang w:eastAsia="en-IE"/>
              </w:rPr>
            </w:pPr>
            <w:r w:rsidRPr="00F12A37">
              <w:rPr>
                <w:rStyle w:val="eop"/>
                <w:rFonts w:eastAsia="Times New Roman" w:cs="Times New Roman"/>
                <w:noProof/>
                <w:sz w:val="24"/>
                <w:szCs w:val="24"/>
                <w:lang w:eastAsia="en-IE"/>
              </w:rPr>
              <w:t>BWA</w:t>
            </w:r>
          </w:p>
        </w:tc>
        <w:tc>
          <w:tcPr>
            <w:tcW w:w="6953" w:type="dxa"/>
            <w:tcMar>
              <w:left w:w="108" w:type="dxa"/>
              <w:right w:w="108" w:type="dxa"/>
            </w:tcMar>
          </w:tcPr>
          <w:p w14:paraId="7E391C39"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 xml:space="preserve">Broadband </w:t>
            </w:r>
            <w:r>
              <w:rPr>
                <w:rStyle w:val="eop"/>
                <w:rFonts w:ascii="Times New Roman" w:eastAsia="Times New Roman" w:hAnsi="Times New Roman" w:cs="Times New Roman"/>
                <w:noProof/>
                <w:sz w:val="24"/>
                <w:szCs w:val="24"/>
                <w:lang w:eastAsia="en-IE"/>
              </w:rPr>
              <w:t>w</w:t>
            </w:r>
            <w:r w:rsidRPr="00516125">
              <w:rPr>
                <w:rStyle w:val="eop"/>
                <w:rFonts w:ascii="Times New Roman" w:eastAsia="Times New Roman" w:hAnsi="Times New Roman" w:cs="Times New Roman"/>
                <w:noProof/>
                <w:sz w:val="24"/>
                <w:szCs w:val="24"/>
                <w:lang w:eastAsia="en-IE"/>
              </w:rPr>
              <w:t xml:space="preserve">ireless </w:t>
            </w:r>
            <w:r>
              <w:rPr>
                <w:rStyle w:val="eop"/>
                <w:rFonts w:ascii="Times New Roman" w:eastAsia="Times New Roman" w:hAnsi="Times New Roman" w:cs="Times New Roman"/>
                <w:noProof/>
                <w:sz w:val="24"/>
                <w:szCs w:val="24"/>
                <w:lang w:eastAsia="en-IE"/>
              </w:rPr>
              <w:t>a</w:t>
            </w:r>
            <w:r w:rsidRPr="00B54ECF">
              <w:rPr>
                <w:rStyle w:val="eop"/>
                <w:rFonts w:ascii="Times New Roman" w:eastAsia="Times New Roman" w:hAnsi="Times New Roman" w:cs="Times New Roman"/>
                <w:noProof/>
                <w:sz w:val="24"/>
                <w:szCs w:val="24"/>
                <w:lang w:eastAsia="en-IE"/>
              </w:rPr>
              <w:t>ccess</w:t>
            </w:r>
          </w:p>
        </w:tc>
      </w:tr>
      <w:tr w:rsidR="007C0ADA" w:rsidRPr="00B54ECF" w14:paraId="058D1CDD" w14:textId="77777777" w:rsidTr="00021A76">
        <w:trPr>
          <w:trHeight w:val="300"/>
        </w:trPr>
        <w:tc>
          <w:tcPr>
            <w:tcW w:w="2035" w:type="dxa"/>
            <w:tcMar>
              <w:left w:w="108" w:type="dxa"/>
              <w:right w:w="108" w:type="dxa"/>
            </w:tcMar>
          </w:tcPr>
          <w:p w14:paraId="4ABA5492"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CAGR</w:t>
            </w:r>
          </w:p>
        </w:tc>
        <w:tc>
          <w:tcPr>
            <w:tcW w:w="6953" w:type="dxa"/>
            <w:tcMar>
              <w:left w:w="108" w:type="dxa"/>
              <w:right w:w="108" w:type="dxa"/>
            </w:tcMar>
          </w:tcPr>
          <w:p w14:paraId="694B3715"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 xml:space="preserve">Compound </w:t>
            </w:r>
            <w:r>
              <w:rPr>
                <w:rStyle w:val="eop"/>
                <w:rFonts w:ascii="Times New Roman" w:eastAsia="Times New Roman" w:hAnsi="Times New Roman" w:cs="Times New Roman"/>
                <w:noProof/>
                <w:sz w:val="24"/>
                <w:szCs w:val="24"/>
                <w:lang w:eastAsia="en-IE"/>
              </w:rPr>
              <w:t>a</w:t>
            </w:r>
            <w:r w:rsidRPr="00516125">
              <w:rPr>
                <w:rStyle w:val="eop"/>
                <w:rFonts w:ascii="Times New Roman" w:eastAsia="Times New Roman" w:hAnsi="Times New Roman" w:cs="Times New Roman"/>
                <w:noProof/>
                <w:sz w:val="24"/>
                <w:szCs w:val="24"/>
                <w:lang w:eastAsia="en-IE"/>
              </w:rPr>
              <w:t xml:space="preserve">nnual </w:t>
            </w:r>
            <w:r>
              <w:rPr>
                <w:rStyle w:val="eop"/>
                <w:rFonts w:ascii="Times New Roman" w:eastAsia="Times New Roman" w:hAnsi="Times New Roman" w:cs="Times New Roman"/>
                <w:noProof/>
                <w:sz w:val="24"/>
                <w:szCs w:val="24"/>
                <w:lang w:eastAsia="en-IE"/>
              </w:rPr>
              <w:t>g</w:t>
            </w:r>
            <w:r w:rsidRPr="00516125">
              <w:rPr>
                <w:rStyle w:val="eop"/>
                <w:rFonts w:ascii="Times New Roman" w:eastAsia="Times New Roman" w:hAnsi="Times New Roman" w:cs="Times New Roman"/>
                <w:noProof/>
                <w:sz w:val="24"/>
                <w:szCs w:val="24"/>
                <w:lang w:eastAsia="en-IE"/>
              </w:rPr>
              <w:t xml:space="preserve">rowth </w:t>
            </w:r>
            <w:r>
              <w:rPr>
                <w:rStyle w:val="eop"/>
                <w:rFonts w:ascii="Times New Roman" w:eastAsia="Times New Roman" w:hAnsi="Times New Roman" w:cs="Times New Roman"/>
                <w:noProof/>
                <w:sz w:val="24"/>
                <w:szCs w:val="24"/>
                <w:lang w:eastAsia="en-IE"/>
              </w:rPr>
              <w:t>r</w:t>
            </w:r>
            <w:r w:rsidRPr="00B54ECF">
              <w:rPr>
                <w:rStyle w:val="eop"/>
                <w:rFonts w:ascii="Times New Roman" w:eastAsia="Times New Roman" w:hAnsi="Times New Roman" w:cs="Times New Roman"/>
                <w:noProof/>
                <w:sz w:val="24"/>
                <w:szCs w:val="24"/>
                <w:lang w:eastAsia="en-IE"/>
              </w:rPr>
              <w:t>ate</w:t>
            </w:r>
          </w:p>
        </w:tc>
      </w:tr>
      <w:tr w:rsidR="007C0ADA" w:rsidRPr="00B54ECF" w14:paraId="1057AD04" w14:textId="77777777" w:rsidTr="00021A76">
        <w:trPr>
          <w:trHeight w:val="300"/>
        </w:trPr>
        <w:tc>
          <w:tcPr>
            <w:tcW w:w="2035" w:type="dxa"/>
            <w:tcMar>
              <w:left w:w="108" w:type="dxa"/>
              <w:right w:w="108" w:type="dxa"/>
            </w:tcMar>
          </w:tcPr>
          <w:p w14:paraId="119903E8"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Catch-up TV</w:t>
            </w:r>
          </w:p>
        </w:tc>
        <w:tc>
          <w:tcPr>
            <w:tcW w:w="6953" w:type="dxa"/>
            <w:tcMar>
              <w:left w:w="108" w:type="dxa"/>
              <w:right w:w="108" w:type="dxa"/>
            </w:tcMar>
          </w:tcPr>
          <w:p w14:paraId="3637A8E8"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On-demand access to programmes that were recently broadcast live, available for a limited period after transmission</w:t>
            </w:r>
            <w:r>
              <w:rPr>
                <w:rStyle w:val="eop"/>
                <w:rFonts w:ascii="Times New Roman" w:eastAsia="Times New Roman" w:hAnsi="Times New Roman" w:cs="Times New Roman"/>
                <w:noProof/>
                <w:sz w:val="24"/>
                <w:szCs w:val="24"/>
                <w:lang w:eastAsia="en-IE"/>
              </w:rPr>
              <w:t>.</w:t>
            </w:r>
          </w:p>
        </w:tc>
      </w:tr>
      <w:tr w:rsidR="007C0ADA" w:rsidRPr="00B54ECF" w14:paraId="30A584DD" w14:textId="77777777" w:rsidTr="00021A76">
        <w:trPr>
          <w:trHeight w:val="300"/>
        </w:trPr>
        <w:tc>
          <w:tcPr>
            <w:tcW w:w="2035" w:type="dxa"/>
            <w:tcMar>
              <w:left w:w="108" w:type="dxa"/>
              <w:right w:w="108" w:type="dxa"/>
            </w:tcMar>
          </w:tcPr>
          <w:p w14:paraId="0E95390A"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CEPT</w:t>
            </w:r>
          </w:p>
        </w:tc>
        <w:tc>
          <w:tcPr>
            <w:tcW w:w="6953" w:type="dxa"/>
            <w:tcMar>
              <w:left w:w="108" w:type="dxa"/>
              <w:right w:w="108" w:type="dxa"/>
            </w:tcMar>
          </w:tcPr>
          <w:p w14:paraId="0DB9EC28"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European Conference of Postal and Telecommunications Administrations</w:t>
            </w:r>
          </w:p>
        </w:tc>
      </w:tr>
      <w:tr w:rsidR="007C0ADA" w:rsidRPr="00B54ECF" w14:paraId="38EB7F7C" w14:textId="77777777" w:rsidTr="00021A76">
        <w:trPr>
          <w:trHeight w:val="300"/>
        </w:trPr>
        <w:tc>
          <w:tcPr>
            <w:tcW w:w="2035" w:type="dxa"/>
            <w:tcMar>
              <w:left w:w="108" w:type="dxa"/>
              <w:right w:w="108" w:type="dxa"/>
            </w:tcMar>
          </w:tcPr>
          <w:p w14:paraId="58E6CCF4"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DSL</w:t>
            </w:r>
          </w:p>
        </w:tc>
        <w:tc>
          <w:tcPr>
            <w:tcW w:w="6953" w:type="dxa"/>
            <w:tcMar>
              <w:left w:w="108" w:type="dxa"/>
              <w:right w:w="108" w:type="dxa"/>
            </w:tcMar>
          </w:tcPr>
          <w:p w14:paraId="29518F19"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Digital subscriber line</w:t>
            </w:r>
          </w:p>
        </w:tc>
      </w:tr>
      <w:tr w:rsidR="007C0ADA" w14:paraId="381F558D" w14:textId="77777777" w:rsidTr="00021A76">
        <w:trPr>
          <w:trHeight w:val="300"/>
        </w:trPr>
        <w:tc>
          <w:tcPr>
            <w:tcW w:w="2035" w:type="dxa"/>
            <w:tcMar>
              <w:left w:w="108" w:type="dxa"/>
              <w:right w:w="108" w:type="dxa"/>
            </w:tcMar>
          </w:tcPr>
          <w:p w14:paraId="3D8683E0" w14:textId="77777777" w:rsidR="007C0ADA" w:rsidRDefault="007C0ADA" w:rsidP="00021A76">
            <w:pPr>
              <w:rPr>
                <w:rStyle w:val="eop"/>
                <w:rFonts w:ascii="Times New Roman" w:eastAsia="Times New Roman" w:hAnsi="Times New Roman" w:cs="Times New Roman"/>
                <w:noProof/>
                <w:sz w:val="24"/>
                <w:szCs w:val="24"/>
                <w:lang w:eastAsia="en-IE"/>
              </w:rPr>
            </w:pPr>
            <w:r w:rsidRPr="463B461D">
              <w:rPr>
                <w:rStyle w:val="eop"/>
                <w:rFonts w:ascii="Times New Roman" w:eastAsia="Times New Roman" w:hAnsi="Times New Roman" w:cs="Times New Roman"/>
                <w:noProof/>
                <w:sz w:val="24"/>
                <w:szCs w:val="24"/>
                <w:lang w:eastAsia="en-IE"/>
              </w:rPr>
              <w:t>DPM</w:t>
            </w:r>
          </w:p>
        </w:tc>
        <w:tc>
          <w:tcPr>
            <w:tcW w:w="6953" w:type="dxa"/>
            <w:tcMar>
              <w:left w:w="108" w:type="dxa"/>
              <w:right w:w="108" w:type="dxa"/>
            </w:tcMar>
          </w:tcPr>
          <w:p w14:paraId="6C7DFB51"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 xml:space="preserve">DTTB </w:t>
            </w:r>
            <w:r>
              <w:rPr>
                <w:rStyle w:val="eop"/>
                <w:rFonts w:ascii="Times New Roman" w:eastAsia="Times New Roman" w:hAnsi="Times New Roman" w:cs="Times New Roman"/>
                <w:noProof/>
                <w:sz w:val="24"/>
                <w:szCs w:val="24"/>
                <w:lang w:eastAsia="en-IE"/>
              </w:rPr>
              <w:t>p</w:t>
            </w:r>
            <w:r w:rsidRPr="463B461D">
              <w:rPr>
                <w:rStyle w:val="eop"/>
                <w:rFonts w:ascii="Times New Roman" w:eastAsia="Times New Roman" w:hAnsi="Times New Roman" w:cs="Times New Roman"/>
                <w:noProof/>
                <w:sz w:val="24"/>
                <w:szCs w:val="24"/>
                <w:lang w:eastAsia="en-IE"/>
              </w:rPr>
              <w:t xml:space="preserve">romotion and </w:t>
            </w:r>
            <w:r>
              <w:rPr>
                <w:rStyle w:val="eop"/>
                <w:rFonts w:ascii="Times New Roman" w:eastAsia="Times New Roman" w:hAnsi="Times New Roman" w:cs="Times New Roman"/>
                <w:noProof/>
                <w:sz w:val="24"/>
                <w:szCs w:val="24"/>
                <w:lang w:eastAsia="en-IE"/>
              </w:rPr>
              <w:t>m</w:t>
            </w:r>
            <w:r w:rsidRPr="463B461D">
              <w:rPr>
                <w:rStyle w:val="eop"/>
                <w:rFonts w:ascii="Times New Roman" w:eastAsia="Times New Roman" w:hAnsi="Times New Roman" w:cs="Times New Roman"/>
                <w:noProof/>
                <w:sz w:val="24"/>
                <w:szCs w:val="24"/>
                <w:lang w:eastAsia="en-IE"/>
              </w:rPr>
              <w:t>onitoring</w:t>
            </w:r>
          </w:p>
        </w:tc>
      </w:tr>
      <w:tr w:rsidR="007C0ADA" w:rsidRPr="00B54ECF" w14:paraId="6B37AC6E" w14:textId="77777777" w:rsidTr="00021A76">
        <w:trPr>
          <w:trHeight w:val="300"/>
        </w:trPr>
        <w:tc>
          <w:tcPr>
            <w:tcW w:w="2035" w:type="dxa"/>
            <w:tcMar>
              <w:left w:w="108" w:type="dxa"/>
              <w:right w:w="108" w:type="dxa"/>
            </w:tcMar>
          </w:tcPr>
          <w:p w14:paraId="2521D745"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DTT</w:t>
            </w:r>
          </w:p>
        </w:tc>
        <w:tc>
          <w:tcPr>
            <w:tcW w:w="6953" w:type="dxa"/>
            <w:tcMar>
              <w:left w:w="108" w:type="dxa"/>
              <w:right w:w="108" w:type="dxa"/>
            </w:tcMar>
          </w:tcPr>
          <w:p w14:paraId="1E4C2BC3"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Digital terrestrial television</w:t>
            </w:r>
          </w:p>
        </w:tc>
      </w:tr>
      <w:tr w:rsidR="007C0ADA" w14:paraId="249FB5CF" w14:textId="77777777" w:rsidTr="00021A76">
        <w:trPr>
          <w:trHeight w:val="300"/>
        </w:trPr>
        <w:tc>
          <w:tcPr>
            <w:tcW w:w="2035" w:type="dxa"/>
            <w:tcMar>
              <w:left w:w="108" w:type="dxa"/>
              <w:right w:w="108" w:type="dxa"/>
            </w:tcMar>
          </w:tcPr>
          <w:p w14:paraId="51DEFAEF" w14:textId="77777777" w:rsidR="007C0ADA" w:rsidRDefault="007C0ADA" w:rsidP="00021A76">
            <w:pPr>
              <w:rPr>
                <w:rStyle w:val="eop"/>
                <w:rFonts w:ascii="Times New Roman" w:eastAsia="Times New Roman" w:hAnsi="Times New Roman" w:cs="Times New Roman"/>
                <w:noProof/>
                <w:sz w:val="24"/>
                <w:szCs w:val="24"/>
              </w:rPr>
            </w:pPr>
            <w:r w:rsidRPr="463B461D">
              <w:rPr>
                <w:rStyle w:val="eop"/>
                <w:rFonts w:ascii="Times New Roman" w:eastAsia="Times New Roman" w:hAnsi="Times New Roman" w:cs="Times New Roman"/>
                <w:noProof/>
                <w:sz w:val="24"/>
                <w:szCs w:val="24"/>
                <w:lang w:eastAsia="en-IE"/>
              </w:rPr>
              <w:t>DTTB</w:t>
            </w:r>
          </w:p>
        </w:tc>
        <w:tc>
          <w:tcPr>
            <w:tcW w:w="6953" w:type="dxa"/>
            <w:tcMar>
              <w:left w:w="108" w:type="dxa"/>
              <w:right w:w="108" w:type="dxa"/>
            </w:tcMar>
          </w:tcPr>
          <w:p w14:paraId="724D9024"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Digital Terrestrial Television Broadcasting</w:t>
            </w:r>
          </w:p>
        </w:tc>
      </w:tr>
      <w:tr w:rsidR="007C0ADA" w:rsidRPr="00B54ECF" w14:paraId="10E70B36" w14:textId="77777777" w:rsidTr="00021A76">
        <w:trPr>
          <w:trHeight w:val="300"/>
        </w:trPr>
        <w:tc>
          <w:tcPr>
            <w:tcW w:w="2035" w:type="dxa"/>
            <w:tcMar>
              <w:left w:w="108" w:type="dxa"/>
              <w:right w:w="108" w:type="dxa"/>
            </w:tcMar>
          </w:tcPr>
          <w:p w14:paraId="1E0E7C13"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DVB-HB</w:t>
            </w:r>
          </w:p>
        </w:tc>
        <w:tc>
          <w:tcPr>
            <w:tcW w:w="6953" w:type="dxa"/>
            <w:tcMar>
              <w:left w:w="108" w:type="dxa"/>
              <w:right w:w="108" w:type="dxa"/>
            </w:tcMar>
          </w:tcPr>
          <w:p w14:paraId="2CBAAF62"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Digital video broadcasting - home broadcasting</w:t>
            </w:r>
          </w:p>
        </w:tc>
      </w:tr>
      <w:tr w:rsidR="007C0ADA" w:rsidRPr="00B54ECF" w14:paraId="7F7C032B" w14:textId="77777777" w:rsidTr="00021A76">
        <w:trPr>
          <w:trHeight w:val="300"/>
        </w:trPr>
        <w:tc>
          <w:tcPr>
            <w:tcW w:w="2035" w:type="dxa"/>
            <w:tcMar>
              <w:left w:w="108" w:type="dxa"/>
              <w:right w:w="108" w:type="dxa"/>
            </w:tcMar>
          </w:tcPr>
          <w:p w14:paraId="0AA5CA79"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DVB-I</w:t>
            </w:r>
          </w:p>
        </w:tc>
        <w:tc>
          <w:tcPr>
            <w:tcW w:w="6953" w:type="dxa"/>
            <w:tcMar>
              <w:left w:w="108" w:type="dxa"/>
              <w:right w:w="108" w:type="dxa"/>
            </w:tcMar>
          </w:tcPr>
          <w:p w14:paraId="15552BBF"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Digital video broadcasting - internet</w:t>
            </w:r>
          </w:p>
        </w:tc>
      </w:tr>
      <w:tr w:rsidR="007C0ADA" w:rsidRPr="00B54ECF" w14:paraId="5793DBA0" w14:textId="77777777" w:rsidTr="00021A76">
        <w:trPr>
          <w:trHeight w:val="300"/>
        </w:trPr>
        <w:tc>
          <w:tcPr>
            <w:tcW w:w="2035" w:type="dxa"/>
            <w:tcMar>
              <w:left w:w="108" w:type="dxa"/>
              <w:right w:w="108" w:type="dxa"/>
            </w:tcMar>
          </w:tcPr>
          <w:p w14:paraId="53927F15"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DVB-T</w:t>
            </w:r>
          </w:p>
        </w:tc>
        <w:tc>
          <w:tcPr>
            <w:tcW w:w="6953" w:type="dxa"/>
            <w:tcMar>
              <w:left w:w="108" w:type="dxa"/>
              <w:right w:w="108" w:type="dxa"/>
            </w:tcMar>
          </w:tcPr>
          <w:p w14:paraId="36222936"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Digital video broadcasting - terrestrial</w:t>
            </w:r>
          </w:p>
        </w:tc>
      </w:tr>
      <w:tr w:rsidR="007C0ADA" w:rsidRPr="00B54ECF" w14:paraId="2D9C71E1" w14:textId="77777777" w:rsidTr="00021A76">
        <w:trPr>
          <w:trHeight w:val="300"/>
        </w:trPr>
        <w:tc>
          <w:tcPr>
            <w:tcW w:w="2035" w:type="dxa"/>
            <w:tcMar>
              <w:left w:w="108" w:type="dxa"/>
              <w:right w:w="108" w:type="dxa"/>
            </w:tcMar>
          </w:tcPr>
          <w:p w14:paraId="5E5D6F40"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DVB-T2</w:t>
            </w:r>
          </w:p>
        </w:tc>
        <w:tc>
          <w:tcPr>
            <w:tcW w:w="6953" w:type="dxa"/>
            <w:tcMar>
              <w:left w:w="108" w:type="dxa"/>
              <w:right w:w="108" w:type="dxa"/>
            </w:tcMar>
          </w:tcPr>
          <w:p w14:paraId="4181DA31"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Digital video broadcasting - terrestrial (2nd generation)</w:t>
            </w:r>
          </w:p>
        </w:tc>
      </w:tr>
      <w:tr w:rsidR="007C0ADA" w:rsidRPr="00B54ECF" w14:paraId="2AE2D455" w14:textId="77777777" w:rsidTr="00021A76">
        <w:trPr>
          <w:trHeight w:val="300"/>
        </w:trPr>
        <w:tc>
          <w:tcPr>
            <w:tcW w:w="2035" w:type="dxa"/>
            <w:tcMar>
              <w:left w:w="108" w:type="dxa"/>
              <w:right w:w="108" w:type="dxa"/>
            </w:tcMar>
          </w:tcPr>
          <w:p w14:paraId="65C983A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EBU</w:t>
            </w:r>
          </w:p>
        </w:tc>
        <w:tc>
          <w:tcPr>
            <w:tcW w:w="6953" w:type="dxa"/>
            <w:tcMar>
              <w:left w:w="108" w:type="dxa"/>
              <w:right w:w="108" w:type="dxa"/>
            </w:tcMar>
          </w:tcPr>
          <w:p w14:paraId="7ECD73D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European Broadcasting Union</w:t>
            </w:r>
          </w:p>
        </w:tc>
      </w:tr>
      <w:tr w:rsidR="007C0ADA" w:rsidRPr="00B54ECF" w14:paraId="5B357463" w14:textId="77777777" w:rsidTr="00021A76">
        <w:trPr>
          <w:trHeight w:val="300"/>
        </w:trPr>
        <w:tc>
          <w:tcPr>
            <w:tcW w:w="2035" w:type="dxa"/>
            <w:tcMar>
              <w:left w:w="108" w:type="dxa"/>
              <w:right w:w="108" w:type="dxa"/>
            </w:tcMar>
          </w:tcPr>
          <w:p w14:paraId="5AF87BD9"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EC</w:t>
            </w:r>
          </w:p>
        </w:tc>
        <w:tc>
          <w:tcPr>
            <w:tcW w:w="6953" w:type="dxa"/>
            <w:tcMar>
              <w:left w:w="108" w:type="dxa"/>
              <w:right w:w="108" w:type="dxa"/>
            </w:tcMar>
          </w:tcPr>
          <w:p w14:paraId="09B40BC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European Commission</w:t>
            </w:r>
          </w:p>
        </w:tc>
      </w:tr>
      <w:tr w:rsidR="007C0ADA" w:rsidRPr="00B54ECF" w14:paraId="039EA3E6" w14:textId="77777777" w:rsidTr="00021A76">
        <w:trPr>
          <w:trHeight w:val="300"/>
        </w:trPr>
        <w:tc>
          <w:tcPr>
            <w:tcW w:w="2035" w:type="dxa"/>
            <w:tcMar>
              <w:left w:w="108" w:type="dxa"/>
              <w:right w:w="108" w:type="dxa"/>
            </w:tcMar>
          </w:tcPr>
          <w:p w14:paraId="2CBEEDA8"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ETSI</w:t>
            </w:r>
          </w:p>
        </w:tc>
        <w:tc>
          <w:tcPr>
            <w:tcW w:w="6953" w:type="dxa"/>
            <w:tcMar>
              <w:left w:w="108" w:type="dxa"/>
              <w:right w:w="108" w:type="dxa"/>
            </w:tcMar>
          </w:tcPr>
          <w:p w14:paraId="33B00AE4"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European Telecommunications Standards Institute</w:t>
            </w:r>
          </w:p>
        </w:tc>
      </w:tr>
      <w:tr w:rsidR="007C0ADA" w:rsidRPr="00B54ECF" w14:paraId="43657D70" w14:textId="77777777" w:rsidTr="00021A76">
        <w:trPr>
          <w:trHeight w:val="300"/>
        </w:trPr>
        <w:tc>
          <w:tcPr>
            <w:tcW w:w="2035" w:type="dxa"/>
            <w:tcMar>
              <w:left w:w="108" w:type="dxa"/>
              <w:right w:w="108" w:type="dxa"/>
            </w:tcMar>
          </w:tcPr>
          <w:p w14:paraId="78026493"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EU</w:t>
            </w:r>
          </w:p>
        </w:tc>
        <w:tc>
          <w:tcPr>
            <w:tcW w:w="6953" w:type="dxa"/>
            <w:tcMar>
              <w:left w:w="108" w:type="dxa"/>
              <w:right w:w="108" w:type="dxa"/>
            </w:tcMar>
          </w:tcPr>
          <w:p w14:paraId="0ED95A2F"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European Union</w:t>
            </w:r>
          </w:p>
        </w:tc>
      </w:tr>
      <w:tr w:rsidR="007C0ADA" w:rsidRPr="00B54ECF" w14:paraId="7E93793A" w14:textId="77777777" w:rsidTr="00021A76">
        <w:trPr>
          <w:trHeight w:val="300"/>
        </w:trPr>
        <w:tc>
          <w:tcPr>
            <w:tcW w:w="2035" w:type="dxa"/>
            <w:tcMar>
              <w:left w:w="108" w:type="dxa"/>
              <w:right w:w="108" w:type="dxa"/>
            </w:tcMar>
          </w:tcPr>
          <w:p w14:paraId="278A0CA7"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FTA</w:t>
            </w:r>
          </w:p>
        </w:tc>
        <w:tc>
          <w:tcPr>
            <w:tcW w:w="6953" w:type="dxa"/>
            <w:tcMar>
              <w:left w:w="108" w:type="dxa"/>
              <w:right w:w="108" w:type="dxa"/>
            </w:tcMar>
          </w:tcPr>
          <w:p w14:paraId="761429C6"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Free-to-</w:t>
            </w:r>
            <w:r>
              <w:rPr>
                <w:rStyle w:val="eop"/>
                <w:rFonts w:ascii="Times New Roman" w:eastAsia="Times New Roman" w:hAnsi="Times New Roman" w:cs="Times New Roman"/>
                <w:noProof/>
                <w:sz w:val="24"/>
                <w:szCs w:val="24"/>
                <w:lang w:eastAsia="en-IE"/>
              </w:rPr>
              <w:t>a</w:t>
            </w:r>
            <w:r w:rsidRPr="00B54ECF">
              <w:rPr>
                <w:rStyle w:val="eop"/>
                <w:rFonts w:ascii="Times New Roman" w:eastAsia="Times New Roman" w:hAnsi="Times New Roman" w:cs="Times New Roman"/>
                <w:noProof/>
                <w:sz w:val="24"/>
                <w:szCs w:val="24"/>
                <w:lang w:eastAsia="en-IE"/>
              </w:rPr>
              <w:t>ir</w:t>
            </w:r>
          </w:p>
        </w:tc>
      </w:tr>
      <w:tr w:rsidR="007C0ADA" w14:paraId="33629087" w14:textId="77777777" w:rsidTr="00021A76">
        <w:trPr>
          <w:trHeight w:val="300"/>
        </w:trPr>
        <w:tc>
          <w:tcPr>
            <w:tcW w:w="2035" w:type="dxa"/>
            <w:tcMar>
              <w:left w:w="108" w:type="dxa"/>
              <w:right w:w="108" w:type="dxa"/>
            </w:tcMar>
          </w:tcPr>
          <w:p w14:paraId="7A9EA046" w14:textId="77777777" w:rsidR="007C0ADA" w:rsidRPr="006C7232" w:rsidRDefault="007C0ADA" w:rsidP="00021A76">
            <w:pPr>
              <w:rPr>
                <w:rStyle w:val="eop"/>
                <w:rFonts w:ascii="Times New Roman" w:eastAsia="Times New Roman" w:hAnsi="Times New Roman" w:cs="Times New Roman"/>
                <w:noProof/>
                <w:sz w:val="24"/>
                <w:szCs w:val="24"/>
                <w:lang w:eastAsia="en-IE"/>
              </w:rPr>
            </w:pPr>
            <w:r w:rsidRPr="006C7232">
              <w:rPr>
                <w:rStyle w:val="eop"/>
                <w:rFonts w:ascii="Times New Roman" w:eastAsia="Times New Roman" w:hAnsi="Times New Roman" w:cs="Times New Roman"/>
                <w:noProof/>
                <w:lang w:eastAsia="en-IE"/>
              </w:rPr>
              <w:t>GE06</w:t>
            </w:r>
          </w:p>
        </w:tc>
        <w:tc>
          <w:tcPr>
            <w:tcW w:w="6953" w:type="dxa"/>
            <w:tcMar>
              <w:left w:w="108" w:type="dxa"/>
              <w:right w:w="108" w:type="dxa"/>
            </w:tcMar>
          </w:tcPr>
          <w:p w14:paraId="3277A786" w14:textId="77777777" w:rsidR="007C0ADA" w:rsidRPr="00C27DF9" w:rsidRDefault="007C0ADA" w:rsidP="00021A76">
            <w:pPr>
              <w:rPr>
                <w:rStyle w:val="eop"/>
                <w:rFonts w:ascii="Times New Roman" w:eastAsia="Times New Roman" w:hAnsi="Times New Roman" w:cs="Times New Roman"/>
                <w:noProof/>
                <w:sz w:val="24"/>
                <w:szCs w:val="24"/>
                <w:lang w:eastAsia="en-IE"/>
              </w:rPr>
            </w:pPr>
            <w:r w:rsidRPr="00C27DF9">
              <w:rPr>
                <w:rStyle w:val="eop"/>
                <w:rFonts w:ascii="Times New Roman" w:eastAsia="Times New Roman" w:hAnsi="Times New Roman" w:cs="Times New Roman"/>
                <w:noProof/>
                <w:sz w:val="24"/>
                <w:szCs w:val="24"/>
                <w:lang w:eastAsia="en-IE"/>
              </w:rPr>
              <w:t>Geneva 2006 Agreement</w:t>
            </w:r>
          </w:p>
        </w:tc>
      </w:tr>
      <w:tr w:rsidR="007C0ADA" w:rsidRPr="00B54ECF" w14:paraId="17E38ADE" w14:textId="77777777" w:rsidTr="00021A76">
        <w:trPr>
          <w:trHeight w:val="300"/>
        </w:trPr>
        <w:tc>
          <w:tcPr>
            <w:tcW w:w="2035" w:type="dxa"/>
            <w:tcMar>
              <w:left w:w="108" w:type="dxa"/>
              <w:right w:w="108" w:type="dxa"/>
            </w:tcMar>
          </w:tcPr>
          <w:p w14:paraId="674F6481"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HbbTV</w:t>
            </w:r>
          </w:p>
        </w:tc>
        <w:tc>
          <w:tcPr>
            <w:tcW w:w="6953" w:type="dxa"/>
            <w:tcMar>
              <w:left w:w="108" w:type="dxa"/>
              <w:right w:w="108" w:type="dxa"/>
            </w:tcMar>
          </w:tcPr>
          <w:p w14:paraId="6BCFA46B"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Hybrid broadcast broadband TV</w:t>
            </w:r>
          </w:p>
        </w:tc>
      </w:tr>
      <w:tr w:rsidR="007C0ADA" w:rsidRPr="00B54ECF" w14:paraId="598F03B3" w14:textId="77777777" w:rsidTr="00021A76">
        <w:trPr>
          <w:trHeight w:val="300"/>
        </w:trPr>
        <w:tc>
          <w:tcPr>
            <w:tcW w:w="2035" w:type="dxa"/>
            <w:tcMar>
              <w:left w:w="108" w:type="dxa"/>
              <w:right w:w="108" w:type="dxa"/>
            </w:tcMar>
          </w:tcPr>
          <w:p w14:paraId="0F533301"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HD</w:t>
            </w:r>
          </w:p>
        </w:tc>
        <w:tc>
          <w:tcPr>
            <w:tcW w:w="6953" w:type="dxa"/>
            <w:tcMar>
              <w:left w:w="108" w:type="dxa"/>
              <w:right w:w="108" w:type="dxa"/>
            </w:tcMar>
          </w:tcPr>
          <w:p w14:paraId="05D8645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High definition</w:t>
            </w:r>
          </w:p>
        </w:tc>
      </w:tr>
      <w:tr w:rsidR="007C0ADA" w14:paraId="5AD96991" w14:textId="77777777" w:rsidTr="00021A76">
        <w:trPr>
          <w:trHeight w:val="300"/>
        </w:trPr>
        <w:tc>
          <w:tcPr>
            <w:tcW w:w="2035" w:type="dxa"/>
            <w:tcMar>
              <w:left w:w="108" w:type="dxa"/>
              <w:right w:w="108" w:type="dxa"/>
            </w:tcMar>
          </w:tcPr>
          <w:p w14:paraId="5E8DC18B"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HDR</w:t>
            </w:r>
          </w:p>
        </w:tc>
        <w:tc>
          <w:tcPr>
            <w:tcW w:w="6953" w:type="dxa"/>
            <w:tcMar>
              <w:left w:w="108" w:type="dxa"/>
              <w:right w:w="108" w:type="dxa"/>
            </w:tcMar>
          </w:tcPr>
          <w:p w14:paraId="7F46D153"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High Dynamic Range technology enabling improved contrast, brightness and colour reproduction</w:t>
            </w:r>
          </w:p>
        </w:tc>
      </w:tr>
      <w:tr w:rsidR="007C0ADA" w:rsidRPr="00B54ECF" w14:paraId="19800B36" w14:textId="77777777" w:rsidTr="00021A76">
        <w:trPr>
          <w:trHeight w:val="300"/>
        </w:trPr>
        <w:tc>
          <w:tcPr>
            <w:tcW w:w="2035" w:type="dxa"/>
            <w:tcMar>
              <w:left w:w="108" w:type="dxa"/>
              <w:right w:w="108" w:type="dxa"/>
            </w:tcMar>
          </w:tcPr>
          <w:p w14:paraId="61B3C8CC"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HDTV</w:t>
            </w:r>
          </w:p>
        </w:tc>
        <w:tc>
          <w:tcPr>
            <w:tcW w:w="6953" w:type="dxa"/>
            <w:tcMar>
              <w:left w:w="108" w:type="dxa"/>
              <w:right w:w="108" w:type="dxa"/>
            </w:tcMar>
          </w:tcPr>
          <w:p w14:paraId="492B343E"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High definition television</w:t>
            </w:r>
          </w:p>
        </w:tc>
      </w:tr>
      <w:tr w:rsidR="007C0ADA" w:rsidRPr="00B54ECF" w14:paraId="1A30F520" w14:textId="77777777" w:rsidTr="00021A76">
        <w:trPr>
          <w:trHeight w:val="300"/>
        </w:trPr>
        <w:tc>
          <w:tcPr>
            <w:tcW w:w="2035" w:type="dxa"/>
            <w:tcMar>
              <w:left w:w="108" w:type="dxa"/>
              <w:right w:w="108" w:type="dxa"/>
            </w:tcMar>
          </w:tcPr>
          <w:p w14:paraId="603AE48A"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HEVC</w:t>
            </w:r>
          </w:p>
        </w:tc>
        <w:tc>
          <w:tcPr>
            <w:tcW w:w="6953" w:type="dxa"/>
            <w:tcMar>
              <w:left w:w="108" w:type="dxa"/>
              <w:right w:w="108" w:type="dxa"/>
            </w:tcMar>
          </w:tcPr>
          <w:p w14:paraId="4E5E7EB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High efficiency video coding</w:t>
            </w:r>
          </w:p>
        </w:tc>
      </w:tr>
      <w:tr w:rsidR="007C0ADA" w:rsidRPr="00B54ECF" w14:paraId="6984EF32" w14:textId="77777777" w:rsidTr="00021A76">
        <w:trPr>
          <w:trHeight w:val="300"/>
        </w:trPr>
        <w:tc>
          <w:tcPr>
            <w:tcW w:w="2035" w:type="dxa"/>
            <w:tcMar>
              <w:left w:w="108" w:type="dxa"/>
              <w:right w:w="108" w:type="dxa"/>
            </w:tcMar>
          </w:tcPr>
          <w:p w14:paraId="633885A5"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HPHT</w:t>
            </w:r>
          </w:p>
        </w:tc>
        <w:tc>
          <w:tcPr>
            <w:tcW w:w="6953" w:type="dxa"/>
            <w:tcMar>
              <w:left w:w="108" w:type="dxa"/>
              <w:right w:w="108" w:type="dxa"/>
            </w:tcMar>
          </w:tcPr>
          <w:p w14:paraId="0A6BED8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High</w:t>
            </w:r>
            <w:r>
              <w:rPr>
                <w:rStyle w:val="eop"/>
                <w:rFonts w:ascii="Times New Roman" w:eastAsia="Times New Roman" w:hAnsi="Times New Roman" w:cs="Times New Roman"/>
                <w:noProof/>
                <w:sz w:val="24"/>
                <w:szCs w:val="24"/>
                <w:lang w:eastAsia="en-IE"/>
              </w:rPr>
              <w:t>-</w:t>
            </w:r>
            <w:r w:rsidRPr="00B54ECF">
              <w:rPr>
                <w:rStyle w:val="eop"/>
                <w:rFonts w:ascii="Times New Roman" w:eastAsia="Times New Roman" w:hAnsi="Times New Roman" w:cs="Times New Roman"/>
                <w:noProof/>
                <w:sz w:val="24"/>
                <w:szCs w:val="24"/>
                <w:lang w:eastAsia="en-IE"/>
              </w:rPr>
              <w:t>power high</w:t>
            </w:r>
            <w:r>
              <w:rPr>
                <w:rStyle w:val="eop"/>
                <w:rFonts w:ascii="Times New Roman" w:eastAsia="Times New Roman" w:hAnsi="Times New Roman" w:cs="Times New Roman"/>
                <w:noProof/>
                <w:sz w:val="24"/>
                <w:szCs w:val="24"/>
                <w:lang w:eastAsia="en-IE"/>
              </w:rPr>
              <w:t>-</w:t>
            </w:r>
            <w:r w:rsidRPr="00B54ECF">
              <w:rPr>
                <w:rStyle w:val="eop"/>
                <w:rFonts w:ascii="Times New Roman" w:eastAsia="Times New Roman" w:hAnsi="Times New Roman" w:cs="Times New Roman"/>
                <w:noProof/>
                <w:sz w:val="24"/>
                <w:szCs w:val="24"/>
                <w:lang w:eastAsia="en-IE"/>
              </w:rPr>
              <w:t>tower</w:t>
            </w:r>
          </w:p>
        </w:tc>
      </w:tr>
      <w:tr w:rsidR="007C0ADA" w:rsidRPr="00B54ECF" w14:paraId="4FF8FC27" w14:textId="77777777" w:rsidTr="00021A76">
        <w:trPr>
          <w:trHeight w:val="300"/>
        </w:trPr>
        <w:tc>
          <w:tcPr>
            <w:tcW w:w="2035" w:type="dxa"/>
            <w:tcMar>
              <w:left w:w="108" w:type="dxa"/>
              <w:right w:w="108" w:type="dxa"/>
            </w:tcMar>
          </w:tcPr>
          <w:p w14:paraId="2BD93B1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IMT</w:t>
            </w:r>
          </w:p>
        </w:tc>
        <w:tc>
          <w:tcPr>
            <w:tcW w:w="6953" w:type="dxa"/>
            <w:tcMar>
              <w:left w:w="108" w:type="dxa"/>
              <w:right w:w="108" w:type="dxa"/>
            </w:tcMar>
          </w:tcPr>
          <w:p w14:paraId="47BD9B3B"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International mobile telecommunications</w:t>
            </w:r>
          </w:p>
        </w:tc>
      </w:tr>
      <w:tr w:rsidR="007C0ADA" w:rsidRPr="00B54ECF" w14:paraId="3A8DB1D1" w14:textId="77777777" w:rsidTr="00021A76">
        <w:trPr>
          <w:trHeight w:val="600"/>
        </w:trPr>
        <w:tc>
          <w:tcPr>
            <w:tcW w:w="2035" w:type="dxa"/>
            <w:tcMar>
              <w:left w:w="108" w:type="dxa"/>
              <w:right w:w="108" w:type="dxa"/>
            </w:tcMar>
          </w:tcPr>
          <w:p w14:paraId="1DEE3638"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IoT</w:t>
            </w:r>
          </w:p>
        </w:tc>
        <w:tc>
          <w:tcPr>
            <w:tcW w:w="6953" w:type="dxa"/>
            <w:tcMar>
              <w:left w:w="108" w:type="dxa"/>
              <w:right w:w="108" w:type="dxa"/>
            </w:tcMar>
          </w:tcPr>
          <w:p w14:paraId="56A2B1D9"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Internet of Things</w:t>
            </w:r>
          </w:p>
        </w:tc>
      </w:tr>
      <w:tr w:rsidR="007C0ADA" w:rsidRPr="00B54ECF" w14:paraId="4645A696" w14:textId="77777777" w:rsidTr="00021A76">
        <w:trPr>
          <w:trHeight w:val="600"/>
        </w:trPr>
        <w:tc>
          <w:tcPr>
            <w:tcW w:w="2035" w:type="dxa"/>
            <w:tcMar>
              <w:left w:w="108" w:type="dxa"/>
              <w:right w:w="108" w:type="dxa"/>
            </w:tcMar>
          </w:tcPr>
          <w:p w14:paraId="68EB6C8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IPTV</w:t>
            </w:r>
          </w:p>
        </w:tc>
        <w:tc>
          <w:tcPr>
            <w:tcW w:w="6953" w:type="dxa"/>
            <w:tcMar>
              <w:left w:w="108" w:type="dxa"/>
              <w:right w:w="108" w:type="dxa"/>
            </w:tcMar>
          </w:tcPr>
          <w:p w14:paraId="2AB03DF5"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Internet </w:t>
            </w:r>
            <w:r>
              <w:rPr>
                <w:rStyle w:val="eop"/>
                <w:rFonts w:ascii="Times New Roman" w:eastAsia="Times New Roman" w:hAnsi="Times New Roman" w:cs="Times New Roman"/>
                <w:noProof/>
                <w:sz w:val="24"/>
                <w:szCs w:val="24"/>
                <w:lang w:eastAsia="en-IE"/>
              </w:rPr>
              <w:t>p</w:t>
            </w:r>
            <w:r w:rsidRPr="00B54ECF">
              <w:rPr>
                <w:rStyle w:val="eop"/>
                <w:rFonts w:ascii="Times New Roman" w:eastAsia="Times New Roman" w:hAnsi="Times New Roman" w:cs="Times New Roman"/>
                <w:noProof/>
                <w:sz w:val="24"/>
                <w:szCs w:val="24"/>
                <w:lang w:eastAsia="en-IE"/>
              </w:rPr>
              <w:t xml:space="preserve">rotocol television. Any TV service delivered over an </w:t>
            </w:r>
            <w:r>
              <w:rPr>
                <w:rStyle w:val="eop"/>
                <w:rFonts w:ascii="Times New Roman" w:eastAsia="Times New Roman" w:hAnsi="Times New Roman" w:cs="Times New Roman"/>
                <w:noProof/>
                <w:sz w:val="24"/>
                <w:szCs w:val="24"/>
                <w:lang w:eastAsia="en-IE"/>
              </w:rPr>
              <w:t>i</w:t>
            </w:r>
            <w:r w:rsidRPr="00516125">
              <w:rPr>
                <w:rStyle w:val="eop"/>
                <w:rFonts w:ascii="Times New Roman" w:eastAsia="Times New Roman" w:hAnsi="Times New Roman" w:cs="Times New Roman"/>
                <w:noProof/>
                <w:sz w:val="24"/>
                <w:szCs w:val="24"/>
                <w:lang w:eastAsia="en-IE"/>
              </w:rPr>
              <w:t xml:space="preserve">nternet </w:t>
            </w:r>
            <w:r>
              <w:rPr>
                <w:rStyle w:val="eop"/>
                <w:rFonts w:ascii="Times New Roman" w:eastAsia="Times New Roman" w:hAnsi="Times New Roman" w:cs="Times New Roman"/>
                <w:noProof/>
                <w:sz w:val="24"/>
                <w:szCs w:val="24"/>
                <w:lang w:eastAsia="en-IE"/>
              </w:rPr>
              <w:t>p</w:t>
            </w:r>
            <w:r w:rsidRPr="00B54ECF">
              <w:rPr>
                <w:rStyle w:val="eop"/>
                <w:rFonts w:ascii="Times New Roman" w:eastAsia="Times New Roman" w:hAnsi="Times New Roman" w:cs="Times New Roman"/>
                <w:noProof/>
                <w:sz w:val="24"/>
                <w:szCs w:val="24"/>
                <w:lang w:eastAsia="en-IE"/>
              </w:rPr>
              <w:t xml:space="preserve">rotocol network including the public internet. </w:t>
            </w:r>
          </w:p>
        </w:tc>
      </w:tr>
      <w:tr w:rsidR="007C0ADA" w:rsidRPr="00B54ECF" w14:paraId="2C2618B6" w14:textId="77777777" w:rsidTr="00021A76">
        <w:trPr>
          <w:trHeight w:val="300"/>
        </w:trPr>
        <w:tc>
          <w:tcPr>
            <w:tcW w:w="2035" w:type="dxa"/>
            <w:tcMar>
              <w:left w:w="108" w:type="dxa"/>
              <w:right w:w="108" w:type="dxa"/>
            </w:tcMar>
          </w:tcPr>
          <w:p w14:paraId="7914A660"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ITU</w:t>
            </w:r>
          </w:p>
        </w:tc>
        <w:tc>
          <w:tcPr>
            <w:tcW w:w="6953" w:type="dxa"/>
            <w:tcMar>
              <w:left w:w="108" w:type="dxa"/>
              <w:right w:w="108" w:type="dxa"/>
            </w:tcMar>
          </w:tcPr>
          <w:p w14:paraId="283FA192"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International Telecommunication Union</w:t>
            </w:r>
          </w:p>
        </w:tc>
      </w:tr>
      <w:tr w:rsidR="007C0ADA" w:rsidRPr="00B54ECF" w14:paraId="4D04C6A5" w14:textId="77777777" w:rsidTr="00021A76">
        <w:trPr>
          <w:trHeight w:val="300"/>
        </w:trPr>
        <w:tc>
          <w:tcPr>
            <w:tcW w:w="2035" w:type="dxa"/>
            <w:tcMar>
              <w:left w:w="108" w:type="dxa"/>
              <w:right w:w="108" w:type="dxa"/>
            </w:tcMar>
          </w:tcPr>
          <w:p w14:paraId="4C8EBA36"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Linear TV</w:t>
            </w:r>
          </w:p>
        </w:tc>
        <w:tc>
          <w:tcPr>
            <w:tcW w:w="6953" w:type="dxa"/>
            <w:tcMar>
              <w:left w:w="108" w:type="dxa"/>
              <w:right w:w="108" w:type="dxa"/>
            </w:tcMar>
          </w:tcPr>
          <w:p w14:paraId="1A8A7705"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Scheduled television content delivered via broadcast</w:t>
            </w:r>
            <w:r w:rsidRPr="00516125">
              <w:rPr>
                <w:rStyle w:val="eop"/>
                <w:rFonts w:ascii="Times New Roman" w:eastAsia="Times New Roman" w:hAnsi="Times New Roman" w:cs="Times New Roman"/>
                <w:noProof/>
                <w:sz w:val="24"/>
                <w:szCs w:val="24"/>
                <w:lang w:eastAsia="en-IE"/>
              </w:rPr>
              <w:t xml:space="preserve"> </w:t>
            </w:r>
            <w:r w:rsidRPr="00B54ECF">
              <w:rPr>
                <w:rStyle w:val="eop"/>
                <w:rFonts w:ascii="Times New Roman" w:eastAsia="Times New Roman" w:hAnsi="Times New Roman" w:cs="Times New Roman"/>
                <w:noProof/>
                <w:sz w:val="24"/>
                <w:szCs w:val="24"/>
                <w:lang w:eastAsia="en-IE"/>
              </w:rPr>
              <w:t>(digital terrestrial television, satellite, cable) or via the internet</w:t>
            </w:r>
          </w:p>
        </w:tc>
      </w:tr>
      <w:tr w:rsidR="007C0ADA" w:rsidRPr="00B54ECF" w14:paraId="5B220CF6" w14:textId="77777777" w:rsidTr="00021A76">
        <w:trPr>
          <w:trHeight w:val="300"/>
        </w:trPr>
        <w:tc>
          <w:tcPr>
            <w:tcW w:w="2035" w:type="dxa"/>
            <w:tcMar>
              <w:left w:w="108" w:type="dxa"/>
              <w:right w:w="108" w:type="dxa"/>
            </w:tcMar>
          </w:tcPr>
          <w:p w14:paraId="4B457AE3"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MENA</w:t>
            </w:r>
          </w:p>
        </w:tc>
        <w:tc>
          <w:tcPr>
            <w:tcW w:w="6953" w:type="dxa"/>
            <w:tcMar>
              <w:left w:w="108" w:type="dxa"/>
              <w:right w:w="108" w:type="dxa"/>
            </w:tcMar>
          </w:tcPr>
          <w:p w14:paraId="4388333A"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Middle East and North Africa</w:t>
            </w:r>
          </w:p>
        </w:tc>
      </w:tr>
      <w:tr w:rsidR="007C0ADA" w:rsidRPr="00B54ECF" w14:paraId="1133EFC6" w14:textId="77777777" w:rsidTr="00021A76">
        <w:trPr>
          <w:trHeight w:val="300"/>
        </w:trPr>
        <w:tc>
          <w:tcPr>
            <w:tcW w:w="2035" w:type="dxa"/>
            <w:tcMar>
              <w:left w:w="108" w:type="dxa"/>
              <w:right w:w="108" w:type="dxa"/>
            </w:tcMar>
          </w:tcPr>
          <w:p w14:paraId="445831DA"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MMDS</w:t>
            </w:r>
          </w:p>
        </w:tc>
        <w:tc>
          <w:tcPr>
            <w:tcW w:w="6953" w:type="dxa"/>
            <w:tcMar>
              <w:left w:w="108" w:type="dxa"/>
              <w:right w:w="108" w:type="dxa"/>
            </w:tcMar>
          </w:tcPr>
          <w:p w14:paraId="067D5509"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 xml:space="preserve">Multichannel </w:t>
            </w:r>
            <w:r>
              <w:rPr>
                <w:rStyle w:val="eop"/>
                <w:rFonts w:ascii="Times New Roman" w:eastAsia="Times New Roman" w:hAnsi="Times New Roman" w:cs="Times New Roman"/>
                <w:noProof/>
                <w:sz w:val="24"/>
                <w:szCs w:val="24"/>
                <w:lang w:eastAsia="en-IE"/>
              </w:rPr>
              <w:t>m</w:t>
            </w:r>
            <w:r w:rsidRPr="00516125">
              <w:rPr>
                <w:rStyle w:val="eop"/>
                <w:rFonts w:ascii="Times New Roman" w:eastAsia="Times New Roman" w:hAnsi="Times New Roman" w:cs="Times New Roman"/>
                <w:noProof/>
                <w:sz w:val="24"/>
                <w:szCs w:val="24"/>
                <w:lang w:eastAsia="en-IE"/>
              </w:rPr>
              <w:t xml:space="preserve">ultipoint </w:t>
            </w:r>
            <w:r>
              <w:rPr>
                <w:rStyle w:val="eop"/>
                <w:rFonts w:ascii="Times New Roman" w:eastAsia="Times New Roman" w:hAnsi="Times New Roman" w:cs="Times New Roman"/>
                <w:noProof/>
                <w:sz w:val="24"/>
                <w:szCs w:val="24"/>
                <w:lang w:eastAsia="en-IE"/>
              </w:rPr>
              <w:t>d</w:t>
            </w:r>
            <w:r w:rsidRPr="00516125">
              <w:rPr>
                <w:rStyle w:val="eop"/>
                <w:rFonts w:ascii="Times New Roman" w:eastAsia="Times New Roman" w:hAnsi="Times New Roman" w:cs="Times New Roman"/>
                <w:noProof/>
                <w:sz w:val="24"/>
                <w:szCs w:val="24"/>
                <w:lang w:eastAsia="en-IE"/>
              </w:rPr>
              <w:t xml:space="preserve">istribution </w:t>
            </w:r>
            <w:r>
              <w:rPr>
                <w:rStyle w:val="eop"/>
                <w:rFonts w:ascii="Times New Roman" w:eastAsia="Times New Roman" w:hAnsi="Times New Roman" w:cs="Times New Roman"/>
                <w:noProof/>
                <w:sz w:val="24"/>
                <w:szCs w:val="24"/>
                <w:lang w:eastAsia="en-IE"/>
              </w:rPr>
              <w:t>s</w:t>
            </w:r>
            <w:r w:rsidRPr="00B54ECF">
              <w:rPr>
                <w:rStyle w:val="eop"/>
                <w:rFonts w:ascii="Times New Roman" w:eastAsia="Times New Roman" w:hAnsi="Times New Roman" w:cs="Times New Roman"/>
                <w:noProof/>
                <w:sz w:val="24"/>
                <w:szCs w:val="24"/>
                <w:lang w:eastAsia="en-IE"/>
              </w:rPr>
              <w:t>ervice</w:t>
            </w:r>
          </w:p>
        </w:tc>
      </w:tr>
      <w:tr w:rsidR="007C0ADA" w:rsidRPr="00B54ECF" w14:paraId="7F678DCD" w14:textId="77777777" w:rsidTr="00021A76">
        <w:trPr>
          <w:trHeight w:val="300"/>
        </w:trPr>
        <w:tc>
          <w:tcPr>
            <w:tcW w:w="2035" w:type="dxa"/>
            <w:tcMar>
              <w:left w:w="108" w:type="dxa"/>
              <w:right w:w="108" w:type="dxa"/>
            </w:tcMar>
          </w:tcPr>
          <w:p w14:paraId="10822692"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MPEG2</w:t>
            </w:r>
          </w:p>
        </w:tc>
        <w:tc>
          <w:tcPr>
            <w:tcW w:w="6953" w:type="dxa"/>
            <w:tcMar>
              <w:left w:w="108" w:type="dxa"/>
              <w:right w:w="108" w:type="dxa"/>
            </w:tcMar>
          </w:tcPr>
          <w:p w14:paraId="6C0E65E2"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Video encoding standard MPEG2 was the second of several standards developed by the Moving Pictures Expert Group</w:t>
            </w:r>
            <w:r>
              <w:rPr>
                <w:rStyle w:val="eop"/>
                <w:rFonts w:ascii="Times New Roman" w:eastAsia="Times New Roman" w:hAnsi="Times New Roman" w:cs="Times New Roman"/>
                <w:noProof/>
                <w:sz w:val="24"/>
                <w:szCs w:val="24"/>
                <w:lang w:eastAsia="en-IE"/>
              </w:rPr>
              <w:t>.</w:t>
            </w:r>
          </w:p>
        </w:tc>
      </w:tr>
      <w:tr w:rsidR="007C0ADA" w:rsidRPr="00B54ECF" w14:paraId="2CC4FDD5" w14:textId="77777777" w:rsidTr="00021A76">
        <w:trPr>
          <w:trHeight w:val="300"/>
        </w:trPr>
        <w:tc>
          <w:tcPr>
            <w:tcW w:w="2035" w:type="dxa"/>
            <w:tcMar>
              <w:left w:w="108" w:type="dxa"/>
              <w:right w:w="108" w:type="dxa"/>
            </w:tcMar>
          </w:tcPr>
          <w:p w14:paraId="42B7F7AB"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MPEG4</w:t>
            </w:r>
          </w:p>
        </w:tc>
        <w:tc>
          <w:tcPr>
            <w:tcW w:w="6953" w:type="dxa"/>
            <w:tcMar>
              <w:left w:w="108" w:type="dxa"/>
              <w:right w:w="108" w:type="dxa"/>
            </w:tcMar>
          </w:tcPr>
          <w:p w14:paraId="26A54140"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Video encoding standard MPEG4 was the fourth of several standards developed by the Moving Pictures Expert Group</w:t>
            </w:r>
            <w:r>
              <w:rPr>
                <w:rStyle w:val="eop"/>
                <w:rFonts w:ascii="Times New Roman" w:eastAsia="Times New Roman" w:hAnsi="Times New Roman" w:cs="Times New Roman"/>
                <w:noProof/>
                <w:sz w:val="24"/>
                <w:szCs w:val="24"/>
                <w:lang w:eastAsia="en-IE"/>
              </w:rPr>
              <w:t>.</w:t>
            </w:r>
          </w:p>
        </w:tc>
      </w:tr>
      <w:tr w:rsidR="007C0ADA" w14:paraId="0E4D7E0D" w14:textId="77777777" w:rsidTr="00021A76">
        <w:trPr>
          <w:trHeight w:val="300"/>
        </w:trPr>
        <w:tc>
          <w:tcPr>
            <w:tcW w:w="2035" w:type="dxa"/>
            <w:tcMar>
              <w:left w:w="108" w:type="dxa"/>
              <w:right w:w="108" w:type="dxa"/>
            </w:tcMar>
          </w:tcPr>
          <w:p w14:paraId="1C4A9618" w14:textId="77777777" w:rsidR="007C0ADA" w:rsidRDefault="007C0ADA" w:rsidP="00021A76">
            <w:pPr>
              <w:rPr>
                <w:noProof/>
              </w:rPr>
            </w:pPr>
            <w:r w:rsidRPr="59F79A67">
              <w:rPr>
                <w:rStyle w:val="eop"/>
                <w:rFonts w:ascii="Times New Roman" w:eastAsia="Times New Roman" w:hAnsi="Times New Roman" w:cs="Times New Roman"/>
                <w:noProof/>
                <w:sz w:val="24"/>
                <w:szCs w:val="24"/>
                <w:lang w:eastAsia="en-IE"/>
              </w:rPr>
              <w:t>MFN</w:t>
            </w:r>
          </w:p>
        </w:tc>
        <w:tc>
          <w:tcPr>
            <w:tcW w:w="6953" w:type="dxa"/>
            <w:tcMar>
              <w:left w:w="108" w:type="dxa"/>
              <w:right w:w="108" w:type="dxa"/>
            </w:tcMar>
          </w:tcPr>
          <w:p w14:paraId="746CD5A8" w14:textId="77777777" w:rsidR="007C0ADA" w:rsidRDefault="007C0ADA" w:rsidP="00021A76">
            <w:pPr>
              <w:rPr>
                <w:rFonts w:ascii="Times New Roman" w:eastAsia="Times New Roman" w:hAnsi="Times New Roman" w:cs="Times New Roman"/>
                <w:noProof/>
                <w:sz w:val="24"/>
                <w:szCs w:val="24"/>
              </w:rPr>
            </w:pPr>
            <w:r w:rsidRPr="59F79A67">
              <w:rPr>
                <w:rFonts w:ascii="Times New Roman" w:eastAsia="Times New Roman" w:hAnsi="Times New Roman" w:cs="Times New Roman"/>
                <w:noProof/>
                <w:sz w:val="24"/>
                <w:szCs w:val="24"/>
              </w:rPr>
              <w:t xml:space="preserve">Multi-Frequency Network </w:t>
            </w:r>
          </w:p>
        </w:tc>
      </w:tr>
      <w:tr w:rsidR="007C0ADA" w:rsidRPr="00B54ECF" w14:paraId="6626A0DD" w14:textId="77777777" w:rsidTr="00021A76">
        <w:trPr>
          <w:trHeight w:val="300"/>
        </w:trPr>
        <w:tc>
          <w:tcPr>
            <w:tcW w:w="2035" w:type="dxa"/>
            <w:tcMar>
              <w:left w:w="108" w:type="dxa"/>
              <w:right w:w="108" w:type="dxa"/>
            </w:tcMar>
          </w:tcPr>
          <w:p w14:paraId="4DE9817A"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MS</w:t>
            </w:r>
          </w:p>
        </w:tc>
        <w:tc>
          <w:tcPr>
            <w:tcW w:w="6953" w:type="dxa"/>
            <w:tcMar>
              <w:left w:w="108" w:type="dxa"/>
              <w:right w:w="108" w:type="dxa"/>
            </w:tcMar>
          </w:tcPr>
          <w:p w14:paraId="12190D79"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Member</w:t>
            </w:r>
            <w:r w:rsidRPr="00516125">
              <w:rPr>
                <w:rStyle w:val="eop"/>
                <w:rFonts w:ascii="Times New Roman" w:eastAsia="Times New Roman" w:hAnsi="Times New Roman" w:cs="Times New Roman"/>
                <w:noProof/>
                <w:sz w:val="24"/>
                <w:szCs w:val="24"/>
                <w:lang w:eastAsia="en-IE"/>
              </w:rPr>
              <w:t xml:space="preserve"> </w:t>
            </w:r>
            <w:r w:rsidRPr="00B54ECF">
              <w:rPr>
                <w:rStyle w:val="eop"/>
                <w:rFonts w:ascii="Times New Roman" w:eastAsia="Times New Roman" w:hAnsi="Times New Roman" w:cs="Times New Roman"/>
                <w:noProof/>
                <w:sz w:val="24"/>
                <w:szCs w:val="24"/>
                <w:lang w:eastAsia="en-IE"/>
              </w:rPr>
              <w:t>State</w:t>
            </w:r>
          </w:p>
        </w:tc>
      </w:tr>
      <w:tr w:rsidR="007C0ADA" w14:paraId="3906CDB9" w14:textId="77777777" w:rsidTr="00021A76">
        <w:trPr>
          <w:trHeight w:val="300"/>
        </w:trPr>
        <w:tc>
          <w:tcPr>
            <w:tcW w:w="2035" w:type="dxa"/>
            <w:tcMar>
              <w:left w:w="108" w:type="dxa"/>
              <w:right w:w="108" w:type="dxa"/>
            </w:tcMar>
          </w:tcPr>
          <w:p w14:paraId="72F62A2E"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NGA</w:t>
            </w:r>
          </w:p>
        </w:tc>
        <w:tc>
          <w:tcPr>
            <w:tcW w:w="6953" w:type="dxa"/>
            <w:tcMar>
              <w:left w:w="108" w:type="dxa"/>
              <w:right w:w="108" w:type="dxa"/>
            </w:tcMar>
          </w:tcPr>
          <w:p w14:paraId="68BD1621"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Next Generation Audio</w:t>
            </w:r>
          </w:p>
        </w:tc>
      </w:tr>
      <w:tr w:rsidR="007C0ADA" w:rsidRPr="00B54ECF" w14:paraId="36391749" w14:textId="77777777" w:rsidTr="00021A76">
        <w:trPr>
          <w:trHeight w:val="300"/>
        </w:trPr>
        <w:tc>
          <w:tcPr>
            <w:tcW w:w="2035" w:type="dxa"/>
            <w:tcMar>
              <w:left w:w="108" w:type="dxa"/>
              <w:right w:w="108" w:type="dxa"/>
            </w:tcMar>
          </w:tcPr>
          <w:p w14:paraId="550F14F6"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OTT</w:t>
            </w:r>
          </w:p>
        </w:tc>
        <w:tc>
          <w:tcPr>
            <w:tcW w:w="6953" w:type="dxa"/>
            <w:tcMar>
              <w:left w:w="108" w:type="dxa"/>
              <w:right w:w="108" w:type="dxa"/>
            </w:tcMar>
          </w:tcPr>
          <w:p w14:paraId="3EA40AA4"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Over-the-top. Includes all IPTV services delivered over the open, public internet on a best-efforts basis, with no guarantees on service quality, bit</w:t>
            </w:r>
            <w:r>
              <w:rPr>
                <w:rStyle w:val="eop"/>
                <w:rFonts w:ascii="Times New Roman" w:eastAsia="Times New Roman" w:hAnsi="Times New Roman" w:cs="Times New Roman"/>
                <w:noProof/>
                <w:sz w:val="24"/>
                <w:szCs w:val="24"/>
                <w:lang w:eastAsia="en-IE"/>
              </w:rPr>
              <w:t xml:space="preserve"> </w:t>
            </w:r>
            <w:r w:rsidRPr="00B54ECF">
              <w:rPr>
                <w:rStyle w:val="eop"/>
                <w:rFonts w:ascii="Times New Roman" w:eastAsia="Times New Roman" w:hAnsi="Times New Roman" w:cs="Times New Roman"/>
                <w:noProof/>
                <w:sz w:val="24"/>
                <w:szCs w:val="24"/>
                <w:lang w:eastAsia="en-IE"/>
              </w:rPr>
              <w:t>rate or reliability</w:t>
            </w:r>
            <w:r>
              <w:rPr>
                <w:rStyle w:val="eop"/>
                <w:rFonts w:ascii="Times New Roman" w:eastAsia="Times New Roman" w:hAnsi="Times New Roman" w:cs="Times New Roman"/>
                <w:noProof/>
                <w:sz w:val="24"/>
                <w:szCs w:val="24"/>
                <w:lang w:eastAsia="en-IE"/>
              </w:rPr>
              <w:t>.</w:t>
            </w:r>
          </w:p>
        </w:tc>
      </w:tr>
      <w:tr w:rsidR="007C0ADA" w:rsidRPr="00B54ECF" w14:paraId="0CD405FC" w14:textId="77777777" w:rsidTr="00021A76">
        <w:trPr>
          <w:trHeight w:val="300"/>
        </w:trPr>
        <w:tc>
          <w:tcPr>
            <w:tcW w:w="2035" w:type="dxa"/>
            <w:tcMar>
              <w:left w:w="108" w:type="dxa"/>
              <w:right w:w="108" w:type="dxa"/>
            </w:tcMar>
          </w:tcPr>
          <w:p w14:paraId="473F1FF7"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PMSE</w:t>
            </w:r>
          </w:p>
        </w:tc>
        <w:tc>
          <w:tcPr>
            <w:tcW w:w="6953" w:type="dxa"/>
            <w:tcMar>
              <w:left w:w="108" w:type="dxa"/>
              <w:right w:w="108" w:type="dxa"/>
            </w:tcMar>
          </w:tcPr>
          <w:p w14:paraId="5BBA1567"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Programme making and special events</w:t>
            </w:r>
          </w:p>
        </w:tc>
      </w:tr>
      <w:tr w:rsidR="007C0ADA" w:rsidRPr="00B54ECF" w14:paraId="160649EA" w14:textId="77777777" w:rsidTr="00021A76">
        <w:trPr>
          <w:trHeight w:val="300"/>
        </w:trPr>
        <w:tc>
          <w:tcPr>
            <w:tcW w:w="2035" w:type="dxa"/>
            <w:tcMar>
              <w:left w:w="108" w:type="dxa"/>
              <w:right w:w="108" w:type="dxa"/>
            </w:tcMar>
          </w:tcPr>
          <w:p w14:paraId="3CF647CC"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PPDR</w:t>
            </w:r>
          </w:p>
        </w:tc>
        <w:tc>
          <w:tcPr>
            <w:tcW w:w="6953" w:type="dxa"/>
            <w:tcMar>
              <w:left w:w="108" w:type="dxa"/>
              <w:right w:w="108" w:type="dxa"/>
            </w:tcMar>
          </w:tcPr>
          <w:p w14:paraId="4F2D403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Public </w:t>
            </w:r>
            <w:r>
              <w:rPr>
                <w:rStyle w:val="eop"/>
                <w:rFonts w:ascii="Times New Roman" w:eastAsia="Times New Roman" w:hAnsi="Times New Roman" w:cs="Times New Roman"/>
                <w:noProof/>
                <w:sz w:val="24"/>
                <w:szCs w:val="24"/>
                <w:lang w:eastAsia="en-IE"/>
              </w:rPr>
              <w:t>p</w:t>
            </w:r>
            <w:r w:rsidRPr="00B54ECF">
              <w:rPr>
                <w:rStyle w:val="eop"/>
                <w:rFonts w:ascii="Times New Roman" w:eastAsia="Times New Roman" w:hAnsi="Times New Roman" w:cs="Times New Roman"/>
                <w:noProof/>
                <w:sz w:val="24"/>
                <w:szCs w:val="24"/>
                <w:lang w:eastAsia="en-IE"/>
              </w:rPr>
              <w:t xml:space="preserve">rotection and </w:t>
            </w:r>
            <w:r>
              <w:rPr>
                <w:rStyle w:val="eop"/>
                <w:rFonts w:ascii="Times New Roman" w:eastAsia="Times New Roman" w:hAnsi="Times New Roman" w:cs="Times New Roman"/>
                <w:noProof/>
                <w:sz w:val="24"/>
                <w:szCs w:val="24"/>
                <w:lang w:eastAsia="en-IE"/>
              </w:rPr>
              <w:t>D</w:t>
            </w:r>
            <w:r w:rsidRPr="00516125">
              <w:rPr>
                <w:rStyle w:val="eop"/>
                <w:rFonts w:ascii="Times New Roman" w:eastAsia="Times New Roman" w:hAnsi="Times New Roman" w:cs="Times New Roman"/>
                <w:noProof/>
                <w:sz w:val="24"/>
                <w:szCs w:val="24"/>
                <w:lang w:eastAsia="en-IE"/>
              </w:rPr>
              <w:t xml:space="preserve">isaster </w:t>
            </w:r>
            <w:r>
              <w:rPr>
                <w:rStyle w:val="eop"/>
                <w:rFonts w:ascii="Times New Roman" w:eastAsia="Times New Roman" w:hAnsi="Times New Roman" w:cs="Times New Roman"/>
                <w:noProof/>
                <w:sz w:val="24"/>
                <w:szCs w:val="24"/>
                <w:lang w:eastAsia="en-IE"/>
              </w:rPr>
              <w:t>R</w:t>
            </w:r>
            <w:r w:rsidRPr="00B54ECF">
              <w:rPr>
                <w:rStyle w:val="eop"/>
                <w:rFonts w:ascii="Times New Roman" w:eastAsia="Times New Roman" w:hAnsi="Times New Roman" w:cs="Times New Roman"/>
                <w:noProof/>
                <w:sz w:val="24"/>
                <w:szCs w:val="24"/>
                <w:lang w:eastAsia="en-IE"/>
              </w:rPr>
              <w:t>elief</w:t>
            </w:r>
          </w:p>
        </w:tc>
      </w:tr>
      <w:tr w:rsidR="007C0ADA" w:rsidRPr="00B54ECF" w14:paraId="4B2241D7" w14:textId="77777777" w:rsidTr="00021A76">
        <w:trPr>
          <w:trHeight w:val="300"/>
        </w:trPr>
        <w:tc>
          <w:tcPr>
            <w:tcW w:w="2035" w:type="dxa"/>
            <w:tcMar>
              <w:left w:w="108" w:type="dxa"/>
              <w:right w:w="108" w:type="dxa"/>
            </w:tcMar>
          </w:tcPr>
          <w:p w14:paraId="0A4E631D"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PSM</w:t>
            </w:r>
          </w:p>
        </w:tc>
        <w:tc>
          <w:tcPr>
            <w:tcW w:w="6953" w:type="dxa"/>
            <w:tcMar>
              <w:left w:w="108" w:type="dxa"/>
              <w:right w:w="108" w:type="dxa"/>
            </w:tcMar>
          </w:tcPr>
          <w:p w14:paraId="7C3CFF7C"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Public </w:t>
            </w:r>
            <w:r>
              <w:rPr>
                <w:rStyle w:val="eop"/>
                <w:rFonts w:ascii="Times New Roman" w:eastAsia="Times New Roman" w:hAnsi="Times New Roman" w:cs="Times New Roman"/>
                <w:noProof/>
                <w:sz w:val="24"/>
                <w:szCs w:val="24"/>
                <w:lang w:eastAsia="en-IE"/>
              </w:rPr>
              <w:t>S</w:t>
            </w:r>
            <w:r w:rsidRPr="00516125">
              <w:rPr>
                <w:rStyle w:val="eop"/>
                <w:rFonts w:ascii="Times New Roman" w:eastAsia="Times New Roman" w:hAnsi="Times New Roman" w:cs="Times New Roman"/>
                <w:noProof/>
                <w:sz w:val="24"/>
                <w:szCs w:val="24"/>
                <w:lang w:eastAsia="en-IE"/>
              </w:rPr>
              <w:t xml:space="preserve">ervice </w:t>
            </w:r>
            <w:r>
              <w:rPr>
                <w:rStyle w:val="eop"/>
                <w:rFonts w:ascii="Times New Roman" w:eastAsia="Times New Roman" w:hAnsi="Times New Roman" w:cs="Times New Roman"/>
                <w:noProof/>
                <w:sz w:val="24"/>
                <w:szCs w:val="24"/>
                <w:lang w:eastAsia="en-IE"/>
              </w:rPr>
              <w:t>M</w:t>
            </w:r>
            <w:r w:rsidRPr="00B54ECF">
              <w:rPr>
                <w:rStyle w:val="eop"/>
                <w:rFonts w:ascii="Times New Roman" w:eastAsia="Times New Roman" w:hAnsi="Times New Roman" w:cs="Times New Roman"/>
                <w:noProof/>
                <w:sz w:val="24"/>
                <w:szCs w:val="24"/>
                <w:lang w:eastAsia="en-IE"/>
              </w:rPr>
              <w:t>edia</w:t>
            </w:r>
          </w:p>
        </w:tc>
      </w:tr>
      <w:tr w:rsidR="007C0ADA" w:rsidRPr="00B54ECF" w14:paraId="7AF8D8D7" w14:textId="77777777" w:rsidTr="00021A76">
        <w:trPr>
          <w:trHeight w:val="300"/>
        </w:trPr>
        <w:tc>
          <w:tcPr>
            <w:tcW w:w="2035" w:type="dxa"/>
            <w:tcMar>
              <w:left w:w="108" w:type="dxa"/>
              <w:right w:w="108" w:type="dxa"/>
            </w:tcMar>
          </w:tcPr>
          <w:p w14:paraId="7C44B071"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RA</w:t>
            </w:r>
          </w:p>
        </w:tc>
        <w:tc>
          <w:tcPr>
            <w:tcW w:w="6953" w:type="dxa"/>
            <w:tcMar>
              <w:left w:w="108" w:type="dxa"/>
              <w:right w:w="108" w:type="dxa"/>
            </w:tcMar>
          </w:tcPr>
          <w:p w14:paraId="7231C8FF"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Radioastronomy </w:t>
            </w:r>
          </w:p>
        </w:tc>
      </w:tr>
      <w:tr w:rsidR="007C0ADA" w:rsidRPr="00B54ECF" w14:paraId="50C6C757" w14:textId="77777777" w:rsidTr="00021A76">
        <w:trPr>
          <w:trHeight w:val="300"/>
        </w:trPr>
        <w:tc>
          <w:tcPr>
            <w:tcW w:w="2035" w:type="dxa"/>
            <w:tcMar>
              <w:left w:w="108" w:type="dxa"/>
              <w:right w:w="108" w:type="dxa"/>
            </w:tcMar>
          </w:tcPr>
          <w:p w14:paraId="37A3BA33"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RSPG </w:t>
            </w:r>
          </w:p>
        </w:tc>
        <w:tc>
          <w:tcPr>
            <w:tcW w:w="6953" w:type="dxa"/>
            <w:tcMar>
              <w:left w:w="108" w:type="dxa"/>
              <w:right w:w="108" w:type="dxa"/>
            </w:tcMar>
          </w:tcPr>
          <w:p w14:paraId="1F2B0761"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Radio Spectrum Policy Group </w:t>
            </w:r>
          </w:p>
        </w:tc>
      </w:tr>
      <w:tr w:rsidR="007C0ADA" w:rsidRPr="00B54ECF" w14:paraId="556D8929" w14:textId="77777777" w:rsidTr="00021A76">
        <w:trPr>
          <w:trHeight w:val="300"/>
        </w:trPr>
        <w:tc>
          <w:tcPr>
            <w:tcW w:w="2035" w:type="dxa"/>
            <w:tcMar>
              <w:left w:w="108" w:type="dxa"/>
              <w:right w:w="108" w:type="dxa"/>
            </w:tcMar>
          </w:tcPr>
          <w:p w14:paraId="74DA29CC"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RSPG Report</w:t>
            </w:r>
          </w:p>
        </w:tc>
        <w:tc>
          <w:tcPr>
            <w:tcW w:w="6953" w:type="dxa"/>
            <w:tcMar>
              <w:left w:w="108" w:type="dxa"/>
              <w:right w:w="108" w:type="dxa"/>
            </w:tcMar>
          </w:tcPr>
          <w:p w14:paraId="7082651A" w14:textId="77777777" w:rsidR="007C0ADA" w:rsidRPr="0010331E" w:rsidRDefault="007C0ADA" w:rsidP="00021A76">
            <w:pPr>
              <w:rPr>
                <w:rFonts w:ascii="Times New Roman" w:hAnsi="Times New Roman"/>
                <w:noProof/>
                <w:sz w:val="24"/>
              </w:rPr>
            </w:pPr>
            <w:r>
              <w:rPr>
                <w:rFonts w:ascii="Times New Roman" w:eastAsia="Times New Roman" w:hAnsi="Times New Roman" w:cs="Times New Roman"/>
                <w:noProof/>
                <w:sz w:val="24"/>
                <w:szCs w:val="24"/>
              </w:rPr>
              <w:t>R</w:t>
            </w:r>
            <w:r w:rsidRPr="00516125">
              <w:rPr>
                <w:rFonts w:ascii="Times New Roman" w:eastAsia="Times New Roman" w:hAnsi="Times New Roman" w:cs="Times New Roman"/>
                <w:noProof/>
                <w:sz w:val="24"/>
                <w:szCs w:val="24"/>
              </w:rPr>
              <w:t>efers</w:t>
            </w:r>
            <w:r w:rsidRPr="0010331E">
              <w:rPr>
                <w:rFonts w:ascii="Times New Roman" w:hAnsi="Times New Roman"/>
                <w:noProof/>
              </w:rPr>
              <w:t xml:space="preserve"> to RSPG25-33</w:t>
            </w:r>
          </w:p>
        </w:tc>
      </w:tr>
      <w:tr w:rsidR="007C0ADA" w:rsidRPr="00B54ECF" w14:paraId="2E72E23D" w14:textId="77777777" w:rsidTr="00021A76">
        <w:trPr>
          <w:trHeight w:val="300"/>
        </w:trPr>
        <w:tc>
          <w:tcPr>
            <w:tcW w:w="2035" w:type="dxa"/>
            <w:tcMar>
              <w:left w:w="108" w:type="dxa"/>
              <w:right w:w="108" w:type="dxa"/>
            </w:tcMar>
          </w:tcPr>
          <w:p w14:paraId="6633C754"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SD</w:t>
            </w:r>
          </w:p>
        </w:tc>
        <w:tc>
          <w:tcPr>
            <w:tcW w:w="6953" w:type="dxa"/>
            <w:tcMar>
              <w:left w:w="108" w:type="dxa"/>
              <w:right w:w="108" w:type="dxa"/>
            </w:tcMar>
          </w:tcPr>
          <w:p w14:paraId="6B72CEC2"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Standard definition</w:t>
            </w:r>
          </w:p>
        </w:tc>
      </w:tr>
      <w:tr w:rsidR="007C0ADA" w14:paraId="46412F74" w14:textId="77777777" w:rsidTr="00021A76">
        <w:trPr>
          <w:trHeight w:val="319"/>
        </w:trPr>
        <w:tc>
          <w:tcPr>
            <w:tcW w:w="2035" w:type="dxa"/>
            <w:tcMar>
              <w:left w:w="108" w:type="dxa"/>
              <w:right w:w="108" w:type="dxa"/>
            </w:tcMar>
          </w:tcPr>
          <w:p w14:paraId="085DF815"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SFN</w:t>
            </w:r>
          </w:p>
        </w:tc>
        <w:tc>
          <w:tcPr>
            <w:tcW w:w="6953" w:type="dxa"/>
            <w:tcMar>
              <w:left w:w="108" w:type="dxa"/>
              <w:right w:w="108" w:type="dxa"/>
            </w:tcMar>
          </w:tcPr>
          <w:p w14:paraId="180300C4" w14:textId="77777777" w:rsidR="007C0ADA" w:rsidRPr="00F12A37" w:rsidRDefault="007C0ADA" w:rsidP="00021A76">
            <w:pPr>
              <w:rPr>
                <w:rStyle w:val="eop"/>
                <w:noProof/>
                <w:sz w:val="24"/>
                <w:szCs w:val="24"/>
              </w:rPr>
            </w:pPr>
            <w:r w:rsidRPr="00F12A37">
              <w:rPr>
                <w:rStyle w:val="eop"/>
                <w:rFonts w:eastAsiaTheme="minorEastAsia"/>
                <w:noProof/>
                <w:lang w:eastAsia="en-IE"/>
              </w:rPr>
              <w:t xml:space="preserve">Single </w:t>
            </w:r>
            <w:r w:rsidRPr="463B461D">
              <w:rPr>
                <w:rStyle w:val="eop"/>
                <w:rFonts w:eastAsiaTheme="minorEastAsia"/>
                <w:noProof/>
                <w:sz w:val="24"/>
                <w:szCs w:val="24"/>
                <w:lang w:eastAsia="en-IE"/>
              </w:rPr>
              <w:t>F</w:t>
            </w:r>
            <w:r w:rsidRPr="00F12A37">
              <w:rPr>
                <w:rStyle w:val="eop"/>
                <w:rFonts w:eastAsiaTheme="minorEastAsia"/>
                <w:noProof/>
                <w:lang w:eastAsia="en-IE"/>
              </w:rPr>
              <w:t xml:space="preserve">requency </w:t>
            </w:r>
            <w:r w:rsidRPr="463B461D">
              <w:rPr>
                <w:rStyle w:val="eop"/>
                <w:rFonts w:eastAsiaTheme="minorEastAsia"/>
                <w:noProof/>
                <w:sz w:val="24"/>
                <w:szCs w:val="24"/>
                <w:lang w:eastAsia="en-IE"/>
              </w:rPr>
              <w:t>N</w:t>
            </w:r>
            <w:r w:rsidRPr="00F12A37">
              <w:rPr>
                <w:rStyle w:val="eop"/>
                <w:rFonts w:eastAsiaTheme="minorEastAsia"/>
                <w:noProof/>
                <w:lang w:eastAsia="en-IE"/>
              </w:rPr>
              <w:t>etwork</w:t>
            </w:r>
          </w:p>
        </w:tc>
      </w:tr>
      <w:tr w:rsidR="007C0ADA" w:rsidRPr="00B54ECF" w14:paraId="0BECD6DD" w14:textId="77777777" w:rsidTr="00021A76">
        <w:trPr>
          <w:trHeight w:val="319"/>
        </w:trPr>
        <w:tc>
          <w:tcPr>
            <w:tcW w:w="2035" w:type="dxa"/>
            <w:tcMar>
              <w:left w:w="108" w:type="dxa"/>
              <w:right w:w="108" w:type="dxa"/>
            </w:tcMar>
          </w:tcPr>
          <w:p w14:paraId="4DC63D39"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SVOD</w:t>
            </w:r>
          </w:p>
        </w:tc>
        <w:tc>
          <w:tcPr>
            <w:tcW w:w="6953" w:type="dxa"/>
            <w:tcMar>
              <w:left w:w="108" w:type="dxa"/>
              <w:right w:w="108" w:type="dxa"/>
            </w:tcMar>
          </w:tcPr>
          <w:p w14:paraId="49278381"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Subscription </w:t>
            </w:r>
            <w:r>
              <w:rPr>
                <w:rStyle w:val="eop"/>
                <w:rFonts w:ascii="Times New Roman" w:eastAsia="Times New Roman" w:hAnsi="Times New Roman" w:cs="Times New Roman"/>
                <w:noProof/>
                <w:sz w:val="24"/>
                <w:szCs w:val="24"/>
                <w:lang w:eastAsia="en-IE"/>
              </w:rPr>
              <w:t>v</w:t>
            </w:r>
            <w:r w:rsidRPr="00B54ECF">
              <w:rPr>
                <w:rStyle w:val="eop"/>
                <w:rFonts w:ascii="Times New Roman" w:eastAsia="Times New Roman" w:hAnsi="Times New Roman" w:cs="Times New Roman"/>
                <w:noProof/>
                <w:sz w:val="24"/>
                <w:szCs w:val="24"/>
                <w:lang w:eastAsia="en-IE"/>
              </w:rPr>
              <w:t xml:space="preserve">ideo on </w:t>
            </w:r>
            <w:r>
              <w:rPr>
                <w:rStyle w:val="eop"/>
                <w:rFonts w:ascii="Times New Roman" w:eastAsia="Times New Roman" w:hAnsi="Times New Roman" w:cs="Times New Roman"/>
                <w:noProof/>
                <w:sz w:val="24"/>
                <w:szCs w:val="24"/>
                <w:lang w:eastAsia="en-IE"/>
              </w:rPr>
              <w:t>d</w:t>
            </w:r>
            <w:r w:rsidRPr="00B54ECF">
              <w:rPr>
                <w:rStyle w:val="eop"/>
                <w:rFonts w:ascii="Times New Roman" w:eastAsia="Times New Roman" w:hAnsi="Times New Roman" w:cs="Times New Roman"/>
                <w:noProof/>
                <w:sz w:val="24"/>
                <w:szCs w:val="24"/>
                <w:lang w:eastAsia="en-IE"/>
              </w:rPr>
              <w:t>emand (s</w:t>
            </w:r>
            <w:r w:rsidRPr="00B54ECF">
              <w:rPr>
                <w:rFonts w:ascii="Times New Roman" w:eastAsia="Times New Roman" w:hAnsi="Times New Roman" w:cs="Times New Roman"/>
                <w:noProof/>
                <w:sz w:val="24"/>
                <w:szCs w:val="24"/>
              </w:rPr>
              <w:t>ubscription-based)</w:t>
            </w:r>
          </w:p>
        </w:tc>
      </w:tr>
      <w:tr w:rsidR="007C0ADA" w14:paraId="62E1768C" w14:textId="77777777" w:rsidTr="00021A76">
        <w:trPr>
          <w:trHeight w:val="319"/>
        </w:trPr>
        <w:tc>
          <w:tcPr>
            <w:tcW w:w="2035" w:type="dxa"/>
            <w:tcMar>
              <w:left w:w="108" w:type="dxa"/>
              <w:right w:w="108" w:type="dxa"/>
            </w:tcMar>
          </w:tcPr>
          <w:p w14:paraId="17FB9E73"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TDF</w:t>
            </w:r>
          </w:p>
        </w:tc>
        <w:tc>
          <w:tcPr>
            <w:tcW w:w="6953" w:type="dxa"/>
            <w:tcMar>
              <w:left w:w="108" w:type="dxa"/>
              <w:right w:w="108" w:type="dxa"/>
            </w:tcMar>
          </w:tcPr>
          <w:p w14:paraId="2AFA642A"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Télédiffusion de France</w:t>
            </w:r>
          </w:p>
        </w:tc>
      </w:tr>
      <w:tr w:rsidR="007C0ADA" w:rsidRPr="00B54ECF" w14:paraId="76A87A44" w14:textId="77777777" w:rsidTr="00021A76">
        <w:trPr>
          <w:trHeight w:val="319"/>
        </w:trPr>
        <w:tc>
          <w:tcPr>
            <w:tcW w:w="2035" w:type="dxa"/>
            <w:tcMar>
              <w:left w:w="108" w:type="dxa"/>
              <w:right w:w="108" w:type="dxa"/>
            </w:tcMar>
          </w:tcPr>
          <w:p w14:paraId="7E8DCA26"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TVOD</w:t>
            </w:r>
          </w:p>
        </w:tc>
        <w:tc>
          <w:tcPr>
            <w:tcW w:w="6953" w:type="dxa"/>
            <w:tcMar>
              <w:left w:w="108" w:type="dxa"/>
              <w:right w:w="108" w:type="dxa"/>
            </w:tcMar>
          </w:tcPr>
          <w:p w14:paraId="20910639"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 xml:space="preserve">Transactional </w:t>
            </w:r>
            <w:r>
              <w:rPr>
                <w:rStyle w:val="eop"/>
                <w:rFonts w:ascii="Times New Roman" w:eastAsia="Times New Roman" w:hAnsi="Times New Roman" w:cs="Times New Roman"/>
                <w:noProof/>
                <w:sz w:val="24"/>
                <w:szCs w:val="24"/>
                <w:lang w:eastAsia="en-IE"/>
              </w:rPr>
              <w:t>v</w:t>
            </w:r>
            <w:r w:rsidRPr="00B54ECF">
              <w:rPr>
                <w:rStyle w:val="eop"/>
                <w:rFonts w:ascii="Times New Roman" w:eastAsia="Times New Roman" w:hAnsi="Times New Roman" w:cs="Times New Roman"/>
                <w:noProof/>
                <w:sz w:val="24"/>
                <w:szCs w:val="24"/>
                <w:lang w:eastAsia="en-IE"/>
              </w:rPr>
              <w:t xml:space="preserve">ideo on </w:t>
            </w:r>
            <w:r>
              <w:rPr>
                <w:rStyle w:val="eop"/>
                <w:rFonts w:ascii="Times New Roman" w:eastAsia="Times New Roman" w:hAnsi="Times New Roman" w:cs="Times New Roman"/>
                <w:noProof/>
                <w:sz w:val="24"/>
                <w:szCs w:val="24"/>
                <w:lang w:eastAsia="en-IE"/>
              </w:rPr>
              <w:t>d</w:t>
            </w:r>
            <w:r w:rsidRPr="00B54ECF">
              <w:rPr>
                <w:rStyle w:val="eop"/>
                <w:rFonts w:ascii="Times New Roman" w:eastAsia="Times New Roman" w:hAnsi="Times New Roman" w:cs="Times New Roman"/>
                <w:noProof/>
                <w:sz w:val="24"/>
                <w:szCs w:val="24"/>
                <w:lang w:eastAsia="en-IE"/>
              </w:rPr>
              <w:t>emand (pay per view)</w:t>
            </w:r>
          </w:p>
        </w:tc>
      </w:tr>
      <w:tr w:rsidR="007C0ADA" w14:paraId="06C9B662" w14:textId="77777777" w:rsidTr="00021A76">
        <w:trPr>
          <w:trHeight w:val="321"/>
        </w:trPr>
        <w:tc>
          <w:tcPr>
            <w:tcW w:w="2035" w:type="dxa"/>
            <w:tcMar>
              <w:left w:w="108" w:type="dxa"/>
              <w:right w:w="108" w:type="dxa"/>
            </w:tcMar>
          </w:tcPr>
          <w:p w14:paraId="3867806F"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UHD</w:t>
            </w:r>
          </w:p>
        </w:tc>
        <w:tc>
          <w:tcPr>
            <w:tcW w:w="6953" w:type="dxa"/>
            <w:tcMar>
              <w:left w:w="108" w:type="dxa"/>
              <w:right w:w="108" w:type="dxa"/>
            </w:tcMar>
          </w:tcPr>
          <w:p w14:paraId="75B6F45E"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Ultra high definition (4K)</w:t>
            </w:r>
          </w:p>
        </w:tc>
      </w:tr>
      <w:tr w:rsidR="007C0ADA" w14:paraId="0FA26865" w14:textId="77777777" w:rsidTr="00021A76">
        <w:trPr>
          <w:trHeight w:val="321"/>
        </w:trPr>
        <w:tc>
          <w:tcPr>
            <w:tcW w:w="2035" w:type="dxa"/>
            <w:tcMar>
              <w:left w:w="108" w:type="dxa"/>
              <w:right w:w="108" w:type="dxa"/>
            </w:tcMar>
          </w:tcPr>
          <w:p w14:paraId="03668760"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UHD 2</w:t>
            </w:r>
          </w:p>
        </w:tc>
        <w:tc>
          <w:tcPr>
            <w:tcW w:w="6953" w:type="dxa"/>
            <w:tcMar>
              <w:left w:w="108" w:type="dxa"/>
              <w:right w:w="108" w:type="dxa"/>
            </w:tcMar>
          </w:tcPr>
          <w:p w14:paraId="0F642314" w14:textId="77777777" w:rsidR="007C0ADA" w:rsidRDefault="007C0ADA" w:rsidP="00021A76">
            <w:pPr>
              <w:rPr>
                <w:noProof/>
              </w:rPr>
            </w:pPr>
            <w:r w:rsidRPr="463B461D">
              <w:rPr>
                <w:rStyle w:val="eop"/>
                <w:rFonts w:ascii="Times New Roman" w:eastAsia="Times New Roman" w:hAnsi="Times New Roman" w:cs="Times New Roman"/>
                <w:noProof/>
                <w:sz w:val="24"/>
                <w:szCs w:val="24"/>
                <w:lang w:eastAsia="en-IE"/>
              </w:rPr>
              <w:t>Ultra high definition 2 (8K)</w:t>
            </w:r>
          </w:p>
        </w:tc>
      </w:tr>
      <w:tr w:rsidR="007C0ADA" w:rsidRPr="00B54ECF" w14:paraId="5B3218A9" w14:textId="77777777" w:rsidTr="00021A76">
        <w:trPr>
          <w:trHeight w:val="321"/>
        </w:trPr>
        <w:tc>
          <w:tcPr>
            <w:tcW w:w="2035" w:type="dxa"/>
            <w:tcMar>
              <w:left w:w="108" w:type="dxa"/>
              <w:right w:w="108" w:type="dxa"/>
            </w:tcMar>
          </w:tcPr>
          <w:p w14:paraId="648BB205"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UHF</w:t>
            </w:r>
          </w:p>
        </w:tc>
        <w:tc>
          <w:tcPr>
            <w:tcW w:w="6953" w:type="dxa"/>
            <w:tcMar>
              <w:left w:w="108" w:type="dxa"/>
              <w:right w:w="108" w:type="dxa"/>
            </w:tcMar>
          </w:tcPr>
          <w:p w14:paraId="5E396705" w14:textId="77777777" w:rsidR="007C0ADA" w:rsidRPr="00B54ECF" w:rsidRDefault="007C0ADA" w:rsidP="00021A76">
            <w:pPr>
              <w:rPr>
                <w:rStyle w:val="eop"/>
                <w:rFonts w:ascii="Times New Roman" w:eastAsia="Times New Roman" w:hAnsi="Times New Roman" w:cs="Times New Roman"/>
                <w:noProof/>
                <w:sz w:val="24"/>
                <w:szCs w:val="24"/>
              </w:rPr>
            </w:pPr>
            <w:r w:rsidRPr="463B461D">
              <w:rPr>
                <w:rStyle w:val="eop"/>
                <w:rFonts w:ascii="Times New Roman" w:eastAsia="Times New Roman" w:hAnsi="Times New Roman" w:cs="Times New Roman"/>
                <w:noProof/>
                <w:sz w:val="24"/>
                <w:szCs w:val="24"/>
                <w:lang w:eastAsia="en-IE"/>
              </w:rPr>
              <w:t>Ultra High frequency (~300 MHz to ~3GHz)</w:t>
            </w:r>
          </w:p>
        </w:tc>
      </w:tr>
      <w:tr w:rsidR="007C0ADA" w:rsidRPr="00B54ECF" w14:paraId="58DA3905" w14:textId="77777777" w:rsidTr="00021A76">
        <w:trPr>
          <w:trHeight w:val="300"/>
        </w:trPr>
        <w:tc>
          <w:tcPr>
            <w:tcW w:w="2035" w:type="dxa"/>
            <w:tcMar>
              <w:left w:w="108" w:type="dxa"/>
              <w:right w:w="108" w:type="dxa"/>
            </w:tcMar>
          </w:tcPr>
          <w:p w14:paraId="2BE8F02D"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Video streaming</w:t>
            </w:r>
          </w:p>
        </w:tc>
        <w:tc>
          <w:tcPr>
            <w:tcW w:w="6953" w:type="dxa"/>
            <w:tcMar>
              <w:left w:w="108" w:type="dxa"/>
              <w:right w:w="108" w:type="dxa"/>
            </w:tcMar>
          </w:tcPr>
          <w:p w14:paraId="2252AD97" w14:textId="77777777" w:rsidR="007C0ADA" w:rsidRPr="00B54ECF" w:rsidRDefault="007C0ADA" w:rsidP="00021A76">
            <w:pPr>
              <w:rPr>
                <w:rStyle w:val="eop"/>
                <w:rFonts w:ascii="Times New Roman" w:eastAsia="Times New Roman" w:hAnsi="Times New Roman" w:cs="Times New Roman"/>
                <w:noProof/>
                <w:sz w:val="24"/>
                <w:szCs w:val="24"/>
                <w:lang w:eastAsia="en-IE"/>
              </w:rPr>
            </w:pPr>
            <w:r>
              <w:rPr>
                <w:rStyle w:val="eop"/>
                <w:rFonts w:ascii="Times New Roman" w:eastAsia="Times New Roman" w:hAnsi="Times New Roman" w:cs="Times New Roman"/>
                <w:noProof/>
                <w:sz w:val="24"/>
                <w:szCs w:val="24"/>
                <w:lang w:eastAsia="en-IE"/>
              </w:rPr>
              <w:t>O</w:t>
            </w:r>
            <w:r w:rsidRPr="00516125">
              <w:rPr>
                <w:rStyle w:val="eop"/>
                <w:rFonts w:ascii="Times New Roman" w:eastAsia="Times New Roman" w:hAnsi="Times New Roman" w:cs="Times New Roman"/>
                <w:noProof/>
                <w:sz w:val="24"/>
                <w:szCs w:val="24"/>
                <w:lang w:eastAsia="en-IE"/>
              </w:rPr>
              <w:t>nline</w:t>
            </w:r>
            <w:r w:rsidRPr="00B54ECF">
              <w:rPr>
                <w:rStyle w:val="eop"/>
                <w:rFonts w:ascii="Times New Roman" w:eastAsia="Times New Roman" w:hAnsi="Times New Roman" w:cs="Times New Roman"/>
                <w:noProof/>
                <w:sz w:val="24"/>
                <w:szCs w:val="24"/>
                <w:lang w:eastAsia="en-IE"/>
              </w:rPr>
              <w:t xml:space="preserve"> delivery of video content that users can watch instantly without downloading.</w:t>
            </w:r>
          </w:p>
        </w:tc>
      </w:tr>
      <w:tr w:rsidR="007C0ADA" w:rsidRPr="00B54ECF" w14:paraId="616A65E4" w14:textId="77777777" w:rsidTr="00021A76">
        <w:trPr>
          <w:trHeight w:val="300"/>
        </w:trPr>
        <w:tc>
          <w:tcPr>
            <w:tcW w:w="2035" w:type="dxa"/>
            <w:tcMar>
              <w:left w:w="108" w:type="dxa"/>
              <w:right w:w="108" w:type="dxa"/>
            </w:tcMar>
          </w:tcPr>
          <w:p w14:paraId="46CA5360"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VOD</w:t>
            </w:r>
          </w:p>
        </w:tc>
        <w:tc>
          <w:tcPr>
            <w:tcW w:w="6953" w:type="dxa"/>
            <w:tcMar>
              <w:left w:w="108" w:type="dxa"/>
              <w:right w:w="108" w:type="dxa"/>
            </w:tcMar>
          </w:tcPr>
          <w:p w14:paraId="5AED6C8E"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 xml:space="preserve">Video on demand. </w:t>
            </w:r>
            <w:r>
              <w:rPr>
                <w:rStyle w:val="eop"/>
                <w:rFonts w:ascii="Times New Roman" w:eastAsia="Times New Roman" w:hAnsi="Times New Roman" w:cs="Times New Roman"/>
                <w:noProof/>
                <w:sz w:val="24"/>
                <w:szCs w:val="24"/>
                <w:lang w:eastAsia="en-IE"/>
              </w:rPr>
              <w:t>R</w:t>
            </w:r>
            <w:r w:rsidRPr="00516125">
              <w:rPr>
                <w:rStyle w:val="eop"/>
                <w:rFonts w:ascii="Times New Roman" w:eastAsia="Times New Roman" w:hAnsi="Times New Roman" w:cs="Times New Roman"/>
                <w:noProof/>
                <w:sz w:val="24"/>
                <w:szCs w:val="24"/>
                <w:lang w:eastAsia="en-IE"/>
              </w:rPr>
              <w:t>efers</w:t>
            </w:r>
            <w:r w:rsidRPr="00B54ECF">
              <w:rPr>
                <w:rStyle w:val="eop"/>
                <w:rFonts w:ascii="Times New Roman" w:eastAsia="Times New Roman" w:hAnsi="Times New Roman" w:cs="Times New Roman"/>
                <w:noProof/>
                <w:sz w:val="24"/>
                <w:szCs w:val="24"/>
                <w:lang w:eastAsia="en-IE"/>
              </w:rPr>
              <w:t xml:space="preserve"> to services that allow users to choose and watch video content whenever they want, rather than following a broadcast schedule.</w:t>
            </w:r>
          </w:p>
        </w:tc>
      </w:tr>
      <w:tr w:rsidR="007C0ADA" w:rsidRPr="00B54ECF" w14:paraId="67C49DA4" w14:textId="77777777" w:rsidTr="00021A76">
        <w:trPr>
          <w:trHeight w:val="300"/>
        </w:trPr>
        <w:tc>
          <w:tcPr>
            <w:tcW w:w="2035" w:type="dxa"/>
            <w:tcMar>
              <w:left w:w="108" w:type="dxa"/>
              <w:right w:w="108" w:type="dxa"/>
            </w:tcMar>
          </w:tcPr>
          <w:p w14:paraId="49D3C1A8" w14:textId="77777777" w:rsidR="007C0ADA" w:rsidRPr="0010331E" w:rsidRDefault="007C0ADA" w:rsidP="00021A76">
            <w:pPr>
              <w:rPr>
                <w:rFonts w:ascii="Times New Roman" w:hAnsi="Times New Roman"/>
                <w:noProof/>
                <w:sz w:val="24"/>
              </w:rPr>
            </w:pPr>
            <w:r w:rsidRPr="0010331E">
              <w:rPr>
                <w:rFonts w:ascii="Times New Roman" w:hAnsi="Times New Roman"/>
                <w:noProof/>
              </w:rPr>
              <w:t>VSP</w:t>
            </w:r>
          </w:p>
        </w:tc>
        <w:tc>
          <w:tcPr>
            <w:tcW w:w="6953" w:type="dxa"/>
            <w:tcMar>
              <w:left w:w="108" w:type="dxa"/>
              <w:right w:w="108" w:type="dxa"/>
            </w:tcMar>
          </w:tcPr>
          <w:p w14:paraId="5BB91E19" w14:textId="77777777" w:rsidR="007C0ADA" w:rsidRPr="00C27DF9" w:rsidRDefault="007C0ADA" w:rsidP="00021A76">
            <w:pPr>
              <w:rPr>
                <w:rStyle w:val="eop"/>
                <w:rFonts w:ascii="Times New Roman" w:eastAsia="Times New Roman" w:hAnsi="Times New Roman" w:cs="Times New Roman"/>
                <w:noProof/>
                <w:sz w:val="24"/>
                <w:szCs w:val="24"/>
                <w:lang w:eastAsia="en-IE"/>
              </w:rPr>
            </w:pPr>
            <w:r w:rsidRPr="00C27DF9">
              <w:rPr>
                <w:rStyle w:val="eop"/>
                <w:rFonts w:ascii="Times New Roman" w:eastAsia="Times New Roman" w:hAnsi="Times New Roman" w:cs="Times New Roman"/>
                <w:noProof/>
                <w:sz w:val="24"/>
                <w:szCs w:val="24"/>
                <w:lang w:eastAsia="en-IE"/>
              </w:rPr>
              <w:t>Video</w:t>
            </w:r>
            <w:r>
              <w:rPr>
                <w:rStyle w:val="eop"/>
                <w:rFonts w:ascii="Times New Roman" w:eastAsia="Times New Roman" w:hAnsi="Times New Roman" w:cs="Times New Roman"/>
                <w:noProof/>
                <w:sz w:val="24"/>
                <w:szCs w:val="24"/>
                <w:lang w:eastAsia="en-IE"/>
              </w:rPr>
              <w:t xml:space="preserve"> s</w:t>
            </w:r>
            <w:r w:rsidRPr="00516125">
              <w:rPr>
                <w:rStyle w:val="eop"/>
                <w:rFonts w:ascii="Times New Roman" w:eastAsia="Times New Roman" w:hAnsi="Times New Roman" w:cs="Times New Roman"/>
                <w:noProof/>
                <w:sz w:val="24"/>
                <w:szCs w:val="24"/>
                <w:lang w:eastAsia="en-IE"/>
              </w:rPr>
              <w:t>haring</w:t>
            </w:r>
            <w:r>
              <w:rPr>
                <w:rStyle w:val="eop"/>
                <w:rFonts w:ascii="Times New Roman" w:eastAsia="Times New Roman" w:hAnsi="Times New Roman" w:cs="Times New Roman"/>
                <w:noProof/>
                <w:sz w:val="24"/>
                <w:szCs w:val="24"/>
                <w:lang w:eastAsia="en-IE"/>
              </w:rPr>
              <w:t xml:space="preserve"> p</w:t>
            </w:r>
            <w:r w:rsidRPr="00C27DF9">
              <w:rPr>
                <w:rStyle w:val="eop"/>
                <w:rFonts w:ascii="Times New Roman" w:eastAsia="Times New Roman" w:hAnsi="Times New Roman" w:cs="Times New Roman"/>
                <w:noProof/>
                <w:sz w:val="24"/>
                <w:szCs w:val="24"/>
                <w:lang w:eastAsia="en-IE"/>
              </w:rPr>
              <w:t>latforms. These are online platforms where users upload, share and view audiovisual content, typically short or medium-length videos.</w:t>
            </w:r>
          </w:p>
        </w:tc>
      </w:tr>
      <w:tr w:rsidR="007C0ADA" w:rsidRPr="00B54ECF" w14:paraId="54E8896B" w14:textId="77777777" w:rsidTr="00021A76">
        <w:trPr>
          <w:trHeight w:val="300"/>
        </w:trPr>
        <w:tc>
          <w:tcPr>
            <w:tcW w:w="2035" w:type="dxa"/>
            <w:tcMar>
              <w:left w:w="108" w:type="dxa"/>
              <w:right w:w="108" w:type="dxa"/>
            </w:tcMar>
          </w:tcPr>
          <w:p w14:paraId="7CE08061" w14:textId="77777777" w:rsidR="007C0ADA" w:rsidRPr="0010331E" w:rsidRDefault="007C0ADA" w:rsidP="00021A76">
            <w:pPr>
              <w:rPr>
                <w:rFonts w:ascii="Times New Roman" w:hAnsi="Times New Roman"/>
                <w:noProof/>
              </w:rPr>
            </w:pPr>
            <w:r w:rsidRPr="00B54ECF">
              <w:rPr>
                <w:rStyle w:val="eop"/>
                <w:rFonts w:ascii="Times New Roman" w:eastAsia="Times New Roman" w:hAnsi="Times New Roman" w:cs="Times New Roman"/>
                <w:noProof/>
                <w:sz w:val="24"/>
                <w:szCs w:val="24"/>
                <w:lang w:eastAsia="en-IE"/>
              </w:rPr>
              <w:t>VVC</w:t>
            </w:r>
            <w:r>
              <w:rPr>
                <w:rStyle w:val="eop"/>
                <w:rFonts w:ascii="Times New Roman" w:eastAsia="Times New Roman" w:hAnsi="Times New Roman" w:cs="Times New Roman"/>
                <w:noProof/>
                <w:sz w:val="24"/>
                <w:szCs w:val="24"/>
                <w:lang w:eastAsia="en-IE"/>
              </w:rPr>
              <w:t>/</w:t>
            </w:r>
            <w:r w:rsidRPr="00B54ECF">
              <w:rPr>
                <w:rStyle w:val="eop"/>
                <w:rFonts w:ascii="Times New Roman" w:eastAsia="Times New Roman" w:hAnsi="Times New Roman" w:cs="Times New Roman"/>
                <w:noProof/>
                <w:sz w:val="24"/>
                <w:szCs w:val="24"/>
                <w:lang w:eastAsia="en-IE"/>
              </w:rPr>
              <w:t xml:space="preserve"> H.266</w:t>
            </w:r>
          </w:p>
        </w:tc>
        <w:tc>
          <w:tcPr>
            <w:tcW w:w="6953" w:type="dxa"/>
            <w:tcMar>
              <w:left w:w="108" w:type="dxa"/>
              <w:right w:w="108" w:type="dxa"/>
            </w:tcMar>
          </w:tcPr>
          <w:p w14:paraId="4BAA0758" w14:textId="77777777" w:rsidR="007C0ADA" w:rsidRPr="00C27DF9" w:rsidRDefault="007C0ADA" w:rsidP="00021A76">
            <w:pPr>
              <w:rPr>
                <w:rStyle w:val="eop"/>
                <w:rFonts w:ascii="Times New Roman" w:eastAsia="Times New Roman" w:hAnsi="Times New Roman" w:cs="Times New Roman"/>
                <w:noProof/>
                <w:lang w:eastAsia="en-IE"/>
              </w:rPr>
            </w:pPr>
            <w:r w:rsidRPr="00B54ECF">
              <w:rPr>
                <w:rStyle w:val="eop"/>
                <w:rFonts w:ascii="Times New Roman" w:eastAsia="Times New Roman" w:hAnsi="Times New Roman" w:cs="Times New Roman"/>
                <w:noProof/>
                <w:sz w:val="24"/>
                <w:szCs w:val="24"/>
                <w:lang w:eastAsia="en-IE"/>
              </w:rPr>
              <w:t>Versatile Video Coding</w:t>
            </w:r>
          </w:p>
        </w:tc>
      </w:tr>
      <w:tr w:rsidR="007C0ADA" w:rsidRPr="00B54ECF" w14:paraId="18473CE6" w14:textId="77777777" w:rsidTr="00021A76">
        <w:trPr>
          <w:trHeight w:val="300"/>
        </w:trPr>
        <w:tc>
          <w:tcPr>
            <w:tcW w:w="2035" w:type="dxa"/>
            <w:tcMar>
              <w:left w:w="108" w:type="dxa"/>
              <w:right w:w="108" w:type="dxa"/>
            </w:tcMar>
          </w:tcPr>
          <w:p w14:paraId="77ECAE87"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WMAS</w:t>
            </w:r>
          </w:p>
        </w:tc>
        <w:tc>
          <w:tcPr>
            <w:tcW w:w="6953" w:type="dxa"/>
            <w:tcMar>
              <w:left w:w="108" w:type="dxa"/>
              <w:right w:w="108" w:type="dxa"/>
            </w:tcMar>
          </w:tcPr>
          <w:p w14:paraId="4DF05705"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Wireless multichannel audio systems</w:t>
            </w:r>
          </w:p>
        </w:tc>
      </w:tr>
      <w:tr w:rsidR="007C0ADA" w:rsidRPr="00B54ECF" w14:paraId="21F6F943" w14:textId="77777777" w:rsidTr="00021A76">
        <w:trPr>
          <w:trHeight w:val="300"/>
        </w:trPr>
        <w:tc>
          <w:tcPr>
            <w:tcW w:w="2035" w:type="dxa"/>
            <w:tcMar>
              <w:left w:w="108" w:type="dxa"/>
              <w:right w:w="108" w:type="dxa"/>
            </w:tcMar>
          </w:tcPr>
          <w:p w14:paraId="7FF81479" w14:textId="77777777" w:rsidR="007C0ADA" w:rsidRPr="00B54ECF" w:rsidRDefault="007C0ADA" w:rsidP="00021A76">
            <w:pPr>
              <w:rPr>
                <w:rStyle w:val="eop"/>
                <w:rFonts w:ascii="Times New Roman" w:eastAsia="Times New Roman" w:hAnsi="Times New Roman" w:cs="Times New Roman"/>
                <w:noProof/>
                <w:sz w:val="24"/>
                <w:szCs w:val="24"/>
              </w:rPr>
            </w:pPr>
            <w:r w:rsidRPr="00B54ECF">
              <w:rPr>
                <w:rStyle w:val="eop"/>
                <w:rFonts w:ascii="Times New Roman" w:eastAsia="Times New Roman" w:hAnsi="Times New Roman" w:cs="Times New Roman"/>
                <w:noProof/>
                <w:sz w:val="24"/>
                <w:szCs w:val="24"/>
                <w:lang w:eastAsia="en-IE"/>
              </w:rPr>
              <w:t>WRC</w:t>
            </w:r>
          </w:p>
        </w:tc>
        <w:tc>
          <w:tcPr>
            <w:tcW w:w="6953" w:type="dxa"/>
            <w:tcMar>
              <w:left w:w="108" w:type="dxa"/>
              <w:right w:w="108" w:type="dxa"/>
            </w:tcMar>
          </w:tcPr>
          <w:p w14:paraId="6B366CC0" w14:textId="77777777" w:rsidR="007C0ADA" w:rsidRPr="00B54ECF" w:rsidRDefault="007C0ADA" w:rsidP="00021A76">
            <w:pPr>
              <w:rPr>
                <w:rStyle w:val="eop"/>
                <w:rFonts w:ascii="Times New Roman" w:eastAsia="Times New Roman" w:hAnsi="Times New Roman" w:cs="Times New Roman"/>
                <w:noProof/>
                <w:sz w:val="24"/>
                <w:szCs w:val="24"/>
                <w:lang w:eastAsia="en-IE"/>
              </w:rPr>
            </w:pPr>
            <w:r w:rsidRPr="00B54ECF">
              <w:rPr>
                <w:rStyle w:val="eop"/>
                <w:rFonts w:ascii="Times New Roman" w:eastAsia="Times New Roman" w:hAnsi="Times New Roman" w:cs="Times New Roman"/>
                <w:noProof/>
                <w:sz w:val="24"/>
                <w:szCs w:val="24"/>
                <w:lang w:eastAsia="en-IE"/>
              </w:rPr>
              <w:t>World Radio Conference</w:t>
            </w:r>
          </w:p>
        </w:tc>
      </w:tr>
    </w:tbl>
    <w:p w14:paraId="1AC54E64" w14:textId="77777777" w:rsidR="007C0ADA" w:rsidRPr="00B54ECF" w:rsidRDefault="007C0ADA" w:rsidP="007C0ADA">
      <w:pPr>
        <w:pStyle w:val="paragraph"/>
        <w:spacing w:before="0" w:beforeAutospacing="0" w:after="0" w:afterAutospacing="0"/>
        <w:rPr>
          <w:rStyle w:val="eop"/>
          <w:noProof/>
        </w:rPr>
      </w:pPr>
    </w:p>
    <w:bookmarkEnd w:id="0"/>
    <w:p w14:paraId="780BD5C8" w14:textId="7AB2684A" w:rsidR="00D66176" w:rsidRDefault="00D66176">
      <w:pPr>
        <w:rPr>
          <w:noProof/>
        </w:rPr>
      </w:pPr>
    </w:p>
    <w:sectPr w:rsidR="00D66176" w:rsidSect="00433743">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FA62B" w14:textId="77777777" w:rsidR="00804A0A" w:rsidRDefault="00804A0A" w:rsidP="00433743">
      <w:pPr>
        <w:spacing w:after="0" w:line="240" w:lineRule="auto"/>
      </w:pPr>
      <w:r>
        <w:separator/>
      </w:r>
    </w:p>
  </w:endnote>
  <w:endnote w:type="continuationSeparator" w:id="0">
    <w:p w14:paraId="31C61BF4" w14:textId="77777777" w:rsidR="00804A0A" w:rsidRDefault="00804A0A" w:rsidP="00433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ADF12" w14:textId="14F5CABA" w:rsidR="001C686D" w:rsidRPr="001C686D" w:rsidRDefault="001C686D" w:rsidP="001C686D">
    <w:pPr>
      <w:pStyle w:val="FooterCoverPage"/>
      <w:rPr>
        <w:rFonts w:ascii="Arial" w:hAnsi="Arial" w:cs="Arial"/>
        <w:b/>
        <w:sz w:val="48"/>
      </w:rPr>
    </w:pPr>
    <w:r w:rsidRPr="001C686D">
      <w:rPr>
        <w:rFonts w:ascii="Arial" w:hAnsi="Arial" w:cs="Arial"/>
        <w:b/>
        <w:sz w:val="48"/>
      </w:rPr>
      <w:t>EN</w:t>
    </w:r>
    <w:r w:rsidRPr="001C686D">
      <w:rPr>
        <w:rFonts w:ascii="Arial" w:hAnsi="Arial" w:cs="Arial"/>
        <w:b/>
        <w:sz w:val="48"/>
      </w:rPr>
      <w:tab/>
    </w:r>
    <w:r w:rsidRPr="001C686D">
      <w:rPr>
        <w:rFonts w:ascii="Arial" w:hAnsi="Arial" w:cs="Arial"/>
        <w:b/>
        <w:sz w:val="48"/>
      </w:rPr>
      <w:tab/>
    </w:r>
    <w:r w:rsidRPr="001C686D">
      <w:tab/>
    </w:r>
    <w:r w:rsidRPr="001C686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3C3F8" w14:textId="4A737BAB" w:rsidR="001C686D" w:rsidRPr="001C686D" w:rsidRDefault="001C686D" w:rsidP="001C686D">
    <w:pPr>
      <w:pStyle w:val="FooterCoverPage"/>
      <w:rPr>
        <w:rFonts w:ascii="Arial" w:hAnsi="Arial" w:cs="Arial"/>
        <w:b/>
        <w:sz w:val="48"/>
      </w:rPr>
    </w:pPr>
    <w:r w:rsidRPr="001C686D">
      <w:rPr>
        <w:rFonts w:ascii="Arial" w:hAnsi="Arial" w:cs="Arial"/>
        <w:b/>
        <w:sz w:val="48"/>
      </w:rPr>
      <w:t>EN</w:t>
    </w:r>
    <w:r w:rsidRPr="001C686D">
      <w:rPr>
        <w:rFonts w:ascii="Arial" w:hAnsi="Arial" w:cs="Arial"/>
        <w:b/>
        <w:sz w:val="48"/>
      </w:rPr>
      <w:tab/>
    </w:r>
    <w:r w:rsidRPr="001C686D">
      <w:rPr>
        <w:rFonts w:ascii="Arial" w:hAnsi="Arial" w:cs="Arial"/>
        <w:b/>
        <w:sz w:val="48"/>
      </w:rPr>
      <w:tab/>
    </w:r>
    <w:r w:rsidRPr="001C686D">
      <w:tab/>
    </w:r>
    <w:r w:rsidRPr="001C686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CAEEA" w14:textId="77777777" w:rsidR="001C686D" w:rsidRPr="001C686D" w:rsidRDefault="001C686D" w:rsidP="001C68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74FAF" w14:textId="77777777" w:rsidR="00433743" w:rsidRDefault="004337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742030"/>
      <w:docPartObj>
        <w:docPartGallery w:val="Page Numbers (Bottom of Page)"/>
        <w:docPartUnique/>
      </w:docPartObj>
    </w:sdtPr>
    <w:sdtEndPr>
      <w:rPr>
        <w:noProof/>
      </w:rPr>
    </w:sdtEndPr>
    <w:sdtContent>
      <w:p w14:paraId="04C601A6" w14:textId="21BE8582" w:rsidR="00B54ECF" w:rsidRDefault="00B54ECF">
        <w:pPr>
          <w:pStyle w:val="Footer"/>
          <w:jc w:val="right"/>
        </w:pPr>
        <w:r>
          <w:fldChar w:fldCharType="begin"/>
        </w:r>
        <w:r>
          <w:instrText xml:space="preserve"> PAGE   \* MERGEFORMAT </w:instrText>
        </w:r>
        <w:r>
          <w:fldChar w:fldCharType="separate"/>
        </w:r>
        <w:r w:rsidR="001C686D">
          <w:rPr>
            <w:noProof/>
          </w:rPr>
          <w:t>1</w:t>
        </w:r>
        <w:r>
          <w:rPr>
            <w:noProof/>
          </w:rPr>
          <w:fldChar w:fldCharType="end"/>
        </w:r>
      </w:p>
    </w:sdtContent>
  </w:sdt>
  <w:p w14:paraId="34204D37" w14:textId="77777777" w:rsidR="00433743" w:rsidRDefault="004337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D523C" w14:textId="77777777" w:rsidR="00433743" w:rsidRDefault="00433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332DD" w14:textId="77777777" w:rsidR="00804A0A" w:rsidRDefault="00804A0A" w:rsidP="00433743">
      <w:pPr>
        <w:spacing w:after="0" w:line="240" w:lineRule="auto"/>
      </w:pPr>
      <w:r>
        <w:separator/>
      </w:r>
    </w:p>
  </w:footnote>
  <w:footnote w:type="continuationSeparator" w:id="0">
    <w:p w14:paraId="6BF7B5F2" w14:textId="77777777" w:rsidR="00804A0A" w:rsidRDefault="00804A0A" w:rsidP="00433743">
      <w:pPr>
        <w:spacing w:after="0" w:line="240" w:lineRule="auto"/>
      </w:pPr>
      <w:r>
        <w:continuationSeparator/>
      </w:r>
    </w:p>
  </w:footnote>
  <w:footnote w:id="1">
    <w:p w14:paraId="33BC3DC4" w14:textId="312135C9" w:rsidR="00BF60DB" w:rsidRPr="004770B6" w:rsidRDefault="00BF60DB" w:rsidP="00BF60DB">
      <w:pPr>
        <w:pStyle w:val="FootnoteText"/>
        <w:spacing w:after="60"/>
        <w:jc w:val="both"/>
        <w:rPr>
          <w:rFonts w:ascii="Times New Roman" w:hAnsi="Times New Roman"/>
          <w:lang w:val="en-GB"/>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r w:rsidRPr="004770B6">
        <w:rPr>
          <w:rFonts w:ascii="Times New Roman" w:hAnsi="Times New Roman"/>
          <w:lang w:val="en-GB"/>
        </w:rPr>
        <w:t>Decision (EU) 2017/899 of the European Parliament and of the Council of 17</w:t>
      </w:r>
      <w:r w:rsidR="00516125">
        <w:rPr>
          <w:rFonts w:ascii="Times New Roman" w:hAnsi="Times New Roman" w:cs="Times New Roman"/>
        </w:rPr>
        <w:t> </w:t>
      </w:r>
      <w:r w:rsidRPr="004770B6">
        <w:rPr>
          <w:rFonts w:ascii="Times New Roman" w:hAnsi="Times New Roman"/>
          <w:lang w:val="en-GB"/>
        </w:rPr>
        <w:t>May 2017 on the use of the 470-790</w:t>
      </w:r>
      <w:r w:rsidR="003B563B">
        <w:rPr>
          <w:rFonts w:ascii="Times New Roman" w:hAnsi="Times New Roman" w:cs="Times New Roman"/>
        </w:rPr>
        <w:t> </w:t>
      </w:r>
      <w:r w:rsidRPr="00C27DF9">
        <w:rPr>
          <w:rFonts w:ascii="Times New Roman" w:hAnsi="Times New Roman"/>
          <w:lang w:val="en-GB"/>
        </w:rPr>
        <w:t>MHz frequency band in the Union, OJ L 138, 25.5.2017, p.</w:t>
      </w:r>
      <w:r w:rsidR="00516125">
        <w:rPr>
          <w:rFonts w:ascii="Times New Roman" w:hAnsi="Times New Roman" w:cs="Times New Roman"/>
        </w:rPr>
        <w:t> </w:t>
      </w:r>
      <w:r w:rsidRPr="004770B6">
        <w:rPr>
          <w:rFonts w:ascii="Times New Roman" w:hAnsi="Times New Roman"/>
          <w:lang w:val="en-GB"/>
        </w:rPr>
        <w:t>131</w:t>
      </w:r>
      <w:r w:rsidRPr="0010331E">
        <w:rPr>
          <w:rFonts w:ascii="Times New Roman" w:hAnsi="Times New Roman"/>
        </w:rPr>
        <w:t xml:space="preserve">, </w:t>
      </w:r>
      <w:r w:rsidRPr="00354484">
        <w:rPr>
          <w:rFonts w:ascii="Times New Roman" w:hAnsi="Times New Roman" w:cs="Times New Roman"/>
        </w:rPr>
        <w:t>ELI: </w:t>
      </w:r>
      <w:hyperlink r:id="rId1" w:tooltip="Gives access to this document through its ELI URI." w:history="1">
        <w:r w:rsidRPr="00354484">
          <w:rPr>
            <w:rStyle w:val="Hyperlink"/>
            <w:rFonts w:ascii="Times New Roman" w:hAnsi="Times New Roman" w:cs="Times New Roman"/>
          </w:rPr>
          <w:t>http://data.europa.eu/eli/dec/2017/899/oj</w:t>
        </w:r>
      </w:hyperlink>
      <w:r w:rsidRPr="004770B6">
        <w:rPr>
          <w:rFonts w:ascii="Times New Roman" w:hAnsi="Times New Roman"/>
          <w:lang w:val="en-GB"/>
        </w:rPr>
        <w:t>.</w:t>
      </w:r>
    </w:p>
  </w:footnote>
  <w:footnote w:id="2">
    <w:p w14:paraId="579A5873" w14:textId="763AAC1C" w:rsidR="00BF60DB" w:rsidRPr="004770B6" w:rsidRDefault="00BF60DB" w:rsidP="00BF60DB">
      <w:pPr>
        <w:pStyle w:val="FootnoteText"/>
        <w:spacing w:after="60"/>
        <w:jc w:val="both"/>
        <w:rPr>
          <w:rFonts w:ascii="Times New Roman" w:hAnsi="Times New Roman"/>
          <w:lang w:val="en-GB"/>
        </w:rPr>
      </w:pPr>
      <w:r w:rsidRPr="004770B6">
        <w:rPr>
          <w:rStyle w:val="FootnoteReference"/>
          <w:rFonts w:ascii="Times New Roman" w:hAnsi="Times New Roman"/>
          <w:lang w:val="en-GB"/>
        </w:rPr>
        <w:footnoteRef/>
      </w:r>
      <w:r w:rsidRPr="004770B6">
        <w:rPr>
          <w:rFonts w:ascii="Times New Roman" w:hAnsi="Times New Roman"/>
          <w:lang w:val="en-GB"/>
        </w:rPr>
        <w:t xml:space="preserve"> </w:t>
      </w:r>
      <w:hyperlink r:id="rId2">
        <w:r w:rsidRPr="004770B6">
          <w:rPr>
            <w:rStyle w:val="Hyperlink"/>
            <w:rFonts w:ascii="Times New Roman" w:hAnsi="Times New Roman"/>
            <w:lang w:val="en-GB"/>
          </w:rPr>
          <w:t>RSPG Opinion</w:t>
        </w:r>
        <w:r w:rsidR="00B62F24">
          <w:rPr>
            <w:rStyle w:val="Hyperlink"/>
            <w:rFonts w:ascii="Times New Roman" w:hAnsi="Times New Roman" w:cs="Times New Roman"/>
          </w:rPr>
          <w:t>,</w:t>
        </w:r>
        <w:r w:rsidRPr="00C27DF9">
          <w:rPr>
            <w:rStyle w:val="Hyperlink"/>
            <w:rFonts w:ascii="Times New Roman" w:hAnsi="Times New Roman"/>
            <w:lang w:val="en-GB"/>
          </w:rPr>
          <w:t xml:space="preserve"> Strategy on the future use of the frequency band 470-694 MHz beyond 2030 in the EU (RSPG23-035).</w:t>
        </w:r>
      </w:hyperlink>
    </w:p>
  </w:footnote>
  <w:footnote w:id="3">
    <w:p w14:paraId="57402238" w14:textId="55596E71" w:rsidR="00BF60DB" w:rsidRPr="004770B6" w:rsidRDefault="00BF60DB" w:rsidP="00BF60DB">
      <w:pPr>
        <w:pStyle w:val="FootnoteText"/>
        <w:spacing w:after="60"/>
        <w:jc w:val="both"/>
        <w:rPr>
          <w:rFonts w:ascii="Times New Roman" w:hAnsi="Times New Roman"/>
          <w:lang w:val="en-GB"/>
        </w:rPr>
      </w:pPr>
      <w:r w:rsidRPr="004770B6">
        <w:rPr>
          <w:rStyle w:val="FootnoteReference"/>
          <w:rFonts w:ascii="Times New Roman" w:hAnsi="Times New Roman"/>
          <w:lang w:val="en-GB"/>
        </w:rPr>
        <w:footnoteRef/>
      </w:r>
      <w:r w:rsidRPr="004770B6">
        <w:rPr>
          <w:rFonts w:ascii="Times New Roman" w:hAnsi="Times New Roman"/>
          <w:lang w:val="en-GB"/>
        </w:rPr>
        <w:t xml:space="preserve"> </w:t>
      </w:r>
      <w:hyperlink r:id="rId3" w:history="1">
        <w:r w:rsidRPr="004770B6">
          <w:rPr>
            <w:rStyle w:val="Hyperlink"/>
            <w:rFonts w:ascii="Times New Roman" w:hAnsi="Times New Roman"/>
            <w:lang w:val="en-GB"/>
          </w:rPr>
          <w:t>RSPG Report</w:t>
        </w:r>
        <w:r w:rsidR="00B62F24">
          <w:rPr>
            <w:rStyle w:val="Hyperlink"/>
            <w:rFonts w:ascii="Times New Roman" w:hAnsi="Times New Roman" w:cs="Times New Roman"/>
          </w:rPr>
          <w:t>,</w:t>
        </w:r>
        <w:r w:rsidRPr="00C27DF9">
          <w:rPr>
            <w:rStyle w:val="Hyperlink"/>
            <w:rFonts w:ascii="Times New Roman" w:hAnsi="Times New Roman"/>
            <w:lang w:val="en-GB"/>
          </w:rPr>
          <w:t xml:space="preserve"> </w:t>
        </w:r>
        <w:r w:rsidR="00B62F24">
          <w:rPr>
            <w:rStyle w:val="Hyperlink"/>
            <w:rFonts w:ascii="Times New Roman" w:hAnsi="Times New Roman" w:cs="Times New Roman"/>
          </w:rPr>
          <w:t>A</w:t>
        </w:r>
        <w:r w:rsidRPr="00C27DF9">
          <w:rPr>
            <w:rStyle w:val="Hyperlink"/>
            <w:rFonts w:ascii="Times New Roman" w:hAnsi="Times New Roman"/>
            <w:lang w:val="en-GB"/>
          </w:rPr>
          <w:t>ssessment of future usage of the frequency band 470-694 MHz within the EU (RSPG25-33)</w:t>
        </w:r>
      </w:hyperlink>
      <w:r w:rsidRPr="004770B6">
        <w:rPr>
          <w:rFonts w:ascii="Times New Roman" w:hAnsi="Times New Roman"/>
          <w:lang w:val="en-GB"/>
        </w:rPr>
        <w:t>.</w:t>
      </w:r>
    </w:p>
  </w:footnote>
  <w:footnote w:id="4">
    <w:p w14:paraId="526DB481" w14:textId="38926E72" w:rsidR="00BF60DB" w:rsidRPr="00C27DF9" w:rsidRDefault="00BF60DB" w:rsidP="00BF60DB">
      <w:pPr>
        <w:pStyle w:val="FootnoteText"/>
        <w:spacing w:after="60"/>
        <w:jc w:val="both"/>
        <w:rPr>
          <w:rFonts w:ascii="Times New Roman" w:hAnsi="Times New Roman"/>
          <w:lang w:val="en-GB"/>
        </w:rPr>
      </w:pPr>
      <w:r w:rsidRPr="004770B6">
        <w:rPr>
          <w:rStyle w:val="FootnoteReference"/>
          <w:rFonts w:ascii="Times New Roman" w:hAnsi="Times New Roman"/>
          <w:lang w:val="en-GB"/>
        </w:rPr>
        <w:footnoteRef/>
      </w:r>
      <w:r w:rsidRPr="004770B6">
        <w:rPr>
          <w:rFonts w:ascii="Times New Roman" w:hAnsi="Times New Roman"/>
          <w:lang w:val="en-GB"/>
        </w:rPr>
        <w:t xml:space="preserve"> The final report of the Commission study can be found under the following link:</w:t>
      </w:r>
      <w:r w:rsidR="00516125" w:rsidRPr="00516125">
        <w:rPr>
          <w:rFonts w:ascii="Times New Roman" w:hAnsi="Times New Roman" w:cs="Times New Roman"/>
        </w:rPr>
        <w:t xml:space="preserve"> </w:t>
      </w:r>
      <w:hyperlink r:id="rId4" w:history="1">
        <w:r w:rsidRPr="004770B6">
          <w:rPr>
            <w:rStyle w:val="Hyperlink"/>
            <w:rFonts w:ascii="Times New Roman" w:hAnsi="Times New Roman"/>
            <w:lang w:val="en-GB"/>
          </w:rPr>
          <w:t>https://op.europa.eu/publication-detail/-/publication/d77a592e-4f54-11ed-92ed-01aa75ed71a1</w:t>
        </w:r>
      </w:hyperlink>
      <w:r w:rsidRPr="00C27DF9">
        <w:rPr>
          <w:rFonts w:ascii="Times New Roman" w:hAnsi="Times New Roman"/>
          <w:lang w:val="en-GB"/>
        </w:rPr>
        <w:t>.</w:t>
      </w:r>
    </w:p>
  </w:footnote>
  <w:footnote w:id="5">
    <w:p w14:paraId="55B2A3DC" w14:textId="7E319A74"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r w:rsidRPr="004770B6">
        <w:rPr>
          <w:rFonts w:ascii="Times New Roman" w:hAnsi="Times New Roman"/>
          <w:lang w:val="en-GB"/>
        </w:rPr>
        <w:t>With the exception of the 608-614</w:t>
      </w:r>
      <w:r w:rsidR="003B563B">
        <w:rPr>
          <w:rFonts w:ascii="Times New Roman" w:hAnsi="Times New Roman" w:cs="Times New Roman"/>
        </w:rPr>
        <w:t> </w:t>
      </w:r>
      <w:r w:rsidRPr="00C27DF9">
        <w:rPr>
          <w:rFonts w:ascii="Times New Roman" w:hAnsi="Times New Roman"/>
          <w:lang w:val="en-GB"/>
        </w:rPr>
        <w:t>MHz sub-band in ITU Region 2.</w:t>
      </w:r>
    </w:p>
  </w:footnote>
  <w:footnote w:id="6">
    <w:p w14:paraId="41451772" w14:textId="182C7D7E" w:rsidR="00BF60DB" w:rsidRPr="00C27DF9" w:rsidRDefault="00BF60DB" w:rsidP="00BF60DB">
      <w:pPr>
        <w:pStyle w:val="FootnoteText"/>
        <w:spacing w:after="60"/>
        <w:jc w:val="both"/>
        <w:rPr>
          <w:rFonts w:ascii="Times New Roman" w:hAnsi="Times New Roman"/>
          <w:lang w:val="en-GB"/>
        </w:rPr>
      </w:pPr>
      <w:r w:rsidRPr="004770B6">
        <w:rPr>
          <w:rStyle w:val="FootnoteReference"/>
          <w:rFonts w:ascii="Times New Roman" w:hAnsi="Times New Roman"/>
          <w:lang w:val="en-GB"/>
        </w:rPr>
        <w:footnoteRef/>
      </w:r>
      <w:r w:rsidRPr="004770B6">
        <w:rPr>
          <w:rFonts w:ascii="Times New Roman" w:hAnsi="Times New Roman"/>
          <w:lang w:val="en-GB"/>
        </w:rPr>
        <w:t xml:space="preserve"> </w:t>
      </w:r>
      <w:r w:rsidR="00B62F24">
        <w:rPr>
          <w:rFonts w:ascii="Times New Roman" w:hAnsi="Times New Roman" w:cs="Times New Roman"/>
        </w:rPr>
        <w:t>F</w:t>
      </w:r>
      <w:r w:rsidR="00B62F24" w:rsidRPr="00516125">
        <w:rPr>
          <w:rFonts w:ascii="Times New Roman" w:hAnsi="Times New Roman" w:cs="Times New Roman"/>
        </w:rPr>
        <w:t>or regulatory purpose</w:t>
      </w:r>
      <w:r w:rsidR="00B62F24">
        <w:rPr>
          <w:rFonts w:ascii="Times New Roman" w:hAnsi="Times New Roman" w:cs="Times New Roman"/>
        </w:rPr>
        <w:t>s, t</w:t>
      </w:r>
      <w:r w:rsidRPr="00516125">
        <w:rPr>
          <w:rFonts w:ascii="Times New Roman" w:hAnsi="Times New Roman" w:cs="Times New Roman"/>
        </w:rPr>
        <w:t>he</w:t>
      </w:r>
      <w:r w:rsidRPr="004770B6">
        <w:rPr>
          <w:rFonts w:ascii="Times New Roman" w:hAnsi="Times New Roman"/>
          <w:lang w:val="en-GB"/>
        </w:rPr>
        <w:t xml:space="preserve"> ITU Radio Regulations divide the world </w:t>
      </w:r>
      <w:r w:rsidRPr="00516125">
        <w:rPr>
          <w:rFonts w:ascii="Times New Roman" w:hAnsi="Times New Roman" w:cs="Times New Roman"/>
        </w:rPr>
        <w:t>in</w:t>
      </w:r>
      <w:r w:rsidR="00B62F24">
        <w:rPr>
          <w:rFonts w:ascii="Times New Roman" w:hAnsi="Times New Roman" w:cs="Times New Roman"/>
        </w:rPr>
        <w:t>to</w:t>
      </w:r>
      <w:r w:rsidRPr="004770B6">
        <w:rPr>
          <w:rFonts w:ascii="Times New Roman" w:hAnsi="Times New Roman"/>
          <w:lang w:val="en-GB"/>
        </w:rPr>
        <w:t xml:space="preserve"> </w:t>
      </w:r>
      <w:r w:rsidR="00B62F24">
        <w:rPr>
          <w:rFonts w:ascii="Times New Roman" w:hAnsi="Times New Roman" w:cs="Times New Roman"/>
        </w:rPr>
        <w:t>three</w:t>
      </w:r>
      <w:r w:rsidR="00B62F24" w:rsidRPr="00516125">
        <w:rPr>
          <w:rFonts w:ascii="Times New Roman" w:hAnsi="Times New Roman" w:cs="Times New Roman"/>
        </w:rPr>
        <w:t xml:space="preserve"> </w:t>
      </w:r>
      <w:r w:rsidRPr="004770B6">
        <w:rPr>
          <w:rFonts w:ascii="Times New Roman" w:hAnsi="Times New Roman"/>
          <w:lang w:val="en-GB"/>
        </w:rPr>
        <w:t xml:space="preserve">geographical </w:t>
      </w:r>
      <w:r w:rsidR="00B62F24">
        <w:rPr>
          <w:rFonts w:ascii="Times New Roman" w:hAnsi="Times New Roman" w:cs="Times New Roman"/>
        </w:rPr>
        <w:t>r</w:t>
      </w:r>
      <w:r w:rsidRPr="00C27DF9">
        <w:rPr>
          <w:rFonts w:ascii="Times New Roman" w:hAnsi="Times New Roman"/>
          <w:lang w:val="en-GB"/>
        </w:rPr>
        <w:t>egions. ITU Region 1 comprises Europe, Africa and the Middle East.</w:t>
      </w:r>
    </w:p>
  </w:footnote>
  <w:footnote w:id="7">
    <w:p w14:paraId="2E392E33" w14:textId="49356170" w:rsidR="00BF60DB" w:rsidRPr="00516125" w:rsidRDefault="00BF60DB" w:rsidP="00BF60DB">
      <w:pPr>
        <w:pStyle w:val="FootnoteText"/>
        <w:spacing w:after="60"/>
        <w:jc w:val="both"/>
        <w:rPr>
          <w:rFonts w:ascii="Times New Roman" w:hAnsi="Times New Roman" w:cs="Times New Roman"/>
        </w:rPr>
      </w:pPr>
      <w:r w:rsidRPr="00516125">
        <w:rPr>
          <w:rStyle w:val="FootnoteReference"/>
          <w:rFonts w:ascii="Times New Roman" w:hAnsi="Times New Roman" w:cs="Times New Roman"/>
        </w:rPr>
        <w:footnoteRef/>
      </w:r>
      <w:r w:rsidR="463B461D" w:rsidRPr="463B461D">
        <w:rPr>
          <w:rFonts w:ascii="Times New Roman" w:hAnsi="Times New Roman" w:cs="Times New Roman"/>
        </w:rPr>
        <w:t xml:space="preserve"> All EU Member States except Cyprus, Greece and Slovenia (</w:t>
      </w:r>
      <w:r w:rsidR="463B461D">
        <w:t xml:space="preserve"> see footnote</w:t>
      </w:r>
      <w:r w:rsidR="463B461D" w:rsidRPr="463B461D">
        <w:rPr>
          <w:rFonts w:ascii="Times New Roman" w:hAnsi="Times New Roman" w:cs="Times New Roman"/>
        </w:rPr>
        <w:t xml:space="preserve">  </w:t>
      </w:r>
      <w:r w:rsidR="463B461D" w:rsidRPr="463B461D">
        <w:rPr>
          <w:rFonts w:ascii="Times New Roman" w:hAnsi="Times New Roman"/>
          <w:lang w:val="en-GB"/>
        </w:rPr>
        <w:t>No</w:t>
      </w:r>
      <w:r w:rsidR="463B461D" w:rsidRPr="463B461D">
        <w:rPr>
          <w:rFonts w:ascii="Times New Roman" w:hAnsi="Times New Roman" w:cs="Times New Roman"/>
        </w:rPr>
        <w:t xml:space="preserve"> 5.296 of the 2024 ITU Radio Regulations). </w:t>
      </w:r>
    </w:p>
  </w:footnote>
  <w:footnote w:id="8">
    <w:p w14:paraId="52E6778C" w14:textId="1ECB1AFA" w:rsidR="00BF60DB" w:rsidRPr="004770B6" w:rsidRDefault="00BF60DB" w:rsidP="00BF60DB">
      <w:pPr>
        <w:pStyle w:val="FootnoteText"/>
        <w:spacing w:after="60"/>
        <w:jc w:val="both"/>
        <w:rPr>
          <w:rFonts w:ascii="Times New Roman" w:hAnsi="Times New Roman"/>
          <w:lang w:val="en-GB"/>
        </w:rPr>
      </w:pPr>
      <w:r w:rsidRPr="004A5C42">
        <w:rPr>
          <w:rStyle w:val="FootnoteReference"/>
          <w:rFonts w:ascii="Times New Roman" w:hAnsi="Times New Roman" w:cs="Times New Roman"/>
        </w:rPr>
        <w:footnoteRef/>
      </w:r>
      <w:r w:rsidR="463B461D" w:rsidRPr="004A5C42">
        <w:rPr>
          <w:rFonts w:ascii="Times New Roman" w:hAnsi="Times New Roman" w:cs="Times New Roman"/>
        </w:rPr>
        <w:t xml:space="preserve"> Germany, Austria, Denmark, Estonia (and also </w:t>
      </w:r>
      <w:r w:rsidR="463B461D" w:rsidRPr="00C27DF9">
        <w:rPr>
          <w:rFonts w:ascii="Times New Roman" w:hAnsi="Times New Roman" w:cs="Times New Roman"/>
        </w:rPr>
        <w:t xml:space="preserve">Liechtenstein, Serbia and Switzerland) </w:t>
      </w:r>
      <w:r w:rsidR="463B461D" w:rsidRPr="00C27DF9">
        <w:rPr>
          <w:rFonts w:ascii="Times New Roman" w:hAnsi="Times New Roman"/>
          <w:lang w:val="en-GB"/>
        </w:rPr>
        <w:t>in the order in which they appear in footnote No. 5.291A of the 2024 ITU Radio Regulations.</w:t>
      </w:r>
    </w:p>
  </w:footnote>
  <w:footnote w:id="9">
    <w:p w14:paraId="6E852726" w14:textId="77777777" w:rsidR="00BF60DB" w:rsidRPr="004770B6" w:rsidRDefault="00BF60DB" w:rsidP="00BF60DB">
      <w:pPr>
        <w:pStyle w:val="FootnoteText"/>
        <w:spacing w:after="60"/>
        <w:jc w:val="both"/>
        <w:rPr>
          <w:rFonts w:ascii="Times New Roman" w:hAnsi="Times New Roman"/>
          <w:lang w:val="en-GB"/>
        </w:rPr>
      </w:pPr>
      <w:r w:rsidRPr="00C27DF9">
        <w:rPr>
          <w:rStyle w:val="FootnoteReference"/>
          <w:rFonts w:ascii="Times New Roman" w:hAnsi="Times New Roman" w:cs="Times New Roman"/>
        </w:rPr>
        <w:footnoteRef/>
      </w:r>
      <w:r w:rsidRPr="00C27DF9">
        <w:rPr>
          <w:rFonts w:ascii="Times New Roman" w:hAnsi="Times New Roman" w:cs="Times New Roman"/>
        </w:rPr>
        <w:t xml:space="preserve"> Armenia, Azerbaijan, Belarus, the Russian Federation, Georgia, Kazakhstan, Uzbekistan, Kyrgyzstan, Tajikistan, Turkmenistan and Ukraine.</w:t>
      </w:r>
    </w:p>
  </w:footnote>
  <w:footnote w:id="10">
    <w:p w14:paraId="053BCF39" w14:textId="1BA2C865" w:rsidR="00BF60DB" w:rsidRPr="004770B6" w:rsidRDefault="00BF60DB" w:rsidP="00BF60DB">
      <w:pPr>
        <w:pStyle w:val="FootnoteText"/>
        <w:spacing w:after="60"/>
        <w:jc w:val="both"/>
        <w:rPr>
          <w:rFonts w:ascii="Times New Roman" w:hAnsi="Times New Roman"/>
          <w:lang w:val="en-GB"/>
        </w:rPr>
      </w:pPr>
      <w:r w:rsidRPr="00C27DF9">
        <w:rPr>
          <w:rStyle w:val="FootnoteReference"/>
          <w:rFonts w:ascii="Times New Roman" w:hAnsi="Times New Roman" w:cs="Times New Roman"/>
        </w:rPr>
        <w:footnoteRef/>
      </w:r>
      <w:r w:rsidRPr="00C27DF9">
        <w:rPr>
          <w:rFonts w:ascii="Times New Roman" w:hAnsi="Times New Roman"/>
        </w:rPr>
        <w:t xml:space="preserve"> </w:t>
      </w:r>
      <w:r w:rsidRPr="00C27DF9">
        <w:rPr>
          <w:rFonts w:ascii="Times New Roman" w:hAnsi="Times New Roman" w:cs="Times New Roman"/>
        </w:rPr>
        <w:t>Saudi Arabia, Cameroon, Côte 'd'Ivoire, Egypt, Ethiopia, Israel, Libya, the Syrian Arab Republic, Chad, and Yemen.</w:t>
      </w:r>
    </w:p>
  </w:footnote>
  <w:footnote w:id="11">
    <w:p w14:paraId="62897F44" w14:textId="77777777" w:rsidR="00BF60DB" w:rsidRPr="004770B6" w:rsidRDefault="00BF60DB" w:rsidP="00BF60DB">
      <w:pPr>
        <w:pStyle w:val="FootnoteText"/>
        <w:spacing w:after="60"/>
        <w:jc w:val="both"/>
        <w:rPr>
          <w:rFonts w:ascii="Times New Roman" w:hAnsi="Times New Roman"/>
          <w:lang w:val="en-GB"/>
        </w:rPr>
      </w:pPr>
      <w:r w:rsidRPr="004A5C42">
        <w:rPr>
          <w:rStyle w:val="FootnoteReference"/>
          <w:rFonts w:ascii="Times New Roman" w:hAnsi="Times New Roman" w:cs="Times New Roman"/>
        </w:rPr>
        <w:footnoteRef/>
      </w:r>
      <w:r w:rsidRPr="004A5C42">
        <w:rPr>
          <w:rFonts w:ascii="Times New Roman" w:hAnsi="Times New Roman" w:cs="Times New Roman"/>
        </w:rPr>
        <w:t xml:space="preserve"> Saudi Arabia, Cameroon, Egypt, United Arab Emirates, Israel, Jordan, Libya, Oman, Qatar, the Syrian Arab Republic, and Sudan.</w:t>
      </w:r>
    </w:p>
  </w:footnote>
  <w:footnote w:id="12">
    <w:p w14:paraId="4FE4516F" w14:textId="156A2647" w:rsidR="00BF60DB" w:rsidRPr="004770B6" w:rsidRDefault="00BF60DB" w:rsidP="00BF60DB">
      <w:pPr>
        <w:pStyle w:val="FootnoteText"/>
        <w:spacing w:after="60"/>
        <w:jc w:val="both"/>
      </w:pPr>
      <w:r w:rsidRPr="76B3D0EC">
        <w:rPr>
          <w:rStyle w:val="FootnoteReference"/>
          <w:rFonts w:ascii="Times New Roman" w:hAnsi="Times New Roman" w:cs="Times New Roman"/>
        </w:rPr>
        <w:footnoteRef/>
      </w:r>
      <w:r w:rsidR="76B3D0EC" w:rsidRPr="76B3D0EC">
        <w:rPr>
          <w:rFonts w:ascii="Times New Roman" w:hAnsi="Times New Roman" w:cs="Times New Roman"/>
        </w:rPr>
        <w:t xml:space="preserve"> Saudi Arabia, Bahrain, Egypt, the United Arab Emirates, Iraq, Jordan, Kuwait, Oman, Palestine*, Qatar and </w:t>
      </w:r>
      <w:r w:rsidRPr="76B3D0EC">
        <w:rPr>
          <w:rFonts w:ascii="Times New Roman" w:hAnsi="Times New Roman" w:cs="Times New Roman"/>
        </w:rPr>
        <w:t xml:space="preserve">the </w:t>
      </w:r>
      <w:r w:rsidR="76B3D0EC" w:rsidRPr="76B3D0EC">
        <w:rPr>
          <w:rFonts w:ascii="Times New Roman" w:hAnsi="Times New Roman" w:cs="Times New Roman"/>
        </w:rPr>
        <w:t>Syria</w:t>
      </w:r>
      <w:r w:rsidRPr="76B3D0EC">
        <w:rPr>
          <w:rFonts w:ascii="Times New Roman" w:hAnsi="Times New Roman" w:cs="Times New Roman"/>
        </w:rPr>
        <w:t>n Arab Republic</w:t>
      </w:r>
      <w:r w:rsidR="76B3D0EC" w:rsidRPr="76B3D0EC">
        <w:rPr>
          <w:rFonts w:ascii="Times New Roman" w:hAnsi="Times New Roman" w:cs="Times New Roman"/>
        </w:rPr>
        <w:t>. (* The designation of</w:t>
      </w:r>
      <w:r w:rsidR="00B00547">
        <w:rPr>
          <w:rFonts w:ascii="Times New Roman" w:hAnsi="Times New Roman" w:cs="Times New Roman"/>
        </w:rPr>
        <w:t xml:space="preserve"> </w:t>
      </w:r>
      <w:r w:rsidR="76B3D0EC" w:rsidRPr="76B3D0EC">
        <w:rPr>
          <w:rFonts w:ascii="Times New Roman" w:hAnsi="Times New Roman" w:cs="Times New Roman"/>
        </w:rPr>
        <w:t>Palestine shall not be construed as recognition of a State of Palestine and is without prejudice to the individual positions of the Member States on this issue.)</w:t>
      </w:r>
    </w:p>
  </w:footnote>
  <w:footnote w:id="13">
    <w:p w14:paraId="0514E13A" w14:textId="77777777" w:rsidR="00BF60DB" w:rsidRPr="004770B6" w:rsidRDefault="00BF60DB" w:rsidP="00BF60DB">
      <w:pPr>
        <w:pStyle w:val="FootnoteText"/>
        <w:spacing w:after="60"/>
        <w:jc w:val="both"/>
        <w:rPr>
          <w:rFonts w:ascii="Times New Roman" w:hAnsi="Times New Roman"/>
          <w:lang w:val="it-IT"/>
        </w:rPr>
      </w:pPr>
      <w:r w:rsidRPr="004A5C42">
        <w:rPr>
          <w:rStyle w:val="FootnoteReference"/>
          <w:rFonts w:ascii="Times New Roman" w:hAnsi="Times New Roman" w:cs="Times New Roman"/>
        </w:rPr>
        <w:footnoteRef/>
      </w:r>
      <w:r w:rsidRPr="004770B6">
        <w:rPr>
          <w:rFonts w:ascii="Times New Roman" w:hAnsi="Times New Roman"/>
          <w:lang w:val="it-IT"/>
        </w:rPr>
        <w:t xml:space="preserve"> Gambia, Mauritania, Namibia, Nigeria, Senegal, Somalia, Tanzania and Chad.</w:t>
      </w:r>
    </w:p>
  </w:footnote>
  <w:footnote w:id="14">
    <w:p w14:paraId="0D110FA4" w14:textId="421BF968" w:rsidR="00BF60DB" w:rsidRPr="004A5C42" w:rsidRDefault="00BF60DB" w:rsidP="00BF60DB">
      <w:pPr>
        <w:pStyle w:val="FootnoteText"/>
        <w:spacing w:after="60"/>
        <w:jc w:val="both"/>
        <w:rPr>
          <w:rFonts w:ascii="Times New Roman" w:hAnsi="Times New Roman" w:cs="Times New Roman"/>
        </w:rPr>
      </w:pPr>
      <w:r w:rsidRPr="00DC5906">
        <w:rPr>
          <w:rStyle w:val="FootnoteReference"/>
          <w:rFonts w:ascii="Times New Roman" w:hAnsi="Times New Roman" w:cs="Times New Roman"/>
        </w:rPr>
        <w:footnoteRef/>
      </w:r>
      <w:r w:rsidRPr="004A5C42">
        <w:rPr>
          <w:rFonts w:ascii="Times New Roman" w:hAnsi="Times New Roman" w:cs="Times New Roman"/>
        </w:rPr>
        <w:t xml:space="preserve"> International Mobile Telecommunications (IMT)</w:t>
      </w:r>
      <w:r w:rsidR="00F34AD0">
        <w:rPr>
          <w:rFonts w:ascii="Times New Roman" w:hAnsi="Times New Roman" w:cs="Times New Roman"/>
        </w:rPr>
        <w:t xml:space="preserve"> </w:t>
      </w:r>
      <w:r w:rsidRPr="004A5C42">
        <w:rPr>
          <w:rFonts w:ascii="Times New Roman" w:hAnsi="Times New Roman" w:cs="Times New Roman"/>
        </w:rPr>
        <w:t>is</w:t>
      </w:r>
      <w:r w:rsidR="00F34AD0">
        <w:rPr>
          <w:rFonts w:ascii="Times New Roman" w:hAnsi="Times New Roman" w:cs="Times New Roman"/>
        </w:rPr>
        <w:t xml:space="preserve"> </w:t>
      </w:r>
      <w:r w:rsidRPr="004A5C42">
        <w:rPr>
          <w:rFonts w:ascii="Times New Roman" w:hAnsi="Times New Roman" w:cs="Times New Roman"/>
        </w:rPr>
        <w:t>the</w:t>
      </w:r>
      <w:r w:rsidR="00F34AD0">
        <w:rPr>
          <w:rFonts w:ascii="Times New Roman" w:hAnsi="Times New Roman" w:cs="Times New Roman"/>
        </w:rPr>
        <w:t xml:space="preserve"> </w:t>
      </w:r>
      <w:hyperlink r:id="rId5" w:history="1">
        <w:r w:rsidRPr="004A5C42">
          <w:rPr>
            <w:rStyle w:val="Hyperlink"/>
            <w:rFonts w:ascii="Times New Roman" w:hAnsi="Times New Roman" w:cs="Times New Roman"/>
          </w:rPr>
          <w:t>International Telecommunication Union</w:t>
        </w:r>
      </w:hyperlink>
      <w:r w:rsidR="00FF213F">
        <w:rPr>
          <w:rFonts w:ascii="Times New Roman" w:hAnsi="Times New Roman" w:cs="Times New Roman"/>
        </w:rPr>
        <w:t>’</w:t>
      </w:r>
      <w:r w:rsidRPr="00516125">
        <w:rPr>
          <w:rFonts w:ascii="Times New Roman" w:hAnsi="Times New Roman" w:cs="Times New Roman"/>
        </w:rPr>
        <w:t>s</w:t>
      </w:r>
      <w:r w:rsidRPr="004A5C42">
        <w:rPr>
          <w:rFonts w:ascii="Times New Roman" w:hAnsi="Times New Roman" w:cs="Times New Roman"/>
        </w:rPr>
        <w:t xml:space="preserve"> (ITU) framework for global mobile broadband systems, </w:t>
      </w:r>
      <w:r w:rsidR="00AC71D3">
        <w:rPr>
          <w:rFonts w:ascii="Times New Roman" w:hAnsi="Times New Roman" w:cs="Times New Roman"/>
        </w:rPr>
        <w:t>setting</w:t>
      </w:r>
      <w:r w:rsidR="00AC71D3" w:rsidRPr="00516125">
        <w:rPr>
          <w:rFonts w:ascii="Times New Roman" w:hAnsi="Times New Roman" w:cs="Times New Roman"/>
        </w:rPr>
        <w:t xml:space="preserve"> </w:t>
      </w:r>
      <w:r w:rsidRPr="004A5C42">
        <w:rPr>
          <w:rFonts w:ascii="Times New Roman" w:hAnsi="Times New Roman" w:cs="Times New Roman"/>
        </w:rPr>
        <w:t xml:space="preserve">standards for different generations like 3G (IMT-2000), 4G (IMT-Advanced), 5G (IMT-2020) and 6G (IMT-2030) to ensure seamless global connectivity and </w:t>
      </w:r>
      <w:r w:rsidRPr="00516125">
        <w:rPr>
          <w:rFonts w:ascii="Times New Roman" w:hAnsi="Times New Roman" w:cs="Times New Roman"/>
        </w:rPr>
        <w:t>service</w:t>
      </w:r>
      <w:r w:rsidR="00FF213F">
        <w:rPr>
          <w:rFonts w:ascii="Times New Roman" w:hAnsi="Times New Roman" w:cs="Times New Roman"/>
        </w:rPr>
        <w:t>s</w:t>
      </w:r>
      <w:r w:rsidRPr="004A5C42">
        <w:rPr>
          <w:rFonts w:ascii="Times New Roman" w:hAnsi="Times New Roman" w:cs="Times New Roman"/>
        </w:rPr>
        <w:t>.</w:t>
      </w:r>
    </w:p>
  </w:footnote>
  <w:footnote w:id="15">
    <w:p w14:paraId="6291C870" w14:textId="77777777" w:rsidR="00BF60DB" w:rsidRPr="004A5C42" w:rsidRDefault="00BF60DB" w:rsidP="00BF60DB">
      <w:pPr>
        <w:pStyle w:val="FootnoteText"/>
        <w:spacing w:after="60"/>
        <w:jc w:val="both"/>
        <w:rPr>
          <w:rFonts w:ascii="Times New Roman" w:hAnsi="Times New Roman" w:cs="Times New Roman"/>
        </w:rPr>
      </w:pPr>
      <w:r w:rsidRPr="00DC5906">
        <w:rPr>
          <w:rStyle w:val="FootnoteReference"/>
          <w:rFonts w:ascii="Times New Roman" w:hAnsi="Times New Roman" w:cs="Times New Roman"/>
        </w:rPr>
        <w:footnoteRef/>
      </w:r>
      <w:r w:rsidRPr="004A5C42">
        <w:rPr>
          <w:rFonts w:ascii="Times New Roman" w:hAnsi="Times New Roman" w:cs="Times New Roman"/>
        </w:rPr>
        <w:t xml:space="preserve"> Bahamas, Barbados, Canada, Chile, Cuba, the United States, Guyana, Jamaica, Mexico and Panama.</w:t>
      </w:r>
    </w:p>
  </w:footnote>
  <w:footnote w:id="16">
    <w:p w14:paraId="0DC363EE" w14:textId="77777777" w:rsidR="00BF60DB" w:rsidRPr="004770B6" w:rsidRDefault="00BF60DB" w:rsidP="00BF60DB">
      <w:pPr>
        <w:pStyle w:val="FootnoteText"/>
        <w:spacing w:after="60"/>
        <w:jc w:val="both"/>
        <w:rPr>
          <w:rFonts w:ascii="Times New Roman" w:hAnsi="Times New Roman"/>
          <w:lang w:val="pt-PT"/>
        </w:rPr>
      </w:pPr>
      <w:r w:rsidRPr="004A5C42">
        <w:rPr>
          <w:rStyle w:val="FootnoteReference"/>
          <w:rFonts w:ascii="Times New Roman" w:hAnsi="Times New Roman" w:cs="Times New Roman"/>
        </w:rPr>
        <w:footnoteRef/>
      </w:r>
      <w:r w:rsidRPr="004770B6">
        <w:rPr>
          <w:rFonts w:ascii="Times New Roman" w:hAnsi="Times New Roman"/>
          <w:lang w:val="pt-PT"/>
        </w:rPr>
        <w:t xml:space="preserve"> Bahamas, Barbados, Belize, Canada, Colombia, El Salvador, the United States, Guatemala, Jamaica and Mexico.</w:t>
      </w:r>
    </w:p>
  </w:footnote>
  <w:footnote w:id="17">
    <w:p w14:paraId="1BDD62E0" w14:textId="5E5D4E00"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463B461D" w:rsidRPr="004A5C42">
        <w:rPr>
          <w:rFonts w:ascii="Times New Roman" w:hAnsi="Times New Roman" w:cs="Times New Roman"/>
        </w:rPr>
        <w:t xml:space="preserve"> </w:t>
      </w:r>
      <w:r w:rsidR="463B461D" w:rsidRPr="463B461D">
        <w:rPr>
          <w:rFonts w:ascii="Times New Roman" w:hAnsi="Times New Roman" w:cs="Times New Roman"/>
        </w:rPr>
        <w:t>In accordance with</w:t>
      </w:r>
      <w:r w:rsidR="463B461D" w:rsidRPr="004A5C42">
        <w:rPr>
          <w:rFonts w:ascii="Times New Roman" w:hAnsi="Times New Roman" w:cs="Times New Roman"/>
        </w:rPr>
        <w:t xml:space="preserve"> the</w:t>
      </w:r>
      <w:r w:rsidR="463B461D" w:rsidRPr="463B461D">
        <w:rPr>
          <w:rFonts w:ascii="Times New Roman" w:hAnsi="Times New Roman" w:cs="Times New Roman"/>
        </w:rPr>
        <w:t xml:space="preserve"> 2024 </w:t>
      </w:r>
      <w:r w:rsidR="463B461D" w:rsidRPr="004A5C42">
        <w:rPr>
          <w:rFonts w:ascii="Times New Roman" w:hAnsi="Times New Roman" w:cs="Times New Roman"/>
        </w:rPr>
        <w:t>ITU Radio Regulations</w:t>
      </w:r>
      <w:r w:rsidR="463B461D" w:rsidRPr="463B461D">
        <w:rPr>
          <w:rFonts w:ascii="Times New Roman" w:hAnsi="Times New Roman" w:cs="Times New Roman"/>
        </w:rPr>
        <w:t xml:space="preserve"> (RR) </w:t>
      </w:r>
      <w:r w:rsidR="463B461D" w:rsidRPr="004A5C42">
        <w:rPr>
          <w:rFonts w:ascii="Times New Roman" w:hAnsi="Times New Roman" w:cs="Times New Roman"/>
        </w:rPr>
        <w:t>(</w:t>
      </w:r>
      <w:r w:rsidR="463B461D" w:rsidRPr="463B461D">
        <w:rPr>
          <w:rFonts w:ascii="Times New Roman" w:hAnsi="Times New Roman" w:cs="Times New Roman"/>
        </w:rPr>
        <w:t>.</w:t>
      </w:r>
      <w:r w:rsidR="463B461D">
        <w:t xml:space="preserve"> see footnote</w:t>
      </w:r>
      <w:r w:rsidR="463B461D" w:rsidRPr="463B461D">
        <w:rPr>
          <w:rFonts w:ascii="Times New Roman" w:hAnsi="Times New Roman" w:cs="Times New Roman"/>
        </w:rPr>
        <w:t xml:space="preserve"> </w:t>
      </w:r>
      <w:r w:rsidR="463B461D" w:rsidRPr="463B461D">
        <w:rPr>
          <w:rFonts w:ascii="Times New Roman" w:hAnsi="Times New Roman"/>
          <w:lang w:val="en-GB"/>
        </w:rPr>
        <w:t>No</w:t>
      </w:r>
      <w:r w:rsidR="463B461D" w:rsidRPr="463B461D">
        <w:rPr>
          <w:rFonts w:ascii="Times New Roman" w:hAnsi="Times New Roman" w:cs="Times New Roman"/>
        </w:rPr>
        <w:t xml:space="preserve"> 5.308 A), mobile service stations in the IMT system within the 600 MHz frequency band are subject to agreement under Article 9.21 of the ITU RR and </w:t>
      </w:r>
      <w:r w:rsidRPr="463B461D">
        <w:rPr>
          <w:rFonts w:ascii="Times New Roman" w:hAnsi="Times New Roman" w:cs="Times New Roman"/>
        </w:rPr>
        <w:t xml:space="preserve">shall </w:t>
      </w:r>
      <w:r w:rsidR="463B461D" w:rsidRPr="463B461D">
        <w:rPr>
          <w:rFonts w:ascii="Times New Roman" w:hAnsi="Times New Roman" w:cs="Times New Roman"/>
        </w:rPr>
        <w:t>not cause harmful interference to, or claim protection from, the broadcasting service of neighbouring countries.</w:t>
      </w:r>
    </w:p>
  </w:footnote>
  <w:footnote w:id="18">
    <w:p w14:paraId="1726F4CF" w14:textId="0A832F93"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r w:rsidRPr="004A5C42">
        <w:rPr>
          <w:rFonts w:ascii="Times New Roman" w:eastAsia="Calibri" w:hAnsi="Times New Roman" w:cs="Times New Roman"/>
        </w:rPr>
        <w:t>The Geneva 2006 (GE06) Agreement is an international treaty adopted at the Regional Radiocommunication Conference (RRC-06) held in Geneva from 15</w:t>
      </w:r>
      <w:r w:rsidR="003B563B">
        <w:rPr>
          <w:rFonts w:ascii="Times New Roman" w:eastAsia="Calibri" w:hAnsi="Times New Roman" w:cs="Times New Roman"/>
        </w:rPr>
        <w:t> </w:t>
      </w:r>
      <w:r w:rsidRPr="004A5C42">
        <w:rPr>
          <w:rFonts w:ascii="Times New Roman" w:eastAsia="Calibri" w:hAnsi="Times New Roman" w:cs="Times New Roman"/>
        </w:rPr>
        <w:t>May to 16</w:t>
      </w:r>
      <w:r w:rsidR="00516125">
        <w:rPr>
          <w:rFonts w:ascii="Times New Roman" w:eastAsia="Calibri" w:hAnsi="Times New Roman" w:cs="Times New Roman"/>
        </w:rPr>
        <w:t> </w:t>
      </w:r>
      <w:r w:rsidRPr="004A5C42">
        <w:rPr>
          <w:rFonts w:ascii="Times New Roman" w:eastAsia="Calibri" w:hAnsi="Times New Roman" w:cs="Times New Roman"/>
        </w:rPr>
        <w:t>June 2006 under the auspices of the International Telecommunication Union. It established the frequency plans for digital terrestrial broadcasting (bands 174-230</w:t>
      </w:r>
      <w:r w:rsidR="003B563B">
        <w:rPr>
          <w:rFonts w:ascii="Times New Roman" w:eastAsia="Calibri" w:hAnsi="Times New Roman" w:cs="Times New Roman"/>
        </w:rPr>
        <w:t> </w:t>
      </w:r>
      <w:r w:rsidRPr="004A5C42">
        <w:rPr>
          <w:rFonts w:ascii="Times New Roman" w:eastAsia="Calibri" w:hAnsi="Times New Roman" w:cs="Times New Roman"/>
        </w:rPr>
        <w:t>MHz and 470-862</w:t>
      </w:r>
      <w:r w:rsidR="003B563B">
        <w:rPr>
          <w:rFonts w:ascii="Times New Roman" w:eastAsia="Calibri" w:hAnsi="Times New Roman" w:cs="Times New Roman"/>
        </w:rPr>
        <w:t> </w:t>
      </w:r>
      <w:r w:rsidRPr="004A5C42">
        <w:rPr>
          <w:rFonts w:ascii="Times New Roman" w:eastAsia="Calibri" w:hAnsi="Times New Roman" w:cs="Times New Roman"/>
        </w:rPr>
        <w:t xml:space="preserve">MHz) in ITU Region 1 and </w:t>
      </w:r>
      <w:r w:rsidR="00FF213F">
        <w:rPr>
          <w:rFonts w:ascii="Times New Roman" w:eastAsia="Calibri" w:hAnsi="Times New Roman" w:cs="Times New Roman"/>
        </w:rPr>
        <w:t>set</w:t>
      </w:r>
      <w:r w:rsidR="00FF213F" w:rsidRPr="00516125">
        <w:rPr>
          <w:rFonts w:ascii="Times New Roman" w:eastAsia="Calibri" w:hAnsi="Times New Roman" w:cs="Times New Roman"/>
        </w:rPr>
        <w:t xml:space="preserve"> </w:t>
      </w:r>
      <w:r w:rsidRPr="004A5C42">
        <w:rPr>
          <w:rFonts w:ascii="Times New Roman" w:eastAsia="Calibri" w:hAnsi="Times New Roman" w:cs="Times New Roman"/>
        </w:rPr>
        <w:t>the transition period from analogue to digital broadcasting.</w:t>
      </w:r>
    </w:p>
  </w:footnote>
  <w:footnote w:id="19">
    <w:p w14:paraId="4C8A5CF9" w14:textId="62AE8252" w:rsidR="00BF60DB" w:rsidRPr="004770B6" w:rsidRDefault="00BF60DB" w:rsidP="00BF60DB">
      <w:pPr>
        <w:pStyle w:val="FootnoteText"/>
        <w:spacing w:after="60"/>
        <w:jc w:val="both"/>
        <w:rPr>
          <w:rFonts w:ascii="Times New Roman" w:hAnsi="Times New Roman"/>
          <w:lang w:val="en-GB"/>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r w:rsidRPr="004A5C42">
        <w:rPr>
          <w:rFonts w:ascii="Times New Roman" w:eastAsia="Calibri" w:hAnsi="Times New Roman" w:cs="Times New Roman"/>
        </w:rPr>
        <w:t xml:space="preserve">Commission Study on the </w:t>
      </w:r>
      <w:r w:rsidR="00FF213F">
        <w:rPr>
          <w:rFonts w:ascii="Times New Roman" w:eastAsia="Calibri" w:hAnsi="Times New Roman" w:cs="Times New Roman"/>
        </w:rPr>
        <w:t>u</w:t>
      </w:r>
      <w:r w:rsidRPr="004A5C42">
        <w:rPr>
          <w:rFonts w:ascii="Times New Roman" w:eastAsia="Calibri" w:hAnsi="Times New Roman" w:cs="Times New Roman"/>
        </w:rPr>
        <w:t xml:space="preserve">se of the </w:t>
      </w:r>
      <w:r w:rsidR="00FF213F">
        <w:rPr>
          <w:rFonts w:ascii="Times New Roman" w:eastAsia="Calibri" w:hAnsi="Times New Roman" w:cs="Times New Roman"/>
        </w:rPr>
        <w:t>s</w:t>
      </w:r>
      <w:r w:rsidRPr="004A5C42">
        <w:rPr>
          <w:rFonts w:ascii="Times New Roman" w:eastAsia="Calibri" w:hAnsi="Times New Roman" w:cs="Times New Roman"/>
        </w:rPr>
        <w:t>ub-700</w:t>
      </w:r>
      <w:r w:rsidR="003B563B">
        <w:rPr>
          <w:rFonts w:ascii="Times New Roman" w:eastAsia="Calibri" w:hAnsi="Times New Roman" w:cs="Times New Roman"/>
        </w:rPr>
        <w:t> </w:t>
      </w:r>
      <w:r w:rsidRPr="004A5C42">
        <w:rPr>
          <w:rFonts w:ascii="Times New Roman" w:eastAsia="Calibri" w:hAnsi="Times New Roman" w:cs="Times New Roman"/>
        </w:rPr>
        <w:t xml:space="preserve">MHz </w:t>
      </w:r>
      <w:r w:rsidR="00FF213F">
        <w:rPr>
          <w:rFonts w:ascii="Times New Roman" w:eastAsia="Calibri" w:hAnsi="Times New Roman" w:cs="Times New Roman"/>
        </w:rPr>
        <w:t>b</w:t>
      </w:r>
      <w:r w:rsidRPr="004A5C42">
        <w:rPr>
          <w:rFonts w:ascii="Times New Roman" w:eastAsia="Calibri" w:hAnsi="Times New Roman" w:cs="Times New Roman"/>
        </w:rPr>
        <w:t xml:space="preserve">and in the European Union, 2022. </w:t>
      </w:r>
      <w:r w:rsidRPr="004770B6">
        <w:rPr>
          <w:rFonts w:ascii="Times New Roman" w:hAnsi="Times New Roman"/>
          <w:lang w:val="en-GB"/>
        </w:rPr>
        <w:t>Its final report can be found under the following link:</w:t>
      </w:r>
      <w:r w:rsidR="00516125" w:rsidRPr="00516125">
        <w:rPr>
          <w:rFonts w:ascii="Times New Roman" w:eastAsia="Calibri" w:hAnsi="Times New Roman" w:cs="Times New Roman"/>
        </w:rPr>
        <w:t xml:space="preserve"> </w:t>
      </w:r>
      <w:hyperlink r:id="rId6" w:history="1">
        <w:r w:rsidRPr="004770B6">
          <w:rPr>
            <w:rStyle w:val="Hyperlink"/>
            <w:rFonts w:ascii="Times New Roman" w:hAnsi="Times New Roman"/>
            <w:lang w:val="en-GB"/>
          </w:rPr>
          <w:t>https://op.europa.eu/publication-detail/-/publication/d77a592e-4f54-11ed-92ed-01aa75ed71a1</w:t>
        </w:r>
      </w:hyperlink>
      <w:r w:rsidR="00062BA1">
        <w:rPr>
          <w:rFonts w:ascii="Times New Roman" w:hAnsi="Times New Roman" w:cs="Times New Roman"/>
        </w:rPr>
        <w:t>.</w:t>
      </w:r>
    </w:p>
  </w:footnote>
  <w:footnote w:id="20">
    <w:p w14:paraId="731DAA00" w14:textId="1E210168" w:rsidR="00BF60DB" w:rsidRPr="004770B6" w:rsidRDefault="00BF60DB" w:rsidP="00BF60DB">
      <w:pPr>
        <w:pStyle w:val="FootnoteText"/>
        <w:spacing w:after="60"/>
        <w:jc w:val="both"/>
        <w:rPr>
          <w:rFonts w:ascii="Times New Roman" w:hAnsi="Times New Roman"/>
          <w:lang w:val="en-GB"/>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hyperlink r:id="rId7" w:history="1">
        <w:r w:rsidRPr="004770B6">
          <w:rPr>
            <w:rStyle w:val="Hyperlink"/>
            <w:rFonts w:ascii="Times New Roman" w:hAnsi="Times New Roman"/>
            <w:lang w:val="en-GB"/>
          </w:rPr>
          <w:t>RSPG Report</w:t>
        </w:r>
        <w:r w:rsidR="00FF213F">
          <w:rPr>
            <w:rStyle w:val="Hyperlink"/>
            <w:rFonts w:ascii="Times New Roman" w:eastAsia="Calibri" w:hAnsi="Times New Roman" w:cs="Times New Roman"/>
          </w:rPr>
          <w:t>,</w:t>
        </w:r>
        <w:r w:rsidRPr="004770B6">
          <w:rPr>
            <w:rStyle w:val="Hyperlink"/>
            <w:rFonts w:ascii="Times New Roman" w:hAnsi="Times New Roman"/>
            <w:lang w:val="en-GB"/>
          </w:rPr>
          <w:t xml:space="preserve"> </w:t>
        </w:r>
        <w:r w:rsidR="00FF213F">
          <w:rPr>
            <w:rStyle w:val="Hyperlink"/>
            <w:rFonts w:ascii="Times New Roman" w:eastAsia="Calibri" w:hAnsi="Times New Roman" w:cs="Times New Roman"/>
          </w:rPr>
          <w:t>A</w:t>
        </w:r>
        <w:r w:rsidRPr="00516125">
          <w:rPr>
            <w:rStyle w:val="Hyperlink"/>
            <w:rFonts w:ascii="Times New Roman" w:eastAsia="Calibri" w:hAnsi="Times New Roman" w:cs="Times New Roman"/>
          </w:rPr>
          <w:t>ssessment</w:t>
        </w:r>
        <w:r w:rsidRPr="004770B6">
          <w:rPr>
            <w:rStyle w:val="Hyperlink"/>
            <w:rFonts w:ascii="Times New Roman" w:hAnsi="Times New Roman"/>
            <w:lang w:val="en-GB"/>
          </w:rPr>
          <w:t xml:space="preserve"> of future usage of the frequency band 470-694 MHz within the EU (RSPG25-33)</w:t>
        </w:r>
      </w:hyperlink>
      <w:r w:rsidRPr="004770B6">
        <w:rPr>
          <w:rFonts w:ascii="Times New Roman" w:hAnsi="Times New Roman"/>
          <w:lang w:val="en-GB"/>
        </w:rPr>
        <w:t>.</w:t>
      </w:r>
    </w:p>
  </w:footnote>
  <w:footnote w:id="21">
    <w:p w14:paraId="540FB145" w14:textId="77777777" w:rsidR="00BF60DB" w:rsidRPr="00AA0FC6" w:rsidRDefault="00BF60DB" w:rsidP="00BF60DB">
      <w:pPr>
        <w:spacing w:after="60" w:line="240" w:lineRule="auto"/>
        <w:jc w:val="both"/>
        <w:rPr>
          <w:rFonts w:ascii="Times New Roman" w:eastAsia="Calibri" w:hAnsi="Times New Roman" w:cs="Times New Roman"/>
          <w:sz w:val="20"/>
          <w:szCs w:val="20"/>
        </w:rPr>
      </w:pPr>
      <w:r w:rsidRPr="00AA0FC6">
        <w:rPr>
          <w:rStyle w:val="FootnoteReference"/>
          <w:rFonts w:ascii="Times New Roman" w:eastAsia="Calibri" w:hAnsi="Times New Roman" w:cs="Times New Roman"/>
          <w:sz w:val="20"/>
          <w:szCs w:val="20"/>
        </w:rPr>
        <w:footnoteRef/>
      </w:r>
      <w:r w:rsidRPr="00AA0FC6">
        <w:rPr>
          <w:rFonts w:ascii="Times New Roman" w:eastAsia="Calibri" w:hAnsi="Times New Roman" w:cs="Times New Roman"/>
          <w:sz w:val="20"/>
          <w:szCs w:val="20"/>
        </w:rPr>
        <w:t xml:space="preserve"> Source: RSPG Report.</w:t>
      </w:r>
    </w:p>
  </w:footnote>
  <w:footnote w:id="22">
    <w:p w14:paraId="791073DD" w14:textId="0FC7B26E" w:rsidR="00BF60DB" w:rsidRPr="00AA0FC6" w:rsidRDefault="00BF60DB" w:rsidP="00BF60DB">
      <w:pPr>
        <w:pStyle w:val="FootnoteText"/>
        <w:spacing w:after="60"/>
        <w:jc w:val="both"/>
        <w:rPr>
          <w:rFonts w:ascii="Times New Roman" w:eastAsia="Calibri" w:hAnsi="Times New Roman" w:cs="Times New Roman"/>
        </w:rPr>
      </w:pPr>
      <w:r w:rsidRPr="00AA0FC6">
        <w:rPr>
          <w:rStyle w:val="FootnoteReference"/>
          <w:rFonts w:ascii="Times New Roman" w:hAnsi="Times New Roman" w:cs="Times New Roman"/>
        </w:rPr>
        <w:footnoteRef/>
      </w:r>
      <w:r w:rsidRPr="00AA0FC6">
        <w:rPr>
          <w:rFonts w:ascii="Times New Roman" w:hAnsi="Times New Roman" w:cs="Times New Roman"/>
        </w:rPr>
        <w:t xml:space="preserve"> TV households using DTT, whether as the sole means of reception or alongside other platforms.</w:t>
      </w:r>
    </w:p>
    <w:p w14:paraId="0739D049" w14:textId="77777777" w:rsidR="00BF60DB" w:rsidRPr="004A5C42" w:rsidRDefault="00BF60DB" w:rsidP="00BF60DB">
      <w:pPr>
        <w:pStyle w:val="FootnoteText"/>
        <w:spacing w:after="60"/>
        <w:jc w:val="both"/>
        <w:rPr>
          <w:rFonts w:ascii="Times New Roman" w:hAnsi="Times New Roman" w:cs="Times New Roman"/>
        </w:rPr>
      </w:pPr>
    </w:p>
  </w:footnote>
  <w:footnote w:id="23">
    <w:p w14:paraId="4FF842AE" w14:textId="07B5DDEF" w:rsidR="00BF60DB" w:rsidRPr="004A5C42" w:rsidRDefault="00BF60DB" w:rsidP="00BF60DB">
      <w:pPr>
        <w:pStyle w:val="FootnoteText"/>
        <w:spacing w:after="60"/>
        <w:jc w:val="both"/>
        <w:rPr>
          <w:rFonts w:ascii="Times New Roman" w:eastAsia="Calibri"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Source: </w:t>
      </w:r>
      <w:r w:rsidRPr="004A5C42">
        <w:rPr>
          <w:rFonts w:ascii="Times New Roman" w:eastAsia="Calibri" w:hAnsi="Times New Roman" w:cs="Times New Roman"/>
        </w:rPr>
        <w:t>RSPG Report</w:t>
      </w:r>
      <w:r w:rsidR="00062BA1">
        <w:rPr>
          <w:rFonts w:ascii="Times New Roman" w:eastAsia="Calibri" w:hAnsi="Times New Roman" w:cs="Times New Roman"/>
        </w:rPr>
        <w:t>.</w:t>
      </w:r>
    </w:p>
  </w:footnote>
  <w:footnote w:id="24">
    <w:p w14:paraId="0222F5F7" w14:textId="77777777" w:rsidR="00BF60DB" w:rsidRPr="004A5C42" w:rsidRDefault="00BF60DB" w:rsidP="00BF60DB">
      <w:pPr>
        <w:pStyle w:val="FootnoteText"/>
        <w:spacing w:after="60"/>
        <w:jc w:val="both"/>
        <w:rPr>
          <w:rFonts w:ascii="Times New Roman" w:eastAsia="Calibri"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10 out of 21 responding Member States</w:t>
      </w:r>
      <w:r>
        <w:rPr>
          <w:rFonts w:ascii="Times New Roman" w:hAnsi="Times New Roman" w:cs="Times New Roman"/>
        </w:rPr>
        <w:t>.</w:t>
      </w:r>
      <w:r w:rsidRPr="004A5C42">
        <w:rPr>
          <w:rFonts w:ascii="Times New Roman" w:hAnsi="Times New Roman" w:cs="Times New Roman"/>
        </w:rPr>
        <w:t xml:space="preserve"> Source: RSPG Report</w:t>
      </w:r>
      <w:r w:rsidR="00062BA1">
        <w:rPr>
          <w:rFonts w:ascii="Times New Roman" w:hAnsi="Times New Roman" w:cs="Times New Roman"/>
        </w:rPr>
        <w:t>.</w:t>
      </w:r>
    </w:p>
  </w:footnote>
  <w:footnote w:id="25">
    <w:p w14:paraId="1242B5A9" w14:textId="1758B043" w:rsidR="00BF60DB" w:rsidRPr="004A5C42" w:rsidRDefault="00BF60DB" w:rsidP="00BF60DB">
      <w:pPr>
        <w:pStyle w:val="FootnoteText"/>
        <w:spacing w:after="60"/>
        <w:jc w:val="both"/>
        <w:rPr>
          <w:rFonts w:ascii="Times New Roman" w:eastAsia="Calibri"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Source: </w:t>
      </w:r>
      <w:r w:rsidRPr="004A5C42">
        <w:rPr>
          <w:rFonts w:ascii="Times New Roman" w:eastAsia="Calibri" w:hAnsi="Times New Roman" w:cs="Times New Roman"/>
        </w:rPr>
        <w:t>Commission Study, p.</w:t>
      </w:r>
      <w:r w:rsidR="00516125">
        <w:rPr>
          <w:rFonts w:ascii="Times New Roman" w:eastAsia="Calibri" w:hAnsi="Times New Roman" w:cs="Times New Roman"/>
        </w:rPr>
        <w:t> </w:t>
      </w:r>
      <w:r w:rsidRPr="004A5C42">
        <w:rPr>
          <w:rFonts w:ascii="Times New Roman" w:eastAsia="Calibri" w:hAnsi="Times New Roman" w:cs="Times New Roman"/>
        </w:rPr>
        <w:t>198.</w:t>
      </w:r>
    </w:p>
  </w:footnote>
  <w:footnote w:id="26">
    <w:p w14:paraId="243FDF54" w14:textId="77777777"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Source: RSPG Report</w:t>
      </w:r>
      <w:r w:rsidR="00062BA1">
        <w:rPr>
          <w:rFonts w:ascii="Times New Roman" w:hAnsi="Times New Roman" w:cs="Times New Roman"/>
        </w:rPr>
        <w:t>.</w:t>
      </w:r>
    </w:p>
  </w:footnote>
  <w:footnote w:id="27">
    <w:p w14:paraId="41675635" w14:textId="74546A60" w:rsidR="00BF60DB" w:rsidRPr="004770B6" w:rsidRDefault="00BF60DB" w:rsidP="00BF60DB">
      <w:pPr>
        <w:pStyle w:val="FootnoteText"/>
        <w:spacing w:after="60"/>
        <w:jc w:val="both"/>
        <w:rPr>
          <w:rFonts w:ascii="Times New Roman" w:hAnsi="Times New Roman"/>
          <w:lang w:val="en-GB"/>
        </w:rPr>
      </w:pPr>
      <w:r w:rsidRPr="004770B6">
        <w:rPr>
          <w:rStyle w:val="FootnoteReference"/>
          <w:rFonts w:ascii="Times New Roman" w:hAnsi="Times New Roman"/>
          <w:lang w:val="en-GB"/>
        </w:rPr>
        <w:footnoteRef/>
      </w:r>
      <w:r w:rsidR="463B461D" w:rsidRPr="004770B6">
        <w:rPr>
          <w:rFonts w:ascii="Times New Roman" w:hAnsi="Times New Roman"/>
          <w:lang w:val="en-GB"/>
        </w:rPr>
        <w:t xml:space="preserve"> See </w:t>
      </w:r>
      <w:r w:rsidR="463B461D">
        <w:t>footnote</w:t>
      </w:r>
      <w:r w:rsidR="463B461D" w:rsidRPr="463B461D">
        <w:rPr>
          <w:rFonts w:ascii="Times New Roman" w:hAnsi="Times New Roman"/>
          <w:lang w:val="en-GB"/>
        </w:rPr>
        <w:t xml:space="preserve"> No</w:t>
      </w:r>
      <w:r w:rsidR="463B461D" w:rsidRPr="463B461D">
        <w:rPr>
          <w:rFonts w:ascii="Times New Roman" w:hAnsi="Times New Roman" w:cs="Times New Roman"/>
        </w:rPr>
        <w:t> </w:t>
      </w:r>
      <w:r w:rsidR="463B461D" w:rsidRPr="463B461D">
        <w:rPr>
          <w:rFonts w:ascii="Times New Roman" w:hAnsi="Times New Roman"/>
          <w:lang w:val="en-GB"/>
        </w:rPr>
        <w:t>5.149 of the 2024 ITU RR.</w:t>
      </w:r>
    </w:p>
  </w:footnote>
  <w:footnote w:id="28">
    <w:p w14:paraId="34630E0A" w14:textId="77777777" w:rsidR="00BF60DB" w:rsidRPr="004770B6" w:rsidRDefault="00BF60DB" w:rsidP="00BF60DB">
      <w:pPr>
        <w:pStyle w:val="FootnoteText"/>
        <w:spacing w:after="60"/>
        <w:jc w:val="both"/>
        <w:rPr>
          <w:rFonts w:ascii="Times New Roman" w:hAnsi="Times New Roman"/>
          <w:lang w:val="en-GB"/>
        </w:rPr>
      </w:pPr>
      <w:r w:rsidRPr="004770B6">
        <w:rPr>
          <w:rStyle w:val="FootnoteReference"/>
          <w:rFonts w:ascii="Times New Roman" w:hAnsi="Times New Roman"/>
          <w:lang w:val="en-GB"/>
        </w:rPr>
        <w:footnoteRef/>
      </w:r>
      <w:r w:rsidRPr="004770B6">
        <w:rPr>
          <w:rFonts w:ascii="Times New Roman" w:hAnsi="Times New Roman"/>
          <w:lang w:val="en-GB"/>
        </w:rPr>
        <w:t xml:space="preserve"> ITU-R, 2021. Report ITU-R BT.2302-1 Spectrum requirements for terrestrial television broadcasting in the UHF frequency band in ITU Region 1 and the Islamic Republic of Iran.</w:t>
      </w:r>
    </w:p>
  </w:footnote>
  <w:footnote w:id="29">
    <w:p w14:paraId="571E66DB" w14:textId="2020FC36"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Source: Commission </w:t>
      </w:r>
      <w:r w:rsidR="00452859">
        <w:rPr>
          <w:rFonts w:ascii="Times New Roman" w:hAnsi="Times New Roman" w:cs="Times New Roman"/>
        </w:rPr>
        <w:t>s</w:t>
      </w:r>
      <w:r w:rsidRPr="004A5C42">
        <w:rPr>
          <w:rFonts w:ascii="Times New Roman" w:hAnsi="Times New Roman" w:cs="Times New Roman"/>
        </w:rPr>
        <w:t>tudy.</w:t>
      </w:r>
    </w:p>
  </w:footnote>
  <w:footnote w:id="30">
    <w:p w14:paraId="445CB580" w14:textId="4D9DA3C4" w:rsidR="00BF60DB" w:rsidRPr="004A5C42" w:rsidRDefault="00BF60DB" w:rsidP="00BF60DB">
      <w:pPr>
        <w:pStyle w:val="paragraph"/>
        <w:spacing w:before="0" w:beforeAutospacing="0" w:after="60" w:afterAutospacing="0"/>
        <w:jc w:val="both"/>
        <w:rPr>
          <w:rFonts w:eastAsia="Yu Mincho"/>
          <w:sz w:val="20"/>
          <w:szCs w:val="20"/>
        </w:rPr>
      </w:pPr>
      <w:r w:rsidRPr="004A5C42">
        <w:rPr>
          <w:rStyle w:val="FootnoteReference"/>
          <w:rFonts w:eastAsia="Yu Mincho"/>
          <w:b/>
          <w:bCs/>
          <w:sz w:val="20"/>
          <w:szCs w:val="20"/>
        </w:rPr>
        <w:footnoteRef/>
      </w:r>
      <w:r w:rsidRPr="004A5C42">
        <w:rPr>
          <w:rFonts w:eastAsia="Yu Mincho"/>
          <w:b/>
          <w:bCs/>
          <w:sz w:val="20"/>
          <w:szCs w:val="20"/>
        </w:rPr>
        <w:t xml:space="preserve"> </w:t>
      </w:r>
      <w:r w:rsidRPr="004A5C42">
        <w:rPr>
          <w:rFonts w:eastAsia="Yu Mincho"/>
          <w:sz w:val="20"/>
          <w:szCs w:val="20"/>
        </w:rPr>
        <w:t>ETSI TS 103</w:t>
      </w:r>
      <w:r w:rsidR="00516125">
        <w:rPr>
          <w:rFonts w:eastAsia="Yu Mincho"/>
          <w:sz w:val="20"/>
          <w:szCs w:val="20"/>
        </w:rPr>
        <w:t> </w:t>
      </w:r>
      <w:r w:rsidRPr="004A5C42">
        <w:rPr>
          <w:rFonts w:eastAsia="Yu Mincho"/>
          <w:sz w:val="20"/>
          <w:szCs w:val="20"/>
        </w:rPr>
        <w:t>770 V1.1.1</w:t>
      </w:r>
      <w:r w:rsidR="00FF213F">
        <w:rPr>
          <w:rFonts w:eastAsia="Yu Mincho"/>
          <w:sz w:val="20"/>
          <w:szCs w:val="20"/>
        </w:rPr>
        <w:t>,</w:t>
      </w:r>
      <w:r w:rsidRPr="004A5C42">
        <w:rPr>
          <w:rFonts w:eastAsia="Yu Mincho"/>
          <w:sz w:val="20"/>
          <w:szCs w:val="20"/>
        </w:rPr>
        <w:t xml:space="preserve"> Digital Video Broadcasting (DVB); Service Discovery and Programme Metadata for DVB-I</w:t>
      </w:r>
      <w:r w:rsidR="00FF213F">
        <w:rPr>
          <w:rFonts w:eastAsia="Yu Mincho"/>
          <w:sz w:val="20"/>
          <w:szCs w:val="20"/>
        </w:rPr>
        <w:t>.</w:t>
      </w:r>
    </w:p>
  </w:footnote>
  <w:footnote w:id="31">
    <w:p w14:paraId="33ABD674" w14:textId="6AD108DA"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3GPP stands for 3rd Generation Partnership Project, which is an international collaboration of telecommunications standard development </w:t>
      </w:r>
      <w:r w:rsidRPr="00516125">
        <w:rPr>
          <w:rFonts w:ascii="Times New Roman" w:hAnsi="Times New Roman" w:cs="Times New Roman"/>
        </w:rPr>
        <w:t>organi</w:t>
      </w:r>
      <w:r w:rsidR="00516125">
        <w:rPr>
          <w:rFonts w:ascii="Times New Roman" w:hAnsi="Times New Roman" w:cs="Times New Roman"/>
        </w:rPr>
        <w:t>s</w:t>
      </w:r>
      <w:r w:rsidRPr="00516125">
        <w:rPr>
          <w:rFonts w:ascii="Times New Roman" w:hAnsi="Times New Roman" w:cs="Times New Roman"/>
        </w:rPr>
        <w:t>ations.</w:t>
      </w:r>
      <w:r w:rsidRPr="004A5C42">
        <w:rPr>
          <w:rFonts w:ascii="Times New Roman" w:hAnsi="Times New Roman" w:cs="Times New Roman"/>
        </w:rPr>
        <w:t xml:space="preserve"> Its specifications cover cellular telecommunications technologies, including radio access, core network and service capabilities, which provide a complete system description for mobile telecommunications.</w:t>
      </w:r>
    </w:p>
  </w:footnote>
  <w:footnote w:id="32">
    <w:p w14:paraId="624EE9A5" w14:textId="01B0ABEC"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hyperlink r:id="rId8" w:history="1">
        <w:r w:rsidRPr="004A5C42">
          <w:rPr>
            <w:rStyle w:val="Hyperlink"/>
            <w:rFonts w:ascii="Times New Roman" w:hAnsi="Times New Roman" w:cs="Times New Roman"/>
          </w:rPr>
          <w:t>https://broadcast-networks.eu/wp-content/uploads/South-180-5G-Broadcast-Horizons-for-Europe-0311.pdf</w:t>
        </w:r>
      </w:hyperlink>
      <w:r w:rsidR="00FF213F">
        <w:rPr>
          <w:rFonts w:ascii="Times New Roman" w:hAnsi="Times New Roman" w:cs="Times New Roman"/>
        </w:rPr>
        <w:t>.</w:t>
      </w:r>
    </w:p>
  </w:footnote>
  <w:footnote w:id="33">
    <w:p w14:paraId="0866400D" w14:textId="499BF872" w:rsidR="00BF60DB" w:rsidRPr="00AA0FC6"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r w:rsidRPr="00AA0FC6">
        <w:rPr>
          <w:rFonts w:ascii="Times New Roman" w:hAnsi="Times New Roman" w:cs="Times New Roman"/>
        </w:rPr>
        <w:t>Rather than relying solely on 5G Broadcast, many anticipate a hybrid solution that combines 5G Broadcast with wireless broadband, enabling seamless switching between linear TV and non-linear applications.</w:t>
      </w:r>
    </w:p>
  </w:footnote>
  <w:footnote w:id="34">
    <w:p w14:paraId="55B3F5C8" w14:textId="071F685E"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BNE: </w:t>
      </w:r>
      <w:r w:rsidRPr="004A5C42">
        <w:rPr>
          <w:rFonts w:ascii="Times New Roman" w:eastAsia="Calibri" w:hAnsi="Times New Roman" w:cs="Times New Roman"/>
        </w:rPr>
        <w:t xml:space="preserve">An innovation roadmap for the lower UHF band: </w:t>
      </w:r>
      <w:hyperlink r:id="rId9" w:history="1">
        <w:r w:rsidRPr="004A5C42">
          <w:rPr>
            <w:rStyle w:val="Hyperlink"/>
            <w:rFonts w:ascii="Times New Roman" w:hAnsi="Times New Roman" w:cs="Times New Roman"/>
          </w:rPr>
          <w:t>https://broadcast-networks.eu/wp-content/uploads/Broadcast-Networks-Europe-European-Cultural-Band-Innovation-Roadmap-for-the-470-694-MHz-Band.pdf?utm_source=chatgpt.com</w:t>
        </w:r>
      </w:hyperlink>
      <w:r w:rsidR="00FF213F">
        <w:rPr>
          <w:rFonts w:ascii="Times New Roman" w:hAnsi="Times New Roman" w:cs="Times New Roman"/>
        </w:rPr>
        <w:t>.</w:t>
      </w:r>
    </w:p>
  </w:footnote>
  <w:footnote w:id="35">
    <w:p w14:paraId="73E8E94C" w14:textId="77777777" w:rsidR="00BF60DB" w:rsidRPr="004E62A4" w:rsidRDefault="00BF60DB" w:rsidP="00BF60DB">
      <w:pPr>
        <w:pStyle w:val="FootnoteText"/>
        <w:spacing w:after="60"/>
        <w:jc w:val="both"/>
        <w:rPr>
          <w:rFonts w:ascii="Times New Roman" w:hAnsi="Times New Roman"/>
          <w:lang w:val="fr-BE"/>
        </w:rPr>
      </w:pPr>
      <w:r w:rsidRPr="004A5C42">
        <w:rPr>
          <w:rStyle w:val="FootnoteReference"/>
          <w:rFonts w:ascii="Times New Roman" w:hAnsi="Times New Roman" w:cs="Times New Roman"/>
        </w:rPr>
        <w:footnoteRef/>
      </w:r>
      <w:r w:rsidRPr="004E62A4">
        <w:rPr>
          <w:rFonts w:ascii="Times New Roman" w:hAnsi="Times New Roman"/>
          <w:lang w:val="fr-BE"/>
        </w:rPr>
        <w:t xml:space="preserve"> </w:t>
      </w:r>
      <w:hyperlink r:id="rId10" w:history="1">
        <w:r w:rsidRPr="004E62A4">
          <w:rPr>
            <w:rStyle w:val="Hyperlink"/>
            <w:rFonts w:ascii="Times New Roman" w:hAnsi="Times New Roman"/>
            <w:lang w:val="fr-BE"/>
          </w:rPr>
          <w:t>Déployer la TV en 5G Broadcast en France : modalités techniques, économiques et réglementaires</w:t>
        </w:r>
      </w:hyperlink>
      <w:r w:rsidRPr="004E62A4">
        <w:rPr>
          <w:rFonts w:ascii="Times New Roman" w:hAnsi="Times New Roman"/>
          <w:lang w:val="fr-BE"/>
        </w:rPr>
        <w:t>, 2025</w:t>
      </w:r>
      <w:r w:rsidR="00FF213F" w:rsidRPr="00F12A37">
        <w:rPr>
          <w:rFonts w:ascii="Times New Roman" w:hAnsi="Times New Roman" w:cs="Times New Roman"/>
          <w:lang w:val="fr-BE"/>
        </w:rPr>
        <w:t>.</w:t>
      </w:r>
    </w:p>
  </w:footnote>
  <w:footnote w:id="36">
    <w:p w14:paraId="494AFB2D" w14:textId="5E8A9310"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France, Germany, Poland, Italy</w:t>
      </w:r>
      <w:r>
        <w:rPr>
          <w:rFonts w:ascii="Times New Roman" w:hAnsi="Times New Roman" w:cs="Times New Roman"/>
        </w:rPr>
        <w:t>, Belgium</w:t>
      </w:r>
      <w:r w:rsidRPr="004A5C42">
        <w:rPr>
          <w:rFonts w:ascii="Times New Roman" w:hAnsi="Times New Roman" w:cs="Times New Roman"/>
        </w:rPr>
        <w:t xml:space="preserve"> and the Czech Republic</w:t>
      </w:r>
    </w:p>
  </w:footnote>
  <w:footnote w:id="37">
    <w:p w14:paraId="5C92BCD8" w14:textId="77777777" w:rsidR="00BF60DB" w:rsidRPr="00A67AB9" w:rsidRDefault="00BF60DB" w:rsidP="00BF60DB">
      <w:pPr>
        <w:pStyle w:val="FootnoteText"/>
        <w:rPr>
          <w:rFonts w:ascii="Times New Roman" w:hAnsi="Times New Roman" w:cs="Times New Roman"/>
        </w:rPr>
      </w:pPr>
      <w:r w:rsidRPr="00F352C4">
        <w:rPr>
          <w:rStyle w:val="FootnoteReference"/>
          <w:rFonts w:ascii="Times New Roman" w:hAnsi="Times New Roman" w:cs="Times New Roman"/>
        </w:rPr>
        <w:footnoteRef/>
      </w:r>
      <w:r w:rsidRPr="00F352C4">
        <w:rPr>
          <w:rFonts w:ascii="Times New Roman" w:hAnsi="Times New Roman" w:cs="Times New Roman"/>
        </w:rPr>
        <w:t xml:space="preserve"> A white-label </w:t>
      </w:r>
      <w:r w:rsidRPr="00F352C4">
        <w:rPr>
          <w:rStyle w:val="eop"/>
          <w:rFonts w:ascii="Times New Roman" w:eastAsiaTheme="minorEastAsia" w:hAnsi="Times New Roman" w:cs="Times New Roman"/>
        </w:rPr>
        <w:t>application</w:t>
      </w:r>
      <w:r w:rsidRPr="00F352C4">
        <w:rPr>
          <w:rFonts w:ascii="Times New Roman" w:hAnsi="Times New Roman" w:cs="Times New Roman"/>
        </w:rPr>
        <w:t xml:space="preserve"> is a pre-built application developed by a third-party provider that businesses can customise and brand as their own.</w:t>
      </w:r>
    </w:p>
    <w:p w14:paraId="04639FF6" w14:textId="77777777" w:rsidR="00BF60DB" w:rsidRDefault="00BF60DB" w:rsidP="00BF60DB">
      <w:pPr>
        <w:pStyle w:val="FootnoteText"/>
      </w:pPr>
    </w:p>
  </w:footnote>
  <w:footnote w:id="38">
    <w:p w14:paraId="7CFC4CA5" w14:textId="28099AB5"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For example, audio echo, loss of synchronisation between performers and sound systems,</w:t>
      </w:r>
      <w:r w:rsidR="00516125" w:rsidRPr="00516125">
        <w:rPr>
          <w:rFonts w:ascii="Times New Roman" w:hAnsi="Times New Roman" w:cs="Times New Roman"/>
        </w:rPr>
        <w:t xml:space="preserve"> </w:t>
      </w:r>
      <w:r w:rsidRPr="004A5C42">
        <w:rPr>
          <w:rFonts w:ascii="Times New Roman" w:hAnsi="Times New Roman" w:cs="Times New Roman"/>
        </w:rPr>
        <w:t>disrupted backstage communication</w:t>
      </w:r>
      <w:r w:rsidR="00FF213F">
        <w:rPr>
          <w:rFonts w:ascii="Times New Roman" w:hAnsi="Times New Roman" w:cs="Times New Roman"/>
        </w:rPr>
        <w:t>,</w:t>
      </w:r>
      <w:r w:rsidRPr="004A5C42">
        <w:rPr>
          <w:rFonts w:ascii="Times New Roman" w:hAnsi="Times New Roman" w:cs="Times New Roman"/>
        </w:rPr>
        <w:t xml:space="preserve"> </w:t>
      </w:r>
      <w:r w:rsidRPr="00F27233">
        <w:rPr>
          <w:rFonts w:ascii="Times New Roman" w:hAnsi="Times New Roman"/>
        </w:rPr>
        <w:t>etc</w:t>
      </w:r>
      <w:r>
        <w:rPr>
          <w:rFonts w:ascii="Times New Roman" w:hAnsi="Times New Roman" w:cs="Times New Roman"/>
        </w:rPr>
        <w:t>.</w:t>
      </w:r>
    </w:p>
  </w:footnote>
  <w:footnote w:id="39">
    <w:p w14:paraId="7615638E" w14:textId="77777777" w:rsidR="00BF60DB" w:rsidRPr="004E62A4" w:rsidRDefault="00BF60DB" w:rsidP="00BF60DB">
      <w:pPr>
        <w:pStyle w:val="FootnoteText"/>
        <w:spacing w:after="60"/>
        <w:jc w:val="both"/>
        <w:rPr>
          <w:rFonts w:ascii="Times New Roman" w:hAnsi="Times New Roman"/>
          <w:lang w:val="fr-BE"/>
        </w:rPr>
      </w:pPr>
      <w:r w:rsidRPr="004A5C42">
        <w:rPr>
          <w:rStyle w:val="FootnoteReference"/>
          <w:rFonts w:ascii="Times New Roman" w:hAnsi="Times New Roman" w:cs="Times New Roman"/>
        </w:rPr>
        <w:footnoteRef/>
      </w:r>
      <w:r w:rsidRPr="004E62A4">
        <w:rPr>
          <w:rFonts w:ascii="Times New Roman" w:hAnsi="Times New Roman"/>
          <w:lang w:val="fr-BE"/>
        </w:rPr>
        <w:t xml:space="preserve"> Source: RSPG Report</w:t>
      </w:r>
      <w:r w:rsidRPr="00C27DF9">
        <w:rPr>
          <w:rFonts w:ascii="Times New Roman" w:hAnsi="Times New Roman"/>
          <w:lang w:val="fr-BE"/>
        </w:rPr>
        <w:t>.</w:t>
      </w:r>
    </w:p>
  </w:footnote>
  <w:footnote w:id="40">
    <w:p w14:paraId="2D99241D" w14:textId="604835D8" w:rsidR="00BF60DB" w:rsidRPr="004E62A4" w:rsidRDefault="00BF60DB" w:rsidP="00BF60DB">
      <w:pPr>
        <w:pStyle w:val="FootnoteText"/>
        <w:spacing w:after="60"/>
        <w:jc w:val="both"/>
        <w:rPr>
          <w:rFonts w:ascii="Times New Roman" w:hAnsi="Times New Roman"/>
          <w:lang w:val="fr-BE"/>
        </w:rPr>
      </w:pPr>
      <w:r w:rsidRPr="004A5C42">
        <w:rPr>
          <w:rStyle w:val="FootnoteReference"/>
          <w:rFonts w:ascii="Times New Roman" w:hAnsi="Times New Roman" w:cs="Times New Roman"/>
        </w:rPr>
        <w:footnoteRef/>
      </w:r>
      <w:r w:rsidRPr="004E62A4">
        <w:rPr>
          <w:rFonts w:ascii="Times New Roman" w:hAnsi="Times New Roman"/>
          <w:lang w:val="fr-BE"/>
        </w:rPr>
        <w:t xml:space="preserve"> ETSI TR 103</w:t>
      </w:r>
      <w:r w:rsidR="00516125" w:rsidRPr="00F12A37">
        <w:rPr>
          <w:rFonts w:ascii="Times New Roman" w:hAnsi="Times New Roman" w:cs="Times New Roman"/>
          <w:lang w:val="fr-BE"/>
        </w:rPr>
        <w:t> </w:t>
      </w:r>
      <w:r w:rsidRPr="004E62A4">
        <w:rPr>
          <w:rFonts w:ascii="Times New Roman" w:hAnsi="Times New Roman"/>
          <w:lang w:val="fr-BE"/>
        </w:rPr>
        <w:t>450 V1.1.1 (2017-07)</w:t>
      </w:r>
      <w:r w:rsidRPr="00C27DF9">
        <w:rPr>
          <w:rFonts w:ascii="Times New Roman" w:hAnsi="Times New Roman"/>
          <w:lang w:val="fr-BE"/>
        </w:rPr>
        <w:t>.</w:t>
      </w:r>
    </w:p>
  </w:footnote>
  <w:footnote w:id="41">
    <w:p w14:paraId="670B4B2B" w14:textId="0512F7A6"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463B461D" w:rsidRPr="004A5C42">
        <w:rPr>
          <w:rFonts w:ascii="Times New Roman" w:hAnsi="Times New Roman" w:cs="Times New Roman"/>
        </w:rPr>
        <w:t xml:space="preserve"> See: </w:t>
      </w:r>
      <w:hyperlink r:id="rId11" w:history="1">
        <w:r>
          <w:rPr>
            <w:rStyle w:val="Hyperlink"/>
          </w:rPr>
          <w:t>https://broadcast-networks.eu/wp-content/uploads/BNE-innovation-roadmap-infographic.pdf</w:t>
        </w:r>
      </w:hyperlink>
      <w:hyperlink r:id="rId12" w:history="1">
        <w:r w:rsidR="463B461D" w:rsidRPr="463B461D">
          <w:rPr>
            <w:rStyle w:val="Hyperlink"/>
          </w:rPr>
          <w:t>Broadcast-Networks-Europe-European-Cultural-Band-Innovation-Roadmap-for-the-470-694-MHz-Band.pdf</w:t>
        </w:r>
      </w:hyperlink>
    </w:p>
    <w:p w14:paraId="2942D337" w14:textId="7BAC32DA" w:rsidR="463B461D" w:rsidRDefault="463B461D" w:rsidP="463B461D">
      <w:pPr>
        <w:pStyle w:val="FootnoteText"/>
        <w:spacing w:after="60"/>
        <w:jc w:val="both"/>
      </w:pPr>
    </w:p>
  </w:footnote>
  <w:footnote w:id="42">
    <w:p w14:paraId="374F9A45" w14:textId="77777777"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The European Media Industry Outlook, EC 2025</w:t>
      </w:r>
      <w:r w:rsidR="00FF213F">
        <w:rPr>
          <w:rFonts w:ascii="Times New Roman" w:hAnsi="Times New Roman" w:cs="Times New Roman"/>
        </w:rPr>
        <w:t>.</w:t>
      </w:r>
    </w:p>
  </w:footnote>
  <w:footnote w:id="43">
    <w:p w14:paraId="03DE2741" w14:textId="6E8178BA" w:rsidR="00BF60DB" w:rsidRPr="004A5C42" w:rsidRDefault="00BF60DB" w:rsidP="00BF60DB">
      <w:pPr>
        <w:pStyle w:val="paragraph"/>
        <w:spacing w:before="0" w:beforeAutospacing="0" w:after="60" w:afterAutospacing="0"/>
        <w:jc w:val="both"/>
        <w:rPr>
          <w:rFonts w:eastAsiaTheme="minorHAnsi"/>
          <w:kern w:val="2"/>
          <w:sz w:val="20"/>
          <w:szCs w:val="20"/>
          <w:lang w:eastAsia="en-US"/>
        </w:rPr>
      </w:pPr>
      <w:r w:rsidRPr="004A5C42">
        <w:rPr>
          <w:rStyle w:val="FootnoteReference"/>
          <w:sz w:val="20"/>
          <w:szCs w:val="20"/>
        </w:rPr>
        <w:footnoteRef/>
      </w:r>
      <w:r w:rsidRPr="004A5C42">
        <w:rPr>
          <w:sz w:val="20"/>
          <w:szCs w:val="20"/>
        </w:rPr>
        <w:t xml:space="preserve"> </w:t>
      </w:r>
      <w:r w:rsidRPr="004A5C42">
        <w:rPr>
          <w:rFonts w:eastAsiaTheme="minorHAnsi"/>
          <w:kern w:val="2"/>
          <w:sz w:val="20"/>
          <w:szCs w:val="20"/>
          <w:lang w:eastAsia="en-US"/>
        </w:rPr>
        <w:t>European Audiovisual Observatory,</w:t>
      </w:r>
      <w:r w:rsidRPr="004A5C42">
        <w:rPr>
          <w:sz w:val="20"/>
          <w:szCs w:val="20"/>
        </w:rPr>
        <w:t xml:space="preserve"> </w:t>
      </w:r>
      <w:hyperlink r:id="rId13">
        <w:r w:rsidRPr="004A5C42">
          <w:rPr>
            <w:rStyle w:val="Hyperlink"/>
            <w:sz w:val="20"/>
            <w:szCs w:val="20"/>
          </w:rPr>
          <w:t>Yearbook 2023-2024</w:t>
        </w:r>
      </w:hyperlink>
      <w:r w:rsidRPr="004A5C42">
        <w:rPr>
          <w:sz w:val="20"/>
          <w:szCs w:val="20"/>
        </w:rPr>
        <w:t xml:space="preserve">, </w:t>
      </w:r>
      <w:r w:rsidRPr="004A5C42">
        <w:rPr>
          <w:rFonts w:eastAsiaTheme="minorHAnsi"/>
          <w:kern w:val="2"/>
          <w:sz w:val="20"/>
          <w:szCs w:val="20"/>
          <w:lang w:eastAsia="en-US"/>
        </w:rPr>
        <w:t>2024, https://rm.coe.int/yearbook-key-trends-2023-2024-en/1680aef0c0</w:t>
      </w:r>
      <w:r w:rsidR="00EC598D">
        <w:rPr>
          <w:rFonts w:eastAsiaTheme="minorHAnsi"/>
          <w:kern w:val="2"/>
          <w:sz w:val="20"/>
          <w:szCs w:val="20"/>
          <w:lang w:eastAsia="en-US"/>
        </w:rPr>
        <w:t>.</w:t>
      </w:r>
    </w:p>
  </w:footnote>
  <w:footnote w:id="44">
    <w:p w14:paraId="7C94A873" w14:textId="77777777" w:rsidR="00BF60DB" w:rsidRPr="004A5C42" w:rsidRDefault="00BF60DB" w:rsidP="00BF60DB">
      <w:pPr>
        <w:pStyle w:val="paragraph"/>
        <w:spacing w:before="0" w:beforeAutospacing="0" w:after="60" w:afterAutospacing="0"/>
        <w:jc w:val="both"/>
        <w:rPr>
          <w:sz w:val="20"/>
          <w:szCs w:val="20"/>
        </w:rPr>
      </w:pPr>
      <w:r w:rsidRPr="004A5C42">
        <w:rPr>
          <w:rStyle w:val="FootnoteReference"/>
          <w:sz w:val="20"/>
          <w:szCs w:val="20"/>
        </w:rPr>
        <w:footnoteRef/>
      </w:r>
      <w:r w:rsidRPr="004A5C42">
        <w:rPr>
          <w:sz w:val="20"/>
          <w:szCs w:val="20"/>
        </w:rPr>
        <w:t xml:space="preserve"> EAO, </w:t>
      </w:r>
      <w:hyperlink r:id="rId14">
        <w:r w:rsidRPr="004A5C42">
          <w:rPr>
            <w:rStyle w:val="Hyperlink"/>
            <w:sz w:val="20"/>
            <w:szCs w:val="20"/>
          </w:rPr>
          <w:t>Key Trends 2025</w:t>
        </w:r>
      </w:hyperlink>
      <w:r w:rsidRPr="004A5C42">
        <w:rPr>
          <w:sz w:val="20"/>
          <w:szCs w:val="20"/>
        </w:rPr>
        <w:t>, 2025, https://rm.coe.int/key-trends-2025-en/1680b4e91d</w:t>
      </w:r>
      <w:r w:rsidR="00EC598D">
        <w:rPr>
          <w:sz w:val="20"/>
          <w:szCs w:val="20"/>
        </w:rPr>
        <w:t>.</w:t>
      </w:r>
    </w:p>
  </w:footnote>
  <w:footnote w:id="45">
    <w:p w14:paraId="6E0F3AB0" w14:textId="77777777"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OTT refers to services delivered over the public internet without being managed or controlled by the network operator</w:t>
      </w:r>
      <w:r w:rsidR="00EC598D">
        <w:rPr>
          <w:rFonts w:ascii="Times New Roman" w:hAnsi="Times New Roman" w:cs="Times New Roman"/>
        </w:rPr>
        <w:t>.</w:t>
      </w:r>
    </w:p>
  </w:footnote>
  <w:footnote w:id="46">
    <w:p w14:paraId="594B55F7" w14:textId="795B4596" w:rsidR="00BF60DB" w:rsidRPr="004A5C42" w:rsidRDefault="00BF60DB" w:rsidP="00BF60DB">
      <w:pPr>
        <w:spacing w:after="60" w:line="240" w:lineRule="auto"/>
        <w:jc w:val="both"/>
        <w:rPr>
          <w:rFonts w:ascii="Times New Roman" w:eastAsia="Times New Roman" w:hAnsi="Times New Roman" w:cs="Times New Roman"/>
          <w:sz w:val="20"/>
          <w:szCs w:val="20"/>
        </w:rPr>
      </w:pPr>
      <w:r w:rsidRPr="004A5C42">
        <w:rPr>
          <w:rStyle w:val="FootnoteReference"/>
          <w:rFonts w:ascii="Times New Roman" w:eastAsia="Times New Roman" w:hAnsi="Times New Roman" w:cs="Times New Roman"/>
          <w:sz w:val="20"/>
          <w:szCs w:val="20"/>
        </w:rPr>
        <w:footnoteRef/>
      </w:r>
      <w:r w:rsidRPr="004A5C42">
        <w:rPr>
          <w:rFonts w:ascii="Times New Roman" w:eastAsia="Times New Roman" w:hAnsi="Times New Roman" w:cs="Times New Roman"/>
          <w:sz w:val="20"/>
          <w:szCs w:val="20"/>
        </w:rPr>
        <w:t xml:space="preserve"> Audiovisual media services in Europe - 2024 data, European Audiovisual Observatory (EAO), 2025</w:t>
      </w:r>
      <w:r w:rsidR="00EC598D">
        <w:rPr>
          <w:rFonts w:ascii="Times New Roman" w:eastAsia="Times New Roman" w:hAnsi="Times New Roman" w:cs="Times New Roman"/>
          <w:sz w:val="20"/>
          <w:szCs w:val="20"/>
        </w:rPr>
        <w:t>.</w:t>
      </w:r>
    </w:p>
  </w:footnote>
  <w:footnote w:id="47">
    <w:p w14:paraId="3A2DD174" w14:textId="22881B4F" w:rsidR="00BF60DB" w:rsidRPr="00585310" w:rsidRDefault="00BF60DB" w:rsidP="00BF60DB">
      <w:pPr>
        <w:pStyle w:val="FootnoteText"/>
        <w:spacing w:after="60"/>
        <w:jc w:val="both"/>
        <w:rPr>
          <w:rFonts w:ascii="Times New Roman" w:hAnsi="Times New Roman" w:cs="Times New Roman"/>
        </w:rPr>
      </w:pPr>
      <w:r w:rsidRPr="00585310">
        <w:rPr>
          <w:rStyle w:val="FootnoteReference"/>
          <w:rFonts w:ascii="Times New Roman" w:hAnsi="Times New Roman" w:cs="Times New Roman"/>
        </w:rPr>
        <w:footnoteRef/>
      </w:r>
      <w:r w:rsidRPr="00585310">
        <w:rPr>
          <w:rFonts w:ascii="Times New Roman" w:hAnsi="Times New Roman" w:cs="Times New Roman"/>
        </w:rPr>
        <w:t xml:space="preserve"> ‘Other’ in Figure 10 refers to platforms mentioned by Member States: Croatia (OTT service), Hungary (streaming providers, including both subscription-based and ad-supported services), Lithuania (IPTV) and Slovenia (MMDS (</w:t>
      </w:r>
      <w:r w:rsidR="00E415DF">
        <w:rPr>
          <w:rFonts w:ascii="Times New Roman" w:hAnsi="Times New Roman" w:cs="Times New Roman"/>
        </w:rPr>
        <w:t>m</w:t>
      </w:r>
      <w:r w:rsidRPr="00516125">
        <w:rPr>
          <w:rFonts w:ascii="Times New Roman" w:hAnsi="Times New Roman" w:cs="Times New Roman"/>
        </w:rPr>
        <w:t xml:space="preserve">ultichannel </w:t>
      </w:r>
      <w:r w:rsidR="00E415DF">
        <w:rPr>
          <w:rFonts w:ascii="Times New Roman" w:hAnsi="Times New Roman" w:cs="Times New Roman"/>
        </w:rPr>
        <w:t>m</w:t>
      </w:r>
      <w:r w:rsidRPr="00516125">
        <w:rPr>
          <w:rFonts w:ascii="Times New Roman" w:hAnsi="Times New Roman" w:cs="Times New Roman"/>
        </w:rPr>
        <w:t xml:space="preserve">ultipoint </w:t>
      </w:r>
      <w:r w:rsidR="00E415DF">
        <w:rPr>
          <w:rFonts w:ascii="Times New Roman" w:hAnsi="Times New Roman" w:cs="Times New Roman"/>
        </w:rPr>
        <w:t>d</w:t>
      </w:r>
      <w:r w:rsidRPr="00516125">
        <w:rPr>
          <w:rFonts w:ascii="Times New Roman" w:hAnsi="Times New Roman" w:cs="Times New Roman"/>
        </w:rPr>
        <w:t xml:space="preserve">istribution </w:t>
      </w:r>
      <w:r w:rsidR="00E415DF">
        <w:rPr>
          <w:rFonts w:ascii="Times New Roman" w:hAnsi="Times New Roman" w:cs="Times New Roman"/>
        </w:rPr>
        <w:t>s</w:t>
      </w:r>
      <w:r w:rsidRPr="00585310">
        <w:rPr>
          <w:rFonts w:ascii="Times New Roman" w:hAnsi="Times New Roman" w:cs="Times New Roman"/>
        </w:rPr>
        <w:t>ervice) and BWA (</w:t>
      </w:r>
      <w:r w:rsidR="00E415DF">
        <w:rPr>
          <w:rFonts w:ascii="Times New Roman" w:hAnsi="Times New Roman" w:cs="Times New Roman"/>
        </w:rPr>
        <w:t>b</w:t>
      </w:r>
      <w:r w:rsidRPr="00516125">
        <w:rPr>
          <w:rFonts w:ascii="Times New Roman" w:hAnsi="Times New Roman" w:cs="Times New Roman"/>
        </w:rPr>
        <w:t xml:space="preserve">roadband </w:t>
      </w:r>
      <w:r w:rsidR="00E415DF">
        <w:rPr>
          <w:rFonts w:ascii="Times New Roman" w:hAnsi="Times New Roman" w:cs="Times New Roman"/>
        </w:rPr>
        <w:t>w</w:t>
      </w:r>
      <w:r w:rsidRPr="00516125">
        <w:rPr>
          <w:rFonts w:ascii="Times New Roman" w:hAnsi="Times New Roman" w:cs="Times New Roman"/>
        </w:rPr>
        <w:t xml:space="preserve">ireless </w:t>
      </w:r>
      <w:r w:rsidR="00E415DF">
        <w:rPr>
          <w:rFonts w:ascii="Times New Roman" w:hAnsi="Times New Roman" w:cs="Times New Roman"/>
        </w:rPr>
        <w:t>a</w:t>
      </w:r>
      <w:r w:rsidRPr="00585310">
        <w:rPr>
          <w:rFonts w:ascii="Times New Roman" w:hAnsi="Times New Roman" w:cs="Times New Roman"/>
        </w:rPr>
        <w:t>ccess), used as additional wireless technologies for TV distribution in areas with limited fixed-network coverage).</w:t>
      </w:r>
    </w:p>
  </w:footnote>
  <w:footnote w:id="48">
    <w:p w14:paraId="0AC91820" w14:textId="77777777"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Primary reception network refers to the main TV delivery platform a household uses, even if that household has access to more than one platform.</w:t>
      </w:r>
    </w:p>
  </w:footnote>
  <w:footnote w:id="49">
    <w:p w14:paraId="5FAF33F4" w14:textId="3A164D5D" w:rsidR="00BF60DB" w:rsidRPr="004A5C42" w:rsidRDefault="00BF60DB" w:rsidP="00BF60DB">
      <w:pPr>
        <w:spacing w:after="60" w:line="240" w:lineRule="auto"/>
        <w:jc w:val="both"/>
        <w:rPr>
          <w:rFonts w:ascii="Times New Roman" w:hAnsi="Times New Roman" w:cs="Times New Roman"/>
          <w:sz w:val="20"/>
          <w:szCs w:val="20"/>
        </w:rPr>
      </w:pPr>
      <w:r w:rsidRPr="004A5C42">
        <w:rPr>
          <w:rStyle w:val="FootnoteReference"/>
          <w:rFonts w:ascii="Times New Roman" w:eastAsia="Times New Roman" w:hAnsi="Times New Roman" w:cs="Times New Roman"/>
          <w:sz w:val="20"/>
          <w:szCs w:val="20"/>
        </w:rPr>
        <w:footnoteRef/>
      </w:r>
      <w:r>
        <w:rPr>
          <w:rFonts w:ascii="Times New Roman" w:eastAsia="Times New Roman" w:hAnsi="Times New Roman" w:cs="Times New Roman"/>
          <w:sz w:val="20"/>
          <w:szCs w:val="20"/>
        </w:rPr>
        <w:t xml:space="preserve"> </w:t>
      </w:r>
      <w:r w:rsidRPr="004A5C42">
        <w:rPr>
          <w:rFonts w:ascii="Times New Roman" w:eastAsia="Times New Roman" w:hAnsi="Times New Roman" w:cs="Times New Roman"/>
          <w:sz w:val="20"/>
          <w:szCs w:val="20"/>
        </w:rPr>
        <w:t xml:space="preserve">European Audiovisual Observatory, </w:t>
      </w:r>
      <w:hyperlink r:id="rId15">
        <w:r w:rsidRPr="004A5C42">
          <w:rPr>
            <w:rStyle w:val="Hyperlink"/>
            <w:rFonts w:ascii="Times New Roman" w:eastAsia="Times New Roman" w:hAnsi="Times New Roman" w:cs="Times New Roman"/>
            <w:sz w:val="20"/>
            <w:szCs w:val="20"/>
          </w:rPr>
          <w:t>Yearbook 2023-2024</w:t>
        </w:r>
      </w:hyperlink>
      <w:r w:rsidR="000F65C2">
        <w:rPr>
          <w:rFonts w:ascii="Times New Roman" w:eastAsia="Times New Roman" w:hAnsi="Times New Roman" w:cs="Times New Roman"/>
          <w:sz w:val="20"/>
          <w:szCs w:val="20"/>
        </w:rPr>
        <w:t>.</w:t>
      </w:r>
    </w:p>
  </w:footnote>
  <w:footnote w:id="50">
    <w:p w14:paraId="5F68F78C" w14:textId="24D2D83F"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Source: Commission </w:t>
      </w:r>
      <w:r w:rsidR="00377740">
        <w:rPr>
          <w:rFonts w:ascii="Times New Roman" w:hAnsi="Times New Roman" w:cs="Times New Roman"/>
        </w:rPr>
        <w:t>s</w:t>
      </w:r>
      <w:r w:rsidRPr="004A5C42">
        <w:rPr>
          <w:rFonts w:ascii="Times New Roman" w:hAnsi="Times New Roman" w:cs="Times New Roman"/>
        </w:rPr>
        <w:t>tudy.</w:t>
      </w:r>
    </w:p>
  </w:footnote>
  <w:footnote w:id="51">
    <w:p w14:paraId="5F54C7DF" w14:textId="5BAB20E9" w:rsidR="00BA6FC7" w:rsidRPr="002753D9" w:rsidRDefault="00BA6FC7">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E</w:t>
      </w:r>
      <w:r w:rsidRPr="002753D9">
        <w:rPr>
          <w:rFonts w:ascii="Times New Roman" w:hAnsi="Times New Roman" w:cs="Times New Roman"/>
        </w:rPr>
        <w:t>stimates are based on 2016 assumptions and should be regarded as indicative, as they do not reflect inflation or the fact that a number of Member States have since completed their transition to DVB-T2</w:t>
      </w:r>
      <w:r>
        <w:rPr>
          <w:rFonts w:ascii="Times New Roman" w:hAnsi="Times New Roman" w:cs="Times New Roman"/>
        </w:rPr>
        <w:t>.</w:t>
      </w:r>
    </w:p>
  </w:footnote>
  <w:footnote w:id="52">
    <w:p w14:paraId="58EDA2E1" w14:textId="69F65771" w:rsidR="00BF60DB" w:rsidRPr="004E62A4" w:rsidRDefault="00BF60DB" w:rsidP="00BF60DB">
      <w:pPr>
        <w:pStyle w:val="FootnoteText"/>
        <w:spacing w:after="60"/>
        <w:jc w:val="both"/>
        <w:rPr>
          <w:rFonts w:ascii="Times New Roman" w:hAnsi="Times New Roman"/>
          <w:lang w:val="en-GB"/>
        </w:rPr>
      </w:pPr>
      <w:r w:rsidRPr="004E62A4">
        <w:rPr>
          <w:rStyle w:val="FootnoteReference"/>
          <w:rFonts w:ascii="Times New Roman" w:hAnsi="Times New Roman"/>
          <w:lang w:val="en-GB"/>
        </w:rPr>
        <w:footnoteRef/>
      </w:r>
      <w:r w:rsidRPr="004E62A4">
        <w:rPr>
          <w:rFonts w:ascii="Times New Roman" w:hAnsi="Times New Roman"/>
          <w:lang w:val="en-GB"/>
        </w:rPr>
        <w:t xml:space="preserve"> LS Telcom, VVA, 2016: </w:t>
      </w:r>
      <w:hyperlink r:id="rId16" w:history="1">
        <w:r w:rsidRPr="004E62A4">
          <w:rPr>
            <w:rStyle w:val="Hyperlink"/>
            <w:rFonts w:ascii="Times New Roman" w:hAnsi="Times New Roman"/>
            <w:lang w:val="en-GB"/>
          </w:rPr>
          <w:t>Study on</w:t>
        </w:r>
        <w:r w:rsidR="00EC598D">
          <w:rPr>
            <w:rStyle w:val="Hyperlink"/>
            <w:rFonts w:ascii="Times New Roman" w:hAnsi="Times New Roman" w:cs="Times New Roman"/>
          </w:rPr>
          <w:t xml:space="preserve"> the</w:t>
        </w:r>
        <w:r w:rsidRPr="004E62A4">
          <w:rPr>
            <w:rStyle w:val="Hyperlink"/>
            <w:rFonts w:ascii="Times New Roman" w:hAnsi="Times New Roman"/>
            <w:lang w:val="en-GB"/>
          </w:rPr>
          <w:t xml:space="preserve"> </w:t>
        </w:r>
        <w:r w:rsidRPr="004A5C42">
          <w:rPr>
            <w:rStyle w:val="Hyperlink"/>
            <w:rFonts w:ascii="Times New Roman" w:hAnsi="Times New Roman" w:cs="Times New Roman"/>
          </w:rPr>
          <w:t>Economic and Social Impact of Repurposing the 700 MHz band for Wireless Broadband Services in the European Union</w:t>
        </w:r>
      </w:hyperlink>
      <w:r w:rsidRPr="004E62A4">
        <w:rPr>
          <w:rFonts w:ascii="Times New Roman" w:hAnsi="Times New Roman"/>
          <w:lang w:val="en-GB"/>
        </w:rPr>
        <w:t>. The estimates represent costs as of 2016</w:t>
      </w:r>
      <w:r w:rsidR="00F55BF4">
        <w:rPr>
          <w:rFonts w:ascii="Times New Roman" w:hAnsi="Times New Roman" w:cs="Times New Roman"/>
        </w:rPr>
        <w:t>;</w:t>
      </w:r>
      <w:r w:rsidRPr="004E62A4">
        <w:rPr>
          <w:rFonts w:ascii="Times New Roman" w:hAnsi="Times New Roman"/>
          <w:lang w:val="en-GB"/>
        </w:rPr>
        <w:t xml:space="preserve"> as such</w:t>
      </w:r>
      <w:r w:rsidR="00F55BF4">
        <w:rPr>
          <w:rFonts w:ascii="Times New Roman" w:hAnsi="Times New Roman" w:cs="Times New Roman"/>
        </w:rPr>
        <w:t>,</w:t>
      </w:r>
      <w:r w:rsidRPr="004E62A4">
        <w:rPr>
          <w:rFonts w:ascii="Times New Roman" w:hAnsi="Times New Roman"/>
          <w:lang w:val="en-GB"/>
        </w:rPr>
        <w:t xml:space="preserve"> inflation and transitions within Member States to DVB-T2 would affect the costs if incurred today.</w:t>
      </w:r>
    </w:p>
  </w:footnote>
  <w:footnote w:id="53">
    <w:p w14:paraId="2F8E7698" w14:textId="77777777" w:rsidR="00BF60DB" w:rsidRPr="00277896" w:rsidRDefault="00BF60DB" w:rsidP="00BF60DB">
      <w:pPr>
        <w:pStyle w:val="FootnoteText"/>
        <w:spacing w:after="60"/>
        <w:jc w:val="both"/>
        <w:rPr>
          <w:rFonts w:ascii="Times New Roman" w:hAnsi="Times New Roman" w:cs="Times New Roman"/>
        </w:rPr>
      </w:pPr>
      <w:r w:rsidRPr="00277896">
        <w:rPr>
          <w:rStyle w:val="FootnoteReference"/>
          <w:rFonts w:ascii="Times New Roman" w:hAnsi="Times New Roman" w:cs="Times New Roman"/>
        </w:rPr>
        <w:footnoteRef/>
      </w:r>
      <w:r w:rsidRPr="00277896">
        <w:rPr>
          <w:rFonts w:ascii="Times New Roman" w:hAnsi="Times New Roman" w:cs="Times New Roman"/>
        </w:rPr>
        <w:t xml:space="preserve"> Neutral refers to the baseline scenario used in the study. It assumes that consumers replace their TV sets according to the normal replacement cycle (on average once every seven years).</w:t>
      </w:r>
    </w:p>
  </w:footnote>
  <w:footnote w:id="54">
    <w:p w14:paraId="07686B6E" w14:textId="77777777"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hyperlink r:id="rId17">
        <w:r w:rsidRPr="004A5C42">
          <w:rPr>
            <w:rStyle w:val="Hyperlink"/>
            <w:rFonts w:ascii="Times New Roman" w:hAnsi="Times New Roman" w:cs="Times New Roman"/>
          </w:rPr>
          <w:t>Report 5G Broadcast: Horizons for Europe</w:t>
        </w:r>
      </w:hyperlink>
      <w:r w:rsidRPr="004A5C42">
        <w:rPr>
          <w:rFonts w:ascii="Times New Roman" w:hAnsi="Times New Roman" w:cs="Times New Roman"/>
        </w:rPr>
        <w:t>, South 180 for BNE, 2025.</w:t>
      </w:r>
    </w:p>
  </w:footnote>
  <w:footnote w:id="55">
    <w:p w14:paraId="4BEE1601" w14:textId="3A2EAD91"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EBU, 2019. Technical Review: Cost analysis of orchestrated 5G networks for broadcasting. </w:t>
      </w:r>
      <w:hyperlink r:id="rId18" w:history="1">
        <w:r w:rsidRPr="004A5C42">
          <w:rPr>
            <w:rStyle w:val="Hyperlink"/>
            <w:rFonts w:ascii="Times New Roman" w:hAnsi="Times New Roman" w:cs="Times New Roman"/>
          </w:rPr>
          <w:t>https://tech.ebu.ch/docs/techreview/EBU_Tech_Review_2019_Lombardo_Cost_analysis_of_orchestrated_5G_networks_for_broadcasting.pdf?utm_source=chatgpt.com</w:t>
        </w:r>
      </w:hyperlink>
      <w:r w:rsidRPr="004A5C42">
        <w:rPr>
          <w:rFonts w:ascii="Times New Roman" w:hAnsi="Times New Roman" w:cs="Times New Roman"/>
        </w:rPr>
        <w:t>.</w:t>
      </w:r>
      <w:r w:rsidR="00516125" w:rsidRPr="00516125">
        <w:rPr>
          <w:rFonts w:ascii="Times New Roman" w:hAnsi="Times New Roman" w:cs="Times New Roman"/>
        </w:rPr>
        <w:t xml:space="preserve"> </w:t>
      </w:r>
      <w:r w:rsidRPr="004A5C42">
        <w:rPr>
          <w:rFonts w:ascii="Times New Roman" w:hAnsi="Times New Roman" w:cs="Times New Roman"/>
        </w:rPr>
        <w:t>The study considered the cases where (a) DTT continues as is, (b) content is carried exclusively over 5G mobile networks, and (c) content is shared between existing DTT infrastructure and 5G mobile networks, albeit with a majority share (75% of traffic) carried over DTT. The study took into account only the total cost of each of these models, rather than the apportionment of costs</w:t>
      </w:r>
      <w:r w:rsidR="00EC598D">
        <w:rPr>
          <w:rFonts w:ascii="Times New Roman" w:hAnsi="Times New Roman" w:cs="Times New Roman"/>
        </w:rPr>
        <w:t>. I</w:t>
      </w:r>
      <w:r w:rsidRPr="00516125">
        <w:rPr>
          <w:rFonts w:ascii="Times New Roman" w:hAnsi="Times New Roman" w:cs="Times New Roman"/>
        </w:rPr>
        <w:t>t</w:t>
      </w:r>
      <w:r w:rsidRPr="004A5C42">
        <w:rPr>
          <w:rFonts w:ascii="Times New Roman" w:hAnsi="Times New Roman" w:cs="Times New Roman"/>
        </w:rPr>
        <w:t xml:space="preserve"> is</w:t>
      </w:r>
      <w:r w:rsidRPr="00516125">
        <w:rPr>
          <w:rFonts w:ascii="Times New Roman" w:hAnsi="Times New Roman" w:cs="Times New Roman"/>
        </w:rPr>
        <w:t xml:space="preserve"> </w:t>
      </w:r>
      <w:r w:rsidR="00EC598D">
        <w:rPr>
          <w:rFonts w:ascii="Times New Roman" w:hAnsi="Times New Roman" w:cs="Times New Roman"/>
        </w:rPr>
        <w:t>therefore</w:t>
      </w:r>
      <w:r w:rsidRPr="004A5C42">
        <w:rPr>
          <w:rFonts w:ascii="Times New Roman" w:hAnsi="Times New Roman" w:cs="Times New Roman"/>
        </w:rPr>
        <w:t xml:space="preserve"> difficult to extrapolate costs for any particular party.</w:t>
      </w:r>
    </w:p>
  </w:footnote>
  <w:footnote w:id="56">
    <w:p w14:paraId="07CF034D" w14:textId="0C334A08" w:rsidR="00BF60DB" w:rsidRPr="004A5C42" w:rsidRDefault="00BF60DB" w:rsidP="00BF60DB">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463B461D" w:rsidRPr="463B461D">
        <w:rPr>
          <w:rFonts w:ascii="Times New Roman" w:hAnsi="Times New Roman" w:cs="Times New Roman"/>
        </w:rPr>
        <w:t> </w:t>
      </w:r>
      <w:hyperlink r:id="rId19" w:history="1">
        <w:r w:rsidR="463B461D" w:rsidRPr="463B461D">
          <w:rPr>
            <w:rStyle w:val="Hyperlink"/>
          </w:rPr>
          <w:t>Quantitative study of the GHG emissions of delivering TV content</w:t>
        </w:r>
      </w:hyperlink>
      <w:r w:rsidR="463B461D" w:rsidRPr="463B461D">
        <w:t xml:space="preserve"> </w:t>
      </w:r>
    </w:p>
  </w:footnote>
  <w:footnote w:id="57">
    <w:p w14:paraId="2BBE59C5" w14:textId="77777777" w:rsidR="00BF60DB" w:rsidRPr="004A5C42" w:rsidRDefault="00BF60DB" w:rsidP="00BF60DB">
      <w:pPr>
        <w:pStyle w:val="FootnoteText"/>
        <w:spacing w:after="60"/>
        <w:jc w:val="both"/>
        <w:rPr>
          <w:rFonts w:ascii="Times New Roman" w:eastAsia="Calibri"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r w:rsidRPr="004A5C42">
        <w:rPr>
          <w:rFonts w:ascii="Times New Roman" w:eastAsia="Calibri" w:hAnsi="Times New Roman" w:cs="Times New Roman"/>
        </w:rPr>
        <w:t>Managed IPTV refers to IPTV services that are delivered and controlled by a telecom operator over a dedicated, managed network, rather than over the open internet.</w:t>
      </w:r>
    </w:p>
  </w:footnote>
  <w:footnote w:id="58">
    <w:p w14:paraId="58248D94" w14:textId="77777777" w:rsidR="005944ED" w:rsidRPr="004A5C42" w:rsidRDefault="005944ED" w:rsidP="005944ED">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hyperlink r:id="rId20" w:history="1">
        <w:r w:rsidRPr="004A5C42">
          <w:rPr>
            <w:rStyle w:val="Hyperlink"/>
            <w:rFonts w:ascii="Times New Roman" w:hAnsi="Times New Roman" w:cs="Times New Roman"/>
          </w:rPr>
          <w:t>Ericsson Mobility Report</w:t>
        </w:r>
      </w:hyperlink>
      <w:r w:rsidRPr="004A5C42">
        <w:rPr>
          <w:rFonts w:ascii="Times New Roman" w:hAnsi="Times New Roman" w:cs="Times New Roman"/>
        </w:rPr>
        <w:t>, 2025</w:t>
      </w:r>
      <w:r>
        <w:rPr>
          <w:rFonts w:ascii="Times New Roman" w:hAnsi="Times New Roman" w:cs="Times New Roman"/>
        </w:rPr>
        <w:t>.</w:t>
      </w:r>
    </w:p>
  </w:footnote>
  <w:footnote w:id="59">
    <w:p w14:paraId="50E098AC" w14:textId="2B40D12A" w:rsidR="00D649DE" w:rsidRPr="002753D9" w:rsidRDefault="00D649DE" w:rsidP="00D649DE">
      <w:pPr>
        <w:pStyle w:val="FootnoteText"/>
        <w:rPr>
          <w:rFonts w:ascii="Times New Roman" w:eastAsia="Calibri" w:hAnsi="Times New Roman" w:cs="Times New Roman"/>
        </w:rPr>
      </w:pPr>
      <w:r>
        <w:rPr>
          <w:rStyle w:val="FootnoteReference"/>
        </w:rPr>
        <w:footnoteRef/>
      </w:r>
      <w:r>
        <w:t xml:space="preserve"> </w:t>
      </w:r>
      <w:hyperlink r:id="rId21" w:history="1">
        <w:r w:rsidRPr="002753D9">
          <w:rPr>
            <w:rStyle w:val="Hyperlink"/>
            <w:rFonts w:ascii="Times New Roman" w:eastAsia="Calibri" w:hAnsi="Times New Roman" w:cs="Times New Roman"/>
          </w:rPr>
          <w:t>The evolution</w:t>
        </w:r>
        <w:r w:rsidR="005F7C9F" w:rsidRPr="005F7C9F">
          <w:rPr>
            <w:rStyle w:val="Hyperlink"/>
            <w:rFonts w:ascii="Times New Roman" w:eastAsia="Calibri" w:hAnsi="Times New Roman" w:cs="Times New Roman"/>
          </w:rPr>
          <w:t xml:space="preserve"> of data</w:t>
        </w:r>
        <w:r w:rsidRPr="002753D9">
          <w:rPr>
            <w:rStyle w:val="Hyperlink"/>
            <w:rFonts w:ascii="Times New Roman" w:eastAsia="Calibri" w:hAnsi="Times New Roman" w:cs="Times New Roman"/>
          </w:rPr>
          <w:t xml:space="preserve"> growth in Europe</w:t>
        </w:r>
      </w:hyperlink>
      <w:r w:rsidRPr="002753D9">
        <w:rPr>
          <w:rFonts w:ascii="Times New Roman" w:eastAsia="Calibri" w:hAnsi="Times New Roman" w:cs="Times New Roman"/>
        </w:rPr>
        <w:t>,</w:t>
      </w:r>
      <w:r w:rsidR="005F7C9F">
        <w:rPr>
          <w:rFonts w:ascii="Times New Roman" w:eastAsia="Calibri" w:hAnsi="Times New Roman" w:cs="Times New Roman"/>
        </w:rPr>
        <w:t xml:space="preserve"> Arthur D. Little’s Telecom, 2023</w:t>
      </w:r>
      <w:r w:rsidRPr="002753D9">
        <w:rPr>
          <w:rFonts w:ascii="Times New Roman" w:eastAsia="Calibri" w:hAnsi="Times New Roman" w:cs="Times New Roman"/>
        </w:rPr>
        <w:t xml:space="preserve"> </w:t>
      </w:r>
    </w:p>
  </w:footnote>
  <w:footnote w:id="60">
    <w:p w14:paraId="3FCD10F4" w14:textId="15642B16" w:rsidR="65B45B23" w:rsidRPr="00C8724C" w:rsidRDefault="65B45B23" w:rsidP="002753D9">
      <w:pPr>
        <w:pStyle w:val="FootnoteText"/>
        <w:rPr>
          <w:rFonts w:ascii="Times New Roman" w:eastAsia="Calibri" w:hAnsi="Times New Roman" w:cs="Times New Roman"/>
        </w:rPr>
      </w:pPr>
      <w:r w:rsidRPr="65B45B23">
        <w:rPr>
          <w:rStyle w:val="FootnoteReference"/>
        </w:rPr>
        <w:footnoteRef/>
      </w:r>
      <w:r>
        <w:t xml:space="preserve"> </w:t>
      </w:r>
      <w:hyperlink r:id="rId22" w:history="1">
        <w:r w:rsidR="00C8724C" w:rsidRPr="00C8724C">
          <w:rPr>
            <w:rStyle w:val="Hyperlink"/>
            <w:rFonts w:ascii="Times New Roman" w:eastAsia="Calibri" w:hAnsi="Times New Roman" w:cs="Times New Roman"/>
          </w:rPr>
          <w:t>RSPG Report, 6G Strategic vision (RSPG25-006)</w:t>
        </w:r>
      </w:hyperlink>
    </w:p>
  </w:footnote>
  <w:footnote w:id="61">
    <w:p w14:paraId="22B65479" w14:textId="3090110C" w:rsidR="00FA57A9" w:rsidRPr="002753D9" w:rsidRDefault="00FA57A9">
      <w:pPr>
        <w:pStyle w:val="FootnoteText"/>
        <w:rPr>
          <w:rFonts w:ascii="Times New Roman" w:eastAsia="Calibri" w:hAnsi="Times New Roman" w:cs="Times New Roman"/>
        </w:rPr>
      </w:pPr>
      <w:r>
        <w:rPr>
          <w:rStyle w:val="FootnoteReference"/>
        </w:rPr>
        <w:footnoteRef/>
      </w:r>
      <w:r>
        <w:t xml:space="preserve"> </w:t>
      </w:r>
      <w:hyperlink r:id="rId23" w:history="1">
        <w:r w:rsidRPr="002753D9">
          <w:rPr>
            <w:rStyle w:val="Hyperlink"/>
            <w:rFonts w:ascii="Times New Roman" w:eastAsia="Calibri" w:hAnsi="Times New Roman" w:cs="Times New Roman"/>
          </w:rPr>
          <w:t>Spectrum and Rural Connectivity</w:t>
        </w:r>
      </w:hyperlink>
      <w:r w:rsidRPr="002753D9">
        <w:rPr>
          <w:rFonts w:ascii="Times New Roman" w:eastAsia="Calibri" w:hAnsi="Times New Roman" w:cs="Times New Roman"/>
        </w:rPr>
        <w:t xml:space="preserve">, </w:t>
      </w:r>
      <w:r w:rsidR="009B0F2D" w:rsidRPr="009B0F2D">
        <w:rPr>
          <w:rFonts w:ascii="Times New Roman" w:eastAsia="Calibri" w:hAnsi="Times New Roman" w:cs="Times New Roman"/>
        </w:rPr>
        <w:t>GSMA Intelligence</w:t>
      </w:r>
      <w:r w:rsidRPr="002753D9">
        <w:rPr>
          <w:rFonts w:ascii="Times New Roman" w:eastAsia="Calibri" w:hAnsi="Times New Roman" w:cs="Times New Roman"/>
        </w:rPr>
        <w:t>, 2026.</w:t>
      </w:r>
    </w:p>
  </w:footnote>
  <w:footnote w:id="62">
    <w:p w14:paraId="0D585EE1" w14:textId="77777777" w:rsidR="005944ED" w:rsidRPr="004A5C42" w:rsidRDefault="005944ED" w:rsidP="005944ED">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hyperlink r:id="rId24">
        <w:r w:rsidRPr="004A5C42">
          <w:rPr>
            <w:rStyle w:val="Hyperlink"/>
            <w:rFonts w:ascii="Times New Roman" w:hAnsi="Times New Roman" w:cs="Times New Roman"/>
          </w:rPr>
          <w:t>Socio-Economic Benefits of 5G</w:t>
        </w:r>
      </w:hyperlink>
      <w:r w:rsidRPr="004A5C42">
        <w:rPr>
          <w:rFonts w:ascii="Times New Roman" w:hAnsi="Times New Roman" w:cs="Times New Roman"/>
        </w:rPr>
        <w:t>, The importance of low-band spectrum, GSMA 2023</w:t>
      </w:r>
      <w:r>
        <w:rPr>
          <w:rFonts w:ascii="Times New Roman" w:hAnsi="Times New Roman" w:cs="Times New Roman"/>
        </w:rPr>
        <w:t>.</w:t>
      </w:r>
    </w:p>
  </w:footnote>
  <w:footnote w:id="63">
    <w:p w14:paraId="123C97BC" w14:textId="77777777" w:rsidR="005944ED" w:rsidRPr="004A5C42" w:rsidRDefault="005944ED" w:rsidP="005944ED">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mIoT applications will play a key role in digital transformation across sectors such as manufacturing, transport, smart cities and agriculture</w:t>
      </w:r>
      <w:r>
        <w:rPr>
          <w:rFonts w:ascii="Times New Roman" w:hAnsi="Times New Roman" w:cs="Times New Roman"/>
        </w:rPr>
        <w:t>.</w:t>
      </w:r>
    </w:p>
  </w:footnote>
  <w:footnote w:id="64">
    <w:p w14:paraId="3995D167" w14:textId="77777777" w:rsidR="005944ED" w:rsidRPr="004A5C42" w:rsidRDefault="005944ED" w:rsidP="005944ED">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hyperlink r:id="rId25" w:history="1">
        <w:r w:rsidRPr="004A5C42">
          <w:rPr>
            <w:rStyle w:val="Hyperlink"/>
            <w:rFonts w:ascii="Times New Roman" w:hAnsi="Times New Roman" w:cs="Times New Roman"/>
          </w:rPr>
          <w:t>Vision 2030: Low-Band Spectrum for 5G</w:t>
        </w:r>
      </w:hyperlink>
      <w:r w:rsidRPr="004A5C42">
        <w:rPr>
          <w:rFonts w:ascii="Times New Roman" w:hAnsi="Times New Roman" w:cs="Times New Roman"/>
        </w:rPr>
        <w:t>, Coleago Consulting and the GSMA, 2022</w:t>
      </w:r>
      <w:r>
        <w:rPr>
          <w:rFonts w:ascii="Times New Roman" w:hAnsi="Times New Roman" w:cs="Times New Roman"/>
        </w:rPr>
        <w:t>.</w:t>
      </w:r>
    </w:p>
  </w:footnote>
  <w:footnote w:id="65">
    <w:p w14:paraId="1627984E" w14:textId="77777777" w:rsidR="007C0ADA" w:rsidRPr="004A5C42" w:rsidRDefault="007C0ADA" w:rsidP="007C0ADA">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Real-time video that must be highly reliable, low</w:t>
      </w:r>
      <w:r>
        <w:rPr>
          <w:rFonts w:ascii="Times New Roman" w:hAnsi="Times New Roman" w:cs="Times New Roman"/>
        </w:rPr>
        <w:t xml:space="preserve"> </w:t>
      </w:r>
      <w:r w:rsidRPr="004A5C42">
        <w:rPr>
          <w:rFonts w:ascii="Times New Roman" w:hAnsi="Times New Roman" w:cs="Times New Roman"/>
        </w:rPr>
        <w:t>latency and always available, even during emergencies.</w:t>
      </w:r>
    </w:p>
  </w:footnote>
  <w:footnote w:id="66">
    <w:p w14:paraId="080A9BD1" w14:textId="77777777" w:rsidR="007C0ADA" w:rsidRPr="004A5C42" w:rsidRDefault="007C0ADA" w:rsidP="007C0ADA">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Only primary terrestrial reception is considered.</w:t>
      </w:r>
    </w:p>
  </w:footnote>
  <w:footnote w:id="67">
    <w:p w14:paraId="1A084C3D" w14:textId="77777777" w:rsidR="007C0ADA" w:rsidRPr="004A5C42" w:rsidRDefault="007C0ADA" w:rsidP="007C0ADA">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Broadcaster’s VoD</w:t>
      </w:r>
      <w:r>
        <w:rPr>
          <w:rFonts w:ascii="Times New Roman" w:hAnsi="Times New Roman" w:cs="Times New Roman"/>
        </w:rPr>
        <w:t>.</w:t>
      </w:r>
    </w:p>
  </w:footnote>
  <w:footnote w:id="68">
    <w:p w14:paraId="4B617330" w14:textId="77777777" w:rsidR="007C0ADA" w:rsidRPr="004A5C42" w:rsidRDefault="007C0ADA" w:rsidP="007C0ADA">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eastAsia="Calibri" w:hAnsi="Times New Roman" w:cs="Times New Roman"/>
        </w:rPr>
        <w:t xml:space="preserve"> Commission Staff Working Document SWD (2025)261</w:t>
      </w:r>
      <w:r>
        <w:rPr>
          <w:rFonts w:ascii="Times New Roman" w:eastAsia="Calibri" w:hAnsi="Times New Roman" w:cs="Times New Roman"/>
        </w:rPr>
        <w:t xml:space="preserve">, </w:t>
      </w:r>
      <w:r w:rsidRPr="004A5C42">
        <w:rPr>
          <w:rFonts w:ascii="Times New Roman" w:eastAsia="Calibri" w:hAnsi="Times New Roman" w:cs="Times New Roman"/>
        </w:rPr>
        <w:t xml:space="preserve"> </w:t>
      </w:r>
      <w:r>
        <w:rPr>
          <w:rFonts w:ascii="Times New Roman" w:eastAsia="Calibri" w:hAnsi="Times New Roman" w:cs="Times New Roman"/>
        </w:rPr>
        <w:t>‘</w:t>
      </w:r>
      <w:r w:rsidRPr="004A5C42">
        <w:rPr>
          <w:rFonts w:ascii="Times New Roman" w:eastAsia="Calibri" w:hAnsi="Times New Roman" w:cs="Times New Roman"/>
        </w:rPr>
        <w:t>European Media Industry Outlook</w:t>
      </w:r>
      <w:r>
        <w:rPr>
          <w:rFonts w:ascii="Times New Roman" w:eastAsia="Calibri" w:hAnsi="Times New Roman" w:cs="Times New Roman"/>
        </w:rPr>
        <w:t>’.</w:t>
      </w:r>
    </w:p>
  </w:footnote>
  <w:footnote w:id="69">
    <w:p w14:paraId="748CC6A9" w14:textId="77777777" w:rsidR="007C0ADA" w:rsidRPr="00F12A37" w:rsidRDefault="007C0ADA" w:rsidP="007C0ADA">
      <w:pPr>
        <w:pStyle w:val="FootnoteText"/>
        <w:spacing w:after="60"/>
        <w:jc w:val="both"/>
        <w:rPr>
          <w:rFonts w:ascii="Times New Roman" w:hAnsi="Times New Roman"/>
          <w:lang w:val="en-US"/>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r w:rsidRPr="004E62A4">
        <w:rPr>
          <w:rFonts w:ascii="Times New Roman" w:hAnsi="Times New Roman"/>
          <w:lang w:val="en-US"/>
        </w:rPr>
        <w:t xml:space="preserve">Age definitions: </w:t>
      </w:r>
      <w:r>
        <w:rPr>
          <w:rFonts w:ascii="Times New Roman" w:eastAsia="Calibri" w:hAnsi="Times New Roman" w:cs="Times New Roman"/>
        </w:rPr>
        <w:t>c</w:t>
      </w:r>
      <w:r w:rsidRPr="00F12A37">
        <w:rPr>
          <w:rFonts w:ascii="Times New Roman" w:hAnsi="Times New Roman"/>
          <w:lang w:val="en-US"/>
        </w:rPr>
        <w:t xml:space="preserve">hildren 4-14, </w:t>
      </w:r>
      <w:r>
        <w:rPr>
          <w:rFonts w:ascii="Times New Roman" w:eastAsia="Calibri" w:hAnsi="Times New Roman" w:cs="Times New Roman"/>
        </w:rPr>
        <w:t>y</w:t>
      </w:r>
      <w:r w:rsidRPr="00F12A37">
        <w:rPr>
          <w:rFonts w:ascii="Times New Roman" w:hAnsi="Times New Roman"/>
          <w:lang w:val="en-US"/>
        </w:rPr>
        <w:t xml:space="preserve">outh 15-24, </w:t>
      </w:r>
      <w:r>
        <w:rPr>
          <w:rFonts w:ascii="Times New Roman" w:eastAsia="Calibri" w:hAnsi="Times New Roman" w:cs="Times New Roman"/>
        </w:rPr>
        <w:t>y</w:t>
      </w:r>
      <w:r w:rsidRPr="00516125">
        <w:rPr>
          <w:rFonts w:ascii="Times New Roman" w:eastAsia="Calibri" w:hAnsi="Times New Roman" w:cs="Times New Roman"/>
        </w:rPr>
        <w:t xml:space="preserve">oung </w:t>
      </w:r>
      <w:r>
        <w:rPr>
          <w:rFonts w:ascii="Times New Roman" w:eastAsia="Calibri" w:hAnsi="Times New Roman" w:cs="Times New Roman"/>
        </w:rPr>
        <w:t>a</w:t>
      </w:r>
      <w:r w:rsidRPr="00F12A37">
        <w:rPr>
          <w:rFonts w:ascii="Times New Roman" w:hAnsi="Times New Roman"/>
          <w:lang w:val="en-US"/>
        </w:rPr>
        <w:t xml:space="preserve">dults 25-34, </w:t>
      </w:r>
      <w:r>
        <w:rPr>
          <w:rFonts w:ascii="Times New Roman" w:eastAsia="Calibri" w:hAnsi="Times New Roman" w:cs="Times New Roman"/>
        </w:rPr>
        <w:t>a</w:t>
      </w:r>
      <w:r w:rsidRPr="00F12A37">
        <w:rPr>
          <w:rFonts w:ascii="Times New Roman" w:hAnsi="Times New Roman"/>
          <w:lang w:val="en-US"/>
        </w:rPr>
        <w:t xml:space="preserve">dults 35-59, </w:t>
      </w:r>
      <w:r>
        <w:rPr>
          <w:rFonts w:ascii="Times New Roman" w:eastAsia="Calibri" w:hAnsi="Times New Roman" w:cs="Times New Roman"/>
        </w:rPr>
        <w:t>s</w:t>
      </w:r>
      <w:r w:rsidRPr="00F12A37">
        <w:rPr>
          <w:rFonts w:ascii="Times New Roman" w:hAnsi="Times New Roman"/>
          <w:lang w:val="en-US"/>
        </w:rPr>
        <w:t>eniors 60+. Definitions may vary slightly by country.</w:t>
      </w:r>
    </w:p>
  </w:footnote>
  <w:footnote w:id="70">
    <w:p w14:paraId="57AE3382" w14:textId="77777777" w:rsidR="007C0ADA" w:rsidRPr="004A5C42" w:rsidRDefault="007C0ADA" w:rsidP="007C0ADA">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w:t>
      </w:r>
      <w:hyperlink r:id="rId26" w:anchor=":%7E:text=Pascal%20Lamy's%20report%20is%20based%20on%206%20months,estate%20in%20terms%20of%20use,%20capacity%20and%20reach." w:history="1">
        <w:r w:rsidRPr="004A5C42">
          <w:rPr>
            <w:rStyle w:val="Hyperlink"/>
            <w:rFonts w:ascii="Times New Roman" w:hAnsi="Times New Roman" w:cs="Times New Roman"/>
          </w:rPr>
          <w:t xml:space="preserve">Report on the </w:t>
        </w:r>
        <w:r>
          <w:rPr>
            <w:rStyle w:val="Hyperlink"/>
            <w:rFonts w:ascii="Times New Roman" w:hAnsi="Times New Roman" w:cs="Times New Roman"/>
          </w:rPr>
          <w:t>r</w:t>
        </w:r>
        <w:r w:rsidRPr="004A5C42">
          <w:rPr>
            <w:rStyle w:val="Hyperlink"/>
            <w:rFonts w:ascii="Times New Roman" w:hAnsi="Times New Roman" w:cs="Times New Roman"/>
          </w:rPr>
          <w:t>esults of the work of the High Level Group on the future use of the UHF band</w:t>
        </w:r>
      </w:hyperlink>
      <w:r w:rsidRPr="004A5C42">
        <w:rPr>
          <w:rFonts w:ascii="Times New Roman" w:hAnsi="Times New Roman" w:cs="Times New Roman"/>
        </w:rPr>
        <w:t xml:space="preserve"> by P. Lamy, 2014</w:t>
      </w:r>
      <w:r>
        <w:rPr>
          <w:rFonts w:ascii="Times New Roman" w:hAnsi="Times New Roman" w:cs="Times New Roman"/>
        </w:rPr>
        <w:t>.</w:t>
      </w:r>
    </w:p>
  </w:footnote>
  <w:footnote w:id="71">
    <w:p w14:paraId="50FAF4A4" w14:textId="77777777" w:rsidR="007C0ADA" w:rsidRPr="004A5C42" w:rsidRDefault="007C0ADA" w:rsidP="007C0ADA">
      <w:pPr>
        <w:pStyle w:val="FootnoteText"/>
        <w:spacing w:after="60"/>
        <w:jc w:val="both"/>
        <w:rPr>
          <w:rFonts w:ascii="Times New Roman" w:hAnsi="Times New Roman" w:cs="Times New Roman"/>
        </w:rPr>
      </w:pPr>
      <w:r w:rsidRPr="004A5C42">
        <w:rPr>
          <w:rStyle w:val="FootnoteReference"/>
          <w:rFonts w:ascii="Times New Roman" w:hAnsi="Times New Roman" w:cs="Times New Roman"/>
        </w:rPr>
        <w:footnoteRef/>
      </w:r>
      <w:r w:rsidRPr="004A5C42">
        <w:rPr>
          <w:rFonts w:ascii="Times New Roman" w:hAnsi="Times New Roman" w:cs="Times New Roman"/>
        </w:rPr>
        <w:t xml:space="preserve"> PSM counts as any media – whether TV and radio or digital media – that is owned or funded by the public and is therefore accountable to them (Public Media Alliance).</w:t>
      </w:r>
    </w:p>
    <w:p w14:paraId="46881F6E" w14:textId="77777777" w:rsidR="007C0ADA" w:rsidRPr="004A5C42" w:rsidRDefault="007C0ADA" w:rsidP="007C0ADA">
      <w:pPr>
        <w:pStyle w:val="FootnoteText"/>
        <w:spacing w:after="60"/>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409F2" w14:textId="77777777" w:rsidR="001C686D" w:rsidRPr="001C686D" w:rsidRDefault="001C686D" w:rsidP="001C68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09D2A" w14:textId="77777777" w:rsidR="001C686D" w:rsidRPr="001C686D" w:rsidRDefault="001C686D" w:rsidP="001C68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DBBD" w14:textId="77777777" w:rsidR="001C686D" w:rsidRPr="001C686D" w:rsidRDefault="001C686D" w:rsidP="001C68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691F" w14:textId="77777777" w:rsidR="00433743" w:rsidRDefault="004337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11ABF" w14:textId="77777777" w:rsidR="00433743" w:rsidRDefault="004337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0FFF4" w14:textId="77777777" w:rsidR="00433743" w:rsidRDefault="00433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5A0"/>
    <w:multiLevelType w:val="multilevel"/>
    <w:tmpl w:val="DC9E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73DAE"/>
    <w:multiLevelType w:val="hybridMultilevel"/>
    <w:tmpl w:val="F552F268"/>
    <w:lvl w:ilvl="0" w:tplc="2DAEBBBE">
      <w:start w:val="1"/>
      <w:numFmt w:val="bullet"/>
      <w:lvlText w:val="-"/>
      <w:lvlJc w:val="left"/>
      <w:pPr>
        <w:ind w:left="720" w:hanging="360"/>
      </w:pPr>
      <w:rPr>
        <w:rFonts w:ascii="Aptos" w:hAnsi="Aptos" w:hint="default"/>
      </w:rPr>
    </w:lvl>
    <w:lvl w:ilvl="1" w:tplc="1B165F70">
      <w:start w:val="1"/>
      <w:numFmt w:val="bullet"/>
      <w:lvlText w:val="o"/>
      <w:lvlJc w:val="left"/>
      <w:pPr>
        <w:ind w:left="1440" w:hanging="360"/>
      </w:pPr>
      <w:rPr>
        <w:rFonts w:ascii="Courier New" w:hAnsi="Courier New" w:hint="default"/>
      </w:rPr>
    </w:lvl>
    <w:lvl w:ilvl="2" w:tplc="D7B6E420">
      <w:start w:val="1"/>
      <w:numFmt w:val="bullet"/>
      <w:lvlText w:val=""/>
      <w:lvlJc w:val="left"/>
      <w:pPr>
        <w:ind w:left="2160" w:hanging="360"/>
      </w:pPr>
      <w:rPr>
        <w:rFonts w:ascii="Wingdings" w:hAnsi="Wingdings" w:hint="default"/>
      </w:rPr>
    </w:lvl>
    <w:lvl w:ilvl="3" w:tplc="367CA1CE">
      <w:start w:val="1"/>
      <w:numFmt w:val="bullet"/>
      <w:lvlText w:val=""/>
      <w:lvlJc w:val="left"/>
      <w:pPr>
        <w:ind w:left="2880" w:hanging="360"/>
      </w:pPr>
      <w:rPr>
        <w:rFonts w:ascii="Symbol" w:hAnsi="Symbol" w:hint="default"/>
      </w:rPr>
    </w:lvl>
    <w:lvl w:ilvl="4" w:tplc="FC4ED650">
      <w:start w:val="1"/>
      <w:numFmt w:val="bullet"/>
      <w:lvlText w:val="o"/>
      <w:lvlJc w:val="left"/>
      <w:pPr>
        <w:ind w:left="3600" w:hanging="360"/>
      </w:pPr>
      <w:rPr>
        <w:rFonts w:ascii="Courier New" w:hAnsi="Courier New" w:hint="default"/>
      </w:rPr>
    </w:lvl>
    <w:lvl w:ilvl="5" w:tplc="69369C06">
      <w:start w:val="1"/>
      <w:numFmt w:val="bullet"/>
      <w:lvlText w:val=""/>
      <w:lvlJc w:val="left"/>
      <w:pPr>
        <w:ind w:left="4320" w:hanging="360"/>
      </w:pPr>
      <w:rPr>
        <w:rFonts w:ascii="Wingdings" w:hAnsi="Wingdings" w:hint="default"/>
      </w:rPr>
    </w:lvl>
    <w:lvl w:ilvl="6" w:tplc="2B3C103E">
      <w:start w:val="1"/>
      <w:numFmt w:val="bullet"/>
      <w:lvlText w:val=""/>
      <w:lvlJc w:val="left"/>
      <w:pPr>
        <w:ind w:left="5040" w:hanging="360"/>
      </w:pPr>
      <w:rPr>
        <w:rFonts w:ascii="Symbol" w:hAnsi="Symbol" w:hint="default"/>
      </w:rPr>
    </w:lvl>
    <w:lvl w:ilvl="7" w:tplc="5C386CFE">
      <w:start w:val="1"/>
      <w:numFmt w:val="bullet"/>
      <w:lvlText w:val="o"/>
      <w:lvlJc w:val="left"/>
      <w:pPr>
        <w:ind w:left="5760" w:hanging="360"/>
      </w:pPr>
      <w:rPr>
        <w:rFonts w:ascii="Courier New" w:hAnsi="Courier New" w:hint="default"/>
      </w:rPr>
    </w:lvl>
    <w:lvl w:ilvl="8" w:tplc="D338BE76">
      <w:start w:val="1"/>
      <w:numFmt w:val="bullet"/>
      <w:lvlText w:val=""/>
      <w:lvlJc w:val="left"/>
      <w:pPr>
        <w:ind w:left="6480" w:hanging="360"/>
      </w:pPr>
      <w:rPr>
        <w:rFonts w:ascii="Wingdings" w:hAnsi="Wingdings" w:hint="default"/>
      </w:rPr>
    </w:lvl>
  </w:abstractNum>
  <w:abstractNum w:abstractNumId="2" w15:restartNumberingAfterBreak="0">
    <w:nsid w:val="01C690C5"/>
    <w:multiLevelType w:val="hybridMultilevel"/>
    <w:tmpl w:val="6B76FDF6"/>
    <w:lvl w:ilvl="0" w:tplc="666CA66E">
      <w:start w:val="1"/>
      <w:numFmt w:val="bullet"/>
      <w:lvlText w:val="-"/>
      <w:lvlJc w:val="left"/>
      <w:pPr>
        <w:ind w:left="720" w:hanging="360"/>
      </w:pPr>
      <w:rPr>
        <w:rFonts w:ascii="Aptos" w:hAnsi="Aptos" w:hint="default"/>
      </w:rPr>
    </w:lvl>
    <w:lvl w:ilvl="1" w:tplc="7DEAEB5A">
      <w:start w:val="1"/>
      <w:numFmt w:val="bullet"/>
      <w:lvlText w:val="o"/>
      <w:lvlJc w:val="left"/>
      <w:pPr>
        <w:ind w:left="1440" w:hanging="360"/>
      </w:pPr>
      <w:rPr>
        <w:rFonts w:ascii="Courier New" w:hAnsi="Courier New" w:hint="default"/>
      </w:rPr>
    </w:lvl>
    <w:lvl w:ilvl="2" w:tplc="9F74A466">
      <w:start w:val="1"/>
      <w:numFmt w:val="bullet"/>
      <w:lvlText w:val=""/>
      <w:lvlJc w:val="left"/>
      <w:pPr>
        <w:ind w:left="2160" w:hanging="360"/>
      </w:pPr>
      <w:rPr>
        <w:rFonts w:ascii="Wingdings" w:hAnsi="Wingdings" w:hint="default"/>
      </w:rPr>
    </w:lvl>
    <w:lvl w:ilvl="3" w:tplc="8D848E84">
      <w:start w:val="1"/>
      <w:numFmt w:val="bullet"/>
      <w:lvlText w:val=""/>
      <w:lvlJc w:val="left"/>
      <w:pPr>
        <w:ind w:left="2880" w:hanging="360"/>
      </w:pPr>
      <w:rPr>
        <w:rFonts w:ascii="Symbol" w:hAnsi="Symbol" w:hint="default"/>
      </w:rPr>
    </w:lvl>
    <w:lvl w:ilvl="4" w:tplc="F28A2BD0">
      <w:start w:val="1"/>
      <w:numFmt w:val="bullet"/>
      <w:lvlText w:val="o"/>
      <w:lvlJc w:val="left"/>
      <w:pPr>
        <w:ind w:left="3600" w:hanging="360"/>
      </w:pPr>
      <w:rPr>
        <w:rFonts w:ascii="Courier New" w:hAnsi="Courier New" w:hint="default"/>
      </w:rPr>
    </w:lvl>
    <w:lvl w:ilvl="5" w:tplc="0FA8ED72">
      <w:start w:val="1"/>
      <w:numFmt w:val="bullet"/>
      <w:lvlText w:val=""/>
      <w:lvlJc w:val="left"/>
      <w:pPr>
        <w:ind w:left="4320" w:hanging="360"/>
      </w:pPr>
      <w:rPr>
        <w:rFonts w:ascii="Wingdings" w:hAnsi="Wingdings" w:hint="default"/>
      </w:rPr>
    </w:lvl>
    <w:lvl w:ilvl="6" w:tplc="D02CA6A8">
      <w:start w:val="1"/>
      <w:numFmt w:val="bullet"/>
      <w:lvlText w:val=""/>
      <w:lvlJc w:val="left"/>
      <w:pPr>
        <w:ind w:left="5040" w:hanging="360"/>
      </w:pPr>
      <w:rPr>
        <w:rFonts w:ascii="Symbol" w:hAnsi="Symbol" w:hint="default"/>
      </w:rPr>
    </w:lvl>
    <w:lvl w:ilvl="7" w:tplc="FF00664E">
      <w:start w:val="1"/>
      <w:numFmt w:val="bullet"/>
      <w:lvlText w:val="o"/>
      <w:lvlJc w:val="left"/>
      <w:pPr>
        <w:ind w:left="5760" w:hanging="360"/>
      </w:pPr>
      <w:rPr>
        <w:rFonts w:ascii="Courier New" w:hAnsi="Courier New" w:hint="default"/>
      </w:rPr>
    </w:lvl>
    <w:lvl w:ilvl="8" w:tplc="330A8E78">
      <w:start w:val="1"/>
      <w:numFmt w:val="bullet"/>
      <w:lvlText w:val=""/>
      <w:lvlJc w:val="left"/>
      <w:pPr>
        <w:ind w:left="6480" w:hanging="360"/>
      </w:pPr>
      <w:rPr>
        <w:rFonts w:ascii="Wingdings" w:hAnsi="Wingdings" w:hint="default"/>
      </w:rPr>
    </w:lvl>
  </w:abstractNum>
  <w:abstractNum w:abstractNumId="3" w15:restartNumberingAfterBreak="0">
    <w:nsid w:val="02F85845"/>
    <w:multiLevelType w:val="hybridMultilevel"/>
    <w:tmpl w:val="D9040D5C"/>
    <w:lvl w:ilvl="0" w:tplc="F9F49E9C">
      <w:start w:val="1"/>
      <w:numFmt w:val="bullet"/>
      <w:lvlText w:val="-"/>
      <w:lvlJc w:val="left"/>
      <w:pPr>
        <w:ind w:left="1080" w:hanging="360"/>
      </w:pPr>
      <w:rPr>
        <w:rFonts w:ascii="Aptos" w:hAnsi="Aptos" w:hint="default"/>
      </w:rPr>
    </w:lvl>
    <w:lvl w:ilvl="1" w:tplc="30C8F2F6">
      <w:start w:val="1"/>
      <w:numFmt w:val="bullet"/>
      <w:lvlText w:val="o"/>
      <w:lvlJc w:val="left"/>
      <w:pPr>
        <w:ind w:left="1800" w:hanging="360"/>
      </w:pPr>
      <w:rPr>
        <w:rFonts w:ascii="Courier New" w:hAnsi="Courier New" w:hint="default"/>
      </w:rPr>
    </w:lvl>
    <w:lvl w:ilvl="2" w:tplc="8514F282">
      <w:start w:val="1"/>
      <w:numFmt w:val="bullet"/>
      <w:lvlText w:val=""/>
      <w:lvlJc w:val="left"/>
      <w:pPr>
        <w:ind w:left="2520" w:hanging="360"/>
      </w:pPr>
      <w:rPr>
        <w:rFonts w:ascii="Wingdings" w:hAnsi="Wingdings" w:hint="default"/>
      </w:rPr>
    </w:lvl>
    <w:lvl w:ilvl="3" w:tplc="EFFE9E2C">
      <w:start w:val="1"/>
      <w:numFmt w:val="bullet"/>
      <w:lvlText w:val=""/>
      <w:lvlJc w:val="left"/>
      <w:pPr>
        <w:ind w:left="3240" w:hanging="360"/>
      </w:pPr>
      <w:rPr>
        <w:rFonts w:ascii="Symbol" w:hAnsi="Symbol" w:hint="default"/>
      </w:rPr>
    </w:lvl>
    <w:lvl w:ilvl="4" w:tplc="784EAD3C">
      <w:start w:val="1"/>
      <w:numFmt w:val="bullet"/>
      <w:lvlText w:val="o"/>
      <w:lvlJc w:val="left"/>
      <w:pPr>
        <w:ind w:left="3960" w:hanging="360"/>
      </w:pPr>
      <w:rPr>
        <w:rFonts w:ascii="Courier New" w:hAnsi="Courier New" w:hint="default"/>
      </w:rPr>
    </w:lvl>
    <w:lvl w:ilvl="5" w:tplc="8CEE1476">
      <w:start w:val="1"/>
      <w:numFmt w:val="bullet"/>
      <w:lvlText w:val=""/>
      <w:lvlJc w:val="left"/>
      <w:pPr>
        <w:ind w:left="4680" w:hanging="360"/>
      </w:pPr>
      <w:rPr>
        <w:rFonts w:ascii="Wingdings" w:hAnsi="Wingdings" w:hint="default"/>
      </w:rPr>
    </w:lvl>
    <w:lvl w:ilvl="6" w:tplc="3E02495C">
      <w:start w:val="1"/>
      <w:numFmt w:val="bullet"/>
      <w:lvlText w:val=""/>
      <w:lvlJc w:val="left"/>
      <w:pPr>
        <w:ind w:left="5400" w:hanging="360"/>
      </w:pPr>
      <w:rPr>
        <w:rFonts w:ascii="Symbol" w:hAnsi="Symbol" w:hint="default"/>
      </w:rPr>
    </w:lvl>
    <w:lvl w:ilvl="7" w:tplc="D5829456">
      <w:start w:val="1"/>
      <w:numFmt w:val="bullet"/>
      <w:lvlText w:val="o"/>
      <w:lvlJc w:val="left"/>
      <w:pPr>
        <w:ind w:left="6120" w:hanging="360"/>
      </w:pPr>
      <w:rPr>
        <w:rFonts w:ascii="Courier New" w:hAnsi="Courier New" w:hint="default"/>
      </w:rPr>
    </w:lvl>
    <w:lvl w:ilvl="8" w:tplc="187A52C6">
      <w:start w:val="1"/>
      <w:numFmt w:val="bullet"/>
      <w:lvlText w:val=""/>
      <w:lvlJc w:val="left"/>
      <w:pPr>
        <w:ind w:left="6840" w:hanging="360"/>
      </w:pPr>
      <w:rPr>
        <w:rFonts w:ascii="Wingdings" w:hAnsi="Wingdings" w:hint="default"/>
      </w:rPr>
    </w:lvl>
  </w:abstractNum>
  <w:abstractNum w:abstractNumId="4" w15:restartNumberingAfterBreak="0">
    <w:nsid w:val="060B41B5"/>
    <w:multiLevelType w:val="hybridMultilevel"/>
    <w:tmpl w:val="1108C7DC"/>
    <w:lvl w:ilvl="0" w:tplc="C374E156">
      <w:start w:val="1"/>
      <w:numFmt w:val="bullet"/>
      <w:lvlText w:val="-"/>
      <w:lvlJc w:val="left"/>
      <w:pPr>
        <w:ind w:left="720" w:hanging="360"/>
      </w:pPr>
      <w:rPr>
        <w:rFonts w:ascii="Aptos" w:hAnsi="Aptos" w:hint="default"/>
      </w:rPr>
    </w:lvl>
    <w:lvl w:ilvl="1" w:tplc="5BBCC210">
      <w:start w:val="1"/>
      <w:numFmt w:val="bullet"/>
      <w:lvlText w:val="o"/>
      <w:lvlJc w:val="left"/>
      <w:pPr>
        <w:ind w:left="1440" w:hanging="360"/>
      </w:pPr>
      <w:rPr>
        <w:rFonts w:ascii="Courier New" w:hAnsi="Courier New" w:hint="default"/>
      </w:rPr>
    </w:lvl>
    <w:lvl w:ilvl="2" w:tplc="6E7AD1EC">
      <w:start w:val="1"/>
      <w:numFmt w:val="bullet"/>
      <w:lvlText w:val=""/>
      <w:lvlJc w:val="left"/>
      <w:pPr>
        <w:ind w:left="2160" w:hanging="360"/>
      </w:pPr>
      <w:rPr>
        <w:rFonts w:ascii="Wingdings" w:hAnsi="Wingdings" w:hint="default"/>
      </w:rPr>
    </w:lvl>
    <w:lvl w:ilvl="3" w:tplc="0736E28A">
      <w:start w:val="1"/>
      <w:numFmt w:val="bullet"/>
      <w:lvlText w:val=""/>
      <w:lvlJc w:val="left"/>
      <w:pPr>
        <w:ind w:left="2880" w:hanging="360"/>
      </w:pPr>
      <w:rPr>
        <w:rFonts w:ascii="Symbol" w:hAnsi="Symbol" w:hint="default"/>
      </w:rPr>
    </w:lvl>
    <w:lvl w:ilvl="4" w:tplc="5642A920">
      <w:start w:val="1"/>
      <w:numFmt w:val="bullet"/>
      <w:lvlText w:val="o"/>
      <w:lvlJc w:val="left"/>
      <w:pPr>
        <w:ind w:left="3600" w:hanging="360"/>
      </w:pPr>
      <w:rPr>
        <w:rFonts w:ascii="Courier New" w:hAnsi="Courier New" w:hint="default"/>
      </w:rPr>
    </w:lvl>
    <w:lvl w:ilvl="5" w:tplc="E3749BC0">
      <w:start w:val="1"/>
      <w:numFmt w:val="bullet"/>
      <w:lvlText w:val=""/>
      <w:lvlJc w:val="left"/>
      <w:pPr>
        <w:ind w:left="4320" w:hanging="360"/>
      </w:pPr>
      <w:rPr>
        <w:rFonts w:ascii="Wingdings" w:hAnsi="Wingdings" w:hint="default"/>
      </w:rPr>
    </w:lvl>
    <w:lvl w:ilvl="6" w:tplc="9C4EDF88">
      <w:start w:val="1"/>
      <w:numFmt w:val="bullet"/>
      <w:lvlText w:val=""/>
      <w:lvlJc w:val="left"/>
      <w:pPr>
        <w:ind w:left="5040" w:hanging="360"/>
      </w:pPr>
      <w:rPr>
        <w:rFonts w:ascii="Symbol" w:hAnsi="Symbol" w:hint="default"/>
      </w:rPr>
    </w:lvl>
    <w:lvl w:ilvl="7" w:tplc="06041FE4">
      <w:start w:val="1"/>
      <w:numFmt w:val="bullet"/>
      <w:lvlText w:val="o"/>
      <w:lvlJc w:val="left"/>
      <w:pPr>
        <w:ind w:left="5760" w:hanging="360"/>
      </w:pPr>
      <w:rPr>
        <w:rFonts w:ascii="Courier New" w:hAnsi="Courier New" w:hint="default"/>
      </w:rPr>
    </w:lvl>
    <w:lvl w:ilvl="8" w:tplc="EA7062C6">
      <w:start w:val="1"/>
      <w:numFmt w:val="bullet"/>
      <w:lvlText w:val=""/>
      <w:lvlJc w:val="left"/>
      <w:pPr>
        <w:ind w:left="6480" w:hanging="360"/>
      </w:pPr>
      <w:rPr>
        <w:rFonts w:ascii="Wingdings" w:hAnsi="Wingdings" w:hint="default"/>
      </w:rPr>
    </w:lvl>
  </w:abstractNum>
  <w:abstractNum w:abstractNumId="5" w15:restartNumberingAfterBreak="0">
    <w:nsid w:val="087D0499"/>
    <w:multiLevelType w:val="hybridMultilevel"/>
    <w:tmpl w:val="9322E384"/>
    <w:lvl w:ilvl="0" w:tplc="D8DE4AE6">
      <w:start w:val="1"/>
      <w:numFmt w:val="decimal"/>
      <w:lvlText w:val="%1."/>
      <w:lvlJc w:val="left"/>
      <w:pPr>
        <w:ind w:left="720" w:hanging="360"/>
      </w:pPr>
    </w:lvl>
    <w:lvl w:ilvl="1" w:tplc="EAD8EF4C">
      <w:start w:val="1"/>
      <w:numFmt w:val="lowerLetter"/>
      <w:lvlText w:val="%2."/>
      <w:lvlJc w:val="left"/>
      <w:pPr>
        <w:ind w:left="1440" w:hanging="360"/>
      </w:pPr>
    </w:lvl>
    <w:lvl w:ilvl="2" w:tplc="D0667808">
      <w:start w:val="1"/>
      <w:numFmt w:val="lowerRoman"/>
      <w:lvlText w:val="%3."/>
      <w:lvlJc w:val="right"/>
      <w:pPr>
        <w:ind w:left="2160" w:hanging="180"/>
      </w:pPr>
    </w:lvl>
    <w:lvl w:ilvl="3" w:tplc="2B7C888A">
      <w:start w:val="1"/>
      <w:numFmt w:val="decimal"/>
      <w:lvlText w:val="%4."/>
      <w:lvlJc w:val="left"/>
      <w:pPr>
        <w:ind w:left="2880" w:hanging="360"/>
      </w:pPr>
    </w:lvl>
    <w:lvl w:ilvl="4" w:tplc="8AF44EC8">
      <w:start w:val="1"/>
      <w:numFmt w:val="lowerLetter"/>
      <w:lvlText w:val="%5."/>
      <w:lvlJc w:val="left"/>
      <w:pPr>
        <w:ind w:left="3600" w:hanging="360"/>
      </w:pPr>
    </w:lvl>
    <w:lvl w:ilvl="5" w:tplc="C9F40B86">
      <w:start w:val="1"/>
      <w:numFmt w:val="lowerRoman"/>
      <w:lvlText w:val="%6."/>
      <w:lvlJc w:val="right"/>
      <w:pPr>
        <w:ind w:left="4320" w:hanging="180"/>
      </w:pPr>
    </w:lvl>
    <w:lvl w:ilvl="6" w:tplc="7C9AB1A0">
      <w:start w:val="1"/>
      <w:numFmt w:val="decimal"/>
      <w:lvlText w:val="%7."/>
      <w:lvlJc w:val="left"/>
      <w:pPr>
        <w:ind w:left="5040" w:hanging="360"/>
      </w:pPr>
    </w:lvl>
    <w:lvl w:ilvl="7" w:tplc="E31C61FA">
      <w:start w:val="1"/>
      <w:numFmt w:val="lowerLetter"/>
      <w:lvlText w:val="%8."/>
      <w:lvlJc w:val="left"/>
      <w:pPr>
        <w:ind w:left="5760" w:hanging="360"/>
      </w:pPr>
    </w:lvl>
    <w:lvl w:ilvl="8" w:tplc="3DBE2AAA">
      <w:start w:val="1"/>
      <w:numFmt w:val="lowerRoman"/>
      <w:lvlText w:val="%9."/>
      <w:lvlJc w:val="right"/>
      <w:pPr>
        <w:ind w:left="6480" w:hanging="180"/>
      </w:pPr>
    </w:lvl>
  </w:abstractNum>
  <w:abstractNum w:abstractNumId="6" w15:restartNumberingAfterBreak="0">
    <w:nsid w:val="0CF25A78"/>
    <w:multiLevelType w:val="multilevel"/>
    <w:tmpl w:val="1296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1F4F0"/>
    <w:multiLevelType w:val="hybridMultilevel"/>
    <w:tmpl w:val="C17C5802"/>
    <w:lvl w:ilvl="0" w:tplc="B3403784">
      <w:start w:val="1"/>
      <w:numFmt w:val="decimal"/>
      <w:lvlText w:val="1)"/>
      <w:lvlJc w:val="left"/>
      <w:pPr>
        <w:ind w:left="720" w:hanging="360"/>
      </w:pPr>
    </w:lvl>
    <w:lvl w:ilvl="1" w:tplc="28886B2A">
      <w:start w:val="1"/>
      <w:numFmt w:val="lowerLetter"/>
      <w:lvlText w:val="%2."/>
      <w:lvlJc w:val="left"/>
      <w:pPr>
        <w:ind w:left="1440" w:hanging="360"/>
      </w:pPr>
    </w:lvl>
    <w:lvl w:ilvl="2" w:tplc="B986E4EA">
      <w:start w:val="1"/>
      <w:numFmt w:val="lowerRoman"/>
      <w:lvlText w:val="%3."/>
      <w:lvlJc w:val="right"/>
      <w:pPr>
        <w:ind w:left="2160" w:hanging="180"/>
      </w:pPr>
    </w:lvl>
    <w:lvl w:ilvl="3" w:tplc="88ACBBF2">
      <w:start w:val="1"/>
      <w:numFmt w:val="decimal"/>
      <w:lvlText w:val="%4."/>
      <w:lvlJc w:val="left"/>
      <w:pPr>
        <w:ind w:left="2880" w:hanging="360"/>
      </w:pPr>
    </w:lvl>
    <w:lvl w:ilvl="4" w:tplc="AF32B6D6">
      <w:start w:val="1"/>
      <w:numFmt w:val="lowerLetter"/>
      <w:lvlText w:val="%5."/>
      <w:lvlJc w:val="left"/>
      <w:pPr>
        <w:ind w:left="3600" w:hanging="360"/>
      </w:pPr>
    </w:lvl>
    <w:lvl w:ilvl="5" w:tplc="E182C5EA">
      <w:start w:val="1"/>
      <w:numFmt w:val="lowerRoman"/>
      <w:lvlText w:val="%6."/>
      <w:lvlJc w:val="right"/>
      <w:pPr>
        <w:ind w:left="4320" w:hanging="180"/>
      </w:pPr>
    </w:lvl>
    <w:lvl w:ilvl="6" w:tplc="5D6A0680">
      <w:start w:val="1"/>
      <w:numFmt w:val="decimal"/>
      <w:lvlText w:val="%7."/>
      <w:lvlJc w:val="left"/>
      <w:pPr>
        <w:ind w:left="5040" w:hanging="360"/>
      </w:pPr>
    </w:lvl>
    <w:lvl w:ilvl="7" w:tplc="C2888552">
      <w:start w:val="1"/>
      <w:numFmt w:val="lowerLetter"/>
      <w:lvlText w:val="%8."/>
      <w:lvlJc w:val="left"/>
      <w:pPr>
        <w:ind w:left="5760" w:hanging="360"/>
      </w:pPr>
    </w:lvl>
    <w:lvl w:ilvl="8" w:tplc="32CE4FDA">
      <w:start w:val="1"/>
      <w:numFmt w:val="lowerRoman"/>
      <w:lvlText w:val="%9."/>
      <w:lvlJc w:val="right"/>
      <w:pPr>
        <w:ind w:left="6480" w:hanging="180"/>
      </w:pPr>
    </w:lvl>
  </w:abstractNum>
  <w:abstractNum w:abstractNumId="8" w15:restartNumberingAfterBreak="0">
    <w:nsid w:val="11226B2F"/>
    <w:multiLevelType w:val="multilevel"/>
    <w:tmpl w:val="566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87217E"/>
    <w:multiLevelType w:val="hybridMultilevel"/>
    <w:tmpl w:val="1B06205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0" w15:restartNumberingAfterBreak="0">
    <w:nsid w:val="14AF42B4"/>
    <w:multiLevelType w:val="multilevel"/>
    <w:tmpl w:val="4B2E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98097C"/>
    <w:multiLevelType w:val="multilevel"/>
    <w:tmpl w:val="3956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DC55D3"/>
    <w:multiLevelType w:val="hybridMultilevel"/>
    <w:tmpl w:val="A1FA6B8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3" w15:restartNumberingAfterBreak="0">
    <w:nsid w:val="26CB66E1"/>
    <w:multiLevelType w:val="multilevel"/>
    <w:tmpl w:val="33EA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7C5E51"/>
    <w:multiLevelType w:val="multilevel"/>
    <w:tmpl w:val="2778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92EC8A"/>
    <w:multiLevelType w:val="hybridMultilevel"/>
    <w:tmpl w:val="381CD812"/>
    <w:lvl w:ilvl="0" w:tplc="A594890E">
      <w:start w:val="1"/>
      <w:numFmt w:val="bullet"/>
      <w:lvlText w:val="-"/>
      <w:lvlJc w:val="left"/>
      <w:pPr>
        <w:ind w:left="720" w:hanging="360"/>
      </w:pPr>
      <w:rPr>
        <w:rFonts w:ascii="Aptos" w:hAnsi="Aptos" w:hint="default"/>
      </w:rPr>
    </w:lvl>
    <w:lvl w:ilvl="1" w:tplc="57D4DE6A">
      <w:start w:val="1"/>
      <w:numFmt w:val="bullet"/>
      <w:lvlText w:val="o"/>
      <w:lvlJc w:val="left"/>
      <w:pPr>
        <w:ind w:left="1440" w:hanging="360"/>
      </w:pPr>
      <w:rPr>
        <w:rFonts w:ascii="Courier New" w:hAnsi="Courier New" w:hint="default"/>
      </w:rPr>
    </w:lvl>
    <w:lvl w:ilvl="2" w:tplc="2D628C34">
      <w:start w:val="1"/>
      <w:numFmt w:val="bullet"/>
      <w:lvlText w:val=""/>
      <w:lvlJc w:val="left"/>
      <w:pPr>
        <w:ind w:left="2160" w:hanging="360"/>
      </w:pPr>
      <w:rPr>
        <w:rFonts w:ascii="Wingdings" w:hAnsi="Wingdings" w:hint="default"/>
      </w:rPr>
    </w:lvl>
    <w:lvl w:ilvl="3" w:tplc="1EBA0FAA">
      <w:start w:val="1"/>
      <w:numFmt w:val="bullet"/>
      <w:lvlText w:val=""/>
      <w:lvlJc w:val="left"/>
      <w:pPr>
        <w:ind w:left="2880" w:hanging="360"/>
      </w:pPr>
      <w:rPr>
        <w:rFonts w:ascii="Symbol" w:hAnsi="Symbol" w:hint="default"/>
      </w:rPr>
    </w:lvl>
    <w:lvl w:ilvl="4" w:tplc="371236F6">
      <w:start w:val="1"/>
      <w:numFmt w:val="bullet"/>
      <w:lvlText w:val="o"/>
      <w:lvlJc w:val="left"/>
      <w:pPr>
        <w:ind w:left="3600" w:hanging="360"/>
      </w:pPr>
      <w:rPr>
        <w:rFonts w:ascii="Courier New" w:hAnsi="Courier New" w:hint="default"/>
      </w:rPr>
    </w:lvl>
    <w:lvl w:ilvl="5" w:tplc="FB6297E2">
      <w:start w:val="1"/>
      <w:numFmt w:val="bullet"/>
      <w:lvlText w:val=""/>
      <w:lvlJc w:val="left"/>
      <w:pPr>
        <w:ind w:left="4320" w:hanging="360"/>
      </w:pPr>
      <w:rPr>
        <w:rFonts w:ascii="Wingdings" w:hAnsi="Wingdings" w:hint="default"/>
      </w:rPr>
    </w:lvl>
    <w:lvl w:ilvl="6" w:tplc="470E4FDA">
      <w:start w:val="1"/>
      <w:numFmt w:val="bullet"/>
      <w:lvlText w:val=""/>
      <w:lvlJc w:val="left"/>
      <w:pPr>
        <w:ind w:left="5040" w:hanging="360"/>
      </w:pPr>
      <w:rPr>
        <w:rFonts w:ascii="Symbol" w:hAnsi="Symbol" w:hint="default"/>
      </w:rPr>
    </w:lvl>
    <w:lvl w:ilvl="7" w:tplc="AE3E2CF2">
      <w:start w:val="1"/>
      <w:numFmt w:val="bullet"/>
      <w:lvlText w:val="o"/>
      <w:lvlJc w:val="left"/>
      <w:pPr>
        <w:ind w:left="5760" w:hanging="360"/>
      </w:pPr>
      <w:rPr>
        <w:rFonts w:ascii="Courier New" w:hAnsi="Courier New" w:hint="default"/>
      </w:rPr>
    </w:lvl>
    <w:lvl w:ilvl="8" w:tplc="964A0956">
      <w:start w:val="1"/>
      <w:numFmt w:val="bullet"/>
      <w:lvlText w:val=""/>
      <w:lvlJc w:val="left"/>
      <w:pPr>
        <w:ind w:left="6480" w:hanging="360"/>
      </w:pPr>
      <w:rPr>
        <w:rFonts w:ascii="Wingdings" w:hAnsi="Wingdings" w:hint="default"/>
      </w:rPr>
    </w:lvl>
  </w:abstractNum>
  <w:abstractNum w:abstractNumId="16" w15:restartNumberingAfterBreak="0">
    <w:nsid w:val="2DA13F35"/>
    <w:multiLevelType w:val="multilevel"/>
    <w:tmpl w:val="184C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3F6B11"/>
    <w:multiLevelType w:val="hybridMultilevel"/>
    <w:tmpl w:val="4EB01B7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8" w15:restartNumberingAfterBreak="0">
    <w:nsid w:val="2F0442DF"/>
    <w:multiLevelType w:val="hybridMultilevel"/>
    <w:tmpl w:val="5C78E074"/>
    <w:lvl w:ilvl="0" w:tplc="42B22456">
      <w:start w:val="1"/>
      <w:numFmt w:val="decimal"/>
      <w:lvlText w:val="1)"/>
      <w:lvlJc w:val="left"/>
      <w:pPr>
        <w:ind w:left="720" w:hanging="360"/>
      </w:pPr>
    </w:lvl>
    <w:lvl w:ilvl="1" w:tplc="7B6A288A">
      <w:start w:val="1"/>
      <w:numFmt w:val="lowerLetter"/>
      <w:lvlText w:val="%2."/>
      <w:lvlJc w:val="left"/>
      <w:pPr>
        <w:ind w:left="1440" w:hanging="360"/>
      </w:pPr>
    </w:lvl>
    <w:lvl w:ilvl="2" w:tplc="8DB03D3A">
      <w:start w:val="1"/>
      <w:numFmt w:val="lowerRoman"/>
      <w:lvlText w:val="%3."/>
      <w:lvlJc w:val="right"/>
      <w:pPr>
        <w:ind w:left="2160" w:hanging="180"/>
      </w:pPr>
    </w:lvl>
    <w:lvl w:ilvl="3" w:tplc="60809A5A">
      <w:start w:val="1"/>
      <w:numFmt w:val="decimal"/>
      <w:lvlText w:val="%4."/>
      <w:lvlJc w:val="left"/>
      <w:pPr>
        <w:ind w:left="2880" w:hanging="360"/>
      </w:pPr>
    </w:lvl>
    <w:lvl w:ilvl="4" w:tplc="0E4826C6">
      <w:start w:val="1"/>
      <w:numFmt w:val="lowerLetter"/>
      <w:lvlText w:val="%5."/>
      <w:lvlJc w:val="left"/>
      <w:pPr>
        <w:ind w:left="3600" w:hanging="360"/>
      </w:pPr>
    </w:lvl>
    <w:lvl w:ilvl="5" w:tplc="FB046BA2">
      <w:start w:val="1"/>
      <w:numFmt w:val="lowerRoman"/>
      <w:lvlText w:val="%6."/>
      <w:lvlJc w:val="right"/>
      <w:pPr>
        <w:ind w:left="4320" w:hanging="180"/>
      </w:pPr>
    </w:lvl>
    <w:lvl w:ilvl="6" w:tplc="A3600298">
      <w:start w:val="1"/>
      <w:numFmt w:val="decimal"/>
      <w:lvlText w:val="%7."/>
      <w:lvlJc w:val="left"/>
      <w:pPr>
        <w:ind w:left="5040" w:hanging="360"/>
      </w:pPr>
    </w:lvl>
    <w:lvl w:ilvl="7" w:tplc="FE466650">
      <w:start w:val="1"/>
      <w:numFmt w:val="lowerLetter"/>
      <w:lvlText w:val="%8."/>
      <w:lvlJc w:val="left"/>
      <w:pPr>
        <w:ind w:left="5760" w:hanging="360"/>
      </w:pPr>
    </w:lvl>
    <w:lvl w:ilvl="8" w:tplc="88385CA4">
      <w:start w:val="1"/>
      <w:numFmt w:val="lowerRoman"/>
      <w:lvlText w:val="%9."/>
      <w:lvlJc w:val="right"/>
      <w:pPr>
        <w:ind w:left="6480" w:hanging="180"/>
      </w:pPr>
    </w:lvl>
  </w:abstractNum>
  <w:abstractNum w:abstractNumId="19" w15:restartNumberingAfterBreak="0">
    <w:nsid w:val="31AB2FEA"/>
    <w:multiLevelType w:val="multilevel"/>
    <w:tmpl w:val="A9C8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615507"/>
    <w:multiLevelType w:val="multilevel"/>
    <w:tmpl w:val="89D4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844432"/>
    <w:multiLevelType w:val="hybridMultilevel"/>
    <w:tmpl w:val="A00A42D4"/>
    <w:lvl w:ilvl="0" w:tplc="39E8EA34">
      <w:start w:val="1"/>
      <w:numFmt w:val="bullet"/>
      <w:lvlText w:val="-"/>
      <w:lvlJc w:val="left"/>
      <w:pPr>
        <w:ind w:left="720" w:hanging="360"/>
      </w:pPr>
      <w:rPr>
        <w:rFonts w:ascii="Aptos" w:hAnsi="Aptos" w:hint="default"/>
      </w:rPr>
    </w:lvl>
    <w:lvl w:ilvl="1" w:tplc="51B0556A">
      <w:start w:val="1"/>
      <w:numFmt w:val="bullet"/>
      <w:lvlText w:val="o"/>
      <w:lvlJc w:val="left"/>
      <w:pPr>
        <w:ind w:left="1440" w:hanging="360"/>
      </w:pPr>
      <w:rPr>
        <w:rFonts w:ascii="Courier New" w:hAnsi="Courier New" w:hint="default"/>
      </w:rPr>
    </w:lvl>
    <w:lvl w:ilvl="2" w:tplc="2E1414A2">
      <w:start w:val="1"/>
      <w:numFmt w:val="bullet"/>
      <w:lvlText w:val=""/>
      <w:lvlJc w:val="left"/>
      <w:pPr>
        <w:ind w:left="2160" w:hanging="360"/>
      </w:pPr>
      <w:rPr>
        <w:rFonts w:ascii="Wingdings" w:hAnsi="Wingdings" w:hint="default"/>
      </w:rPr>
    </w:lvl>
    <w:lvl w:ilvl="3" w:tplc="E938C5AC">
      <w:start w:val="1"/>
      <w:numFmt w:val="bullet"/>
      <w:lvlText w:val=""/>
      <w:lvlJc w:val="left"/>
      <w:pPr>
        <w:ind w:left="2880" w:hanging="360"/>
      </w:pPr>
      <w:rPr>
        <w:rFonts w:ascii="Symbol" w:hAnsi="Symbol" w:hint="default"/>
      </w:rPr>
    </w:lvl>
    <w:lvl w:ilvl="4" w:tplc="E8C0C916">
      <w:start w:val="1"/>
      <w:numFmt w:val="bullet"/>
      <w:lvlText w:val="o"/>
      <w:lvlJc w:val="left"/>
      <w:pPr>
        <w:ind w:left="3600" w:hanging="360"/>
      </w:pPr>
      <w:rPr>
        <w:rFonts w:ascii="Courier New" w:hAnsi="Courier New" w:hint="default"/>
      </w:rPr>
    </w:lvl>
    <w:lvl w:ilvl="5" w:tplc="D1FC5450">
      <w:start w:val="1"/>
      <w:numFmt w:val="bullet"/>
      <w:lvlText w:val=""/>
      <w:lvlJc w:val="left"/>
      <w:pPr>
        <w:ind w:left="4320" w:hanging="360"/>
      </w:pPr>
      <w:rPr>
        <w:rFonts w:ascii="Wingdings" w:hAnsi="Wingdings" w:hint="default"/>
      </w:rPr>
    </w:lvl>
    <w:lvl w:ilvl="6" w:tplc="176CFBE0">
      <w:start w:val="1"/>
      <w:numFmt w:val="bullet"/>
      <w:lvlText w:val=""/>
      <w:lvlJc w:val="left"/>
      <w:pPr>
        <w:ind w:left="5040" w:hanging="360"/>
      </w:pPr>
      <w:rPr>
        <w:rFonts w:ascii="Symbol" w:hAnsi="Symbol" w:hint="default"/>
      </w:rPr>
    </w:lvl>
    <w:lvl w:ilvl="7" w:tplc="6C3E0B84">
      <w:start w:val="1"/>
      <w:numFmt w:val="bullet"/>
      <w:lvlText w:val="o"/>
      <w:lvlJc w:val="left"/>
      <w:pPr>
        <w:ind w:left="5760" w:hanging="360"/>
      </w:pPr>
      <w:rPr>
        <w:rFonts w:ascii="Courier New" w:hAnsi="Courier New" w:hint="default"/>
      </w:rPr>
    </w:lvl>
    <w:lvl w:ilvl="8" w:tplc="0B400180">
      <w:start w:val="1"/>
      <w:numFmt w:val="bullet"/>
      <w:lvlText w:val=""/>
      <w:lvlJc w:val="left"/>
      <w:pPr>
        <w:ind w:left="6480" w:hanging="360"/>
      </w:pPr>
      <w:rPr>
        <w:rFonts w:ascii="Wingdings" w:hAnsi="Wingdings" w:hint="default"/>
      </w:rPr>
    </w:lvl>
  </w:abstractNum>
  <w:abstractNum w:abstractNumId="22" w15:restartNumberingAfterBreak="0">
    <w:nsid w:val="3C37C911"/>
    <w:multiLevelType w:val="hybridMultilevel"/>
    <w:tmpl w:val="75744876"/>
    <w:lvl w:ilvl="0" w:tplc="2D489A18">
      <w:start w:val="1"/>
      <w:numFmt w:val="bullet"/>
      <w:lvlText w:val="-"/>
      <w:lvlJc w:val="left"/>
      <w:pPr>
        <w:ind w:left="720" w:hanging="360"/>
      </w:pPr>
      <w:rPr>
        <w:rFonts w:ascii="Aptos" w:hAnsi="Aptos" w:hint="default"/>
      </w:rPr>
    </w:lvl>
    <w:lvl w:ilvl="1" w:tplc="2F1CB2A2">
      <w:start w:val="1"/>
      <w:numFmt w:val="bullet"/>
      <w:lvlText w:val="o"/>
      <w:lvlJc w:val="left"/>
      <w:pPr>
        <w:ind w:left="1440" w:hanging="360"/>
      </w:pPr>
      <w:rPr>
        <w:rFonts w:ascii="Courier New" w:hAnsi="Courier New" w:hint="default"/>
      </w:rPr>
    </w:lvl>
    <w:lvl w:ilvl="2" w:tplc="8632D0EC">
      <w:start w:val="1"/>
      <w:numFmt w:val="bullet"/>
      <w:lvlText w:val=""/>
      <w:lvlJc w:val="left"/>
      <w:pPr>
        <w:ind w:left="2160" w:hanging="360"/>
      </w:pPr>
      <w:rPr>
        <w:rFonts w:ascii="Wingdings" w:hAnsi="Wingdings" w:hint="default"/>
      </w:rPr>
    </w:lvl>
    <w:lvl w:ilvl="3" w:tplc="71AC5578">
      <w:start w:val="1"/>
      <w:numFmt w:val="bullet"/>
      <w:lvlText w:val=""/>
      <w:lvlJc w:val="left"/>
      <w:pPr>
        <w:ind w:left="2880" w:hanging="360"/>
      </w:pPr>
      <w:rPr>
        <w:rFonts w:ascii="Symbol" w:hAnsi="Symbol" w:hint="default"/>
      </w:rPr>
    </w:lvl>
    <w:lvl w:ilvl="4" w:tplc="645A57FE">
      <w:start w:val="1"/>
      <w:numFmt w:val="bullet"/>
      <w:lvlText w:val="o"/>
      <w:lvlJc w:val="left"/>
      <w:pPr>
        <w:ind w:left="3600" w:hanging="360"/>
      </w:pPr>
      <w:rPr>
        <w:rFonts w:ascii="Courier New" w:hAnsi="Courier New" w:hint="default"/>
      </w:rPr>
    </w:lvl>
    <w:lvl w:ilvl="5" w:tplc="15CA590A">
      <w:start w:val="1"/>
      <w:numFmt w:val="bullet"/>
      <w:lvlText w:val=""/>
      <w:lvlJc w:val="left"/>
      <w:pPr>
        <w:ind w:left="4320" w:hanging="360"/>
      </w:pPr>
      <w:rPr>
        <w:rFonts w:ascii="Wingdings" w:hAnsi="Wingdings" w:hint="default"/>
      </w:rPr>
    </w:lvl>
    <w:lvl w:ilvl="6" w:tplc="6E5053FA">
      <w:start w:val="1"/>
      <w:numFmt w:val="bullet"/>
      <w:lvlText w:val=""/>
      <w:lvlJc w:val="left"/>
      <w:pPr>
        <w:ind w:left="5040" w:hanging="360"/>
      </w:pPr>
      <w:rPr>
        <w:rFonts w:ascii="Symbol" w:hAnsi="Symbol" w:hint="default"/>
      </w:rPr>
    </w:lvl>
    <w:lvl w:ilvl="7" w:tplc="02FCC4E4">
      <w:start w:val="1"/>
      <w:numFmt w:val="bullet"/>
      <w:lvlText w:val="o"/>
      <w:lvlJc w:val="left"/>
      <w:pPr>
        <w:ind w:left="5760" w:hanging="360"/>
      </w:pPr>
      <w:rPr>
        <w:rFonts w:ascii="Courier New" w:hAnsi="Courier New" w:hint="default"/>
      </w:rPr>
    </w:lvl>
    <w:lvl w:ilvl="8" w:tplc="E7B6CF14">
      <w:start w:val="1"/>
      <w:numFmt w:val="bullet"/>
      <w:lvlText w:val=""/>
      <w:lvlJc w:val="left"/>
      <w:pPr>
        <w:ind w:left="6480" w:hanging="360"/>
      </w:pPr>
      <w:rPr>
        <w:rFonts w:ascii="Wingdings" w:hAnsi="Wingdings" w:hint="default"/>
      </w:rPr>
    </w:lvl>
  </w:abstractNum>
  <w:abstractNum w:abstractNumId="23" w15:restartNumberingAfterBreak="0">
    <w:nsid w:val="40440788"/>
    <w:multiLevelType w:val="hybridMultilevel"/>
    <w:tmpl w:val="795E8456"/>
    <w:lvl w:ilvl="0" w:tplc="689CC37E">
      <w:start w:val="1"/>
      <w:numFmt w:val="bullet"/>
      <w:lvlText w:val="-"/>
      <w:lvlJc w:val="left"/>
      <w:pPr>
        <w:ind w:left="720" w:hanging="360"/>
      </w:pPr>
      <w:rPr>
        <w:rFonts w:ascii="Aptos" w:hAnsi="Aptos" w:hint="default"/>
      </w:rPr>
    </w:lvl>
    <w:lvl w:ilvl="1" w:tplc="504A847A">
      <w:start w:val="1"/>
      <w:numFmt w:val="bullet"/>
      <w:lvlText w:val="o"/>
      <w:lvlJc w:val="left"/>
      <w:pPr>
        <w:ind w:left="1440" w:hanging="360"/>
      </w:pPr>
      <w:rPr>
        <w:rFonts w:ascii="Courier New" w:hAnsi="Courier New" w:hint="default"/>
      </w:rPr>
    </w:lvl>
    <w:lvl w:ilvl="2" w:tplc="C21C4526">
      <w:start w:val="1"/>
      <w:numFmt w:val="bullet"/>
      <w:lvlText w:val=""/>
      <w:lvlJc w:val="left"/>
      <w:pPr>
        <w:ind w:left="2160" w:hanging="360"/>
      </w:pPr>
      <w:rPr>
        <w:rFonts w:ascii="Wingdings" w:hAnsi="Wingdings" w:hint="default"/>
      </w:rPr>
    </w:lvl>
    <w:lvl w:ilvl="3" w:tplc="316660E4">
      <w:start w:val="1"/>
      <w:numFmt w:val="bullet"/>
      <w:lvlText w:val=""/>
      <w:lvlJc w:val="left"/>
      <w:pPr>
        <w:ind w:left="2880" w:hanging="360"/>
      </w:pPr>
      <w:rPr>
        <w:rFonts w:ascii="Symbol" w:hAnsi="Symbol" w:hint="default"/>
      </w:rPr>
    </w:lvl>
    <w:lvl w:ilvl="4" w:tplc="787CD21C">
      <w:start w:val="1"/>
      <w:numFmt w:val="bullet"/>
      <w:lvlText w:val="o"/>
      <w:lvlJc w:val="left"/>
      <w:pPr>
        <w:ind w:left="3600" w:hanging="360"/>
      </w:pPr>
      <w:rPr>
        <w:rFonts w:ascii="Courier New" w:hAnsi="Courier New" w:hint="default"/>
      </w:rPr>
    </w:lvl>
    <w:lvl w:ilvl="5" w:tplc="2A426D82">
      <w:start w:val="1"/>
      <w:numFmt w:val="bullet"/>
      <w:lvlText w:val=""/>
      <w:lvlJc w:val="left"/>
      <w:pPr>
        <w:ind w:left="4320" w:hanging="360"/>
      </w:pPr>
      <w:rPr>
        <w:rFonts w:ascii="Wingdings" w:hAnsi="Wingdings" w:hint="default"/>
      </w:rPr>
    </w:lvl>
    <w:lvl w:ilvl="6" w:tplc="A15E2F9C">
      <w:start w:val="1"/>
      <w:numFmt w:val="bullet"/>
      <w:lvlText w:val=""/>
      <w:lvlJc w:val="left"/>
      <w:pPr>
        <w:ind w:left="5040" w:hanging="360"/>
      </w:pPr>
      <w:rPr>
        <w:rFonts w:ascii="Symbol" w:hAnsi="Symbol" w:hint="default"/>
      </w:rPr>
    </w:lvl>
    <w:lvl w:ilvl="7" w:tplc="CFDA589E">
      <w:start w:val="1"/>
      <w:numFmt w:val="bullet"/>
      <w:lvlText w:val="o"/>
      <w:lvlJc w:val="left"/>
      <w:pPr>
        <w:ind w:left="5760" w:hanging="360"/>
      </w:pPr>
      <w:rPr>
        <w:rFonts w:ascii="Courier New" w:hAnsi="Courier New" w:hint="default"/>
      </w:rPr>
    </w:lvl>
    <w:lvl w:ilvl="8" w:tplc="1AC66616">
      <w:start w:val="1"/>
      <w:numFmt w:val="bullet"/>
      <w:lvlText w:val=""/>
      <w:lvlJc w:val="left"/>
      <w:pPr>
        <w:ind w:left="6480" w:hanging="360"/>
      </w:pPr>
      <w:rPr>
        <w:rFonts w:ascii="Wingdings" w:hAnsi="Wingdings" w:hint="default"/>
      </w:rPr>
    </w:lvl>
  </w:abstractNum>
  <w:abstractNum w:abstractNumId="24" w15:restartNumberingAfterBreak="0">
    <w:nsid w:val="44315775"/>
    <w:multiLevelType w:val="multilevel"/>
    <w:tmpl w:val="F6AC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69C12C"/>
    <w:multiLevelType w:val="hybridMultilevel"/>
    <w:tmpl w:val="F29CF63E"/>
    <w:lvl w:ilvl="0" w:tplc="4D66992A">
      <w:start w:val="1"/>
      <w:numFmt w:val="bullet"/>
      <w:lvlText w:val=""/>
      <w:lvlJc w:val="left"/>
      <w:pPr>
        <w:ind w:left="1080" w:hanging="360"/>
      </w:pPr>
      <w:rPr>
        <w:rFonts w:ascii="Symbol" w:hAnsi="Symbol" w:hint="default"/>
      </w:rPr>
    </w:lvl>
    <w:lvl w:ilvl="1" w:tplc="8820A138">
      <w:start w:val="1"/>
      <w:numFmt w:val="bullet"/>
      <w:lvlText w:val="o"/>
      <w:lvlJc w:val="left"/>
      <w:pPr>
        <w:ind w:left="1800" w:hanging="360"/>
      </w:pPr>
      <w:rPr>
        <w:rFonts w:ascii="Courier New" w:hAnsi="Courier New" w:hint="default"/>
      </w:rPr>
    </w:lvl>
    <w:lvl w:ilvl="2" w:tplc="67AA5944">
      <w:start w:val="1"/>
      <w:numFmt w:val="bullet"/>
      <w:lvlText w:val=""/>
      <w:lvlJc w:val="left"/>
      <w:pPr>
        <w:ind w:left="2520" w:hanging="360"/>
      </w:pPr>
      <w:rPr>
        <w:rFonts w:ascii="Wingdings" w:hAnsi="Wingdings" w:hint="default"/>
      </w:rPr>
    </w:lvl>
    <w:lvl w:ilvl="3" w:tplc="0D6EB9C6">
      <w:start w:val="1"/>
      <w:numFmt w:val="bullet"/>
      <w:lvlText w:val=""/>
      <w:lvlJc w:val="left"/>
      <w:pPr>
        <w:ind w:left="3240" w:hanging="360"/>
      </w:pPr>
      <w:rPr>
        <w:rFonts w:ascii="Symbol" w:hAnsi="Symbol" w:hint="default"/>
      </w:rPr>
    </w:lvl>
    <w:lvl w:ilvl="4" w:tplc="51F48AC6">
      <w:start w:val="1"/>
      <w:numFmt w:val="bullet"/>
      <w:lvlText w:val="o"/>
      <w:lvlJc w:val="left"/>
      <w:pPr>
        <w:ind w:left="3960" w:hanging="360"/>
      </w:pPr>
      <w:rPr>
        <w:rFonts w:ascii="Courier New" w:hAnsi="Courier New" w:hint="default"/>
      </w:rPr>
    </w:lvl>
    <w:lvl w:ilvl="5" w:tplc="565EE438">
      <w:start w:val="1"/>
      <w:numFmt w:val="bullet"/>
      <w:lvlText w:val=""/>
      <w:lvlJc w:val="left"/>
      <w:pPr>
        <w:ind w:left="4680" w:hanging="360"/>
      </w:pPr>
      <w:rPr>
        <w:rFonts w:ascii="Wingdings" w:hAnsi="Wingdings" w:hint="default"/>
      </w:rPr>
    </w:lvl>
    <w:lvl w:ilvl="6" w:tplc="B7443AFE">
      <w:start w:val="1"/>
      <w:numFmt w:val="bullet"/>
      <w:lvlText w:val=""/>
      <w:lvlJc w:val="left"/>
      <w:pPr>
        <w:ind w:left="5400" w:hanging="360"/>
      </w:pPr>
      <w:rPr>
        <w:rFonts w:ascii="Symbol" w:hAnsi="Symbol" w:hint="default"/>
      </w:rPr>
    </w:lvl>
    <w:lvl w:ilvl="7" w:tplc="A37C7234">
      <w:start w:val="1"/>
      <w:numFmt w:val="bullet"/>
      <w:lvlText w:val="o"/>
      <w:lvlJc w:val="left"/>
      <w:pPr>
        <w:ind w:left="6120" w:hanging="360"/>
      </w:pPr>
      <w:rPr>
        <w:rFonts w:ascii="Courier New" w:hAnsi="Courier New" w:hint="default"/>
      </w:rPr>
    </w:lvl>
    <w:lvl w:ilvl="8" w:tplc="9134FEB8">
      <w:start w:val="1"/>
      <w:numFmt w:val="bullet"/>
      <w:lvlText w:val=""/>
      <w:lvlJc w:val="left"/>
      <w:pPr>
        <w:ind w:left="6840" w:hanging="360"/>
      </w:pPr>
      <w:rPr>
        <w:rFonts w:ascii="Wingdings" w:hAnsi="Wingdings" w:hint="default"/>
      </w:rPr>
    </w:lvl>
  </w:abstractNum>
  <w:abstractNum w:abstractNumId="26" w15:restartNumberingAfterBreak="0">
    <w:nsid w:val="491791D7"/>
    <w:multiLevelType w:val="hybridMultilevel"/>
    <w:tmpl w:val="5FCC79E4"/>
    <w:lvl w:ilvl="0" w:tplc="7DD25258">
      <w:start w:val="1"/>
      <w:numFmt w:val="bullet"/>
      <w:lvlText w:val="-"/>
      <w:lvlJc w:val="left"/>
      <w:pPr>
        <w:ind w:left="720" w:hanging="360"/>
      </w:pPr>
      <w:rPr>
        <w:rFonts w:ascii="Aptos" w:hAnsi="Aptos" w:hint="default"/>
      </w:rPr>
    </w:lvl>
    <w:lvl w:ilvl="1" w:tplc="4B4406E0">
      <w:start w:val="1"/>
      <w:numFmt w:val="bullet"/>
      <w:lvlText w:val="o"/>
      <w:lvlJc w:val="left"/>
      <w:pPr>
        <w:ind w:left="1440" w:hanging="360"/>
      </w:pPr>
      <w:rPr>
        <w:rFonts w:ascii="Courier New" w:hAnsi="Courier New" w:hint="default"/>
      </w:rPr>
    </w:lvl>
    <w:lvl w:ilvl="2" w:tplc="4162BF30">
      <w:start w:val="1"/>
      <w:numFmt w:val="bullet"/>
      <w:lvlText w:val=""/>
      <w:lvlJc w:val="left"/>
      <w:pPr>
        <w:ind w:left="2160" w:hanging="360"/>
      </w:pPr>
      <w:rPr>
        <w:rFonts w:ascii="Wingdings" w:hAnsi="Wingdings" w:hint="default"/>
      </w:rPr>
    </w:lvl>
    <w:lvl w:ilvl="3" w:tplc="15DAA00C">
      <w:start w:val="1"/>
      <w:numFmt w:val="bullet"/>
      <w:lvlText w:val=""/>
      <w:lvlJc w:val="left"/>
      <w:pPr>
        <w:ind w:left="2880" w:hanging="360"/>
      </w:pPr>
      <w:rPr>
        <w:rFonts w:ascii="Symbol" w:hAnsi="Symbol" w:hint="default"/>
      </w:rPr>
    </w:lvl>
    <w:lvl w:ilvl="4" w:tplc="9D1A7BE8">
      <w:start w:val="1"/>
      <w:numFmt w:val="bullet"/>
      <w:lvlText w:val="o"/>
      <w:lvlJc w:val="left"/>
      <w:pPr>
        <w:ind w:left="3600" w:hanging="360"/>
      </w:pPr>
      <w:rPr>
        <w:rFonts w:ascii="Courier New" w:hAnsi="Courier New" w:hint="default"/>
      </w:rPr>
    </w:lvl>
    <w:lvl w:ilvl="5" w:tplc="F4087E76">
      <w:start w:val="1"/>
      <w:numFmt w:val="bullet"/>
      <w:lvlText w:val=""/>
      <w:lvlJc w:val="left"/>
      <w:pPr>
        <w:ind w:left="4320" w:hanging="360"/>
      </w:pPr>
      <w:rPr>
        <w:rFonts w:ascii="Wingdings" w:hAnsi="Wingdings" w:hint="default"/>
      </w:rPr>
    </w:lvl>
    <w:lvl w:ilvl="6" w:tplc="F1F4C5D0">
      <w:start w:val="1"/>
      <w:numFmt w:val="bullet"/>
      <w:lvlText w:val=""/>
      <w:lvlJc w:val="left"/>
      <w:pPr>
        <w:ind w:left="5040" w:hanging="360"/>
      </w:pPr>
      <w:rPr>
        <w:rFonts w:ascii="Symbol" w:hAnsi="Symbol" w:hint="default"/>
      </w:rPr>
    </w:lvl>
    <w:lvl w:ilvl="7" w:tplc="4B24FFCC">
      <w:start w:val="1"/>
      <w:numFmt w:val="bullet"/>
      <w:lvlText w:val="o"/>
      <w:lvlJc w:val="left"/>
      <w:pPr>
        <w:ind w:left="5760" w:hanging="360"/>
      </w:pPr>
      <w:rPr>
        <w:rFonts w:ascii="Courier New" w:hAnsi="Courier New" w:hint="default"/>
      </w:rPr>
    </w:lvl>
    <w:lvl w:ilvl="8" w:tplc="FAA2B60E">
      <w:start w:val="1"/>
      <w:numFmt w:val="bullet"/>
      <w:lvlText w:val=""/>
      <w:lvlJc w:val="left"/>
      <w:pPr>
        <w:ind w:left="6480" w:hanging="360"/>
      </w:pPr>
      <w:rPr>
        <w:rFonts w:ascii="Wingdings" w:hAnsi="Wingdings" w:hint="default"/>
      </w:rPr>
    </w:lvl>
  </w:abstractNum>
  <w:abstractNum w:abstractNumId="27" w15:restartNumberingAfterBreak="0">
    <w:nsid w:val="58AF74CF"/>
    <w:multiLevelType w:val="multilevel"/>
    <w:tmpl w:val="F814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4ED260"/>
    <w:multiLevelType w:val="hybridMultilevel"/>
    <w:tmpl w:val="3B3E0CFA"/>
    <w:lvl w:ilvl="0" w:tplc="17E63F3E">
      <w:start w:val="1"/>
      <w:numFmt w:val="bullet"/>
      <w:lvlText w:val="-"/>
      <w:lvlJc w:val="left"/>
      <w:pPr>
        <w:ind w:left="720" w:hanging="360"/>
      </w:pPr>
      <w:rPr>
        <w:rFonts w:ascii="Aptos" w:hAnsi="Aptos" w:hint="default"/>
      </w:rPr>
    </w:lvl>
    <w:lvl w:ilvl="1" w:tplc="78DC2E0A">
      <w:start w:val="1"/>
      <w:numFmt w:val="bullet"/>
      <w:lvlText w:val="o"/>
      <w:lvlJc w:val="left"/>
      <w:pPr>
        <w:ind w:left="1440" w:hanging="360"/>
      </w:pPr>
      <w:rPr>
        <w:rFonts w:ascii="Courier New" w:hAnsi="Courier New" w:hint="default"/>
      </w:rPr>
    </w:lvl>
    <w:lvl w:ilvl="2" w:tplc="89DA1BF4">
      <w:start w:val="1"/>
      <w:numFmt w:val="bullet"/>
      <w:lvlText w:val=""/>
      <w:lvlJc w:val="left"/>
      <w:pPr>
        <w:ind w:left="2160" w:hanging="360"/>
      </w:pPr>
      <w:rPr>
        <w:rFonts w:ascii="Wingdings" w:hAnsi="Wingdings" w:hint="default"/>
      </w:rPr>
    </w:lvl>
    <w:lvl w:ilvl="3" w:tplc="B2D4DC46">
      <w:start w:val="1"/>
      <w:numFmt w:val="bullet"/>
      <w:lvlText w:val=""/>
      <w:lvlJc w:val="left"/>
      <w:pPr>
        <w:ind w:left="2880" w:hanging="360"/>
      </w:pPr>
      <w:rPr>
        <w:rFonts w:ascii="Symbol" w:hAnsi="Symbol" w:hint="default"/>
      </w:rPr>
    </w:lvl>
    <w:lvl w:ilvl="4" w:tplc="085C1F5A">
      <w:start w:val="1"/>
      <w:numFmt w:val="bullet"/>
      <w:lvlText w:val="o"/>
      <w:lvlJc w:val="left"/>
      <w:pPr>
        <w:ind w:left="3600" w:hanging="360"/>
      </w:pPr>
      <w:rPr>
        <w:rFonts w:ascii="Courier New" w:hAnsi="Courier New" w:hint="default"/>
      </w:rPr>
    </w:lvl>
    <w:lvl w:ilvl="5" w:tplc="2218349E">
      <w:start w:val="1"/>
      <w:numFmt w:val="bullet"/>
      <w:lvlText w:val=""/>
      <w:lvlJc w:val="left"/>
      <w:pPr>
        <w:ind w:left="4320" w:hanging="360"/>
      </w:pPr>
      <w:rPr>
        <w:rFonts w:ascii="Wingdings" w:hAnsi="Wingdings" w:hint="default"/>
      </w:rPr>
    </w:lvl>
    <w:lvl w:ilvl="6" w:tplc="1A465EE6">
      <w:start w:val="1"/>
      <w:numFmt w:val="bullet"/>
      <w:lvlText w:val=""/>
      <w:lvlJc w:val="left"/>
      <w:pPr>
        <w:ind w:left="5040" w:hanging="360"/>
      </w:pPr>
      <w:rPr>
        <w:rFonts w:ascii="Symbol" w:hAnsi="Symbol" w:hint="default"/>
      </w:rPr>
    </w:lvl>
    <w:lvl w:ilvl="7" w:tplc="359E4524">
      <w:start w:val="1"/>
      <w:numFmt w:val="bullet"/>
      <w:lvlText w:val="o"/>
      <w:lvlJc w:val="left"/>
      <w:pPr>
        <w:ind w:left="5760" w:hanging="360"/>
      </w:pPr>
      <w:rPr>
        <w:rFonts w:ascii="Courier New" w:hAnsi="Courier New" w:hint="default"/>
      </w:rPr>
    </w:lvl>
    <w:lvl w:ilvl="8" w:tplc="0BF07906">
      <w:start w:val="1"/>
      <w:numFmt w:val="bullet"/>
      <w:lvlText w:val=""/>
      <w:lvlJc w:val="left"/>
      <w:pPr>
        <w:ind w:left="6480" w:hanging="360"/>
      </w:pPr>
      <w:rPr>
        <w:rFonts w:ascii="Wingdings" w:hAnsi="Wingdings" w:hint="default"/>
      </w:rPr>
    </w:lvl>
  </w:abstractNum>
  <w:abstractNum w:abstractNumId="29" w15:restartNumberingAfterBreak="0">
    <w:nsid w:val="5BE41FB0"/>
    <w:multiLevelType w:val="hybridMultilevel"/>
    <w:tmpl w:val="BF7C9874"/>
    <w:lvl w:ilvl="0" w:tplc="3474D1CC">
      <w:start w:val="1"/>
      <w:numFmt w:val="bullet"/>
      <w:lvlText w:val="-"/>
      <w:lvlJc w:val="left"/>
      <w:pPr>
        <w:ind w:left="720" w:hanging="360"/>
      </w:pPr>
      <w:rPr>
        <w:rFonts w:ascii="Aptos" w:hAnsi="Aptos" w:hint="default"/>
      </w:rPr>
    </w:lvl>
    <w:lvl w:ilvl="1" w:tplc="F620F1B2">
      <w:start w:val="1"/>
      <w:numFmt w:val="bullet"/>
      <w:lvlText w:val="o"/>
      <w:lvlJc w:val="left"/>
      <w:pPr>
        <w:ind w:left="1440" w:hanging="360"/>
      </w:pPr>
      <w:rPr>
        <w:rFonts w:ascii="Courier New" w:hAnsi="Courier New" w:hint="default"/>
      </w:rPr>
    </w:lvl>
    <w:lvl w:ilvl="2" w:tplc="D2443902">
      <w:start w:val="1"/>
      <w:numFmt w:val="bullet"/>
      <w:lvlText w:val=""/>
      <w:lvlJc w:val="left"/>
      <w:pPr>
        <w:ind w:left="2160" w:hanging="360"/>
      </w:pPr>
      <w:rPr>
        <w:rFonts w:ascii="Wingdings" w:hAnsi="Wingdings" w:hint="default"/>
      </w:rPr>
    </w:lvl>
    <w:lvl w:ilvl="3" w:tplc="93E66462">
      <w:start w:val="1"/>
      <w:numFmt w:val="bullet"/>
      <w:lvlText w:val=""/>
      <w:lvlJc w:val="left"/>
      <w:pPr>
        <w:ind w:left="2880" w:hanging="360"/>
      </w:pPr>
      <w:rPr>
        <w:rFonts w:ascii="Symbol" w:hAnsi="Symbol" w:hint="default"/>
      </w:rPr>
    </w:lvl>
    <w:lvl w:ilvl="4" w:tplc="8D48955A">
      <w:start w:val="1"/>
      <w:numFmt w:val="bullet"/>
      <w:lvlText w:val="o"/>
      <w:lvlJc w:val="left"/>
      <w:pPr>
        <w:ind w:left="3600" w:hanging="360"/>
      </w:pPr>
      <w:rPr>
        <w:rFonts w:ascii="Courier New" w:hAnsi="Courier New" w:hint="default"/>
      </w:rPr>
    </w:lvl>
    <w:lvl w:ilvl="5" w:tplc="0AE669C6">
      <w:start w:val="1"/>
      <w:numFmt w:val="bullet"/>
      <w:lvlText w:val=""/>
      <w:lvlJc w:val="left"/>
      <w:pPr>
        <w:ind w:left="4320" w:hanging="360"/>
      </w:pPr>
      <w:rPr>
        <w:rFonts w:ascii="Wingdings" w:hAnsi="Wingdings" w:hint="default"/>
      </w:rPr>
    </w:lvl>
    <w:lvl w:ilvl="6" w:tplc="637E711C">
      <w:start w:val="1"/>
      <w:numFmt w:val="bullet"/>
      <w:lvlText w:val=""/>
      <w:lvlJc w:val="left"/>
      <w:pPr>
        <w:ind w:left="5040" w:hanging="360"/>
      </w:pPr>
      <w:rPr>
        <w:rFonts w:ascii="Symbol" w:hAnsi="Symbol" w:hint="default"/>
      </w:rPr>
    </w:lvl>
    <w:lvl w:ilvl="7" w:tplc="A5182912">
      <w:start w:val="1"/>
      <w:numFmt w:val="bullet"/>
      <w:lvlText w:val="o"/>
      <w:lvlJc w:val="left"/>
      <w:pPr>
        <w:ind w:left="5760" w:hanging="360"/>
      </w:pPr>
      <w:rPr>
        <w:rFonts w:ascii="Courier New" w:hAnsi="Courier New" w:hint="default"/>
      </w:rPr>
    </w:lvl>
    <w:lvl w:ilvl="8" w:tplc="F80C7E30">
      <w:start w:val="1"/>
      <w:numFmt w:val="bullet"/>
      <w:lvlText w:val=""/>
      <w:lvlJc w:val="left"/>
      <w:pPr>
        <w:ind w:left="6480" w:hanging="360"/>
      </w:pPr>
      <w:rPr>
        <w:rFonts w:ascii="Wingdings" w:hAnsi="Wingdings" w:hint="default"/>
      </w:rPr>
    </w:lvl>
  </w:abstractNum>
  <w:abstractNum w:abstractNumId="30" w15:restartNumberingAfterBreak="0">
    <w:nsid w:val="5D84CEFE"/>
    <w:multiLevelType w:val="hybridMultilevel"/>
    <w:tmpl w:val="DE9EE9DA"/>
    <w:lvl w:ilvl="0" w:tplc="E522FE58">
      <w:start w:val="1"/>
      <w:numFmt w:val="bullet"/>
      <w:lvlText w:val="-"/>
      <w:lvlJc w:val="left"/>
      <w:pPr>
        <w:ind w:left="720" w:hanging="360"/>
      </w:pPr>
      <w:rPr>
        <w:rFonts w:ascii="Aptos" w:hAnsi="Aptos" w:hint="default"/>
      </w:rPr>
    </w:lvl>
    <w:lvl w:ilvl="1" w:tplc="3DF0B38E">
      <w:start w:val="1"/>
      <w:numFmt w:val="bullet"/>
      <w:lvlText w:val="o"/>
      <w:lvlJc w:val="left"/>
      <w:pPr>
        <w:ind w:left="1440" w:hanging="360"/>
      </w:pPr>
      <w:rPr>
        <w:rFonts w:ascii="Courier New" w:hAnsi="Courier New" w:hint="default"/>
      </w:rPr>
    </w:lvl>
    <w:lvl w:ilvl="2" w:tplc="F46A3C86">
      <w:start w:val="1"/>
      <w:numFmt w:val="bullet"/>
      <w:lvlText w:val=""/>
      <w:lvlJc w:val="left"/>
      <w:pPr>
        <w:ind w:left="2160" w:hanging="360"/>
      </w:pPr>
      <w:rPr>
        <w:rFonts w:ascii="Wingdings" w:hAnsi="Wingdings" w:hint="default"/>
      </w:rPr>
    </w:lvl>
    <w:lvl w:ilvl="3" w:tplc="35927A98">
      <w:start w:val="1"/>
      <w:numFmt w:val="bullet"/>
      <w:lvlText w:val=""/>
      <w:lvlJc w:val="left"/>
      <w:pPr>
        <w:ind w:left="2880" w:hanging="360"/>
      </w:pPr>
      <w:rPr>
        <w:rFonts w:ascii="Symbol" w:hAnsi="Symbol" w:hint="default"/>
      </w:rPr>
    </w:lvl>
    <w:lvl w:ilvl="4" w:tplc="BDCE0026">
      <w:start w:val="1"/>
      <w:numFmt w:val="bullet"/>
      <w:lvlText w:val="o"/>
      <w:lvlJc w:val="left"/>
      <w:pPr>
        <w:ind w:left="3600" w:hanging="360"/>
      </w:pPr>
      <w:rPr>
        <w:rFonts w:ascii="Courier New" w:hAnsi="Courier New" w:hint="default"/>
      </w:rPr>
    </w:lvl>
    <w:lvl w:ilvl="5" w:tplc="15C0E19A">
      <w:start w:val="1"/>
      <w:numFmt w:val="bullet"/>
      <w:lvlText w:val=""/>
      <w:lvlJc w:val="left"/>
      <w:pPr>
        <w:ind w:left="4320" w:hanging="360"/>
      </w:pPr>
      <w:rPr>
        <w:rFonts w:ascii="Wingdings" w:hAnsi="Wingdings" w:hint="default"/>
      </w:rPr>
    </w:lvl>
    <w:lvl w:ilvl="6" w:tplc="613EF76A">
      <w:start w:val="1"/>
      <w:numFmt w:val="bullet"/>
      <w:lvlText w:val=""/>
      <w:lvlJc w:val="left"/>
      <w:pPr>
        <w:ind w:left="5040" w:hanging="360"/>
      </w:pPr>
      <w:rPr>
        <w:rFonts w:ascii="Symbol" w:hAnsi="Symbol" w:hint="default"/>
      </w:rPr>
    </w:lvl>
    <w:lvl w:ilvl="7" w:tplc="536CF014">
      <w:start w:val="1"/>
      <w:numFmt w:val="bullet"/>
      <w:lvlText w:val="o"/>
      <w:lvlJc w:val="left"/>
      <w:pPr>
        <w:ind w:left="5760" w:hanging="360"/>
      </w:pPr>
      <w:rPr>
        <w:rFonts w:ascii="Courier New" w:hAnsi="Courier New" w:hint="default"/>
      </w:rPr>
    </w:lvl>
    <w:lvl w:ilvl="8" w:tplc="D56A0478">
      <w:start w:val="1"/>
      <w:numFmt w:val="bullet"/>
      <w:lvlText w:val=""/>
      <w:lvlJc w:val="left"/>
      <w:pPr>
        <w:ind w:left="6480" w:hanging="360"/>
      </w:pPr>
      <w:rPr>
        <w:rFonts w:ascii="Wingdings" w:hAnsi="Wingdings" w:hint="default"/>
      </w:rPr>
    </w:lvl>
  </w:abstractNum>
  <w:abstractNum w:abstractNumId="31" w15:restartNumberingAfterBreak="0">
    <w:nsid w:val="5EC319B1"/>
    <w:multiLevelType w:val="multilevel"/>
    <w:tmpl w:val="A232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8003AA"/>
    <w:multiLevelType w:val="multilevel"/>
    <w:tmpl w:val="5BA2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3AD709"/>
    <w:multiLevelType w:val="hybridMultilevel"/>
    <w:tmpl w:val="B9A69014"/>
    <w:lvl w:ilvl="0" w:tplc="B9F2F672">
      <w:start w:val="1"/>
      <w:numFmt w:val="bullet"/>
      <w:lvlText w:val="-"/>
      <w:lvlJc w:val="left"/>
      <w:pPr>
        <w:ind w:left="1440" w:hanging="360"/>
      </w:pPr>
      <w:rPr>
        <w:rFonts w:ascii="Aptos" w:hAnsi="Aptos" w:hint="default"/>
      </w:rPr>
    </w:lvl>
    <w:lvl w:ilvl="1" w:tplc="2A962714">
      <w:start w:val="1"/>
      <w:numFmt w:val="bullet"/>
      <w:lvlText w:val="o"/>
      <w:lvlJc w:val="left"/>
      <w:pPr>
        <w:ind w:left="2160" w:hanging="360"/>
      </w:pPr>
      <w:rPr>
        <w:rFonts w:ascii="Courier New" w:hAnsi="Courier New" w:hint="default"/>
      </w:rPr>
    </w:lvl>
    <w:lvl w:ilvl="2" w:tplc="915A9B32">
      <w:start w:val="1"/>
      <w:numFmt w:val="bullet"/>
      <w:lvlText w:val=""/>
      <w:lvlJc w:val="left"/>
      <w:pPr>
        <w:ind w:left="2880" w:hanging="360"/>
      </w:pPr>
      <w:rPr>
        <w:rFonts w:ascii="Wingdings" w:hAnsi="Wingdings" w:hint="default"/>
      </w:rPr>
    </w:lvl>
    <w:lvl w:ilvl="3" w:tplc="6F8238EA">
      <w:start w:val="1"/>
      <w:numFmt w:val="bullet"/>
      <w:lvlText w:val=""/>
      <w:lvlJc w:val="left"/>
      <w:pPr>
        <w:ind w:left="3600" w:hanging="360"/>
      </w:pPr>
      <w:rPr>
        <w:rFonts w:ascii="Symbol" w:hAnsi="Symbol" w:hint="default"/>
      </w:rPr>
    </w:lvl>
    <w:lvl w:ilvl="4" w:tplc="D030378A">
      <w:start w:val="1"/>
      <w:numFmt w:val="bullet"/>
      <w:lvlText w:val="o"/>
      <w:lvlJc w:val="left"/>
      <w:pPr>
        <w:ind w:left="4320" w:hanging="360"/>
      </w:pPr>
      <w:rPr>
        <w:rFonts w:ascii="Courier New" w:hAnsi="Courier New" w:hint="default"/>
      </w:rPr>
    </w:lvl>
    <w:lvl w:ilvl="5" w:tplc="33469058">
      <w:start w:val="1"/>
      <w:numFmt w:val="bullet"/>
      <w:lvlText w:val=""/>
      <w:lvlJc w:val="left"/>
      <w:pPr>
        <w:ind w:left="5040" w:hanging="360"/>
      </w:pPr>
      <w:rPr>
        <w:rFonts w:ascii="Wingdings" w:hAnsi="Wingdings" w:hint="default"/>
      </w:rPr>
    </w:lvl>
    <w:lvl w:ilvl="6" w:tplc="2B1EAC02">
      <w:start w:val="1"/>
      <w:numFmt w:val="bullet"/>
      <w:lvlText w:val=""/>
      <w:lvlJc w:val="left"/>
      <w:pPr>
        <w:ind w:left="5760" w:hanging="360"/>
      </w:pPr>
      <w:rPr>
        <w:rFonts w:ascii="Symbol" w:hAnsi="Symbol" w:hint="default"/>
      </w:rPr>
    </w:lvl>
    <w:lvl w:ilvl="7" w:tplc="439405FA">
      <w:start w:val="1"/>
      <w:numFmt w:val="bullet"/>
      <w:lvlText w:val="o"/>
      <w:lvlJc w:val="left"/>
      <w:pPr>
        <w:ind w:left="6480" w:hanging="360"/>
      </w:pPr>
      <w:rPr>
        <w:rFonts w:ascii="Courier New" w:hAnsi="Courier New" w:hint="default"/>
      </w:rPr>
    </w:lvl>
    <w:lvl w:ilvl="8" w:tplc="80F2395E">
      <w:start w:val="1"/>
      <w:numFmt w:val="bullet"/>
      <w:lvlText w:val=""/>
      <w:lvlJc w:val="left"/>
      <w:pPr>
        <w:ind w:left="7200" w:hanging="360"/>
      </w:pPr>
      <w:rPr>
        <w:rFonts w:ascii="Wingdings" w:hAnsi="Wingdings" w:hint="default"/>
      </w:rPr>
    </w:lvl>
  </w:abstractNum>
  <w:abstractNum w:abstractNumId="34" w15:restartNumberingAfterBreak="0">
    <w:nsid w:val="68C05D2D"/>
    <w:multiLevelType w:val="multilevel"/>
    <w:tmpl w:val="9684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A73949"/>
    <w:multiLevelType w:val="multilevel"/>
    <w:tmpl w:val="CEA8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F8E994"/>
    <w:multiLevelType w:val="hybridMultilevel"/>
    <w:tmpl w:val="9AE24848"/>
    <w:lvl w:ilvl="0" w:tplc="61568EC2">
      <w:start w:val="1"/>
      <w:numFmt w:val="decimal"/>
      <w:lvlText w:val="►"/>
      <w:lvlJc w:val="left"/>
      <w:pPr>
        <w:ind w:left="720" w:hanging="360"/>
      </w:pPr>
    </w:lvl>
    <w:lvl w:ilvl="1" w:tplc="3C5282E2">
      <w:start w:val="1"/>
      <w:numFmt w:val="lowerLetter"/>
      <w:lvlText w:val="%2."/>
      <w:lvlJc w:val="left"/>
      <w:pPr>
        <w:ind w:left="1440" w:hanging="360"/>
      </w:pPr>
    </w:lvl>
    <w:lvl w:ilvl="2" w:tplc="93DA9FC0">
      <w:start w:val="1"/>
      <w:numFmt w:val="lowerRoman"/>
      <w:lvlText w:val="%3."/>
      <w:lvlJc w:val="right"/>
      <w:pPr>
        <w:ind w:left="2160" w:hanging="180"/>
      </w:pPr>
    </w:lvl>
    <w:lvl w:ilvl="3" w:tplc="03B0CB8C">
      <w:start w:val="1"/>
      <w:numFmt w:val="decimal"/>
      <w:lvlText w:val="%4."/>
      <w:lvlJc w:val="left"/>
      <w:pPr>
        <w:ind w:left="2880" w:hanging="360"/>
      </w:pPr>
    </w:lvl>
    <w:lvl w:ilvl="4" w:tplc="5DCCDE54">
      <w:start w:val="1"/>
      <w:numFmt w:val="lowerLetter"/>
      <w:lvlText w:val="%5."/>
      <w:lvlJc w:val="left"/>
      <w:pPr>
        <w:ind w:left="3600" w:hanging="360"/>
      </w:pPr>
    </w:lvl>
    <w:lvl w:ilvl="5" w:tplc="CEA65EEC">
      <w:start w:val="1"/>
      <w:numFmt w:val="lowerRoman"/>
      <w:lvlText w:val="%6."/>
      <w:lvlJc w:val="right"/>
      <w:pPr>
        <w:ind w:left="4320" w:hanging="180"/>
      </w:pPr>
    </w:lvl>
    <w:lvl w:ilvl="6" w:tplc="EE8649F6">
      <w:start w:val="1"/>
      <w:numFmt w:val="decimal"/>
      <w:lvlText w:val="%7."/>
      <w:lvlJc w:val="left"/>
      <w:pPr>
        <w:ind w:left="5040" w:hanging="360"/>
      </w:pPr>
    </w:lvl>
    <w:lvl w:ilvl="7" w:tplc="E834D46E">
      <w:start w:val="1"/>
      <w:numFmt w:val="lowerLetter"/>
      <w:lvlText w:val="%8."/>
      <w:lvlJc w:val="left"/>
      <w:pPr>
        <w:ind w:left="5760" w:hanging="360"/>
      </w:pPr>
    </w:lvl>
    <w:lvl w:ilvl="8" w:tplc="137E3DE8">
      <w:start w:val="1"/>
      <w:numFmt w:val="lowerRoman"/>
      <w:lvlText w:val="%9."/>
      <w:lvlJc w:val="right"/>
      <w:pPr>
        <w:ind w:left="6480" w:hanging="180"/>
      </w:pPr>
    </w:lvl>
  </w:abstractNum>
  <w:abstractNum w:abstractNumId="37" w15:restartNumberingAfterBreak="0">
    <w:nsid w:val="75490DF9"/>
    <w:multiLevelType w:val="hybridMultilevel"/>
    <w:tmpl w:val="78641230"/>
    <w:lvl w:ilvl="0" w:tplc="0C06950E">
      <w:start w:val="1"/>
      <w:numFmt w:val="bullet"/>
      <w:lvlText w:val="-"/>
      <w:lvlJc w:val="left"/>
      <w:pPr>
        <w:ind w:left="720" w:hanging="360"/>
      </w:pPr>
      <w:rPr>
        <w:rFonts w:ascii="Aptos" w:hAnsi="Aptos" w:hint="default"/>
      </w:rPr>
    </w:lvl>
    <w:lvl w:ilvl="1" w:tplc="9D8EDD1A">
      <w:start w:val="1"/>
      <w:numFmt w:val="bullet"/>
      <w:lvlText w:val="o"/>
      <w:lvlJc w:val="left"/>
      <w:pPr>
        <w:ind w:left="1440" w:hanging="360"/>
      </w:pPr>
      <w:rPr>
        <w:rFonts w:ascii="Courier New" w:hAnsi="Courier New" w:hint="default"/>
      </w:rPr>
    </w:lvl>
    <w:lvl w:ilvl="2" w:tplc="C95A169E">
      <w:start w:val="1"/>
      <w:numFmt w:val="bullet"/>
      <w:lvlText w:val=""/>
      <w:lvlJc w:val="left"/>
      <w:pPr>
        <w:ind w:left="2160" w:hanging="360"/>
      </w:pPr>
      <w:rPr>
        <w:rFonts w:ascii="Wingdings" w:hAnsi="Wingdings" w:hint="default"/>
      </w:rPr>
    </w:lvl>
    <w:lvl w:ilvl="3" w:tplc="F1CCCF44">
      <w:start w:val="1"/>
      <w:numFmt w:val="bullet"/>
      <w:lvlText w:val=""/>
      <w:lvlJc w:val="left"/>
      <w:pPr>
        <w:ind w:left="2880" w:hanging="360"/>
      </w:pPr>
      <w:rPr>
        <w:rFonts w:ascii="Symbol" w:hAnsi="Symbol" w:hint="default"/>
      </w:rPr>
    </w:lvl>
    <w:lvl w:ilvl="4" w:tplc="D8641C00">
      <w:start w:val="1"/>
      <w:numFmt w:val="bullet"/>
      <w:lvlText w:val="o"/>
      <w:lvlJc w:val="left"/>
      <w:pPr>
        <w:ind w:left="3600" w:hanging="360"/>
      </w:pPr>
      <w:rPr>
        <w:rFonts w:ascii="Courier New" w:hAnsi="Courier New" w:hint="default"/>
      </w:rPr>
    </w:lvl>
    <w:lvl w:ilvl="5" w:tplc="6A8046EC">
      <w:start w:val="1"/>
      <w:numFmt w:val="bullet"/>
      <w:lvlText w:val=""/>
      <w:lvlJc w:val="left"/>
      <w:pPr>
        <w:ind w:left="4320" w:hanging="360"/>
      </w:pPr>
      <w:rPr>
        <w:rFonts w:ascii="Wingdings" w:hAnsi="Wingdings" w:hint="default"/>
      </w:rPr>
    </w:lvl>
    <w:lvl w:ilvl="6" w:tplc="28468E24">
      <w:start w:val="1"/>
      <w:numFmt w:val="bullet"/>
      <w:lvlText w:val=""/>
      <w:lvlJc w:val="left"/>
      <w:pPr>
        <w:ind w:left="5040" w:hanging="360"/>
      </w:pPr>
      <w:rPr>
        <w:rFonts w:ascii="Symbol" w:hAnsi="Symbol" w:hint="default"/>
      </w:rPr>
    </w:lvl>
    <w:lvl w:ilvl="7" w:tplc="86248E62">
      <w:start w:val="1"/>
      <w:numFmt w:val="bullet"/>
      <w:lvlText w:val="o"/>
      <w:lvlJc w:val="left"/>
      <w:pPr>
        <w:ind w:left="5760" w:hanging="360"/>
      </w:pPr>
      <w:rPr>
        <w:rFonts w:ascii="Courier New" w:hAnsi="Courier New" w:hint="default"/>
      </w:rPr>
    </w:lvl>
    <w:lvl w:ilvl="8" w:tplc="BD7238FA">
      <w:start w:val="1"/>
      <w:numFmt w:val="bullet"/>
      <w:lvlText w:val=""/>
      <w:lvlJc w:val="left"/>
      <w:pPr>
        <w:ind w:left="6480" w:hanging="360"/>
      </w:pPr>
      <w:rPr>
        <w:rFonts w:ascii="Wingdings" w:hAnsi="Wingdings" w:hint="default"/>
      </w:rPr>
    </w:lvl>
  </w:abstractNum>
  <w:abstractNum w:abstractNumId="38" w15:restartNumberingAfterBreak="0">
    <w:nsid w:val="754D57EF"/>
    <w:multiLevelType w:val="multilevel"/>
    <w:tmpl w:val="892A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387CE3"/>
    <w:multiLevelType w:val="multilevel"/>
    <w:tmpl w:val="B162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5421EF"/>
    <w:multiLevelType w:val="multilevel"/>
    <w:tmpl w:val="2312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6B5270"/>
    <w:multiLevelType w:val="multilevel"/>
    <w:tmpl w:val="9950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6"/>
  </w:num>
  <w:num w:numId="2">
    <w:abstractNumId w:val="7"/>
  </w:num>
  <w:num w:numId="3">
    <w:abstractNumId w:val="18"/>
  </w:num>
  <w:num w:numId="4">
    <w:abstractNumId w:val="25"/>
  </w:num>
  <w:num w:numId="5">
    <w:abstractNumId w:val="5"/>
  </w:num>
  <w:num w:numId="6">
    <w:abstractNumId w:val="26"/>
  </w:num>
  <w:num w:numId="7">
    <w:abstractNumId w:val="28"/>
  </w:num>
  <w:num w:numId="8">
    <w:abstractNumId w:val="15"/>
  </w:num>
  <w:num w:numId="9">
    <w:abstractNumId w:val="29"/>
  </w:num>
  <w:num w:numId="10">
    <w:abstractNumId w:val="22"/>
  </w:num>
  <w:num w:numId="11">
    <w:abstractNumId w:val="1"/>
  </w:num>
  <w:num w:numId="12">
    <w:abstractNumId w:val="21"/>
  </w:num>
  <w:num w:numId="13">
    <w:abstractNumId w:val="30"/>
  </w:num>
  <w:num w:numId="14">
    <w:abstractNumId w:val="37"/>
  </w:num>
  <w:num w:numId="15">
    <w:abstractNumId w:val="23"/>
  </w:num>
  <w:num w:numId="16">
    <w:abstractNumId w:val="33"/>
  </w:num>
  <w:num w:numId="17">
    <w:abstractNumId w:val="3"/>
  </w:num>
  <w:num w:numId="18">
    <w:abstractNumId w:val="2"/>
  </w:num>
  <w:num w:numId="19">
    <w:abstractNumId w:val="4"/>
  </w:num>
  <w:num w:numId="20">
    <w:abstractNumId w:val="0"/>
  </w:num>
  <w:num w:numId="21">
    <w:abstractNumId w:val="13"/>
  </w:num>
  <w:num w:numId="22">
    <w:abstractNumId w:val="38"/>
  </w:num>
  <w:num w:numId="23">
    <w:abstractNumId w:val="40"/>
  </w:num>
  <w:num w:numId="24">
    <w:abstractNumId w:val="35"/>
  </w:num>
  <w:num w:numId="25">
    <w:abstractNumId w:val="24"/>
  </w:num>
  <w:num w:numId="26">
    <w:abstractNumId w:val="41"/>
  </w:num>
  <w:num w:numId="27">
    <w:abstractNumId w:val="8"/>
  </w:num>
  <w:num w:numId="28">
    <w:abstractNumId w:val="39"/>
  </w:num>
  <w:num w:numId="29">
    <w:abstractNumId w:val="31"/>
  </w:num>
  <w:num w:numId="30">
    <w:abstractNumId w:val="14"/>
  </w:num>
  <w:num w:numId="31">
    <w:abstractNumId w:val="11"/>
  </w:num>
  <w:num w:numId="32">
    <w:abstractNumId w:val="19"/>
  </w:num>
  <w:num w:numId="33">
    <w:abstractNumId w:val="16"/>
  </w:num>
  <w:num w:numId="34">
    <w:abstractNumId w:val="20"/>
  </w:num>
  <w:num w:numId="35">
    <w:abstractNumId w:val="32"/>
  </w:num>
  <w:num w:numId="36">
    <w:abstractNumId w:val="6"/>
  </w:num>
  <w:num w:numId="37">
    <w:abstractNumId w:val="34"/>
  </w:num>
  <w:num w:numId="38">
    <w:abstractNumId w:val="10"/>
  </w:num>
  <w:num w:numId="39">
    <w:abstractNumId w:val="27"/>
  </w:num>
  <w:num w:numId="40">
    <w:abstractNumId w:val="9"/>
  </w:num>
  <w:num w:numId="41">
    <w:abstractNumId w:val="17"/>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6A0CFA2-0138-4178-AA33-C02E931B1B5A"/>
    <w:docVar w:name="LW_COVERPAGE_TYPE" w:val="1"/>
    <w:docVar w:name="LW_CROSSREFERENCE" w:val="&lt;UNUSED&gt;"/>
    <w:docVar w:name="LW_DocType" w:val="NORMAL"/>
    <w:docVar w:name="LW_EMISSION" w:val="23.7.2026"/>
    <w:docVar w:name="LW_EMISSION_ISODATE" w:val="2026-07-2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use of the 470-694 MHz ('sub-700 MHz') frequency band in the EU pursuant to Article 7 of the Decision (EU) 2017/899 of the European Parliament and of the Council "/>
    <w:docVar w:name="LW_TYPE.DOC.CP" w:val="REPORT FROM THE COMMISSION TO THE EUROPEAN PARLIAMENT AND THE COUNCIL"/>
    <w:docVar w:name="LwApiVersions" w:val="LW4CoDe 1.24.5.0; LW 9.2, Build 20251112"/>
  </w:docVars>
  <w:rsids>
    <w:rsidRoot w:val="00433743"/>
    <w:rsid w:val="00001D70"/>
    <w:rsid w:val="00004588"/>
    <w:rsid w:val="00021443"/>
    <w:rsid w:val="00021A76"/>
    <w:rsid w:val="00022CCD"/>
    <w:rsid w:val="00023872"/>
    <w:rsid w:val="00024014"/>
    <w:rsid w:val="0003594C"/>
    <w:rsid w:val="00040A77"/>
    <w:rsid w:val="00040E86"/>
    <w:rsid w:val="000422BF"/>
    <w:rsid w:val="00044224"/>
    <w:rsid w:val="00045154"/>
    <w:rsid w:val="00045812"/>
    <w:rsid w:val="0005407E"/>
    <w:rsid w:val="00061578"/>
    <w:rsid w:val="00062BA1"/>
    <w:rsid w:val="00074D7E"/>
    <w:rsid w:val="0007598A"/>
    <w:rsid w:val="00080394"/>
    <w:rsid w:val="000862E1"/>
    <w:rsid w:val="000930D1"/>
    <w:rsid w:val="00094121"/>
    <w:rsid w:val="00094468"/>
    <w:rsid w:val="0009461E"/>
    <w:rsid w:val="00096CB0"/>
    <w:rsid w:val="000A1492"/>
    <w:rsid w:val="000A1718"/>
    <w:rsid w:val="000A1A3E"/>
    <w:rsid w:val="000A3459"/>
    <w:rsid w:val="000B4962"/>
    <w:rsid w:val="000B66C5"/>
    <w:rsid w:val="000C2C00"/>
    <w:rsid w:val="000C39C1"/>
    <w:rsid w:val="000D015E"/>
    <w:rsid w:val="000D2B24"/>
    <w:rsid w:val="000D4CE4"/>
    <w:rsid w:val="000D6532"/>
    <w:rsid w:val="000E06FF"/>
    <w:rsid w:val="000E0B88"/>
    <w:rsid w:val="000E1B91"/>
    <w:rsid w:val="000E3DC4"/>
    <w:rsid w:val="000F0DC2"/>
    <w:rsid w:val="000F65C2"/>
    <w:rsid w:val="000F6BE0"/>
    <w:rsid w:val="00100FCB"/>
    <w:rsid w:val="001018BB"/>
    <w:rsid w:val="0010331E"/>
    <w:rsid w:val="001064AD"/>
    <w:rsid w:val="00114632"/>
    <w:rsid w:val="0011518D"/>
    <w:rsid w:val="00117E11"/>
    <w:rsid w:val="00120048"/>
    <w:rsid w:val="00123E22"/>
    <w:rsid w:val="001259A7"/>
    <w:rsid w:val="00125B43"/>
    <w:rsid w:val="00125D17"/>
    <w:rsid w:val="00125E67"/>
    <w:rsid w:val="00142ACD"/>
    <w:rsid w:val="00142B4D"/>
    <w:rsid w:val="00145E9B"/>
    <w:rsid w:val="0015058F"/>
    <w:rsid w:val="001516E3"/>
    <w:rsid w:val="00154BDE"/>
    <w:rsid w:val="00160162"/>
    <w:rsid w:val="001615B0"/>
    <w:rsid w:val="00162262"/>
    <w:rsid w:val="00162333"/>
    <w:rsid w:val="00164688"/>
    <w:rsid w:val="001704B6"/>
    <w:rsid w:val="00170EC3"/>
    <w:rsid w:val="001719DD"/>
    <w:rsid w:val="00173345"/>
    <w:rsid w:val="001775AA"/>
    <w:rsid w:val="00182FAC"/>
    <w:rsid w:val="00183B8A"/>
    <w:rsid w:val="00183D13"/>
    <w:rsid w:val="001853CF"/>
    <w:rsid w:val="001901C1"/>
    <w:rsid w:val="00194DF7"/>
    <w:rsid w:val="001B488C"/>
    <w:rsid w:val="001B5BAD"/>
    <w:rsid w:val="001B5E54"/>
    <w:rsid w:val="001C535E"/>
    <w:rsid w:val="001C686D"/>
    <w:rsid w:val="001C6B15"/>
    <w:rsid w:val="001D1C4A"/>
    <w:rsid w:val="001D35E1"/>
    <w:rsid w:val="001D3B2D"/>
    <w:rsid w:val="001D4F27"/>
    <w:rsid w:val="001D54D3"/>
    <w:rsid w:val="001D5754"/>
    <w:rsid w:val="001E063E"/>
    <w:rsid w:val="001F0378"/>
    <w:rsid w:val="001F3C96"/>
    <w:rsid w:val="001F79B5"/>
    <w:rsid w:val="00202288"/>
    <w:rsid w:val="00205A01"/>
    <w:rsid w:val="00206F7D"/>
    <w:rsid w:val="00210BAD"/>
    <w:rsid w:val="00211557"/>
    <w:rsid w:val="00214655"/>
    <w:rsid w:val="00216A21"/>
    <w:rsid w:val="00230FB4"/>
    <w:rsid w:val="00234A82"/>
    <w:rsid w:val="00237213"/>
    <w:rsid w:val="00247101"/>
    <w:rsid w:val="00247BC1"/>
    <w:rsid w:val="00252C08"/>
    <w:rsid w:val="002652B2"/>
    <w:rsid w:val="0026709C"/>
    <w:rsid w:val="00270A1D"/>
    <w:rsid w:val="002749B1"/>
    <w:rsid w:val="002753D9"/>
    <w:rsid w:val="00284613"/>
    <w:rsid w:val="00291539"/>
    <w:rsid w:val="00291B24"/>
    <w:rsid w:val="00292A43"/>
    <w:rsid w:val="00292C35"/>
    <w:rsid w:val="002934DD"/>
    <w:rsid w:val="002A08BF"/>
    <w:rsid w:val="002A49CE"/>
    <w:rsid w:val="002A5DD1"/>
    <w:rsid w:val="002A7AC0"/>
    <w:rsid w:val="002B37F6"/>
    <w:rsid w:val="002C00C5"/>
    <w:rsid w:val="002C1483"/>
    <w:rsid w:val="002C4966"/>
    <w:rsid w:val="002C745C"/>
    <w:rsid w:val="002C7B7D"/>
    <w:rsid w:val="002C7C51"/>
    <w:rsid w:val="002E16D6"/>
    <w:rsid w:val="002E304C"/>
    <w:rsid w:val="002E5072"/>
    <w:rsid w:val="002E556B"/>
    <w:rsid w:val="002E741B"/>
    <w:rsid w:val="002F0B97"/>
    <w:rsid w:val="002F65B2"/>
    <w:rsid w:val="002F770B"/>
    <w:rsid w:val="00311EF7"/>
    <w:rsid w:val="003146F5"/>
    <w:rsid w:val="00314F62"/>
    <w:rsid w:val="0032459C"/>
    <w:rsid w:val="003324A3"/>
    <w:rsid w:val="0033328E"/>
    <w:rsid w:val="003421DC"/>
    <w:rsid w:val="0034233B"/>
    <w:rsid w:val="00346A44"/>
    <w:rsid w:val="00347FBF"/>
    <w:rsid w:val="00354E78"/>
    <w:rsid w:val="003654A8"/>
    <w:rsid w:val="00367047"/>
    <w:rsid w:val="0037122D"/>
    <w:rsid w:val="00371D83"/>
    <w:rsid w:val="00372838"/>
    <w:rsid w:val="0037318C"/>
    <w:rsid w:val="00373AC9"/>
    <w:rsid w:val="003749D9"/>
    <w:rsid w:val="00377740"/>
    <w:rsid w:val="00380FFA"/>
    <w:rsid w:val="003848A8"/>
    <w:rsid w:val="00386C26"/>
    <w:rsid w:val="003940EF"/>
    <w:rsid w:val="00396510"/>
    <w:rsid w:val="0039665B"/>
    <w:rsid w:val="00396E5B"/>
    <w:rsid w:val="003A16D7"/>
    <w:rsid w:val="003A24E8"/>
    <w:rsid w:val="003A4134"/>
    <w:rsid w:val="003A5DF1"/>
    <w:rsid w:val="003B0936"/>
    <w:rsid w:val="003B4C17"/>
    <w:rsid w:val="003B563B"/>
    <w:rsid w:val="003B586E"/>
    <w:rsid w:val="003B7E00"/>
    <w:rsid w:val="003C32A9"/>
    <w:rsid w:val="003C383B"/>
    <w:rsid w:val="003E00D5"/>
    <w:rsid w:val="003E212B"/>
    <w:rsid w:val="003E44D6"/>
    <w:rsid w:val="003E7C8B"/>
    <w:rsid w:val="003F1F08"/>
    <w:rsid w:val="003F44BD"/>
    <w:rsid w:val="003F7CB8"/>
    <w:rsid w:val="00400A39"/>
    <w:rsid w:val="0040161F"/>
    <w:rsid w:val="00402F35"/>
    <w:rsid w:val="0040783B"/>
    <w:rsid w:val="00426C3C"/>
    <w:rsid w:val="00427D80"/>
    <w:rsid w:val="004317F1"/>
    <w:rsid w:val="00433743"/>
    <w:rsid w:val="00440188"/>
    <w:rsid w:val="00440AF3"/>
    <w:rsid w:val="004413B3"/>
    <w:rsid w:val="00445A0E"/>
    <w:rsid w:val="00452859"/>
    <w:rsid w:val="0045326F"/>
    <w:rsid w:val="00455259"/>
    <w:rsid w:val="004615E5"/>
    <w:rsid w:val="00466267"/>
    <w:rsid w:val="004665DD"/>
    <w:rsid w:val="00471488"/>
    <w:rsid w:val="00473A92"/>
    <w:rsid w:val="00475A61"/>
    <w:rsid w:val="004770B6"/>
    <w:rsid w:val="004855C9"/>
    <w:rsid w:val="00497404"/>
    <w:rsid w:val="004A5625"/>
    <w:rsid w:val="004A68C6"/>
    <w:rsid w:val="004B1566"/>
    <w:rsid w:val="004B3318"/>
    <w:rsid w:val="004B66DB"/>
    <w:rsid w:val="004C5F78"/>
    <w:rsid w:val="004C7E2B"/>
    <w:rsid w:val="004D0872"/>
    <w:rsid w:val="004E11DD"/>
    <w:rsid w:val="004E49A1"/>
    <w:rsid w:val="004E62A4"/>
    <w:rsid w:val="004F3D95"/>
    <w:rsid w:val="004F3DD0"/>
    <w:rsid w:val="004F44D9"/>
    <w:rsid w:val="00501914"/>
    <w:rsid w:val="00502851"/>
    <w:rsid w:val="00512BDF"/>
    <w:rsid w:val="005154C0"/>
    <w:rsid w:val="00516125"/>
    <w:rsid w:val="0052056F"/>
    <w:rsid w:val="00522ABF"/>
    <w:rsid w:val="00530A81"/>
    <w:rsid w:val="00531858"/>
    <w:rsid w:val="00533487"/>
    <w:rsid w:val="00537079"/>
    <w:rsid w:val="0054202E"/>
    <w:rsid w:val="00544B8F"/>
    <w:rsid w:val="0054633C"/>
    <w:rsid w:val="005502B3"/>
    <w:rsid w:val="00552F9E"/>
    <w:rsid w:val="00554D84"/>
    <w:rsid w:val="00555651"/>
    <w:rsid w:val="00555F25"/>
    <w:rsid w:val="00564E53"/>
    <w:rsid w:val="00565521"/>
    <w:rsid w:val="005721D4"/>
    <w:rsid w:val="005805E8"/>
    <w:rsid w:val="00586DF1"/>
    <w:rsid w:val="005944ED"/>
    <w:rsid w:val="00596A85"/>
    <w:rsid w:val="005A14F9"/>
    <w:rsid w:val="005B2AF1"/>
    <w:rsid w:val="005C68EF"/>
    <w:rsid w:val="005D1826"/>
    <w:rsid w:val="005D3238"/>
    <w:rsid w:val="005D4784"/>
    <w:rsid w:val="005D57B4"/>
    <w:rsid w:val="005D6A5D"/>
    <w:rsid w:val="005D6B14"/>
    <w:rsid w:val="005E2DB0"/>
    <w:rsid w:val="005F6F41"/>
    <w:rsid w:val="005F7C9F"/>
    <w:rsid w:val="006078C8"/>
    <w:rsid w:val="006079A9"/>
    <w:rsid w:val="00611B0F"/>
    <w:rsid w:val="006126CE"/>
    <w:rsid w:val="00615518"/>
    <w:rsid w:val="00620790"/>
    <w:rsid w:val="006228DB"/>
    <w:rsid w:val="00622F7A"/>
    <w:rsid w:val="00624014"/>
    <w:rsid w:val="006277BD"/>
    <w:rsid w:val="006332F7"/>
    <w:rsid w:val="0063431F"/>
    <w:rsid w:val="00634B30"/>
    <w:rsid w:val="006452A6"/>
    <w:rsid w:val="00646983"/>
    <w:rsid w:val="006534BE"/>
    <w:rsid w:val="00653BAC"/>
    <w:rsid w:val="006628AF"/>
    <w:rsid w:val="00662ED6"/>
    <w:rsid w:val="00665696"/>
    <w:rsid w:val="006656CE"/>
    <w:rsid w:val="00666424"/>
    <w:rsid w:val="00673571"/>
    <w:rsid w:val="00676F86"/>
    <w:rsid w:val="00680BF3"/>
    <w:rsid w:val="00680D0B"/>
    <w:rsid w:val="0068302B"/>
    <w:rsid w:val="006A0576"/>
    <w:rsid w:val="006A7A73"/>
    <w:rsid w:val="006A7B24"/>
    <w:rsid w:val="006B3114"/>
    <w:rsid w:val="006B5C27"/>
    <w:rsid w:val="006C4897"/>
    <w:rsid w:val="006C6ADF"/>
    <w:rsid w:val="006C7232"/>
    <w:rsid w:val="006E094C"/>
    <w:rsid w:val="006E6579"/>
    <w:rsid w:val="006F0D80"/>
    <w:rsid w:val="006F2795"/>
    <w:rsid w:val="006F34A8"/>
    <w:rsid w:val="00700276"/>
    <w:rsid w:val="00700D58"/>
    <w:rsid w:val="0070137E"/>
    <w:rsid w:val="00705478"/>
    <w:rsid w:val="007063B2"/>
    <w:rsid w:val="00722106"/>
    <w:rsid w:val="00722316"/>
    <w:rsid w:val="00726240"/>
    <w:rsid w:val="007317B7"/>
    <w:rsid w:val="00735B7C"/>
    <w:rsid w:val="007371D4"/>
    <w:rsid w:val="00737524"/>
    <w:rsid w:val="00752852"/>
    <w:rsid w:val="00752AE8"/>
    <w:rsid w:val="00760672"/>
    <w:rsid w:val="00765B83"/>
    <w:rsid w:val="007669CF"/>
    <w:rsid w:val="00780C46"/>
    <w:rsid w:val="00792F55"/>
    <w:rsid w:val="00796175"/>
    <w:rsid w:val="007A205D"/>
    <w:rsid w:val="007A4CA3"/>
    <w:rsid w:val="007B188D"/>
    <w:rsid w:val="007B3734"/>
    <w:rsid w:val="007B4E25"/>
    <w:rsid w:val="007B50A0"/>
    <w:rsid w:val="007C0ADA"/>
    <w:rsid w:val="007C2A25"/>
    <w:rsid w:val="007C3B7D"/>
    <w:rsid w:val="007C56FD"/>
    <w:rsid w:val="007C623F"/>
    <w:rsid w:val="007C6971"/>
    <w:rsid w:val="007D1B20"/>
    <w:rsid w:val="007D4FA0"/>
    <w:rsid w:val="007E7B44"/>
    <w:rsid w:val="007F19E8"/>
    <w:rsid w:val="007F509A"/>
    <w:rsid w:val="007F67A5"/>
    <w:rsid w:val="00800D05"/>
    <w:rsid w:val="00802040"/>
    <w:rsid w:val="00804A0A"/>
    <w:rsid w:val="00804E58"/>
    <w:rsid w:val="008053F0"/>
    <w:rsid w:val="008072B9"/>
    <w:rsid w:val="00824973"/>
    <w:rsid w:val="00830AB7"/>
    <w:rsid w:val="0083242B"/>
    <w:rsid w:val="0083589C"/>
    <w:rsid w:val="00835E32"/>
    <w:rsid w:val="00844441"/>
    <w:rsid w:val="008449B4"/>
    <w:rsid w:val="008456D7"/>
    <w:rsid w:val="0084651F"/>
    <w:rsid w:val="00846AD9"/>
    <w:rsid w:val="00846CAF"/>
    <w:rsid w:val="0085077D"/>
    <w:rsid w:val="008618BD"/>
    <w:rsid w:val="00882E45"/>
    <w:rsid w:val="00883CEB"/>
    <w:rsid w:val="0089029B"/>
    <w:rsid w:val="0089515F"/>
    <w:rsid w:val="00896D61"/>
    <w:rsid w:val="008A2C8B"/>
    <w:rsid w:val="008A3AED"/>
    <w:rsid w:val="008A6FC7"/>
    <w:rsid w:val="008A7135"/>
    <w:rsid w:val="008B19E1"/>
    <w:rsid w:val="008C3E18"/>
    <w:rsid w:val="008C773B"/>
    <w:rsid w:val="008D0C54"/>
    <w:rsid w:val="008D145A"/>
    <w:rsid w:val="008D45F3"/>
    <w:rsid w:val="008D4CC4"/>
    <w:rsid w:val="008D6BD1"/>
    <w:rsid w:val="008E0E6A"/>
    <w:rsid w:val="008E405E"/>
    <w:rsid w:val="008E4246"/>
    <w:rsid w:val="008E44F7"/>
    <w:rsid w:val="008E4C0A"/>
    <w:rsid w:val="008E5D18"/>
    <w:rsid w:val="008F1A47"/>
    <w:rsid w:val="008F4379"/>
    <w:rsid w:val="00906578"/>
    <w:rsid w:val="009067CB"/>
    <w:rsid w:val="00907BE0"/>
    <w:rsid w:val="00910C1C"/>
    <w:rsid w:val="00912F7B"/>
    <w:rsid w:val="00913E34"/>
    <w:rsid w:val="0091404E"/>
    <w:rsid w:val="00914E45"/>
    <w:rsid w:val="00915A58"/>
    <w:rsid w:val="00926D71"/>
    <w:rsid w:val="00933A79"/>
    <w:rsid w:val="0093494C"/>
    <w:rsid w:val="00940414"/>
    <w:rsid w:val="00942B64"/>
    <w:rsid w:val="009448E8"/>
    <w:rsid w:val="00944B87"/>
    <w:rsid w:val="00951F04"/>
    <w:rsid w:val="00955853"/>
    <w:rsid w:val="00956D16"/>
    <w:rsid w:val="00960797"/>
    <w:rsid w:val="00960D12"/>
    <w:rsid w:val="00962ED3"/>
    <w:rsid w:val="00962F22"/>
    <w:rsid w:val="009713D8"/>
    <w:rsid w:val="00973E5D"/>
    <w:rsid w:val="00975CE4"/>
    <w:rsid w:val="00977A81"/>
    <w:rsid w:val="00981C25"/>
    <w:rsid w:val="00982252"/>
    <w:rsid w:val="00984256"/>
    <w:rsid w:val="0099231A"/>
    <w:rsid w:val="00993905"/>
    <w:rsid w:val="00995408"/>
    <w:rsid w:val="00995881"/>
    <w:rsid w:val="00997994"/>
    <w:rsid w:val="009A26D1"/>
    <w:rsid w:val="009A34E7"/>
    <w:rsid w:val="009A4A0A"/>
    <w:rsid w:val="009B0F2D"/>
    <w:rsid w:val="009B3399"/>
    <w:rsid w:val="009B4DCE"/>
    <w:rsid w:val="009B5495"/>
    <w:rsid w:val="009B5945"/>
    <w:rsid w:val="009B6067"/>
    <w:rsid w:val="009C315C"/>
    <w:rsid w:val="009D1B75"/>
    <w:rsid w:val="009E116F"/>
    <w:rsid w:val="009E5231"/>
    <w:rsid w:val="009E694B"/>
    <w:rsid w:val="009E766C"/>
    <w:rsid w:val="009F2165"/>
    <w:rsid w:val="009F3658"/>
    <w:rsid w:val="00A02FBB"/>
    <w:rsid w:val="00A13980"/>
    <w:rsid w:val="00A15709"/>
    <w:rsid w:val="00A20D1D"/>
    <w:rsid w:val="00A2601A"/>
    <w:rsid w:val="00A33295"/>
    <w:rsid w:val="00A34AD3"/>
    <w:rsid w:val="00A4554C"/>
    <w:rsid w:val="00A52F06"/>
    <w:rsid w:val="00A548FD"/>
    <w:rsid w:val="00A57317"/>
    <w:rsid w:val="00A578D5"/>
    <w:rsid w:val="00A57947"/>
    <w:rsid w:val="00A60749"/>
    <w:rsid w:val="00A70FC2"/>
    <w:rsid w:val="00A71D30"/>
    <w:rsid w:val="00A728BA"/>
    <w:rsid w:val="00A7582A"/>
    <w:rsid w:val="00A76D18"/>
    <w:rsid w:val="00A80699"/>
    <w:rsid w:val="00A81A1D"/>
    <w:rsid w:val="00A82523"/>
    <w:rsid w:val="00AA1B5B"/>
    <w:rsid w:val="00AA1DF5"/>
    <w:rsid w:val="00AA1F69"/>
    <w:rsid w:val="00AA72F4"/>
    <w:rsid w:val="00AA759B"/>
    <w:rsid w:val="00AB6758"/>
    <w:rsid w:val="00AC5FD4"/>
    <w:rsid w:val="00AC71D3"/>
    <w:rsid w:val="00AD2A5D"/>
    <w:rsid w:val="00AD3722"/>
    <w:rsid w:val="00AD41F5"/>
    <w:rsid w:val="00AD56CF"/>
    <w:rsid w:val="00AD680A"/>
    <w:rsid w:val="00AE3C82"/>
    <w:rsid w:val="00AE577A"/>
    <w:rsid w:val="00AF5379"/>
    <w:rsid w:val="00AF6114"/>
    <w:rsid w:val="00AF6ED0"/>
    <w:rsid w:val="00B00547"/>
    <w:rsid w:val="00B02E49"/>
    <w:rsid w:val="00B10065"/>
    <w:rsid w:val="00B137CB"/>
    <w:rsid w:val="00B17576"/>
    <w:rsid w:val="00B21E2B"/>
    <w:rsid w:val="00B25A88"/>
    <w:rsid w:val="00B27016"/>
    <w:rsid w:val="00B31C08"/>
    <w:rsid w:val="00B31D07"/>
    <w:rsid w:val="00B32E55"/>
    <w:rsid w:val="00B35C70"/>
    <w:rsid w:val="00B423A5"/>
    <w:rsid w:val="00B519F7"/>
    <w:rsid w:val="00B5325C"/>
    <w:rsid w:val="00B537E8"/>
    <w:rsid w:val="00B54ECF"/>
    <w:rsid w:val="00B5690D"/>
    <w:rsid w:val="00B62F24"/>
    <w:rsid w:val="00B7246A"/>
    <w:rsid w:val="00B7522C"/>
    <w:rsid w:val="00B755D5"/>
    <w:rsid w:val="00B82F66"/>
    <w:rsid w:val="00B83D32"/>
    <w:rsid w:val="00B874C5"/>
    <w:rsid w:val="00B95246"/>
    <w:rsid w:val="00BA04DA"/>
    <w:rsid w:val="00BA64BD"/>
    <w:rsid w:val="00BA6FC7"/>
    <w:rsid w:val="00BA761F"/>
    <w:rsid w:val="00BB5240"/>
    <w:rsid w:val="00BC762B"/>
    <w:rsid w:val="00BD683A"/>
    <w:rsid w:val="00BE13F5"/>
    <w:rsid w:val="00BE2E0E"/>
    <w:rsid w:val="00BE3E37"/>
    <w:rsid w:val="00BE5B72"/>
    <w:rsid w:val="00BE7361"/>
    <w:rsid w:val="00BF0955"/>
    <w:rsid w:val="00BF125B"/>
    <w:rsid w:val="00BF1BCF"/>
    <w:rsid w:val="00BF5961"/>
    <w:rsid w:val="00BF60DB"/>
    <w:rsid w:val="00BF6F95"/>
    <w:rsid w:val="00C004F6"/>
    <w:rsid w:val="00C01670"/>
    <w:rsid w:val="00C03077"/>
    <w:rsid w:val="00C20F7B"/>
    <w:rsid w:val="00C238F3"/>
    <w:rsid w:val="00C241B0"/>
    <w:rsid w:val="00C2741F"/>
    <w:rsid w:val="00C27DF9"/>
    <w:rsid w:val="00C40125"/>
    <w:rsid w:val="00C40374"/>
    <w:rsid w:val="00C42ED6"/>
    <w:rsid w:val="00C42FCC"/>
    <w:rsid w:val="00C43645"/>
    <w:rsid w:val="00C46D40"/>
    <w:rsid w:val="00C53D7B"/>
    <w:rsid w:val="00C5755A"/>
    <w:rsid w:val="00C603D3"/>
    <w:rsid w:val="00C60BB4"/>
    <w:rsid w:val="00C6205E"/>
    <w:rsid w:val="00C67836"/>
    <w:rsid w:val="00C678A8"/>
    <w:rsid w:val="00C71340"/>
    <w:rsid w:val="00C8163B"/>
    <w:rsid w:val="00C8724C"/>
    <w:rsid w:val="00C872CE"/>
    <w:rsid w:val="00C937ED"/>
    <w:rsid w:val="00CA401B"/>
    <w:rsid w:val="00CA5AE1"/>
    <w:rsid w:val="00CB18FB"/>
    <w:rsid w:val="00CB3185"/>
    <w:rsid w:val="00CB4348"/>
    <w:rsid w:val="00CB58EA"/>
    <w:rsid w:val="00CB6DE7"/>
    <w:rsid w:val="00CC7CF9"/>
    <w:rsid w:val="00CD497F"/>
    <w:rsid w:val="00CD7654"/>
    <w:rsid w:val="00CE4D61"/>
    <w:rsid w:val="00CE535D"/>
    <w:rsid w:val="00CE5F95"/>
    <w:rsid w:val="00CE7287"/>
    <w:rsid w:val="00CF605B"/>
    <w:rsid w:val="00CF7023"/>
    <w:rsid w:val="00D024F4"/>
    <w:rsid w:val="00D045C4"/>
    <w:rsid w:val="00D07BA0"/>
    <w:rsid w:val="00D111B9"/>
    <w:rsid w:val="00D20BD6"/>
    <w:rsid w:val="00D23246"/>
    <w:rsid w:val="00D26289"/>
    <w:rsid w:val="00D31A36"/>
    <w:rsid w:val="00D4030B"/>
    <w:rsid w:val="00D41817"/>
    <w:rsid w:val="00D5096F"/>
    <w:rsid w:val="00D51401"/>
    <w:rsid w:val="00D5142F"/>
    <w:rsid w:val="00D53CA0"/>
    <w:rsid w:val="00D55062"/>
    <w:rsid w:val="00D649DE"/>
    <w:rsid w:val="00D66176"/>
    <w:rsid w:val="00D70D7C"/>
    <w:rsid w:val="00D76271"/>
    <w:rsid w:val="00D8100B"/>
    <w:rsid w:val="00D84D94"/>
    <w:rsid w:val="00D870AD"/>
    <w:rsid w:val="00D8DA5A"/>
    <w:rsid w:val="00D9406A"/>
    <w:rsid w:val="00D97BAA"/>
    <w:rsid w:val="00DA07F8"/>
    <w:rsid w:val="00DA18E3"/>
    <w:rsid w:val="00DA2214"/>
    <w:rsid w:val="00DA2ADE"/>
    <w:rsid w:val="00DA5AD5"/>
    <w:rsid w:val="00DA5CBD"/>
    <w:rsid w:val="00DB21A9"/>
    <w:rsid w:val="00DB21C3"/>
    <w:rsid w:val="00DB71B8"/>
    <w:rsid w:val="00DC1DAD"/>
    <w:rsid w:val="00DC2927"/>
    <w:rsid w:val="00DD0544"/>
    <w:rsid w:val="00DD3857"/>
    <w:rsid w:val="00DD7755"/>
    <w:rsid w:val="00DE33A9"/>
    <w:rsid w:val="00DE5B71"/>
    <w:rsid w:val="00DE617D"/>
    <w:rsid w:val="00DE6BD1"/>
    <w:rsid w:val="00DF023B"/>
    <w:rsid w:val="00DF108E"/>
    <w:rsid w:val="00DF29EC"/>
    <w:rsid w:val="00E04FCF"/>
    <w:rsid w:val="00E10FCB"/>
    <w:rsid w:val="00E120E4"/>
    <w:rsid w:val="00E12613"/>
    <w:rsid w:val="00E130FA"/>
    <w:rsid w:val="00E13E88"/>
    <w:rsid w:val="00E17FAA"/>
    <w:rsid w:val="00E23A16"/>
    <w:rsid w:val="00E34E50"/>
    <w:rsid w:val="00E362A1"/>
    <w:rsid w:val="00E415B7"/>
    <w:rsid w:val="00E415DF"/>
    <w:rsid w:val="00E50399"/>
    <w:rsid w:val="00E511DE"/>
    <w:rsid w:val="00E550E9"/>
    <w:rsid w:val="00E554E7"/>
    <w:rsid w:val="00E555FF"/>
    <w:rsid w:val="00E56FFB"/>
    <w:rsid w:val="00E576BD"/>
    <w:rsid w:val="00E60ACB"/>
    <w:rsid w:val="00E66C32"/>
    <w:rsid w:val="00E71592"/>
    <w:rsid w:val="00E71E44"/>
    <w:rsid w:val="00E72469"/>
    <w:rsid w:val="00E90A24"/>
    <w:rsid w:val="00E925A3"/>
    <w:rsid w:val="00E97C7C"/>
    <w:rsid w:val="00EA273D"/>
    <w:rsid w:val="00EA44DD"/>
    <w:rsid w:val="00EB1071"/>
    <w:rsid w:val="00EB1177"/>
    <w:rsid w:val="00EB71F9"/>
    <w:rsid w:val="00EC01E6"/>
    <w:rsid w:val="00EC598D"/>
    <w:rsid w:val="00ED01A8"/>
    <w:rsid w:val="00ED2CE3"/>
    <w:rsid w:val="00ED3EAC"/>
    <w:rsid w:val="00ED5C00"/>
    <w:rsid w:val="00ED6715"/>
    <w:rsid w:val="00EE1F32"/>
    <w:rsid w:val="00EE3B18"/>
    <w:rsid w:val="00EF29BD"/>
    <w:rsid w:val="00EF4606"/>
    <w:rsid w:val="00EF509D"/>
    <w:rsid w:val="00F017CC"/>
    <w:rsid w:val="00F02563"/>
    <w:rsid w:val="00F0380C"/>
    <w:rsid w:val="00F039DF"/>
    <w:rsid w:val="00F03FEF"/>
    <w:rsid w:val="00F0607A"/>
    <w:rsid w:val="00F10996"/>
    <w:rsid w:val="00F12A37"/>
    <w:rsid w:val="00F13F55"/>
    <w:rsid w:val="00F142EC"/>
    <w:rsid w:val="00F164D5"/>
    <w:rsid w:val="00F23ADE"/>
    <w:rsid w:val="00F24B55"/>
    <w:rsid w:val="00F26B1E"/>
    <w:rsid w:val="00F26B77"/>
    <w:rsid w:val="00F27233"/>
    <w:rsid w:val="00F31ACA"/>
    <w:rsid w:val="00F31AD8"/>
    <w:rsid w:val="00F34AD0"/>
    <w:rsid w:val="00F424E1"/>
    <w:rsid w:val="00F4252B"/>
    <w:rsid w:val="00F45C71"/>
    <w:rsid w:val="00F45FD6"/>
    <w:rsid w:val="00F55BF4"/>
    <w:rsid w:val="00F5610D"/>
    <w:rsid w:val="00F57404"/>
    <w:rsid w:val="00F57C21"/>
    <w:rsid w:val="00F60D8E"/>
    <w:rsid w:val="00F726BD"/>
    <w:rsid w:val="00F7300A"/>
    <w:rsid w:val="00F73712"/>
    <w:rsid w:val="00F75FC1"/>
    <w:rsid w:val="00F87D68"/>
    <w:rsid w:val="00F91880"/>
    <w:rsid w:val="00F94B10"/>
    <w:rsid w:val="00FA57A9"/>
    <w:rsid w:val="00FB451D"/>
    <w:rsid w:val="00FB45DC"/>
    <w:rsid w:val="00FB7F65"/>
    <w:rsid w:val="00FC1829"/>
    <w:rsid w:val="00FD1589"/>
    <w:rsid w:val="00FD30DC"/>
    <w:rsid w:val="00FD4FFA"/>
    <w:rsid w:val="00FD6A77"/>
    <w:rsid w:val="00FE2870"/>
    <w:rsid w:val="00FE63E7"/>
    <w:rsid w:val="00FE7583"/>
    <w:rsid w:val="00FF0D8F"/>
    <w:rsid w:val="00FF1D4E"/>
    <w:rsid w:val="00FF213F"/>
    <w:rsid w:val="00FF2E85"/>
    <w:rsid w:val="00FF66D6"/>
    <w:rsid w:val="012C1F1E"/>
    <w:rsid w:val="01E6454C"/>
    <w:rsid w:val="027D601E"/>
    <w:rsid w:val="027E7924"/>
    <w:rsid w:val="028CEFC7"/>
    <w:rsid w:val="0327305E"/>
    <w:rsid w:val="04577493"/>
    <w:rsid w:val="047A8995"/>
    <w:rsid w:val="0487B78F"/>
    <w:rsid w:val="04C61C7C"/>
    <w:rsid w:val="04FE895A"/>
    <w:rsid w:val="05228E1F"/>
    <w:rsid w:val="0580F1A8"/>
    <w:rsid w:val="07456631"/>
    <w:rsid w:val="0762EC3A"/>
    <w:rsid w:val="076A4D44"/>
    <w:rsid w:val="0803BEC2"/>
    <w:rsid w:val="08545E58"/>
    <w:rsid w:val="095C9484"/>
    <w:rsid w:val="09688D85"/>
    <w:rsid w:val="0987502F"/>
    <w:rsid w:val="09BE2F54"/>
    <w:rsid w:val="0A249039"/>
    <w:rsid w:val="0B259B97"/>
    <w:rsid w:val="0BA7C4FA"/>
    <w:rsid w:val="0C07FC9B"/>
    <w:rsid w:val="0C581ADB"/>
    <w:rsid w:val="0CD1A4A0"/>
    <w:rsid w:val="0CFF6CDC"/>
    <w:rsid w:val="0DC7320B"/>
    <w:rsid w:val="0E3B612F"/>
    <w:rsid w:val="0E8E3604"/>
    <w:rsid w:val="0F4C9AE9"/>
    <w:rsid w:val="0FDDC743"/>
    <w:rsid w:val="113DEB04"/>
    <w:rsid w:val="11659624"/>
    <w:rsid w:val="11C9A283"/>
    <w:rsid w:val="12442F15"/>
    <w:rsid w:val="12BBAC3D"/>
    <w:rsid w:val="13E85113"/>
    <w:rsid w:val="13F760F9"/>
    <w:rsid w:val="141BA210"/>
    <w:rsid w:val="14920598"/>
    <w:rsid w:val="153C7066"/>
    <w:rsid w:val="15D1DC59"/>
    <w:rsid w:val="160706A5"/>
    <w:rsid w:val="164EC386"/>
    <w:rsid w:val="165A398C"/>
    <w:rsid w:val="16F4F567"/>
    <w:rsid w:val="16FD7035"/>
    <w:rsid w:val="172D0CC2"/>
    <w:rsid w:val="17A92A9B"/>
    <w:rsid w:val="181E6A7A"/>
    <w:rsid w:val="18472CBF"/>
    <w:rsid w:val="185B8619"/>
    <w:rsid w:val="187785C7"/>
    <w:rsid w:val="18A04F56"/>
    <w:rsid w:val="18C493C8"/>
    <w:rsid w:val="18CAE3F1"/>
    <w:rsid w:val="195EECD5"/>
    <w:rsid w:val="19616B7C"/>
    <w:rsid w:val="19692A63"/>
    <w:rsid w:val="197BF853"/>
    <w:rsid w:val="1A041B3D"/>
    <w:rsid w:val="1AC41E2E"/>
    <w:rsid w:val="1C305477"/>
    <w:rsid w:val="1C82585D"/>
    <w:rsid w:val="1D290ED4"/>
    <w:rsid w:val="1D3862CD"/>
    <w:rsid w:val="1DB92625"/>
    <w:rsid w:val="1ECA26FF"/>
    <w:rsid w:val="1EE568C9"/>
    <w:rsid w:val="1F35C296"/>
    <w:rsid w:val="20254E3A"/>
    <w:rsid w:val="2029B20C"/>
    <w:rsid w:val="20E66B3E"/>
    <w:rsid w:val="221D25BC"/>
    <w:rsid w:val="225FB7F1"/>
    <w:rsid w:val="228DE6B7"/>
    <w:rsid w:val="22D7985B"/>
    <w:rsid w:val="22FF3EA4"/>
    <w:rsid w:val="24B4208A"/>
    <w:rsid w:val="24E49D9F"/>
    <w:rsid w:val="255E3D6A"/>
    <w:rsid w:val="2581CDEC"/>
    <w:rsid w:val="25F176B8"/>
    <w:rsid w:val="25F2B6BC"/>
    <w:rsid w:val="2696EA75"/>
    <w:rsid w:val="26E4C5F4"/>
    <w:rsid w:val="27EDD2BC"/>
    <w:rsid w:val="280F9FAF"/>
    <w:rsid w:val="285A74AB"/>
    <w:rsid w:val="28712AFB"/>
    <w:rsid w:val="2976511E"/>
    <w:rsid w:val="29E18438"/>
    <w:rsid w:val="2AE9A179"/>
    <w:rsid w:val="2B2E184D"/>
    <w:rsid w:val="2BC47D7B"/>
    <w:rsid w:val="2CD66F94"/>
    <w:rsid w:val="2D2409F5"/>
    <w:rsid w:val="2D6CB0A7"/>
    <w:rsid w:val="2E85ECB0"/>
    <w:rsid w:val="2EC537A8"/>
    <w:rsid w:val="2F0C5DDB"/>
    <w:rsid w:val="2FD0666D"/>
    <w:rsid w:val="307E259D"/>
    <w:rsid w:val="308AB102"/>
    <w:rsid w:val="31A7C780"/>
    <w:rsid w:val="31CBC1F5"/>
    <w:rsid w:val="328664B2"/>
    <w:rsid w:val="34047C3B"/>
    <w:rsid w:val="34CD1EBA"/>
    <w:rsid w:val="35979EC5"/>
    <w:rsid w:val="365A3A4A"/>
    <w:rsid w:val="366015F2"/>
    <w:rsid w:val="371C9C1D"/>
    <w:rsid w:val="378B2AD0"/>
    <w:rsid w:val="37A2E707"/>
    <w:rsid w:val="381D7409"/>
    <w:rsid w:val="381F7A72"/>
    <w:rsid w:val="38A6D748"/>
    <w:rsid w:val="392F154C"/>
    <w:rsid w:val="394AFD11"/>
    <w:rsid w:val="395C422C"/>
    <w:rsid w:val="39A58E08"/>
    <w:rsid w:val="39B3AFA9"/>
    <w:rsid w:val="39FF4107"/>
    <w:rsid w:val="3AC4ED4C"/>
    <w:rsid w:val="3B328D38"/>
    <w:rsid w:val="3B8AEBCA"/>
    <w:rsid w:val="3BCBA66E"/>
    <w:rsid w:val="3C2BE6E7"/>
    <w:rsid w:val="3C4482DA"/>
    <w:rsid w:val="3C8AC454"/>
    <w:rsid w:val="3CDCD4C0"/>
    <w:rsid w:val="3CF2EFAD"/>
    <w:rsid w:val="3D1AAF48"/>
    <w:rsid w:val="3DD13EEE"/>
    <w:rsid w:val="3DE2DA0B"/>
    <w:rsid w:val="3DFA48F4"/>
    <w:rsid w:val="3E83DCF3"/>
    <w:rsid w:val="3E975A6A"/>
    <w:rsid w:val="3EB4C5F7"/>
    <w:rsid w:val="3EE062CB"/>
    <w:rsid w:val="3F17DBF7"/>
    <w:rsid w:val="3F474607"/>
    <w:rsid w:val="3F7059F8"/>
    <w:rsid w:val="3F74D0A6"/>
    <w:rsid w:val="3F9B06B1"/>
    <w:rsid w:val="3FBF24A1"/>
    <w:rsid w:val="40DD86B2"/>
    <w:rsid w:val="4168F747"/>
    <w:rsid w:val="41C1533C"/>
    <w:rsid w:val="423F8AB7"/>
    <w:rsid w:val="4298E38D"/>
    <w:rsid w:val="42B64A1D"/>
    <w:rsid w:val="4307859A"/>
    <w:rsid w:val="436ACFE8"/>
    <w:rsid w:val="43849B71"/>
    <w:rsid w:val="439D6878"/>
    <w:rsid w:val="43C7420D"/>
    <w:rsid w:val="4470274E"/>
    <w:rsid w:val="44D6BF82"/>
    <w:rsid w:val="44DC4D09"/>
    <w:rsid w:val="44F530C9"/>
    <w:rsid w:val="46068878"/>
    <w:rsid w:val="463B461D"/>
    <w:rsid w:val="46B37925"/>
    <w:rsid w:val="47148C49"/>
    <w:rsid w:val="4720D481"/>
    <w:rsid w:val="477E1A83"/>
    <w:rsid w:val="478BBAC6"/>
    <w:rsid w:val="4815E0D8"/>
    <w:rsid w:val="4823A461"/>
    <w:rsid w:val="4855AAFA"/>
    <w:rsid w:val="48F45D9D"/>
    <w:rsid w:val="4B641701"/>
    <w:rsid w:val="4C327A9F"/>
    <w:rsid w:val="4CCC1E7A"/>
    <w:rsid w:val="4D437972"/>
    <w:rsid w:val="4D7E527F"/>
    <w:rsid w:val="4DBEA632"/>
    <w:rsid w:val="4E1652E1"/>
    <w:rsid w:val="4E4D35AB"/>
    <w:rsid w:val="5073B27F"/>
    <w:rsid w:val="50CAE8FD"/>
    <w:rsid w:val="50D34E3F"/>
    <w:rsid w:val="51067B8C"/>
    <w:rsid w:val="52D3FE35"/>
    <w:rsid w:val="52F5CC3A"/>
    <w:rsid w:val="5312C1CC"/>
    <w:rsid w:val="53EE53C1"/>
    <w:rsid w:val="541EAA90"/>
    <w:rsid w:val="54956D9B"/>
    <w:rsid w:val="5531EBC9"/>
    <w:rsid w:val="555F29EF"/>
    <w:rsid w:val="56014B08"/>
    <w:rsid w:val="5617AFF7"/>
    <w:rsid w:val="564963B2"/>
    <w:rsid w:val="56548255"/>
    <w:rsid w:val="56D46E5C"/>
    <w:rsid w:val="57217872"/>
    <w:rsid w:val="573ACC19"/>
    <w:rsid w:val="574DF1D1"/>
    <w:rsid w:val="57941A52"/>
    <w:rsid w:val="57B502B5"/>
    <w:rsid w:val="58F4E9F3"/>
    <w:rsid w:val="59F79A67"/>
    <w:rsid w:val="5A47D95A"/>
    <w:rsid w:val="5AD641AC"/>
    <w:rsid w:val="5B7AC510"/>
    <w:rsid w:val="5BF8A32F"/>
    <w:rsid w:val="5C45D986"/>
    <w:rsid w:val="5C780E81"/>
    <w:rsid w:val="5C8ED015"/>
    <w:rsid w:val="5CFD339D"/>
    <w:rsid w:val="5D41C8B5"/>
    <w:rsid w:val="5DBABD1A"/>
    <w:rsid w:val="5E193F08"/>
    <w:rsid w:val="5E1C0125"/>
    <w:rsid w:val="5E5879E6"/>
    <w:rsid w:val="5EA167CC"/>
    <w:rsid w:val="5EC53370"/>
    <w:rsid w:val="5F0A0987"/>
    <w:rsid w:val="5F0C7956"/>
    <w:rsid w:val="5F324E9A"/>
    <w:rsid w:val="606378F2"/>
    <w:rsid w:val="6078C060"/>
    <w:rsid w:val="607A3419"/>
    <w:rsid w:val="60A48128"/>
    <w:rsid w:val="61B57DD0"/>
    <w:rsid w:val="628C6829"/>
    <w:rsid w:val="635AA8D2"/>
    <w:rsid w:val="637D4B23"/>
    <w:rsid w:val="638932B6"/>
    <w:rsid w:val="64B454E7"/>
    <w:rsid w:val="64E5C61F"/>
    <w:rsid w:val="655FEEA3"/>
    <w:rsid w:val="65B45B23"/>
    <w:rsid w:val="6655788D"/>
    <w:rsid w:val="6729C2CE"/>
    <w:rsid w:val="6760C73A"/>
    <w:rsid w:val="678B2EA8"/>
    <w:rsid w:val="67E25D0C"/>
    <w:rsid w:val="68234C3A"/>
    <w:rsid w:val="68562C62"/>
    <w:rsid w:val="693649EE"/>
    <w:rsid w:val="697896A4"/>
    <w:rsid w:val="69A8BBEE"/>
    <w:rsid w:val="6A89C54D"/>
    <w:rsid w:val="6ADD5A93"/>
    <w:rsid w:val="6AFF04AB"/>
    <w:rsid w:val="6B7AC96B"/>
    <w:rsid w:val="6BDEC307"/>
    <w:rsid w:val="6D390096"/>
    <w:rsid w:val="6D3A4AB2"/>
    <w:rsid w:val="6DED33DE"/>
    <w:rsid w:val="6F6480FC"/>
    <w:rsid w:val="703FDAB3"/>
    <w:rsid w:val="70802917"/>
    <w:rsid w:val="7149AC02"/>
    <w:rsid w:val="720718B3"/>
    <w:rsid w:val="724731EC"/>
    <w:rsid w:val="7472AF0B"/>
    <w:rsid w:val="74AEC6F6"/>
    <w:rsid w:val="74B2A5DC"/>
    <w:rsid w:val="7554B7AC"/>
    <w:rsid w:val="75600EA5"/>
    <w:rsid w:val="75840FAD"/>
    <w:rsid w:val="76B3D0EC"/>
    <w:rsid w:val="777F4160"/>
    <w:rsid w:val="77EF3143"/>
    <w:rsid w:val="78A6E59D"/>
    <w:rsid w:val="78D9010C"/>
    <w:rsid w:val="7B6FD434"/>
    <w:rsid w:val="7C364AF6"/>
    <w:rsid w:val="7C38E6A1"/>
    <w:rsid w:val="7C562B22"/>
    <w:rsid w:val="7CD1C27E"/>
    <w:rsid w:val="7CFFC8A4"/>
    <w:rsid w:val="7E270F48"/>
    <w:rsid w:val="7E93CC9C"/>
    <w:rsid w:val="7EB4EE9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1497A6"/>
  <w15:chartTrackingRefBased/>
  <w15:docId w15:val="{725A6A98-CCDE-4A5A-A15C-3E82DD7B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3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3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7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337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7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7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7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7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7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7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7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7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7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7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743"/>
    <w:rPr>
      <w:rFonts w:eastAsiaTheme="majorEastAsia" w:cstheme="majorBidi"/>
      <w:color w:val="272727" w:themeColor="text1" w:themeTint="D8"/>
    </w:rPr>
  </w:style>
  <w:style w:type="paragraph" w:styleId="Title">
    <w:name w:val="Title"/>
    <w:basedOn w:val="Normal"/>
    <w:next w:val="Normal"/>
    <w:link w:val="TitleChar"/>
    <w:uiPriority w:val="10"/>
    <w:qFormat/>
    <w:rsid w:val="00433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743"/>
    <w:pPr>
      <w:spacing w:before="160"/>
      <w:jc w:val="center"/>
    </w:pPr>
    <w:rPr>
      <w:i/>
      <w:iCs/>
      <w:color w:val="404040" w:themeColor="text1" w:themeTint="BF"/>
    </w:rPr>
  </w:style>
  <w:style w:type="character" w:customStyle="1" w:styleId="QuoteChar">
    <w:name w:val="Quote Char"/>
    <w:basedOn w:val="DefaultParagraphFont"/>
    <w:link w:val="Quote"/>
    <w:uiPriority w:val="29"/>
    <w:rsid w:val="00433743"/>
    <w:rPr>
      <w:i/>
      <w:iCs/>
      <w:color w:val="404040" w:themeColor="text1" w:themeTint="BF"/>
    </w:rPr>
  </w:style>
  <w:style w:type="paragraph" w:styleId="ListParagraph">
    <w:name w:val="List Paragraph"/>
    <w:basedOn w:val="Normal"/>
    <w:uiPriority w:val="34"/>
    <w:qFormat/>
    <w:rsid w:val="00433743"/>
    <w:pPr>
      <w:ind w:left="720"/>
      <w:contextualSpacing/>
    </w:pPr>
  </w:style>
  <w:style w:type="character" w:styleId="IntenseEmphasis">
    <w:name w:val="Intense Emphasis"/>
    <w:basedOn w:val="DefaultParagraphFont"/>
    <w:uiPriority w:val="21"/>
    <w:qFormat/>
    <w:rsid w:val="00433743"/>
    <w:rPr>
      <w:i/>
      <w:iCs/>
      <w:color w:val="0F4761" w:themeColor="accent1" w:themeShade="BF"/>
    </w:rPr>
  </w:style>
  <w:style w:type="paragraph" w:styleId="IntenseQuote">
    <w:name w:val="Intense Quote"/>
    <w:basedOn w:val="Normal"/>
    <w:next w:val="Normal"/>
    <w:link w:val="IntenseQuoteChar"/>
    <w:uiPriority w:val="30"/>
    <w:qFormat/>
    <w:rsid w:val="00433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743"/>
    <w:rPr>
      <w:i/>
      <w:iCs/>
      <w:color w:val="0F4761" w:themeColor="accent1" w:themeShade="BF"/>
    </w:rPr>
  </w:style>
  <w:style w:type="character" w:styleId="IntenseReference">
    <w:name w:val="Intense Reference"/>
    <w:basedOn w:val="DefaultParagraphFont"/>
    <w:uiPriority w:val="32"/>
    <w:qFormat/>
    <w:rsid w:val="00433743"/>
    <w:rPr>
      <w:b/>
      <w:bCs/>
      <w:smallCaps/>
      <w:color w:val="0F4761" w:themeColor="accent1" w:themeShade="BF"/>
      <w:spacing w:val="5"/>
    </w:rPr>
  </w:style>
  <w:style w:type="character" w:customStyle="1" w:styleId="Marker">
    <w:name w:val="Marker"/>
    <w:basedOn w:val="DefaultParagraphFont"/>
    <w:rsid w:val="00433743"/>
    <w:rPr>
      <w:color w:val="0000FF"/>
      <w:shd w:val="clear" w:color="auto" w:fill="auto"/>
    </w:rPr>
  </w:style>
  <w:style w:type="paragraph" w:styleId="Header">
    <w:name w:val="header"/>
    <w:basedOn w:val="Normal"/>
    <w:link w:val="HeaderChar"/>
    <w:uiPriority w:val="99"/>
    <w:unhideWhenUsed/>
    <w:rsid w:val="004337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743"/>
  </w:style>
  <w:style w:type="paragraph" w:styleId="Footer">
    <w:name w:val="footer"/>
    <w:basedOn w:val="Normal"/>
    <w:link w:val="FooterChar"/>
    <w:uiPriority w:val="99"/>
    <w:unhideWhenUsed/>
    <w:rsid w:val="004337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743"/>
  </w:style>
  <w:style w:type="paragraph" w:customStyle="1" w:styleId="Pagedecouverture">
    <w:name w:val="Page de couverture"/>
    <w:basedOn w:val="Normal"/>
    <w:next w:val="Normal"/>
    <w:rsid w:val="00433743"/>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433743"/>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33743"/>
    <w:rPr>
      <w:rFonts w:ascii="Times New Roman" w:hAnsi="Times New Roman" w:cs="Times New Roman"/>
    </w:rPr>
  </w:style>
  <w:style w:type="paragraph" w:customStyle="1" w:styleId="FooterSensitivity">
    <w:name w:val="Footer Sensitivity"/>
    <w:basedOn w:val="Normal"/>
    <w:link w:val="FooterSensitivityChar"/>
    <w:rsid w:val="004337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33743"/>
    <w:rPr>
      <w:rFonts w:ascii="Times New Roman" w:hAnsi="Times New Roman" w:cs="Times New Roman"/>
      <w:b/>
      <w:sz w:val="32"/>
    </w:rPr>
  </w:style>
  <w:style w:type="paragraph" w:customStyle="1" w:styleId="HeaderCoverPage">
    <w:name w:val="Header Cover Page"/>
    <w:basedOn w:val="Normal"/>
    <w:link w:val="HeaderCoverPageChar"/>
    <w:rsid w:val="00433743"/>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33743"/>
    <w:rPr>
      <w:rFonts w:ascii="Times New Roman" w:hAnsi="Times New Roman" w:cs="Times New Roman"/>
    </w:rPr>
  </w:style>
  <w:style w:type="paragraph" w:customStyle="1" w:styleId="HeaderSensitivity">
    <w:name w:val="Header Sensitivity"/>
    <w:basedOn w:val="Normal"/>
    <w:link w:val="HeaderSensitivityChar"/>
    <w:rsid w:val="004337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33743"/>
    <w:rPr>
      <w:rFonts w:ascii="Times New Roman" w:hAnsi="Times New Roman" w:cs="Times New Roman"/>
      <w:b/>
      <w:sz w:val="32"/>
    </w:rPr>
  </w:style>
  <w:style w:type="paragraph" w:customStyle="1" w:styleId="HeaderSensitivityRight">
    <w:name w:val="Header Sensitivity Right"/>
    <w:basedOn w:val="Normal"/>
    <w:link w:val="HeaderSensitivityRightChar"/>
    <w:rsid w:val="0043374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33743"/>
    <w:rPr>
      <w:rFonts w:ascii="Times New Roman" w:hAnsi="Times New Roman" w:cs="Times New Roman"/>
      <w:sz w:val="28"/>
    </w:rPr>
  </w:style>
  <w:style w:type="paragraph" w:customStyle="1" w:styleId="paragraph">
    <w:name w:val="paragraph"/>
    <w:basedOn w:val="Normal"/>
    <w:rsid w:val="00BF60DB"/>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normaltextrun">
    <w:name w:val="normaltextrun"/>
    <w:basedOn w:val="DefaultParagraphFont"/>
    <w:rsid w:val="00BF60DB"/>
  </w:style>
  <w:style w:type="character" w:customStyle="1" w:styleId="eop">
    <w:name w:val="eop"/>
    <w:basedOn w:val="DefaultParagraphFont"/>
    <w:rsid w:val="00BF60DB"/>
  </w:style>
  <w:style w:type="character" w:customStyle="1" w:styleId="tabchar">
    <w:name w:val="tabchar"/>
    <w:basedOn w:val="DefaultParagraphFont"/>
    <w:rsid w:val="00BF60DB"/>
  </w:style>
  <w:style w:type="character" w:styleId="Hyperlink">
    <w:name w:val="Hyperlink"/>
    <w:basedOn w:val="DefaultParagraphFont"/>
    <w:uiPriority w:val="99"/>
    <w:unhideWhenUsed/>
    <w:rsid w:val="00BF60DB"/>
    <w:rPr>
      <w:color w:val="467886" w:themeColor="hyperlink"/>
      <w:u w:val="single"/>
    </w:rPr>
  </w:style>
  <w:style w:type="character" w:styleId="CommentReference">
    <w:name w:val="annotation reference"/>
    <w:basedOn w:val="DefaultParagraphFont"/>
    <w:uiPriority w:val="99"/>
    <w:semiHidden/>
    <w:unhideWhenUsed/>
    <w:rsid w:val="00BF60DB"/>
    <w:rPr>
      <w:sz w:val="16"/>
      <w:szCs w:val="16"/>
    </w:rPr>
  </w:style>
  <w:style w:type="paragraph" w:styleId="CommentText">
    <w:name w:val="annotation text"/>
    <w:basedOn w:val="Normal"/>
    <w:link w:val="CommentTextChar"/>
    <w:uiPriority w:val="99"/>
    <w:unhideWhenUsed/>
    <w:rsid w:val="00BF60DB"/>
    <w:pPr>
      <w:spacing w:line="240" w:lineRule="auto"/>
    </w:pPr>
    <w:rPr>
      <w:sz w:val="20"/>
      <w:szCs w:val="20"/>
    </w:rPr>
  </w:style>
  <w:style w:type="character" w:customStyle="1" w:styleId="CommentTextChar">
    <w:name w:val="Comment Text Char"/>
    <w:basedOn w:val="DefaultParagraphFont"/>
    <w:link w:val="CommentText"/>
    <w:uiPriority w:val="99"/>
    <w:rsid w:val="00BF60DB"/>
    <w:rPr>
      <w:sz w:val="20"/>
      <w:szCs w:val="20"/>
    </w:rPr>
  </w:style>
  <w:style w:type="paragraph" w:styleId="CommentSubject">
    <w:name w:val="annotation subject"/>
    <w:basedOn w:val="CommentText"/>
    <w:next w:val="CommentText"/>
    <w:link w:val="CommentSubjectChar"/>
    <w:uiPriority w:val="99"/>
    <w:semiHidden/>
    <w:unhideWhenUsed/>
    <w:rsid w:val="00BF60DB"/>
    <w:rPr>
      <w:b/>
      <w:bCs/>
    </w:rPr>
  </w:style>
  <w:style w:type="character" w:customStyle="1" w:styleId="CommentSubjectChar">
    <w:name w:val="Comment Subject Char"/>
    <w:basedOn w:val="CommentTextChar"/>
    <w:link w:val="CommentSubject"/>
    <w:uiPriority w:val="99"/>
    <w:semiHidden/>
    <w:rsid w:val="00BF60DB"/>
    <w:rPr>
      <w:b/>
      <w:bCs/>
      <w:sz w:val="20"/>
      <w:szCs w:val="20"/>
    </w:rPr>
  </w:style>
  <w:style w:type="paragraph" w:styleId="Revision">
    <w:name w:val="Revision"/>
    <w:hidden/>
    <w:uiPriority w:val="99"/>
    <w:semiHidden/>
    <w:rsid w:val="00BF60DB"/>
    <w:pPr>
      <w:spacing w:after="0" w:line="240" w:lineRule="auto"/>
    </w:pPr>
    <w:rPr>
      <w:sz w:val="22"/>
      <w:szCs w:val="22"/>
    </w:rPr>
  </w:style>
  <w:style w:type="character" w:styleId="FollowedHyperlink">
    <w:name w:val="FollowedHyperlink"/>
    <w:basedOn w:val="DefaultParagraphFont"/>
    <w:uiPriority w:val="99"/>
    <w:semiHidden/>
    <w:unhideWhenUsed/>
    <w:rsid w:val="00BF60DB"/>
    <w:rPr>
      <w:color w:val="96607D" w:themeColor="followedHyperlink"/>
      <w:u w:val="single"/>
    </w:rPr>
  </w:style>
  <w:style w:type="paragraph" w:styleId="FootnoteText">
    <w:name w:val="footnote text"/>
    <w:basedOn w:val="Normal"/>
    <w:link w:val="FootnoteTextChar"/>
    <w:uiPriority w:val="99"/>
    <w:unhideWhenUsed/>
    <w:rsid w:val="00BF60DB"/>
    <w:pPr>
      <w:spacing w:after="0" w:line="240" w:lineRule="auto"/>
    </w:pPr>
    <w:rPr>
      <w:sz w:val="20"/>
      <w:szCs w:val="20"/>
    </w:rPr>
  </w:style>
  <w:style w:type="character" w:customStyle="1" w:styleId="FootnoteTextChar">
    <w:name w:val="Footnote Text Char"/>
    <w:basedOn w:val="DefaultParagraphFont"/>
    <w:link w:val="FootnoteText"/>
    <w:uiPriority w:val="99"/>
    <w:rsid w:val="00BF60DB"/>
    <w:rPr>
      <w:sz w:val="20"/>
      <w:szCs w:val="20"/>
    </w:rPr>
  </w:style>
  <w:style w:type="character" w:styleId="FootnoteReference">
    <w:name w:val="footnote reference"/>
    <w:basedOn w:val="DefaultParagraphFont"/>
    <w:uiPriority w:val="99"/>
    <w:unhideWhenUsed/>
    <w:rsid w:val="00BF60DB"/>
    <w:rPr>
      <w:vertAlign w:val="superscript"/>
    </w:rPr>
  </w:style>
  <w:style w:type="table" w:styleId="TableGrid">
    <w:name w:val="Table Grid"/>
    <w:basedOn w:val="TableNormal"/>
    <w:uiPriority w:val="59"/>
    <w:rsid w:val="00BF60DB"/>
    <w:pPr>
      <w:spacing w:after="0" w:line="240" w:lineRule="auto"/>
    </w:pPr>
    <w:rPr>
      <w:sz w:val="22"/>
      <w:szCs w:val="22"/>
    </w:rPr>
    <w:tblPr/>
  </w:style>
  <w:style w:type="paragraph" w:customStyle="1" w:styleId="Languesfaisantfoi">
    <w:name w:val="Langues faisant foi"/>
    <w:basedOn w:val="Normal"/>
    <w:next w:val="Normal"/>
    <w:rsid w:val="00BF60DB"/>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BF60DB"/>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BF60DB"/>
    <w:pPr>
      <w:spacing w:after="0"/>
    </w:pPr>
  </w:style>
  <w:style w:type="paragraph" w:customStyle="1" w:styleId="IntrtEEEPagedecouverture">
    <w:name w:val="Intérêt EEE (Page de couverture)"/>
    <w:basedOn w:val="IntrtEEE"/>
    <w:next w:val="Normal"/>
    <w:rsid w:val="00BF60DB"/>
  </w:style>
  <w:style w:type="character" w:customStyle="1" w:styleId="UnresolvedMention">
    <w:name w:val="Unresolved Mention"/>
    <w:basedOn w:val="DefaultParagraphFont"/>
    <w:uiPriority w:val="99"/>
    <w:semiHidden/>
    <w:unhideWhenUsed/>
    <w:rsid w:val="00BF60DB"/>
    <w:rPr>
      <w:color w:val="605E5C"/>
      <w:shd w:val="clear" w:color="auto" w:fill="E1DFDD"/>
    </w:rPr>
  </w:style>
  <w:style w:type="character" w:customStyle="1" w:styleId="Mention">
    <w:name w:val="Mention"/>
    <w:basedOn w:val="DefaultParagraphFont"/>
    <w:uiPriority w:val="99"/>
    <w:unhideWhenUsed/>
    <w:rsid w:val="00BF60DB"/>
    <w:rPr>
      <w:color w:val="2B579A"/>
      <w:shd w:val="clear" w:color="auto" w:fill="E1DFDD"/>
    </w:rPr>
  </w:style>
  <w:style w:type="paragraph" w:styleId="Caption">
    <w:name w:val="caption"/>
    <w:basedOn w:val="Normal"/>
    <w:next w:val="Normal"/>
    <w:uiPriority w:val="35"/>
    <w:unhideWhenUsed/>
    <w:qFormat/>
    <w:rsid w:val="00BF60DB"/>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190575">
      <w:bodyDiv w:val="1"/>
      <w:marLeft w:val="0"/>
      <w:marRight w:val="0"/>
      <w:marTop w:val="0"/>
      <w:marBottom w:val="0"/>
      <w:divBdr>
        <w:top w:val="none" w:sz="0" w:space="0" w:color="auto"/>
        <w:left w:val="none" w:sz="0" w:space="0" w:color="auto"/>
        <w:bottom w:val="none" w:sz="0" w:space="0" w:color="auto"/>
        <w:right w:val="none" w:sz="0" w:space="0" w:color="auto"/>
      </w:divBdr>
      <w:divsChild>
        <w:div w:id="2035184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image" Target="media/image10.png"/><Relationship Id="rId39" Type="http://schemas.openxmlformats.org/officeDocument/2006/relationships/image" Target="media/image23.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eader" Target="header4.xml"/><Relationship Id="rId47"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5.xml"/><Relationship Id="rId48"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broadcast-networks.eu/wp-content/uploads/South-180-5G-Broadcast-Horizons-for-Europe-0311.pdf" TargetMode="External"/><Relationship Id="rId13" Type="http://schemas.openxmlformats.org/officeDocument/2006/relationships/hyperlink" Target="https://rm.coe.int/key-trends-2025-en/1680b4e91d" TargetMode="External"/><Relationship Id="rId18" Type="http://schemas.openxmlformats.org/officeDocument/2006/relationships/hyperlink" Target="https://tech.ebu.ch/docs/techreview/EBU_Tech_Review_2019_Lombardo_Cost_analysis_of_orchestrated_5G_networks_for_broadcasting.pdf?utm_source=chatgpt.com" TargetMode="External"/><Relationship Id="rId26" Type="http://schemas.openxmlformats.org/officeDocument/2006/relationships/hyperlink" Target="https://digital-strategy.ec.europa.eu/en/library/report-results-work-high-level-group-future-use-uhf-band" TargetMode="External"/><Relationship Id="rId3" Type="http://schemas.openxmlformats.org/officeDocument/2006/relationships/hyperlink" Target="https://radio-spectrum-policy-group.ec.europa.eu/document/download/1f058f8e-0228-455c-b04e-24519da81c67_en?filename=RSPG25-033final-RSPG_Report_on_future_use_470-694_MHz_band.pdf&amp;prefLang=el" TargetMode="External"/><Relationship Id="rId21" Type="http://schemas.openxmlformats.org/officeDocument/2006/relationships/hyperlink" Target="https://www.adlittle.com/sites/default/files/reports/ADL_Data_growth_Europe_2023.pdf" TargetMode="External"/><Relationship Id="rId7" Type="http://schemas.openxmlformats.org/officeDocument/2006/relationships/hyperlink" Target="https://radio-spectrum-policy-group.ec.europa.eu/document/download/1f058f8e-0228-455c-b04e-24519da81c67_en?filename=RSPG25-033final-RSPG_Report_on_future_use_470-694_MHz_band.pdf&amp;prefLang=el" TargetMode="External"/><Relationship Id="rId12" Type="http://schemas.openxmlformats.org/officeDocument/2006/relationships/hyperlink" Target="https://broadcast-networks.eu/wp-content/uploads/Broadcast-Networks-Europe-European-Cultural-Band-Innovation-Roadmap-for-the-470-694-MHz-Band.pdf?utm_source=chatgpt.com" TargetMode="External"/><Relationship Id="rId17" Type="http://schemas.openxmlformats.org/officeDocument/2006/relationships/hyperlink" Target="https://broadcast-networks.eu/wp-content/uploads/South-180-5G-Broadcast-Horizons-for-Europe-0311.pdf" TargetMode="External"/><Relationship Id="rId25" Type="http://schemas.openxmlformats.org/officeDocument/2006/relationships/hyperlink" Target="https://www.gsma.com/connectivity-for-good/spectrum/wp-content/uploads/2022/07/5G-Low-Band-Spectrum-1.pdf" TargetMode="External"/><Relationship Id="rId2" Type="http://schemas.openxmlformats.org/officeDocument/2006/relationships/hyperlink" Target="https://radio-spectrum-policy-group.ec.europa.eu/document/download/6cb17632-9aba-4a15-aee9-28b9d272d9ed_en?filename=RSPG23-035final-RSPG_Opinion_on_UHF_beyond_2030.pdf" TargetMode="External"/><Relationship Id="rId16" Type="http://schemas.openxmlformats.org/officeDocument/2006/relationships/hyperlink" Target="https://op.europa.eu/publication-detail/-/publication/8499e3dc-df7a-11e5-8fea-01aa75ed71a1" TargetMode="External"/><Relationship Id="rId20" Type="http://schemas.openxmlformats.org/officeDocument/2006/relationships/hyperlink" Target="https://www.ericsson.com/49e9b6/assets/local/reports-papers/mobility-report/documents/2025/ericsson-mobility-report-june-2025.pdf" TargetMode="External"/><Relationship Id="rId1" Type="http://schemas.openxmlformats.org/officeDocument/2006/relationships/hyperlink" Target="http://data.europa.eu/eli/dec/2017/899/oj" TargetMode="External"/><Relationship Id="rId6" Type="http://schemas.openxmlformats.org/officeDocument/2006/relationships/hyperlink" Target="https://op.europa.eu/publication-detail/-/publication/d77a592e-4f54-11ed-92ed-01aa75ed71a1" TargetMode="External"/><Relationship Id="rId11" Type="http://schemas.openxmlformats.org/officeDocument/2006/relationships/hyperlink" Target="https://broadcast-networks.eu/wp-content/uploads/BNE-innovation-roadmap-infographic.pdf" TargetMode="External"/><Relationship Id="rId24" Type="http://schemas.openxmlformats.org/officeDocument/2006/relationships/hyperlink" Target="https://www.gsma.com/connectivity-for-good/spectrum/wp-content/uploads/2023/11/Socio-Economic-Benefits-of-Low-Band-Spectrum.pdf" TargetMode="External"/><Relationship Id="rId5" Type="http://schemas.openxmlformats.org/officeDocument/2006/relationships/hyperlink" Target="https://www.itu.int/en/Pages/default.aspx" TargetMode="External"/><Relationship Id="rId15" Type="http://schemas.openxmlformats.org/officeDocument/2006/relationships/hyperlink" Target="https://rm.coe.int/key-trends-2025-en/1680b4e91d" TargetMode="External"/><Relationship Id="rId23" Type="http://schemas.openxmlformats.org/officeDocument/2006/relationships/hyperlink" Target="https://www.gsmaintelligence.com/research/research-file-download?reportId=77932&amp;assetId=77936" TargetMode="External"/><Relationship Id="rId10" Type="http://schemas.openxmlformats.org/officeDocument/2006/relationships/hyperlink" Target="https://www.tdf.fr/wp-content/uploads/2025/09/Livre-blanc-5G-Broadcast-VF-2025-08-25.pdf" TargetMode="External"/><Relationship Id="rId19" Type="http://schemas.openxmlformats.org/officeDocument/2006/relationships/hyperlink" Target="https://thelocatproject.org/wp-content/uploads/2021/11/LoCaT-Final_Report-v1.2-Annex-B.pdf" TargetMode="External"/><Relationship Id="rId4" Type="http://schemas.openxmlformats.org/officeDocument/2006/relationships/hyperlink" Target="https://op.europa.eu/publication-detail/-/publication/d77a592e-4f54-11ed-92ed-01aa75ed71a1" TargetMode="External"/><Relationship Id="rId9" Type="http://schemas.openxmlformats.org/officeDocument/2006/relationships/hyperlink" Target="https://broadcast-networks.eu/wp-content/uploads/Broadcast-Networks-Europe-European-Cultural-Band-Innovation-Roadmap-for-the-470-694-MHz-Band.pdf?utm_source=chatgpt.com" TargetMode="External"/><Relationship Id="rId14" Type="http://schemas.openxmlformats.org/officeDocument/2006/relationships/hyperlink" Target="https://rm.coe.int/key-trends-2025-en/1680b4e91d" TargetMode="External"/><Relationship Id="rId22" Type="http://schemas.openxmlformats.org/officeDocument/2006/relationships/hyperlink" Target="https://radio-spectrum-policy-group.ec.europa.eu/document/download/89457260-ab6b-495a-9a10-437711cbe831_en?filename=RSPG25-006final-RSPG_Report_on_6G_strategic_vi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971b4-25da-4884-bcca-bc4cdf98062d">
      <Terms xmlns="http://schemas.microsoft.com/office/infopath/2007/PartnerControls"/>
    </lcf76f155ced4ddcb4097134ff3c332f>
    <TaxCatchAll xmlns="cdd1361d-578d-4248-b657-ea0d2b6ad1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1397B36352C447984A37DFD72D0E64" ma:contentTypeVersion="16" ma:contentTypeDescription="Create a new document." ma:contentTypeScope="" ma:versionID="14a367056bccf9a76815a24925993d09">
  <xsd:schema xmlns:xsd="http://www.w3.org/2001/XMLSchema" xmlns:xs="http://www.w3.org/2001/XMLSchema" xmlns:p="http://schemas.microsoft.com/office/2006/metadata/properties" xmlns:ns2="9a4971b4-25da-4884-bcca-bc4cdf98062d" xmlns:ns3="cdd1361d-578d-4248-b657-ea0d2b6ad1f3" targetNamespace="http://schemas.microsoft.com/office/2006/metadata/properties" ma:root="true" ma:fieldsID="0ce542c23cc399221026814c3929dcc1" ns2:_="" ns3:_="">
    <xsd:import namespace="9a4971b4-25da-4884-bcca-bc4cdf98062d"/>
    <xsd:import namespace="cdd1361d-578d-4248-b657-ea0d2b6ad1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971b4-25da-4884-bcca-bc4cdf980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d1361d-578d-4248-b657-ea0d2b6ad1f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8af39f-a5c7-4a6d-b9c1-a6b9a7019ef5}" ma:internalName="TaxCatchAll" ma:showField="CatchAllData" ma:web="cdd1361d-578d-4248-b657-ea0d2b6ad1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C4014-6000-4727-94E9-B43C603E29E3}">
  <ds:schemaRefs>
    <ds:schemaRef ds:uri="http://schemas.microsoft.com/sharepoint/v3/contenttype/forms"/>
  </ds:schemaRefs>
</ds:datastoreItem>
</file>

<file path=customXml/itemProps2.xml><?xml version="1.0" encoding="utf-8"?>
<ds:datastoreItem xmlns:ds="http://schemas.openxmlformats.org/officeDocument/2006/customXml" ds:itemID="{F54FD9B9-D487-4DDA-8226-50D8998503A4}">
  <ds:schemaRefs>
    <ds:schemaRef ds:uri="http://schemas.microsoft.com/office/2006/metadata/properties"/>
    <ds:schemaRef ds:uri="http://schemas.microsoft.com/office/infopath/2007/PartnerControls"/>
    <ds:schemaRef ds:uri="9a4971b4-25da-4884-bcca-bc4cdf98062d"/>
    <ds:schemaRef ds:uri="cdd1361d-578d-4248-b657-ea0d2b6ad1f3"/>
  </ds:schemaRefs>
</ds:datastoreItem>
</file>

<file path=customXml/itemProps3.xml><?xml version="1.0" encoding="utf-8"?>
<ds:datastoreItem xmlns:ds="http://schemas.openxmlformats.org/officeDocument/2006/customXml" ds:itemID="{CA04BD95-2CC0-4C64-9CDF-E4EDBE5CE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971b4-25da-4884-bcca-bc4cdf98062d"/>
    <ds:schemaRef ds:uri="cdd1361d-578d-4248-b657-ea0d2b6ad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1284A-DBBC-4DC0-89C4-B8FA2BE24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9207</Words>
  <Characters>52486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2026-07-13T09:27:00Z</dcterms:created>
  <dcterms:modified xsi:type="dcterms:W3CDTF">2026-07-19T06:52:00Z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2026-04-22T08:39:10Z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c29a3d41-7225-461f-83af-b6950d83bd01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0x010100221397B36352C447984A37DFD72D0E64</vt:lpwstr>
  </property>
  <property fmtid="{D5CDD505-2E9C-101B-9397-08002B2CF9AE}" pid="18" name="MediaServiceImageTags">
    <vt:lpwstr/>
  </property>
</Properties>
</file>