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3740B" w14:textId="5E8671BD" w:rsidR="006B0DA1" w:rsidRPr="007902A3" w:rsidRDefault="00EF59D5" w:rsidP="00EF59D5">
      <w:pPr>
        <w:pStyle w:val="Pagedecouverture"/>
        <w:rPr>
          <w:noProof/>
        </w:rPr>
      </w:pPr>
      <w:bookmarkStart w:id="0" w:name="LW_BM_COVERPAGE"/>
      <w:r>
        <w:rPr>
          <w:noProof/>
        </w:rPr>
        <w:pict w14:anchorId="1C86D6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393BBB9-90A6-423A-98AF-E00048452FE9" style="width:455.25pt;height:300pt">
            <v:imagedata r:id="rId11" o:title=""/>
          </v:shape>
        </w:pict>
      </w:r>
    </w:p>
    <w:bookmarkEnd w:id="0"/>
    <w:p w14:paraId="0BC8791D" w14:textId="77777777" w:rsidR="006B0DA1" w:rsidRPr="007902A3" w:rsidRDefault="006B0DA1" w:rsidP="006B0DA1">
      <w:pPr>
        <w:rPr>
          <w:noProof/>
        </w:rPr>
        <w:sectPr w:rsidR="006B0DA1" w:rsidRPr="007902A3" w:rsidSect="00EF59D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E0CE2B8" w14:textId="5F6284E2" w:rsidR="007E548C" w:rsidRPr="007E548C" w:rsidRDefault="007E548C" w:rsidP="007E548C">
      <w:pPr>
        <w:pStyle w:val="Typedudocument"/>
        <w:rPr>
          <w:noProof/>
        </w:rPr>
      </w:pPr>
      <w:bookmarkStart w:id="1" w:name="_GoBack"/>
      <w:bookmarkEnd w:id="1"/>
      <w:r w:rsidRPr="007E548C">
        <w:rPr>
          <w:noProof/>
        </w:rPr>
        <w:lastRenderedPageBreak/>
        <w:t>COMUNICARE A COMISIEI COMUNICARE A COMISIEI CĂTRE PARLAMENTUL EUROPEAN ȘI CONSILIU</w:t>
      </w:r>
    </w:p>
    <w:p w14:paraId="1A407BB7" w14:textId="36D6E343" w:rsidR="007E548C" w:rsidRPr="007E548C" w:rsidRDefault="007E548C" w:rsidP="007E548C">
      <w:pPr>
        <w:pStyle w:val="Titreobjet"/>
        <w:rPr>
          <w:noProof/>
        </w:rPr>
      </w:pPr>
      <w:r w:rsidRPr="007E548C">
        <w:rPr>
          <w:noProof/>
        </w:rPr>
        <w:t>Evaluare în temeiul articolului 4 din Decizia de punere în aplicare (UE) 2025/2323 a Comisiei</w:t>
      </w:r>
    </w:p>
    <w:p w14:paraId="30CCBB3D" w14:textId="13681028" w:rsidR="000B3F04" w:rsidRPr="007902A3" w:rsidRDefault="000B3F04" w:rsidP="000B3F04">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Introducere</w:t>
      </w:r>
    </w:p>
    <w:p w14:paraId="7ED328C3" w14:textId="385BF2DC" w:rsidR="000B3F04" w:rsidRPr="007902A3" w:rsidRDefault="000B3F04" w:rsidP="000B3F04">
      <w:pPr>
        <w:jc w:val="both"/>
        <w:rPr>
          <w:rFonts w:ascii="Times New Roman" w:hAnsi="Times New Roman" w:cs="Times New Roman"/>
          <w:noProof/>
          <w:sz w:val="24"/>
          <w:szCs w:val="24"/>
        </w:rPr>
      </w:pPr>
      <w:r>
        <w:rPr>
          <w:rFonts w:ascii="Times New Roman" w:hAnsi="Times New Roman"/>
          <w:noProof/>
          <w:sz w:val="24"/>
        </w:rPr>
        <w:t xml:space="preserve">Reforma sistemului european comun de azil (SECA), introdusă prin Pactul privind migrația și azilul (denumit în continuare „pactul”), constituie o etapă fundamentală în procesul de instituire a unui cadru european de gestionare a migrației mai durabil, mai eficient și mai rezilient. </w:t>
      </w:r>
    </w:p>
    <w:p w14:paraId="20A1AF62" w14:textId="3E21CA48" w:rsidR="00AC73E8" w:rsidRPr="007902A3" w:rsidRDefault="000B3F04" w:rsidP="004E6C7B">
      <w:pPr>
        <w:jc w:val="both"/>
        <w:rPr>
          <w:rFonts w:ascii="Times New Roman" w:hAnsi="Times New Roman" w:cs="Times New Roman"/>
          <w:noProof/>
          <w:sz w:val="24"/>
          <w:szCs w:val="24"/>
        </w:rPr>
      </w:pPr>
      <w:r>
        <w:rPr>
          <w:rFonts w:ascii="Times New Roman" w:hAnsi="Times New Roman"/>
          <w:noProof/>
          <w:sz w:val="24"/>
        </w:rPr>
        <w:t xml:space="preserve">Un obiectiv central al pactului este instituirea unui sistem echilibrat și integrat, în care responsabilitatea și solidaritatea sunt interdependente și se consolidează reciproc. Deși prin această reformă responsabilitățile statelor membre cresc, în special la frontierele externe, este introdus totodată un mecanism de solidaritate permanent, obligatoriu și flexibil, destinat sprijinirii statelor membre aflate sub presiune. </w:t>
      </w:r>
    </w:p>
    <w:p w14:paraId="0F33290D" w14:textId="14236723" w:rsidR="000B3F04" w:rsidRPr="007902A3" w:rsidRDefault="004E6C7B" w:rsidP="004E6C7B">
      <w:pPr>
        <w:jc w:val="both"/>
        <w:rPr>
          <w:rFonts w:ascii="Times New Roman" w:hAnsi="Times New Roman" w:cs="Times New Roman"/>
          <w:noProof/>
          <w:sz w:val="24"/>
          <w:szCs w:val="24"/>
        </w:rPr>
      </w:pPr>
      <w:r>
        <w:rPr>
          <w:rFonts w:ascii="Times New Roman" w:hAnsi="Times New Roman"/>
          <w:noProof/>
          <w:sz w:val="24"/>
        </w:rPr>
        <w:t>Prin urmare, funcționarea eficace a noului sistem depinde de menținerea acestui echilibru. Deficiențele în punerea în aplicare a pactului riscă să aducă atingere obligațiilor de solidaritate și încrederii reciproce necesare, în special în ceea ce privește normele în materie de responsabilitate. În acest context, articolul 60 alineatul (3) al patrulea paragraf din Regulamentul (UE) 2024/1351 privind gestionarea azilului și migrației</w:t>
      </w:r>
      <w:r>
        <w:rPr>
          <w:rStyle w:val="FootnoteReference"/>
          <w:rFonts w:ascii="Times New Roman" w:hAnsi="Times New Roman" w:cs="Times New Roman"/>
          <w:noProof/>
          <w:sz w:val="24"/>
          <w:szCs w:val="24"/>
        </w:rPr>
        <w:footnoteReference w:id="1"/>
      </w:r>
      <w:r>
        <w:rPr>
          <w:rFonts w:ascii="Times New Roman" w:hAnsi="Times New Roman"/>
          <w:noProof/>
          <w:sz w:val="24"/>
        </w:rPr>
        <w:t xml:space="preserve"> (denumit în continuare „AMMR”) prevede că statele membre contribuitoare nu au obligația de a pune în aplicare angajamentele pe care și le-au asumat și nici de a aplica compensarea responsabilității față de un stat membru beneficiar în cazul în care Comisia a identificat în statul membru beneficiar respectiv deficiențe sistemice în ceea ce privește normele în materie de responsabilitate care ar putea avea consecințe negative grave pentru funcționarea regulamentului respectiv. Această dispoziție răspunde necesității de a asigura funcționarea cadrului de solidaritate în paralel cu îndeplinirea efectivă a obligațiilor privind stabilirea responsabilității și efectuarea transferurilor. </w:t>
      </w:r>
    </w:p>
    <w:p w14:paraId="67DD4D5A" w14:textId="32C08A07" w:rsidR="00AC73E8" w:rsidRPr="007902A3" w:rsidRDefault="00AC73E8" w:rsidP="00AC73E8">
      <w:pPr>
        <w:jc w:val="both"/>
        <w:rPr>
          <w:rFonts w:ascii="Times New Roman" w:hAnsi="Times New Roman" w:cs="Times New Roman"/>
          <w:noProof/>
          <w:sz w:val="24"/>
          <w:szCs w:val="24"/>
        </w:rPr>
      </w:pPr>
      <w:r>
        <w:rPr>
          <w:rFonts w:ascii="Times New Roman" w:hAnsi="Times New Roman"/>
          <w:noProof/>
          <w:sz w:val="24"/>
        </w:rPr>
        <w:t>În același timp, trebuie reamintit că pactul introduce o reformă mai amplă și mai cuprinzătoare a cadrului UE în materie de migrație și azil, despre care se preconizează că va reduce treptat presiunea asupra frontierelor externe ale Uniunii și va consolida măsurile împotriva deplasărilor secundare neautorizate în interiorul Uniunii. Noul sistem stabilește proceduri mai integrate care acoperă toate etapele gestionării migrației, inclusiv procedurile de screening, de azil și de returnare la frontieră, precum și returnarea rapidă a persoanelor care nu au nevoie de protecție internațională. Acesta include, de asemenea, măsuri menite să sporească eficiența procedurilor de azil și de returnare, în special prin revizuirea noțiunilor de țară de origine sigură și de țară terță sigură, precum și prin punerea în aplicare a cadrului UE privind returnarea, recent reformat. Împreună, aceste măsuri urmăresc instituirea unui sistem european de gestionare a migrației mai eficace și mai rezilient.</w:t>
      </w:r>
    </w:p>
    <w:p w14:paraId="4373BE1D" w14:textId="10076A2A" w:rsidR="00AC73E8" w:rsidRPr="007902A3" w:rsidRDefault="00640563" w:rsidP="00AC73E8">
      <w:pPr>
        <w:jc w:val="both"/>
        <w:rPr>
          <w:rFonts w:ascii="Times New Roman" w:hAnsi="Times New Roman" w:cs="Times New Roman"/>
          <w:noProof/>
          <w:sz w:val="24"/>
          <w:szCs w:val="24"/>
        </w:rPr>
      </w:pPr>
      <w:r>
        <w:rPr>
          <w:rFonts w:ascii="Times New Roman" w:hAnsi="Times New Roman"/>
          <w:noProof/>
          <w:sz w:val="24"/>
        </w:rPr>
        <w:t>În cadrul primului ciclu anual de gestionare a migrației, Decizia de punere în aplicare (UE) 2025/2323 a Comisiei</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a identificat patru state membre ca fiind state membre aflate sub presiune migratorie: Cipru, Grecia, Spania și Italia. Statele membre respective au dreptul de a utiliza rezerva anuală de solidaritate instituită prin Decizia de punere în aplicare (UE) 2025/2642 a Consiliului</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Existența unor deficiențe sistemice în oricare dintre aceste patru state membre, care ar putea avea consecințe negative grave pentru funcționarea AMMR, ar determina aplicarea articolului 60 alineatul (3) al patrulea paragraf din regulamentul respectiv. </w:t>
      </w:r>
    </w:p>
    <w:p w14:paraId="02B254CA" w14:textId="53BDD142" w:rsidR="002E4D3C" w:rsidRPr="007902A3" w:rsidRDefault="00AC73E8" w:rsidP="000B3F04">
      <w:pPr>
        <w:jc w:val="both"/>
        <w:rPr>
          <w:rFonts w:ascii="Times New Roman" w:hAnsi="Times New Roman" w:cs="Times New Roman"/>
          <w:noProof/>
          <w:sz w:val="24"/>
          <w:szCs w:val="24"/>
        </w:rPr>
      </w:pPr>
      <w:r>
        <w:rPr>
          <w:rFonts w:ascii="Times New Roman" w:hAnsi="Times New Roman"/>
          <w:noProof/>
          <w:sz w:val="24"/>
        </w:rPr>
        <w:t>În acest context, articolul 4 din Decizia de punere în aplicare (UE) 2025/2323 a Comisiei impune Comisiei să evalueze dacă au fost remediate practicile menționate în decizia respectivă în ceea ce privește Regulamentul (UE) nr. 604/2013</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(Regulamentul Dublin III) și, prin urmare, dacă acestea constituie deficiențe sistemice care ar putea avea consecințe negative grave pentru funcționarea Regulamentului (UE) 2024/1351, caz în care se aplică articolul 60 alineatul (3) al patrulea paragraf din Regulamentul privind gestionarea azilului și migrației (AMMR). Decizia impune Comisiei să efectueze o evaluare până la 12 iulie 2026 și, ulterior, până la 15 octombrie 2026.</w:t>
      </w:r>
    </w:p>
    <w:p w14:paraId="7ECBAAD9" w14:textId="728975AF" w:rsidR="005053D7" w:rsidRPr="007902A3" w:rsidRDefault="001B6F59" w:rsidP="000B3F04">
      <w:pPr>
        <w:jc w:val="both"/>
        <w:rPr>
          <w:rFonts w:ascii="Times New Roman" w:hAnsi="Times New Roman" w:cs="Times New Roman"/>
          <w:noProof/>
          <w:sz w:val="24"/>
          <w:szCs w:val="24"/>
        </w:rPr>
      </w:pPr>
      <w:r>
        <w:rPr>
          <w:rFonts w:ascii="Times New Roman" w:hAnsi="Times New Roman"/>
          <w:noProof/>
          <w:sz w:val="24"/>
        </w:rPr>
        <w:t>Evaluările care urmează să fie efectuate de Comisie ar trebui să se concentreze în primul rând asupra remedierii practicilor menționate în Decizia de punere în aplicare (UE) 2025/2323 a Comisiei în ceea ce privește Regulamentul Dublin III și asupra progreselor înregistrate în vederea asigurării funcționării eficace a noilor norme în materie de responsabilitate, astfel cum sunt prevăzute de AMMR. În acest context și pentru a asigura o tranziție sustenabilă de la sistemul de responsabilitate în temeiul Regulamentului Dublin III la noile norme prevăzute de Regulamentul privind gestionarea azilului și migrației (AMMR), ar trebui să se acorde o atenție deosebită nivelului de cooperare operațională dintre statele membre, inclusiv angajamentului activ de a facilita transferurile și cooperării progresive în ceea ce privește chestiunile practice și logistice.</w:t>
      </w:r>
    </w:p>
    <w:p w14:paraId="71349CCF" w14:textId="3CB38994" w:rsidR="00DA26E3" w:rsidRPr="007902A3" w:rsidRDefault="00DA26E3" w:rsidP="000B3F04">
      <w:pPr>
        <w:jc w:val="both"/>
        <w:rPr>
          <w:rFonts w:ascii="Times New Roman" w:hAnsi="Times New Roman" w:cs="Times New Roman"/>
          <w:noProof/>
          <w:sz w:val="24"/>
          <w:szCs w:val="24"/>
        </w:rPr>
      </w:pPr>
      <w:r>
        <w:rPr>
          <w:rFonts w:ascii="Times New Roman" w:hAnsi="Times New Roman"/>
          <w:noProof/>
          <w:sz w:val="24"/>
        </w:rPr>
        <w:t>Având în vedere cele de mai sus, cooperarea operațională dintre Cipru și celelalte state membre în ceea ce privește aplicarea normelor în materie de responsabilitate nu ridică nicio problemă deosebită. De asemenea, cooperarea operațională dintre Spania și celelalte state membre în ceea ce privește aplicarea normelor în materie de responsabilitate nu ridică nicio problemă deosebită. Din acest motiv, nu este necesară nicio monitorizare specifică în temeiul articolului 4 din Decizia de punere în aplicare (UE) 2025/2323 a Comisiei.</w:t>
      </w:r>
    </w:p>
    <w:p w14:paraId="0F65653A" w14:textId="4B71C512" w:rsidR="001B6F59" w:rsidRPr="007902A3" w:rsidRDefault="001B6F59" w:rsidP="000B3F04">
      <w:pPr>
        <w:jc w:val="both"/>
        <w:rPr>
          <w:rFonts w:ascii="Times New Roman" w:hAnsi="Times New Roman" w:cs="Times New Roman"/>
          <w:noProof/>
          <w:sz w:val="24"/>
          <w:szCs w:val="24"/>
        </w:rPr>
      </w:pPr>
      <w:r>
        <w:rPr>
          <w:rFonts w:ascii="Times New Roman" w:hAnsi="Times New Roman"/>
          <w:noProof/>
          <w:sz w:val="24"/>
        </w:rPr>
        <w:t>La 4 aprilie 2025, Comunicarea Comisiei către Consiliu și Parlamentul European privind situația gestionării migrației în Grecia continentală</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a concluzionat că transferurile către Grecia ar trebui să aibă loc în același mod ca pentru celelalte state membre și în conformitate cu jurisprudența Curții de Justiție a Uniunii Europene în ceea ce privește interpretarea articolului 3 alineatul (2) din Regulamentul (UE) nr. 604/2013. </w:t>
      </w:r>
    </w:p>
    <w:p w14:paraId="43727523" w14:textId="348FBF31" w:rsidR="001B6F59" w:rsidRPr="007902A3" w:rsidRDefault="001B6F59" w:rsidP="000B3F04">
      <w:pPr>
        <w:jc w:val="both"/>
        <w:rPr>
          <w:rFonts w:ascii="Times New Roman" w:hAnsi="Times New Roman" w:cs="Times New Roman"/>
          <w:noProof/>
          <w:sz w:val="24"/>
          <w:szCs w:val="24"/>
        </w:rPr>
      </w:pPr>
      <w:r>
        <w:rPr>
          <w:rFonts w:ascii="Times New Roman" w:hAnsi="Times New Roman"/>
          <w:noProof/>
          <w:sz w:val="24"/>
        </w:rPr>
        <w:t>În decembrie 2022, Italia a suspendat primirea transferurilor, cu excepția cazurilor de reîntregire a familiei care implică minori neînsoțiți</w:t>
      </w:r>
      <w:r>
        <w:rPr>
          <w:rStyle w:val="FootnoteReference"/>
          <w:rFonts w:ascii="Times New Roman" w:hAnsi="Times New Roman" w:cs="Times New Roman"/>
          <w:noProof/>
          <w:sz w:val="24"/>
          <w:szCs w:val="24"/>
        </w:rPr>
        <w:footnoteReference w:id="6"/>
      </w:r>
      <w:r>
        <w:rPr>
          <w:rFonts w:ascii="Times New Roman" w:hAnsi="Times New Roman"/>
          <w:noProof/>
          <w:sz w:val="24"/>
        </w:rPr>
        <w:t>. În hotărârea sa din 19 decembrie 2024 în cauzele conexate C-185/24 și C-189/24</w:t>
      </w:r>
      <w:r>
        <w:rPr>
          <w:rStyle w:val="FootnoteReference"/>
          <w:rFonts w:ascii="Times New Roman" w:hAnsi="Times New Roman" w:cs="Times New Roman"/>
          <w:noProof/>
          <w:sz w:val="24"/>
          <w:szCs w:val="24"/>
        </w:rPr>
        <w:footnoteReference w:id="7"/>
      </w:r>
      <w:r>
        <w:rPr>
          <w:rFonts w:ascii="Times New Roman" w:hAnsi="Times New Roman"/>
          <w:noProof/>
          <w:sz w:val="24"/>
        </w:rPr>
        <w:t>, Curtea de Justiție a Uniunii Europene a constatat că statul membru desemnat drept responsabil în temeiul criteriilor prevăzute în capitolul III din Regulamentul (UE) nr. 604/2013 nu se poate exonera în mod unilateral de această responsabilitate.</w:t>
      </w:r>
    </w:p>
    <w:p w14:paraId="1A8B376A" w14:textId="6AFFCA55" w:rsidR="003550DE" w:rsidRPr="007902A3" w:rsidRDefault="6E8DFEBB" w:rsidP="000B3F04">
      <w:pPr>
        <w:jc w:val="both"/>
        <w:rPr>
          <w:rFonts w:ascii="Times New Roman" w:hAnsi="Times New Roman" w:cs="Times New Roman"/>
          <w:noProof/>
          <w:sz w:val="24"/>
          <w:szCs w:val="24"/>
        </w:rPr>
      </w:pPr>
      <w:bookmarkStart w:id="2" w:name="_Hlk234566895"/>
      <w:r>
        <w:rPr>
          <w:rFonts w:ascii="Times New Roman" w:hAnsi="Times New Roman"/>
          <w:noProof/>
          <w:sz w:val="24"/>
        </w:rPr>
        <w:t xml:space="preserve">Întrucât statele membre ar trebui să se asigure că practicile deja observate pe teritoriul lor în legătură cu aplicarea Regulamentului (UE) nr. 604/2013 nu mai persistă, cooperarea operațională dintre Grecia și celelalte state membre, precum și dintre Italia și celelalte state membre în ceea ce privește aplicarea normelor în materie de responsabilitate necesită o analiză mai aprofundată. </w:t>
      </w:r>
    </w:p>
    <w:bookmarkEnd w:id="2"/>
    <w:p w14:paraId="5F3862DD" w14:textId="02CF1AC8" w:rsidR="00251BBA" w:rsidRPr="007902A3" w:rsidRDefault="00251BBA" w:rsidP="00251BBA">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Evaluarea situației din Grecia</w:t>
      </w:r>
    </w:p>
    <w:p w14:paraId="274DED02" w14:textId="70E422C7" w:rsidR="00080A05" w:rsidRPr="007902A3" w:rsidRDefault="00E541B5" w:rsidP="00080A05">
      <w:pPr>
        <w:spacing w:after="240" w:line="240" w:lineRule="auto"/>
        <w:jc w:val="both"/>
        <w:rPr>
          <w:rFonts w:ascii="Times New Roman" w:hAnsi="Times New Roman" w:cs="Times New Roman"/>
          <w:noProof/>
          <w:sz w:val="24"/>
          <w:szCs w:val="24"/>
        </w:rPr>
      </w:pPr>
      <w:bookmarkStart w:id="3" w:name="_Hlk231825400"/>
      <w:r>
        <w:rPr>
          <w:rFonts w:ascii="Times New Roman" w:hAnsi="Times New Roman"/>
          <w:noProof/>
          <w:sz w:val="24"/>
        </w:rPr>
        <w:t>Grecia a demonstrat un angajament susținut și a depus eforturi considerabile în pregătirea punerii în aplicare a pactului, astfel cum se arată în cel de al treilea Raport al Comisiei privind stadiul punerii în aplicare a Pactului</w:t>
      </w:r>
      <w:r>
        <w:rPr>
          <w:rStyle w:val="FootnoteReference"/>
          <w:rFonts w:ascii="Times New Roman" w:hAnsi="Times New Roman" w:cs="Times New Roman"/>
          <w:noProof/>
          <w:sz w:val="24"/>
          <w:szCs w:val="24"/>
        </w:rPr>
        <w:footnoteReference w:id="8"/>
      </w:r>
      <w:r>
        <w:rPr>
          <w:rFonts w:ascii="Times New Roman" w:hAnsi="Times New Roman"/>
          <w:noProof/>
          <w:sz w:val="24"/>
        </w:rPr>
        <w:t>, inclusiv prin adoptarea unei serii de măsuri menite să asigure aplicarea noilor norme în materie de responsabilitate prevăzute de AMMR, precum și a unor elemente inovatoare esențiale ale pactului, cum ar fi screeningul, procedurile la frontieră și Eurodac.</w:t>
      </w:r>
      <w:bookmarkEnd w:id="3"/>
    </w:p>
    <w:p w14:paraId="1665F73D" w14:textId="61347E61" w:rsidR="00080A05" w:rsidRPr="007902A3" w:rsidRDefault="00080A05" w:rsidP="00080A05">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Grecia a înregistrat progrese semnificative în instituirea cadrului juridic și instituțional necesar pentru punerea în aplicare a pactului. Legislația națională de adaptare a cadrului juridic elen a fost adoptată la 9 iunie 2026. Autoritățile au depus, totodată, eforturi ample de coordonare și comunicare, inclusiv prin elaborarea de orientări operaționale și organizarea unor ateliere dedicate serviciilor implicate în punerea în aplicare a noilor proceduri. </w:t>
      </w:r>
    </w:p>
    <w:p w14:paraId="60CAA4EB" w14:textId="4050A59F" w:rsidR="00080A05" w:rsidRPr="007902A3" w:rsidRDefault="00080A05" w:rsidP="00080A05">
      <w:pPr>
        <w:spacing w:after="240" w:line="240" w:lineRule="auto"/>
        <w:jc w:val="both"/>
        <w:rPr>
          <w:rFonts w:ascii="Times New Roman" w:hAnsi="Times New Roman" w:cs="Times New Roman"/>
          <w:noProof/>
          <w:sz w:val="24"/>
          <w:szCs w:val="24"/>
        </w:rPr>
      </w:pPr>
      <w:r>
        <w:rPr>
          <w:rFonts w:ascii="Times New Roman" w:hAnsi="Times New Roman"/>
          <w:noProof/>
          <w:sz w:val="24"/>
        </w:rPr>
        <w:t>De asemenea, au fost finalizate pregătiri operaționale importante pentru procedura la frontieră. Grecia a desemnat infrastructurile relevante, a desfășurat exerciții-pilot în mai multe locații și a instituit un mecanism de coordonare interinstituțională care implică toate autoritățile naționale-cheie, EUAA și Frontex. Autoritățile au introdus, de asemenea, măsuri operaționale menite să faciliteze respectarea noilor termene, inclusiv proceduri de sesizare simplificate, capacități suplimentare de primire în Creta și soluții de transport specifice pentru transferul rapid al solicitanților în afara Cretei. Autoritatea Națională pentru Transparență a fost desemnată drept mecanism independent de monitorizare a drepturilor fundamentale în cadrul screeningului și al procedurilor la frontieră.</w:t>
      </w:r>
    </w:p>
    <w:p w14:paraId="2ABBAE54" w14:textId="7E24580E" w:rsidR="006519DD" w:rsidRPr="007902A3" w:rsidRDefault="006519DD" w:rsidP="00251B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aprilie 2026, în conformitate cu articolul 23 din Regulamentul de punere în aplicare (UE) 2025/2055 al Comisiei, Grecia a informat Agenția Uniunii Europene pentru Azil (EUAA) cu privire la locațiile de transfer care urmează să fie utilizate în sensul punerii în aplicare a AMMR, inclusiv punctele de transfer aeriene, maritime și terestre, locațiile pentru transferuri voluntare și aeroportul desemnat ca opțiune implicită. </w:t>
      </w:r>
    </w:p>
    <w:p w14:paraId="4F14206D" w14:textId="5C1E9751" w:rsidR="00FB7F61" w:rsidRPr="007902A3" w:rsidRDefault="00FB7F61" w:rsidP="00FB7F61">
      <w:pPr>
        <w:spacing w:after="240" w:line="240" w:lineRule="auto"/>
        <w:jc w:val="both"/>
        <w:rPr>
          <w:rFonts w:ascii="Times New Roman" w:hAnsi="Times New Roman" w:cs="Times New Roman"/>
          <w:noProof/>
          <w:sz w:val="24"/>
          <w:szCs w:val="24"/>
        </w:rPr>
      </w:pPr>
      <w:bookmarkStart w:id="4" w:name="_Hlk232348974"/>
      <w:r>
        <w:rPr>
          <w:rFonts w:ascii="Times New Roman" w:hAnsi="Times New Roman"/>
          <w:noProof/>
          <w:sz w:val="24"/>
        </w:rPr>
        <w:t>Capacitatea operațională a unității naționale Dublin (</w:t>
      </w:r>
      <w:r>
        <w:rPr>
          <w:rFonts w:ascii="Times New Roman" w:hAnsi="Times New Roman"/>
          <w:i/>
          <w:noProof/>
          <w:sz w:val="24"/>
        </w:rPr>
        <w:t>National Dublin Unit</w:t>
      </w:r>
      <w:r>
        <w:rPr>
          <w:rFonts w:ascii="Times New Roman" w:hAnsi="Times New Roman"/>
          <w:noProof/>
          <w:sz w:val="24"/>
        </w:rPr>
        <w:t xml:space="preserve"> – NDU) a fost consolidată în mod semnificativ în vederea punerii în aplicare a AMMR. La 2 iunie 2026, încă 15 membri ai personalului interimar s-au alăturat unității în cadrul planului operațional al EUAA, ceea ce a adus efectivul total la 69 de membri ai personalului (34 de membri ai personalului interimar, 21 de angajați cu contract pe durată determinată și 14 membri ai personalului permanent), sprijiniți de cinci șefi de echipă. Personalul din alte unități poate fi, de asemenea, mobilizat pentru a sprijini NDU în perioadele de creștere a volumului de muncă. În plus, a fost lansată o procedură de recrutare pentru încă 116 angajați cu contract pe durată determinată, care ar trebui să consolideze și mai mult capacitatea NDU de a gestiona cazurile primite și de a respecta noile termene prevăzute de AMMR. NDU a elaborat proceduri standard de operare specifice pentru cererile primite și pentru transferurile de responsabilitate primite în temeiul AMMR. Noile fluxuri de lucru prevăd verificarea sistematică a responsabilității, implicarea timpurie a autorităților responsabile cu primirea solicitanților și protecția copilului, precum și pregătirea structurată a transferurilor de responsabilitate primite. </w:t>
      </w:r>
    </w:p>
    <w:p w14:paraId="05B9FCD1" w14:textId="27158223" w:rsidR="00DA1906" w:rsidRPr="007902A3" w:rsidRDefault="00FB7F61" w:rsidP="00FB7F61">
      <w:pPr>
        <w:spacing w:after="240" w:line="240" w:lineRule="auto"/>
        <w:jc w:val="both"/>
        <w:rPr>
          <w:rFonts w:ascii="Times New Roman" w:hAnsi="Times New Roman" w:cs="Times New Roman"/>
          <w:noProof/>
          <w:sz w:val="24"/>
          <w:szCs w:val="24"/>
        </w:rPr>
      </w:pPr>
      <w:r>
        <w:rPr>
          <w:rFonts w:ascii="Times New Roman" w:hAnsi="Times New Roman"/>
          <w:noProof/>
          <w:sz w:val="24"/>
        </w:rPr>
        <w:t>Au fost instituite măsurile organizatorice necesare pentru a se asigura (</w:t>
      </w:r>
      <w:r>
        <w:rPr>
          <w:rFonts w:ascii="Times New Roman" w:hAnsi="Times New Roman"/>
          <w:i/>
          <w:noProof/>
          <w:sz w:val="24"/>
        </w:rPr>
        <w:t>Reception and Identification Service</w:t>
      </w:r>
      <w:r>
        <w:rPr>
          <w:rFonts w:ascii="Times New Roman" w:hAnsi="Times New Roman"/>
          <w:noProof/>
          <w:sz w:val="24"/>
        </w:rPr>
        <w:t xml:space="preserve"> – RIS)</w:t>
      </w:r>
      <w:r>
        <w:rPr>
          <w:rStyle w:val="FootnoteReference"/>
          <w:rFonts w:ascii="Times New Roman" w:hAnsi="Times New Roman" w:cs="Times New Roman"/>
          <w:noProof/>
          <w:sz w:val="24"/>
          <w:szCs w:val="24"/>
        </w:rPr>
        <w:footnoteReference w:id="9"/>
      </w:r>
      <w:r>
        <w:rPr>
          <w:rFonts w:ascii="Times New Roman" w:hAnsi="Times New Roman"/>
          <w:noProof/>
          <w:sz w:val="24"/>
        </w:rPr>
        <w:t xml:space="preserve"> este informat cu aproximativ o săptămână înainte de transfer, astfel încât capacitatea de primire și măsurile practice necesare să poată fi organizate în prealabil. Schimburile săptămânale de informații privind sosirile planificate sprijină totodată pregătirea operațională și gestionarea eficientă a transferurilor de responsabilitate primite. Autoritățile au instituit, de asemenea, măsurile necesare pentru a aplica, după caz, restricții privind libera circulație, în temeiul articolului 9 din Directiva privind condițiile de primire. </w:t>
      </w:r>
    </w:p>
    <w:p w14:paraId="449511F3" w14:textId="55B56A77" w:rsidR="00FB7F61" w:rsidRPr="007902A3" w:rsidRDefault="00FB7F61" w:rsidP="00E243D0">
      <w:pPr>
        <w:spacing w:after="240" w:line="240" w:lineRule="auto"/>
        <w:jc w:val="both"/>
        <w:rPr>
          <w:rFonts w:ascii="Times New Roman" w:hAnsi="Times New Roman" w:cs="Times New Roman"/>
          <w:noProof/>
          <w:sz w:val="24"/>
          <w:szCs w:val="24"/>
        </w:rPr>
      </w:pPr>
      <w:r>
        <w:rPr>
          <w:rFonts w:ascii="Times New Roman" w:hAnsi="Times New Roman"/>
          <w:noProof/>
          <w:sz w:val="24"/>
        </w:rPr>
        <w:t>Capacitatea operațională este consolidată în continuare prin sprijinul EUAA. Autoritățile intenționează să aloce aproximativ o treime din personalul interimar sprijinit de EUAA (13-14 angajați) gestionării cererilor primite și transferurilor de responsabilitate primite și planifică activități suplimentare de formare pentru personalul nou-recrutat. Aceste activități completează instruirea deja oferită de formatorii specializați din cadrul NDU cu privire la AMMR și, în special, la criteriile de responsabilitate.</w:t>
      </w:r>
    </w:p>
    <w:p w14:paraId="6CD71829" w14:textId="08DF1838" w:rsidR="008A0BCD" w:rsidRPr="007902A3" w:rsidRDefault="00300D19" w:rsidP="00300D19">
      <w:pPr>
        <w:spacing w:after="240" w:line="240" w:lineRule="auto"/>
        <w:jc w:val="both"/>
        <w:rPr>
          <w:rFonts w:ascii="Times New Roman" w:hAnsi="Times New Roman" w:cs="Times New Roman"/>
          <w:noProof/>
          <w:sz w:val="24"/>
          <w:szCs w:val="24"/>
        </w:rPr>
      </w:pPr>
      <w:r>
        <w:rPr>
          <w:rFonts w:ascii="Times New Roman" w:hAnsi="Times New Roman"/>
          <w:noProof/>
          <w:sz w:val="24"/>
        </w:rPr>
        <w:t>Grecia a pus în aplicare cu succes cerințele tehnice necesare pentru conectarea sistemelor naționale la sistemul central Eurodac și este capabilă să transmită datele necesare pentru îndeplinirea responsabilităților care îi revin în temeiul Regulamentului (UE) 2024/1358</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w:t>
      </w:r>
    </w:p>
    <w:p w14:paraId="613D27EA" w14:textId="3941340E" w:rsidR="00FB7F61" w:rsidRPr="007902A3" w:rsidRDefault="00E57766" w:rsidP="00FB7F61">
      <w:pPr>
        <w:spacing w:after="240" w:line="240" w:lineRule="auto"/>
        <w:jc w:val="both"/>
        <w:rPr>
          <w:rFonts w:ascii="Times New Roman" w:hAnsi="Times New Roman" w:cs="Times New Roman"/>
          <w:noProof/>
          <w:sz w:val="24"/>
          <w:szCs w:val="24"/>
        </w:rPr>
      </w:pPr>
      <w:r>
        <w:rPr>
          <w:rFonts w:ascii="Times New Roman" w:hAnsi="Times New Roman"/>
          <w:noProof/>
          <w:sz w:val="24"/>
        </w:rPr>
        <w:t>DubliNet a fost modernizat cu succes și este pe deplin operațional, în conformitate cu noile cerințe.</w:t>
      </w:r>
      <w:r w:rsidR="00FF21CE">
        <w:rPr>
          <w:rFonts w:ascii="Times New Roman" w:hAnsi="Times New Roman"/>
          <w:noProof/>
          <w:sz w:val="24"/>
        </w:rPr>
        <w:t xml:space="preserve"> </w:t>
      </w:r>
      <w:r>
        <w:rPr>
          <w:rFonts w:ascii="Times New Roman" w:hAnsi="Times New Roman"/>
          <w:noProof/>
          <w:sz w:val="24"/>
        </w:rPr>
        <w:t>Se analizează posibilitatea automatizării suplimentare a proceselor de înregistrare, clasificare și gestionare a cazurilor, pentru a reduce volumul de muncă administrativă și pentru a sprijini respectarea termenelor prevăzute de AMMR.</w:t>
      </w:r>
    </w:p>
    <w:p w14:paraId="02312343" w14:textId="3513EAEA" w:rsidR="00FB7F61" w:rsidRPr="007902A3" w:rsidRDefault="00FB7F61" w:rsidP="00FB7F61">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Sistemul național de gestionare a cazurilor </w:t>
      </w:r>
      <w:r>
        <w:rPr>
          <w:rFonts w:ascii="Times New Roman" w:hAnsi="Times New Roman"/>
          <w:i/>
          <w:noProof/>
          <w:sz w:val="24"/>
        </w:rPr>
        <w:t>Alkyoni II</w:t>
      </w:r>
      <w:r>
        <w:rPr>
          <w:rFonts w:ascii="Times New Roman" w:hAnsi="Times New Roman"/>
          <w:noProof/>
          <w:sz w:val="24"/>
        </w:rPr>
        <w:t xml:space="preserve"> a fost modernizat pentru a sprijini punerea în aplicare a AMMR prin calcularea automată a termenelor, gestionarea fluxului de lucru, monitorizarea cazurilor, emiterea de alerte, întocmirea de rapoarte și utilizarea unor funcții statistice, precum și prin integrarea cu Eurodac. Sunt planificate conexiuni suplimentare cu sistemul DubliNet, cu Sistemul de informații privind vizele, cu Sistemul de informații Schengen și cu Sistemul european de informații și de autorizare privind călătoriile (ETIAS), pentru a le permite responsabililor de caz să îndeplinească principalele sarcini procedurale prin intermediul unei platforme unice. Aceste evoluții ar trebui să îmbunătățească eficiența, să consolideze monitorizarea volumului de muncă și a cazurilor restante și să faciliteze respectarea noilor cerințe procedurale introduse de AMMR.</w:t>
      </w:r>
    </w:p>
    <w:bookmarkEnd w:id="4"/>
    <w:p w14:paraId="5194E01A" w14:textId="7A8786A8" w:rsidR="00990E1A" w:rsidRPr="007902A3" w:rsidRDefault="00990E1A" w:rsidP="001611E6">
      <w:pPr>
        <w:spacing w:after="240" w:line="240" w:lineRule="auto"/>
        <w:jc w:val="both"/>
        <w:rPr>
          <w:rFonts w:ascii="Times New Roman" w:hAnsi="Times New Roman" w:cs="Times New Roman"/>
          <w:noProof/>
          <w:sz w:val="24"/>
          <w:szCs w:val="24"/>
        </w:rPr>
      </w:pPr>
      <w:r>
        <w:rPr>
          <w:rFonts w:ascii="Times New Roman" w:hAnsi="Times New Roman"/>
          <w:noProof/>
          <w:sz w:val="24"/>
        </w:rPr>
        <w:t>În primele săptămâni de aplicare a AMMR (12 iunie - 7 iulie 2026), opt state membre au informat Comisia că au transmis Greciei cereri de preluare și notificări de reprimire. Pe baza informațiilor disponibile, Grecia a renunțat la practica de a nu accepta responsabilitatea și, în această perioadă, nu a transmis niciun răspuns negativ pentru motive care nu intră în domeniul de aplicare al AMMR. Termenul legal de răspuns la unele dintre aceste cereri și notificări, astfel cum este prevăzut la articolul 39 alineatul (1) și la articolul 41 din AMMR, nu a expirat încă. Între 12 iunie și 7 iulie, având în vedere caracterul încă recent al schimbării practicii privind acceptarea responsabilității, nu au fost încă transmise Greciei cereri de transfer.</w:t>
      </w:r>
    </w:p>
    <w:p w14:paraId="515A9F58" w14:textId="66DB0359" w:rsidR="00251BBA" w:rsidRPr="007902A3" w:rsidRDefault="00251BBA" w:rsidP="00251BBA">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Evaluarea situației din Italia</w:t>
      </w:r>
    </w:p>
    <w:p w14:paraId="6A2ACC76" w14:textId="5A5234FF" w:rsidR="00FF1CD7" w:rsidRPr="007902A3" w:rsidRDefault="00D63AAC" w:rsidP="009D6F4E">
      <w:pPr>
        <w:jc w:val="both"/>
        <w:rPr>
          <w:rFonts w:ascii="Times New Roman" w:hAnsi="Times New Roman" w:cs="Times New Roman"/>
          <w:noProof/>
          <w:sz w:val="24"/>
          <w:szCs w:val="24"/>
        </w:rPr>
      </w:pPr>
      <w:bookmarkStart w:id="5" w:name="_Hlk231825632"/>
      <w:bookmarkStart w:id="6" w:name="_Hlk230796694"/>
      <w:r>
        <w:rPr>
          <w:rFonts w:ascii="Times New Roman" w:hAnsi="Times New Roman"/>
          <w:noProof/>
          <w:sz w:val="24"/>
        </w:rPr>
        <w:t>Italia a demonstrat un angajament susținut și a depus eforturi considerabile în pregătirea punerii în aplicare a pactului, astfel cum se indică în cel de-al treilea raport al Comisiei privind stadiul punerii în aplicare a pactului</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inclusiv o serie de măsuri menite să asigure aplicarea noilor norme privind responsabilitatea prevăzute de AMMR, precum și a unor inovații esențiale ale pactului, cum ar fi procedura la frontieră sau Eurodac. </w:t>
      </w:r>
    </w:p>
    <w:p w14:paraId="74433394" w14:textId="3C38CD5A" w:rsidR="009D6F4E" w:rsidRPr="007902A3" w:rsidRDefault="009D6F4E" w:rsidP="009D6F4E">
      <w:pPr>
        <w:jc w:val="both"/>
        <w:rPr>
          <w:rFonts w:ascii="Times New Roman" w:hAnsi="Times New Roman" w:cs="Times New Roman"/>
          <w:noProof/>
          <w:sz w:val="24"/>
          <w:szCs w:val="24"/>
        </w:rPr>
      </w:pPr>
      <w:r>
        <w:rPr>
          <w:rFonts w:ascii="Times New Roman" w:hAnsi="Times New Roman"/>
          <w:noProof/>
          <w:sz w:val="24"/>
        </w:rPr>
        <w:t xml:space="preserve">În iunie 2026, Consiliul de Miniștri al Italiei a adoptat un decret-lege care introduce măsuri urgente menite să faciliteze aplicarea în timp util a principalelor dispoziții ale pactului. Acesta introduce modificări ale cadrului național în materie de migrație și azil, inclusiv dispoziții privind procedura la frontieră, procedura de screening, Eurodac, condițiile de primire și procedurile de returnare. În plus, decretul-lege consolidează capacitatea administrativă și judiciară necesară pentru punerea în aplicare a noului cadru, în special prin asigurarea de personal suplimentar pentru procedurile de azil și prin măsuri destinate reducerii numărului cauzelor de azil nesoluționate. Decretul-lege trebuie convertit în lege de către legiuitorul italian în termen de 60 de zile de la publicarea sa în </w:t>
      </w:r>
      <w:r>
        <w:rPr>
          <w:rFonts w:ascii="Times New Roman" w:hAnsi="Times New Roman"/>
          <w:i/>
          <w:iCs/>
          <w:noProof/>
          <w:sz w:val="24"/>
        </w:rPr>
        <w:t>Jurnalul Oficial</w:t>
      </w:r>
      <w:r>
        <w:rPr>
          <w:rFonts w:ascii="Times New Roman" w:hAnsi="Times New Roman"/>
          <w:noProof/>
          <w:sz w:val="24"/>
        </w:rPr>
        <w:t xml:space="preserve"> italian; acest proces este în curs.</w:t>
      </w:r>
    </w:p>
    <w:bookmarkEnd w:id="5"/>
    <w:bookmarkEnd w:id="6"/>
    <w:p w14:paraId="026525DB" w14:textId="64EB5324" w:rsidR="00881000" w:rsidRPr="007902A3" w:rsidRDefault="00881000" w:rsidP="00881000">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aprilie 2026, în conformitate cu articolul 23 din Regulamentul de punere în aplicare (UE) 2025/2055 al Comisiei, Italia a informat EUAA cu privire la locațiile de transfer care urmează să fie utilizate în sensul punerii în aplicare a AMMR, inclusiv punctele de transfer aeriene, maritime și terestre, locațiile pentru transferuri voluntare și aeroportul desemnat ca opțiune implicită. </w:t>
      </w:r>
    </w:p>
    <w:p w14:paraId="41BFE09B" w14:textId="56113FF4" w:rsidR="005923AD" w:rsidRPr="007902A3" w:rsidRDefault="005923AD" w:rsidP="005923AD">
      <w:pPr>
        <w:spacing w:after="240" w:line="240" w:lineRule="auto"/>
        <w:jc w:val="both"/>
        <w:rPr>
          <w:rFonts w:ascii="Times New Roman" w:hAnsi="Times New Roman" w:cs="Times New Roman"/>
          <w:noProof/>
          <w:sz w:val="24"/>
          <w:szCs w:val="24"/>
        </w:rPr>
      </w:pPr>
      <w:bookmarkStart w:id="7" w:name="_Hlk232346029"/>
      <w:r>
        <w:rPr>
          <w:rFonts w:ascii="Times New Roman" w:hAnsi="Times New Roman"/>
          <w:noProof/>
          <w:sz w:val="24"/>
        </w:rPr>
        <w:t>Capacitatea operațională a unității naționale responsabile în temeiul AMMR a fost consolidată în mod semnificativ în vederea punerii în aplicare a AMMR. Unitatea este consolidată prin recrutarea a încă 15 membri ai personalului pe termen lung, dintre care cel puțin 10 vor fi repartizați procedurilor aferente transferurilor de responsabilitate primite, ceea ce aproape dublează resursele disponibile pentru gestionarea cazurilor primite</w:t>
      </w:r>
      <w:r>
        <w:rPr>
          <w:rStyle w:val="FootnoteReference"/>
          <w:rFonts w:ascii="Times New Roman" w:hAnsi="Times New Roman" w:cs="Times New Roman"/>
          <w:noProof/>
          <w:sz w:val="24"/>
          <w:szCs w:val="24"/>
        </w:rPr>
        <w:footnoteReference w:id="12"/>
      </w:r>
      <w:r>
        <w:rPr>
          <w:rFonts w:ascii="Times New Roman" w:hAnsi="Times New Roman"/>
          <w:noProof/>
          <w:sz w:val="24"/>
        </w:rPr>
        <w:t>. Au fost suplimentate, de asemenea, spațiile de birouri și echipamentele pentru videoconferințe. Unitatea este organizată în sectoare specializate care acoperă procedurile aferente cererilor și notificărilor primite, procedurile aferente cererilor și notificărilor transmise, relocarea, căile de atac și reîntregirea familiei, responsabilii de caz gestionând toate etapele procedurilor din cadrul sectoarelor de care răspund.</w:t>
      </w:r>
    </w:p>
    <w:p w14:paraId="3A5D8547" w14:textId="4312499D" w:rsidR="005923AD" w:rsidRPr="007902A3" w:rsidRDefault="005923AD" w:rsidP="005923AD">
      <w:pPr>
        <w:spacing w:after="240" w:line="240" w:lineRule="auto"/>
        <w:jc w:val="both"/>
        <w:rPr>
          <w:rFonts w:ascii="Times New Roman" w:hAnsi="Times New Roman" w:cs="Times New Roman"/>
          <w:noProof/>
          <w:sz w:val="24"/>
          <w:szCs w:val="24"/>
        </w:rPr>
      </w:pPr>
      <w:r>
        <w:rPr>
          <w:rFonts w:ascii="Times New Roman" w:hAnsi="Times New Roman"/>
          <w:noProof/>
          <w:sz w:val="24"/>
        </w:rPr>
        <w:t>Se desfășoară o evaluare a impactului preconizat al noului cadru juridic pentru a estima volumul de muncă viitor și nevoile de capacitate pe termen lung care decurg din procedurile și termenele revizuite prevăzute de AMMR. În paralel, o reorganizare planificată va permite alocarea mai flexibilă a resurselor în funcție de volumul de muncă, ținând seama atât de volumul cererilor și al notificărilor, cât și de termenele procedurale aplicabile.</w:t>
      </w:r>
    </w:p>
    <w:p w14:paraId="5ABB22E2" w14:textId="051FE770" w:rsidR="005923AD" w:rsidRPr="007902A3" w:rsidRDefault="005923AD" w:rsidP="005923AD">
      <w:pPr>
        <w:spacing w:after="240" w:line="240" w:lineRule="auto"/>
        <w:jc w:val="both"/>
        <w:rPr>
          <w:rFonts w:ascii="Times New Roman" w:hAnsi="Times New Roman" w:cs="Times New Roman"/>
          <w:noProof/>
          <w:sz w:val="24"/>
          <w:szCs w:val="24"/>
        </w:rPr>
      </w:pPr>
      <w:r>
        <w:rPr>
          <w:rFonts w:ascii="Times New Roman" w:hAnsi="Times New Roman"/>
          <w:noProof/>
          <w:sz w:val="24"/>
        </w:rPr>
        <w:t>Fluxurile de lucru sunt adaptate pe baza testării noii aplicații DubliNet, iar un instrument național de gestionare a cazurilor a fost conceput pentru a facilita gestionarea cererilor de preluare și a notificărilor de reprimire. Au fost stabilite proceduri operaționale pentru a coordona activitățile autorităților implicate în punerea în aplicare a pactului (în special în ceea ce privește gestionarea cererilor de protecție internațională, inclusiv de către sistemul judiciar), asigurând gestionarea eficientă a cazurilor, alocarea clară a responsabilităților și respectarea noilor cerințe procedurale.</w:t>
      </w:r>
    </w:p>
    <w:p w14:paraId="583625CC" w14:textId="4D537EC2" w:rsidR="005923AD" w:rsidRPr="007902A3" w:rsidRDefault="005923AD" w:rsidP="005923AD">
      <w:pPr>
        <w:spacing w:after="240" w:line="240" w:lineRule="auto"/>
        <w:jc w:val="both"/>
        <w:rPr>
          <w:rFonts w:ascii="Times New Roman" w:hAnsi="Times New Roman" w:cs="Times New Roman"/>
          <w:noProof/>
          <w:sz w:val="24"/>
          <w:szCs w:val="24"/>
        </w:rPr>
      </w:pPr>
      <w:r>
        <w:rPr>
          <w:rFonts w:ascii="Times New Roman" w:hAnsi="Times New Roman"/>
          <w:noProof/>
          <w:sz w:val="24"/>
        </w:rPr>
        <w:t>Consolidarea capacităților este sprijinită în continuare prin formare continuă, participarea la activități de coordonare, module de instruire EUAA și mecanisme interne de schimb de cunoștințe. Membrii personalului de conducere certificați ca formatori EUAA asigură activitățile de instruire, contribuind la menținerea unui nivel ridicat de expertiză și a consecvenței operaționale în întreaga unitate.</w:t>
      </w:r>
    </w:p>
    <w:p w14:paraId="49808C10" w14:textId="1F545E68" w:rsidR="0064670A" w:rsidRPr="007902A3" w:rsidRDefault="00F97C0F" w:rsidP="0064670A">
      <w:pPr>
        <w:spacing w:after="240" w:line="240" w:lineRule="auto"/>
        <w:jc w:val="both"/>
        <w:rPr>
          <w:rFonts w:ascii="Times New Roman" w:hAnsi="Times New Roman" w:cs="Times New Roman"/>
          <w:noProof/>
          <w:sz w:val="24"/>
          <w:szCs w:val="24"/>
        </w:rPr>
      </w:pPr>
      <w:r>
        <w:rPr>
          <w:rFonts w:ascii="Times New Roman" w:hAnsi="Times New Roman"/>
          <w:noProof/>
          <w:sz w:val="24"/>
        </w:rPr>
        <w:t>Organizarea sistemului național de primire pare suficientă pentru a asigura cazarea persoanelor transferate în temeiul AMMR în cadrul rețelei naționale existente de centre de primire, care include centre adecvate pentru cazarea familiilor cu copii și a solicitanților vulnerabili. Capacitatea de primire este în curs de extindere cu sprijinul unei finanțări suplimentare din FAMI</w:t>
      </w:r>
      <w:r>
        <w:rPr>
          <w:rStyle w:val="FootnoteReference"/>
          <w:rFonts w:ascii="Times New Roman" w:hAnsi="Times New Roman" w:cs="Times New Roman"/>
          <w:noProof/>
          <w:sz w:val="24"/>
          <w:szCs w:val="24"/>
        </w:rPr>
        <w:footnoteReference w:id="13"/>
      </w:r>
      <w:r>
        <w:rPr>
          <w:rFonts w:ascii="Times New Roman" w:hAnsi="Times New Roman"/>
          <w:noProof/>
          <w:sz w:val="24"/>
        </w:rPr>
        <w:t>. În plus, în cazul unei creșteri a transferurilor, planul de urgență elaborat de autoritățile italiene în temeiul Directivei (UE) 2024/1346</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ar permite o extindere rapidă a capacității de primire prin crearea unor locuri de cazare suplimentare, coordonată de Ministerul de Interne și de prefecturi.</w:t>
      </w:r>
    </w:p>
    <w:p w14:paraId="18673FBA" w14:textId="73F9F4F1" w:rsidR="005A7615" w:rsidRPr="007902A3" w:rsidRDefault="0064670A" w:rsidP="00881000">
      <w:pPr>
        <w:spacing w:after="240" w:line="240" w:lineRule="auto"/>
        <w:jc w:val="both"/>
        <w:rPr>
          <w:rFonts w:ascii="Times New Roman" w:hAnsi="Times New Roman" w:cs="Times New Roman"/>
          <w:noProof/>
          <w:sz w:val="24"/>
          <w:szCs w:val="24"/>
        </w:rPr>
      </w:pPr>
      <w:r>
        <w:rPr>
          <w:rFonts w:ascii="Times New Roman" w:hAnsi="Times New Roman"/>
          <w:noProof/>
          <w:sz w:val="24"/>
        </w:rPr>
        <w:t>În paralel, EUAA continuă să ofere sprijin operațional în domeniul procedurilor aferente cererilor și notificărilor transmise, al căilor de atac și al relocării, urmând ca necesitatea unui sprijin suplimentar să fie evaluată în urma fazei inițiale de punere în aplicare a pactului</w:t>
      </w:r>
      <w:bookmarkEnd w:id="7"/>
      <w:r>
        <w:rPr>
          <w:rFonts w:ascii="Times New Roman" w:hAnsi="Times New Roman"/>
          <w:noProof/>
          <w:sz w:val="24"/>
        </w:rPr>
        <w:t>.</w:t>
      </w:r>
    </w:p>
    <w:p w14:paraId="34252689" w14:textId="790E3FE5" w:rsidR="00300D19" w:rsidRPr="007902A3" w:rsidRDefault="00300D19" w:rsidP="00881000">
      <w:pPr>
        <w:spacing w:after="240" w:line="240" w:lineRule="auto"/>
        <w:jc w:val="both"/>
        <w:rPr>
          <w:rFonts w:ascii="Times New Roman" w:hAnsi="Times New Roman" w:cs="Times New Roman"/>
          <w:i/>
          <w:iCs/>
          <w:noProof/>
          <w:color w:val="00B0F0"/>
          <w:sz w:val="24"/>
          <w:szCs w:val="24"/>
        </w:rPr>
      </w:pPr>
      <w:r>
        <w:rPr>
          <w:rFonts w:ascii="Times New Roman" w:hAnsi="Times New Roman"/>
          <w:noProof/>
          <w:sz w:val="24"/>
        </w:rPr>
        <w:t xml:space="preserve">Italia a pus în aplicare cu succes cerințele tehnice pentru conectarea sistemelor sale naționale la sistemul central Eurodac și este capabilă să transmită datele necesare pentru îndeplinirea responsabilităților care îi revin în temeiul Regulamentului (UE) 2024/1358. </w:t>
      </w:r>
    </w:p>
    <w:p w14:paraId="204715C9" w14:textId="06B1BE27" w:rsidR="00CC6C8C" w:rsidRPr="007902A3" w:rsidRDefault="00CC6C8C" w:rsidP="00CC6C8C">
      <w:pPr>
        <w:spacing w:after="240" w:line="240" w:lineRule="auto"/>
        <w:jc w:val="both"/>
        <w:rPr>
          <w:rFonts w:ascii="Times New Roman" w:hAnsi="Times New Roman" w:cs="Times New Roman"/>
          <w:noProof/>
          <w:sz w:val="24"/>
          <w:szCs w:val="24"/>
        </w:rPr>
      </w:pPr>
      <w:r>
        <w:rPr>
          <w:rFonts w:ascii="Times New Roman" w:hAnsi="Times New Roman"/>
          <w:noProof/>
          <w:sz w:val="24"/>
        </w:rPr>
        <w:t>DubliNet a fost modernizat cu succes și este pe deplin operațional, în conformitate cu noile cerințe. Autoritățile italiene au participat activ la activitățile de testare desfășurate de eu-LISA, inclusiv la nivel bilateral cu alte state membre, testând cu succes și funcționalități esențiale, cum ar fi crearea, transmiterea și primirea formularelor-tip. Personalul unității AMMR a beneficiat, de asemenea, de o instruire specifică.</w:t>
      </w:r>
    </w:p>
    <w:p w14:paraId="575D84EE" w14:textId="40DB1AEB" w:rsidR="00CC6C8C" w:rsidRPr="007902A3" w:rsidRDefault="00CC6C8C" w:rsidP="00CC6C8C">
      <w:pPr>
        <w:spacing w:after="240" w:line="240" w:lineRule="auto"/>
        <w:jc w:val="both"/>
        <w:rPr>
          <w:rFonts w:ascii="Times New Roman" w:hAnsi="Times New Roman" w:cs="Times New Roman"/>
          <w:noProof/>
          <w:sz w:val="24"/>
          <w:szCs w:val="24"/>
        </w:rPr>
      </w:pPr>
      <w:r>
        <w:rPr>
          <w:rFonts w:ascii="Times New Roman" w:hAnsi="Times New Roman"/>
          <w:noProof/>
          <w:sz w:val="24"/>
        </w:rPr>
        <w:t>În paralel, autoritățile adaptează sistemul național de gestionare a cazurilor (</w:t>
      </w:r>
      <w:r>
        <w:rPr>
          <w:rFonts w:ascii="Times New Roman" w:hAnsi="Times New Roman"/>
          <w:i/>
          <w:noProof/>
          <w:sz w:val="24"/>
        </w:rPr>
        <w:t>SUA</w:t>
      </w:r>
      <w:r>
        <w:rPr>
          <w:rFonts w:ascii="Times New Roman" w:hAnsi="Times New Roman"/>
          <w:noProof/>
          <w:sz w:val="24"/>
        </w:rPr>
        <w:t xml:space="preserve">) pentru a integra noile cerințe introduse de pact. Actualizările planificate urmăresc să îmbunătățească interoperabilitatea cu bazele de date ale poliției și cu Eurodac, să faciliteze schimbul de informații între proceduri și să sporească gradul de automatizare a fluxurilor de lucru. </w:t>
      </w:r>
    </w:p>
    <w:p w14:paraId="0E16C842" w14:textId="08F7B54F" w:rsidR="0049316B" w:rsidRDefault="00A51154" w:rsidP="0049316B">
      <w:pPr>
        <w:jc w:val="both"/>
        <w:rPr>
          <w:rFonts w:ascii="Times New Roman" w:hAnsi="Times New Roman" w:cs="Times New Roman"/>
          <w:noProof/>
          <w:color w:val="1A1A1A" w:themeColor="background1" w:themeShade="1A"/>
          <w:sz w:val="24"/>
          <w:szCs w:val="24"/>
        </w:rPr>
      </w:pPr>
      <w:r>
        <w:rPr>
          <w:rFonts w:ascii="Times New Roman" w:hAnsi="Times New Roman"/>
          <w:noProof/>
          <w:sz w:val="24"/>
        </w:rPr>
        <w:t xml:space="preserve">În primele săptămâni de aplicare a AMMR (12 iunie - 7 iulie 2026), opt state membre au informat Comisia cu privire la depunerea cererilor de preluare, a notificărilor de reprimire și/sau a formularelor-tip aferente transferurilor. Pe baza informațiilor disponibile, Italia continuă să accepte în mod tacit cererile și notificările. Cu toate acestea, transferurile nu au fost încă reluate. În </w:t>
      </w:r>
      <w:r>
        <w:rPr>
          <w:rFonts w:ascii="Times New Roman" w:hAnsi="Times New Roman"/>
          <w:noProof/>
          <w:color w:val="1A1A1A" w:themeColor="background1" w:themeShade="1A"/>
          <w:sz w:val="24"/>
        </w:rPr>
        <w:t>perioada menționată mai sus, au fost solicitate 12 transferuri, iar Italia le-a respins</w:t>
      </w:r>
      <w:r>
        <w:rPr>
          <w:rStyle w:val="FootnoteReference"/>
          <w:rFonts w:ascii="Times New Roman" w:hAnsi="Times New Roman" w:cs="Times New Roman"/>
          <w:noProof/>
          <w:color w:val="1A1A1A" w:themeColor="background1" w:themeShade="1A"/>
          <w:sz w:val="24"/>
          <w:szCs w:val="24"/>
        </w:rPr>
        <w:footnoteReference w:id="15"/>
      </w:r>
      <w:r>
        <w:rPr>
          <w:rFonts w:ascii="Times New Roman" w:hAnsi="Times New Roman"/>
          <w:noProof/>
          <w:color w:val="1A1A1A" w:themeColor="background1" w:themeShade="1A"/>
          <w:sz w:val="24"/>
        </w:rPr>
        <w:t>. În temeiul AMMR, un stat membru destinatar nu poate respinge un transfer și, în conformitate cu Regulamentul de punere în aplicare (UE) 2025/2055 al Comisiei, trebuie să propună o dată alternativă pentru transfer</w:t>
      </w:r>
      <w:r>
        <w:rPr>
          <w:rStyle w:val="FootnoteReference"/>
          <w:rFonts w:ascii="Times New Roman" w:hAnsi="Times New Roman" w:cs="Times New Roman"/>
          <w:noProof/>
          <w:color w:val="1A1A1A" w:themeColor="background1" w:themeShade="1A"/>
          <w:sz w:val="24"/>
          <w:szCs w:val="24"/>
        </w:rPr>
        <w:footnoteReference w:id="16"/>
      </w:r>
      <w:r>
        <w:rPr>
          <w:rFonts w:ascii="Times New Roman" w:hAnsi="Times New Roman"/>
          <w:noProof/>
          <w:color w:val="1A1A1A" w:themeColor="background1" w:themeShade="1A"/>
          <w:sz w:val="24"/>
        </w:rPr>
        <w:t xml:space="preserve">. </w:t>
      </w:r>
    </w:p>
    <w:p w14:paraId="09B4B433" w14:textId="073D7BDF" w:rsidR="00251BBA" w:rsidRPr="0049316B" w:rsidRDefault="00251BBA" w:rsidP="0049316B">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Concluzii</w:t>
      </w:r>
    </w:p>
    <w:p w14:paraId="000870AF" w14:textId="33E9ABA3" w:rsidR="00B2529A" w:rsidRPr="007902A3" w:rsidRDefault="00B2529A" w:rsidP="00B2529A">
      <w:pPr>
        <w:jc w:val="both"/>
        <w:rPr>
          <w:rFonts w:ascii="Times New Roman" w:hAnsi="Times New Roman" w:cs="Times New Roman"/>
          <w:noProof/>
          <w:sz w:val="24"/>
          <w:szCs w:val="24"/>
        </w:rPr>
      </w:pPr>
      <w:r>
        <w:rPr>
          <w:rFonts w:ascii="Times New Roman" w:hAnsi="Times New Roman"/>
          <w:noProof/>
          <w:sz w:val="24"/>
        </w:rPr>
        <w:t xml:space="preserve">S-au înregistrat progrese considerabile în punerea în aplicare a normelor Pactului privind migrația și azilul. Statele membre avansează conform calendarului în ceea ce privește adaptarea legislației naționale, instituirea și organizarea procedurii de screening și a procedurilor la frontieră obligatorii, asigurarea unei capacități suficiente de primire, precum și reducerea numărului cazurilor restante și a întârzierilor în procedurile de azil. Statele membre au înregistrat, de asemenea, progrese în ceea ce privește consolidarea capacității acestora de a prelucra în mod eficace transferurile către statul membru responsabil de examinarea unei cereri de azil și de punere în aplicare a angajamentelor de solidaritate. În același timp, sunt necesare eforturi pentru a aborda provocările rămase, inclusiv în ceea ce privește aplicarea noilor norme privind responsabilitatea prevăzute de AMMR. </w:t>
      </w:r>
    </w:p>
    <w:p w14:paraId="69EB3851" w14:textId="3988341E" w:rsidR="00B2529A" w:rsidRPr="007902A3" w:rsidRDefault="00B2529A" w:rsidP="00B2529A">
      <w:pPr>
        <w:jc w:val="both"/>
        <w:rPr>
          <w:rFonts w:ascii="Times New Roman" w:hAnsi="Times New Roman" w:cs="Times New Roman"/>
          <w:noProof/>
          <w:sz w:val="24"/>
          <w:szCs w:val="24"/>
        </w:rPr>
      </w:pPr>
      <w:r>
        <w:rPr>
          <w:rFonts w:ascii="Times New Roman" w:hAnsi="Times New Roman"/>
          <w:noProof/>
          <w:sz w:val="24"/>
        </w:rPr>
        <w:t>Aplicarea actuală a normelor privind responsabilitatea de către Cipru și Spania și cooperarea operațională dintre acestea și celelalte state membre nu ridică nicio problemă deosebită și sunt considerate adecvate pentru a asigura punerea în aplicare corectă a părții III din Regulamentul (UE) 2024/1351. În consecință, nu se consideră necesară nicio monitorizare suplimentară în temeiul articolului 4 din Decizia de punere în aplicare (UE) 2025/2323 a Comisiei.</w:t>
      </w:r>
    </w:p>
    <w:p w14:paraId="77A18BC0" w14:textId="0BE66AD9" w:rsidR="00D91C5C" w:rsidRPr="007902A3" w:rsidRDefault="00D91C5C" w:rsidP="00D91C5C">
      <w:pPr>
        <w:jc w:val="both"/>
        <w:rPr>
          <w:rFonts w:ascii="Times New Roman" w:hAnsi="Times New Roman" w:cs="Times New Roman"/>
          <w:noProof/>
          <w:sz w:val="24"/>
          <w:szCs w:val="24"/>
        </w:rPr>
      </w:pPr>
      <w:r>
        <w:rPr>
          <w:rFonts w:ascii="Times New Roman" w:hAnsi="Times New Roman"/>
          <w:noProof/>
          <w:sz w:val="24"/>
        </w:rPr>
        <w:t>Măsurile luate de Grecia până în prezent, împreună cu implicarea activă și cooperarea autorităților naționale cu alte state membre, sunt indicii pozitive că Grecia a început să remedieze practicile observate în aplicarea Regulamentului Dublin III și își demonstrează disponibilitatea de a asigura punerea în aplicare eficace și corectă a părții III din AMMR. Având în vedere că noile norme privind responsabilitatea prevăzute de AMMR se aplică de mai puțin de o lună, iar termenele aferente acestor norme nu au intrat încă în vigoare, nu este posibil deocamdată să se concluzioneze dacă practicile anterioare au fost remediate pe deplin.</w:t>
      </w:r>
      <w:r w:rsidR="00FF21CE">
        <w:rPr>
          <w:rFonts w:ascii="Times New Roman" w:hAnsi="Times New Roman"/>
          <w:noProof/>
          <w:sz w:val="24"/>
        </w:rPr>
        <w:t xml:space="preserve"> </w:t>
      </w:r>
    </w:p>
    <w:p w14:paraId="3C3069C2" w14:textId="5FD61059" w:rsidR="000B3686" w:rsidRPr="007902A3" w:rsidRDefault="2C7799C2" w:rsidP="00432B40">
      <w:pPr>
        <w:jc w:val="both"/>
        <w:rPr>
          <w:rFonts w:ascii="Times New Roman" w:hAnsi="Times New Roman" w:cs="Times New Roman"/>
          <w:noProof/>
          <w:sz w:val="24"/>
          <w:szCs w:val="24"/>
        </w:rPr>
      </w:pPr>
      <w:r>
        <w:rPr>
          <w:rFonts w:ascii="Times New Roman" w:hAnsi="Times New Roman"/>
          <w:noProof/>
          <w:sz w:val="24"/>
        </w:rPr>
        <w:t xml:space="preserve">Măsurile luate de Italia până în prezent demonstrează eforturi semnificative în vederea pregătirii pentru punerea în aplicare a părții III din AMMR. </w:t>
      </w:r>
      <w:bookmarkStart w:id="8" w:name="_Hlk233890304"/>
      <w:r>
        <w:rPr>
          <w:rFonts w:ascii="Times New Roman" w:hAnsi="Times New Roman"/>
          <w:noProof/>
          <w:sz w:val="24"/>
        </w:rPr>
        <w:t xml:space="preserve">Totuși, în această etapă, nu s-au putut identifica indicii concrete că s-a renunțat la practicile aplicate în temeiul Regulamentului Dublin III, în special la suspendarea primirii transferurilor, cu excepția cazurilor de reîntregire a familiei care implică minori neînsoțiți. În plus, în prezent, nu există indicii că autoritățile italiene s-au implicat activ alături de alte state membre în demersurile practice și logistice necesare pentru reluarea transferurilor. Italia trebuie să elimine cu prioritate toate obstacolele rămase, inclusiv prin încetarea practicilor care au împiedicat până în prezent efectuarea transferurilor, și să asigure implicarea și cooperarea operațională necesare cu alte state membre în legătură cu toate aspectele practice și logistice, astfel încât transferurile să fie efectuate în mod eficace, în conformitate cu AMMR. </w:t>
      </w:r>
    </w:p>
    <w:p w14:paraId="6126441E" w14:textId="7485230A" w:rsidR="00394AB7" w:rsidRPr="00881000" w:rsidRDefault="6CA43CED" w:rsidP="00432B40">
      <w:pPr>
        <w:jc w:val="both"/>
        <w:rPr>
          <w:rFonts w:ascii="Times New Roman" w:hAnsi="Times New Roman" w:cs="Times New Roman"/>
          <w:noProof/>
          <w:sz w:val="24"/>
          <w:szCs w:val="24"/>
        </w:rPr>
      </w:pPr>
      <w:r>
        <w:rPr>
          <w:rFonts w:ascii="Times New Roman" w:hAnsi="Times New Roman"/>
          <w:noProof/>
          <w:sz w:val="24"/>
        </w:rPr>
        <w:t>Comisia va continua să monitorizeze situația pe baza informațiilor și a datelor relevante care urmează să fie furnizate de statele membre în vederea evaluării care va fi efectuată până la 15 octombrie 2026, în conformitate cu articolul 4 din Decizia de punere în aplicare (UE) 2025/2323 a Comisiei. În cadrul acestei monitorizări, se va acorda o atenție deosebită nivelului de cooperare operațională dintre statele membre, inclusiv angajamentului activ de a facilita transferurile și cooperării strânse în chestiuni practice și logistice.</w:t>
      </w:r>
      <w:bookmarkEnd w:id="8"/>
    </w:p>
    <w:sectPr w:rsidR="00394AB7" w:rsidRPr="00881000" w:rsidSect="006B0DA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D69FC" w14:textId="77777777" w:rsidR="004833BC" w:rsidRDefault="004833BC" w:rsidP="00FD0C1A">
      <w:pPr>
        <w:spacing w:after="0" w:line="240" w:lineRule="auto"/>
      </w:pPr>
      <w:r>
        <w:separator/>
      </w:r>
    </w:p>
  </w:endnote>
  <w:endnote w:type="continuationSeparator" w:id="0">
    <w:p w14:paraId="2D42E9C5" w14:textId="77777777" w:rsidR="004833BC" w:rsidRDefault="004833BC" w:rsidP="00FD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724A5" w14:textId="2A781830" w:rsidR="00EF59D5" w:rsidRPr="00EF59D5" w:rsidRDefault="00EF59D5" w:rsidP="00EF59D5">
    <w:pPr>
      <w:pStyle w:val="FooterCoverPage"/>
      <w:rPr>
        <w:rFonts w:ascii="Arial" w:hAnsi="Arial" w:cs="Arial"/>
        <w:b/>
        <w:sz w:val="48"/>
      </w:rPr>
    </w:pPr>
    <w:r w:rsidRPr="00EF59D5">
      <w:rPr>
        <w:rFonts w:ascii="Arial" w:hAnsi="Arial" w:cs="Arial"/>
        <w:b/>
        <w:sz w:val="48"/>
      </w:rPr>
      <w:t>RO</w:t>
    </w:r>
    <w:r w:rsidRPr="00EF59D5">
      <w:rPr>
        <w:rFonts w:ascii="Arial" w:hAnsi="Arial" w:cs="Arial"/>
        <w:b/>
        <w:sz w:val="48"/>
      </w:rPr>
      <w:tab/>
    </w:r>
    <w:r w:rsidRPr="00EF59D5">
      <w:rPr>
        <w:rFonts w:ascii="Arial" w:hAnsi="Arial" w:cs="Arial"/>
        <w:b/>
        <w:sz w:val="48"/>
      </w:rPr>
      <w:tab/>
    </w:r>
    <w:r w:rsidRPr="00EF59D5">
      <w:tab/>
    </w:r>
    <w:r w:rsidRPr="00EF59D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62285" w14:textId="71AC6A30" w:rsidR="00EF59D5" w:rsidRPr="00EF59D5" w:rsidRDefault="00EF59D5" w:rsidP="00EF59D5">
    <w:pPr>
      <w:pStyle w:val="FooterCoverPage"/>
      <w:rPr>
        <w:rFonts w:ascii="Arial" w:hAnsi="Arial" w:cs="Arial"/>
        <w:b/>
        <w:sz w:val="48"/>
      </w:rPr>
    </w:pPr>
    <w:r w:rsidRPr="00EF59D5">
      <w:rPr>
        <w:rFonts w:ascii="Arial" w:hAnsi="Arial" w:cs="Arial"/>
        <w:b/>
        <w:sz w:val="48"/>
      </w:rPr>
      <w:t>RO</w:t>
    </w:r>
    <w:r w:rsidRPr="00EF59D5">
      <w:rPr>
        <w:rFonts w:ascii="Arial" w:hAnsi="Arial" w:cs="Arial"/>
        <w:b/>
        <w:sz w:val="48"/>
      </w:rPr>
      <w:tab/>
    </w:r>
    <w:r w:rsidRPr="00EF59D5">
      <w:rPr>
        <w:rFonts w:ascii="Arial" w:hAnsi="Arial" w:cs="Arial"/>
        <w:b/>
        <w:sz w:val="48"/>
      </w:rPr>
      <w:tab/>
    </w:r>
    <w:r w:rsidRPr="00EF59D5">
      <w:tab/>
    </w:r>
    <w:r w:rsidRPr="00EF59D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228DF" w14:textId="77777777" w:rsidR="00EF59D5" w:rsidRPr="00EF59D5" w:rsidRDefault="00EF59D5" w:rsidP="00EF59D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D1065" w14:textId="77777777" w:rsidR="000D753B" w:rsidRPr="00343A6D" w:rsidRDefault="000D753B" w:rsidP="00343A6D">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707248"/>
      <w:docPartObj>
        <w:docPartGallery w:val="Page Numbers (Bottom of Page)"/>
        <w:docPartUnique/>
      </w:docPartObj>
    </w:sdtPr>
    <w:sdtEndPr>
      <w:rPr>
        <w:noProof/>
      </w:rPr>
    </w:sdtEndPr>
    <w:sdtContent>
      <w:p w14:paraId="238212BF" w14:textId="7CD3A495" w:rsidR="00467897" w:rsidRDefault="00467897">
        <w:pPr>
          <w:pStyle w:val="Footer"/>
          <w:jc w:val="center"/>
        </w:pPr>
        <w:r>
          <w:fldChar w:fldCharType="begin"/>
        </w:r>
        <w:r>
          <w:instrText xml:space="preserve"> PAGE   \* MERGEFORMAT </w:instrText>
        </w:r>
        <w:r>
          <w:fldChar w:fldCharType="separate"/>
        </w:r>
        <w:r w:rsidR="00EF59D5">
          <w:rPr>
            <w:noProof/>
          </w:rPr>
          <w:t>3</w:t>
        </w:r>
        <w:r>
          <w:fldChar w:fldCharType="end"/>
        </w:r>
      </w:p>
    </w:sdtContent>
  </w:sdt>
  <w:p w14:paraId="1F8BD1D6" w14:textId="77777777" w:rsidR="006B0DA1" w:rsidRDefault="006B0D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CFC79" w14:textId="77777777" w:rsidR="00F11185" w:rsidRDefault="00F11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2CDFF" w14:textId="77777777" w:rsidR="004833BC" w:rsidRDefault="004833BC" w:rsidP="00FD0C1A">
      <w:pPr>
        <w:spacing w:after="0" w:line="240" w:lineRule="auto"/>
      </w:pPr>
      <w:r>
        <w:separator/>
      </w:r>
    </w:p>
  </w:footnote>
  <w:footnote w:type="continuationSeparator" w:id="0">
    <w:p w14:paraId="609C956C" w14:textId="77777777" w:rsidR="004833BC" w:rsidRDefault="004833BC" w:rsidP="00FD0C1A">
      <w:pPr>
        <w:spacing w:after="0" w:line="240" w:lineRule="auto"/>
      </w:pPr>
      <w:r>
        <w:continuationSeparator/>
      </w:r>
    </w:p>
  </w:footnote>
  <w:footnote w:id="1">
    <w:p w14:paraId="0A75DC5A" w14:textId="3E513438" w:rsidR="00D5557F" w:rsidRPr="00802B66" w:rsidRDefault="00D5557F"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Regulamentul (UE) 2024/1351 al Parlamentului European și al Consiliului din 14 mai 2024 privind gestionarea azilului și migrației și de modificare a Regulamentelor (UE) 2021/1147 și (UE) 2021/1060 și de abrogare a Regulamentului (UE) nr. 604/2013, </w:t>
      </w:r>
      <w:r>
        <w:rPr>
          <w:rFonts w:ascii="Times New Roman" w:hAnsi="Times New Roman"/>
          <w:i/>
        </w:rPr>
        <w:t>JO L, 2024/1351, 22.5.2024, ELI</w:t>
      </w:r>
      <w:r>
        <w:rPr>
          <w:rFonts w:ascii="Times New Roman" w:hAnsi="Times New Roman"/>
        </w:rPr>
        <w:t>:</w:t>
      </w:r>
      <w:r>
        <w:rPr>
          <w:rFonts w:ascii="Times New Roman" w:hAnsi="Times New Roman"/>
          <w:i/>
        </w:rPr>
        <w:t> </w:t>
      </w:r>
      <w:hyperlink r:id="rId1" w:tgtFrame="_blank" w:tooltip="Oferă acces la acest document prin identificatorul său uniform de resurse ELI." w:history="1">
        <w:r>
          <w:rPr>
            <w:rStyle w:val="Hyperlink"/>
            <w:rFonts w:ascii="Times New Roman" w:hAnsi="Times New Roman"/>
            <w:i/>
          </w:rPr>
          <w:t>http://data.europa.eu/eli/reg/2024/1351/oj</w:t>
        </w:r>
      </w:hyperlink>
      <w:r>
        <w:rPr>
          <w:rFonts w:ascii="Times New Roman" w:hAnsi="Times New Roman"/>
        </w:rPr>
        <w:t>.</w:t>
      </w:r>
      <w:r w:rsidR="00FF21CE">
        <w:rPr>
          <w:rFonts w:ascii="Times New Roman" w:hAnsi="Times New Roman"/>
          <w:i/>
        </w:rPr>
        <w:t xml:space="preserve"> </w:t>
      </w:r>
    </w:p>
  </w:footnote>
  <w:footnote w:id="2">
    <w:p w14:paraId="61D26FE7" w14:textId="7745C45C" w:rsidR="00D5557F" w:rsidRPr="00802B66" w:rsidRDefault="00D5557F"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Decizia de punere în aplicare (UE) 2025/2323 a Comisiei din 11 noiembrie 2025 în temeiul articolului 11 din Regulamentul (UE) 2024/1</w:t>
      </w:r>
      <w:r>
        <w:tab/>
      </w:r>
      <w:r>
        <w:rPr>
          <w:rFonts w:ascii="Times New Roman" w:hAnsi="Times New Roman"/>
        </w:rPr>
        <w:t xml:space="preserve">351 al Parlamentului European și al Consiliului, </w:t>
      </w:r>
      <w:r>
        <w:rPr>
          <w:rFonts w:ascii="Times New Roman" w:hAnsi="Times New Roman"/>
          <w:i/>
        </w:rPr>
        <w:t>JO L, 2025/2323, 14.11.2025, ELI</w:t>
      </w:r>
      <w:r>
        <w:rPr>
          <w:rFonts w:ascii="Times New Roman" w:hAnsi="Times New Roman"/>
        </w:rPr>
        <w:t>:</w:t>
      </w:r>
      <w:r>
        <w:rPr>
          <w:rFonts w:ascii="Times New Roman" w:hAnsi="Times New Roman"/>
          <w:i/>
        </w:rPr>
        <w:t> </w:t>
      </w:r>
      <w:hyperlink r:id="rId2" w:tgtFrame="_blank" w:tooltip="Oferă acces la acest document prin identificatorul său uniform de resurse ELI." w:history="1">
        <w:r>
          <w:rPr>
            <w:rStyle w:val="Hyperlink"/>
            <w:rFonts w:ascii="Times New Roman" w:hAnsi="Times New Roman"/>
            <w:i/>
          </w:rPr>
          <w:t>http://data.europa.eu/eli/dec_impl/2025/2323/oj</w:t>
        </w:r>
      </w:hyperlink>
      <w:r>
        <w:rPr>
          <w:rFonts w:ascii="Times New Roman" w:hAnsi="Times New Roman"/>
        </w:rPr>
        <w:t>.</w:t>
      </w:r>
    </w:p>
  </w:footnote>
  <w:footnote w:id="3">
    <w:p w14:paraId="1801FC75" w14:textId="10F4F575" w:rsidR="005D30B2" w:rsidRPr="00802B66" w:rsidRDefault="005D30B2"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Decizia de punere în aplicare a Consiliului privind stabilirea rezervei anuale de solidaritate pentru 2026.</w:t>
      </w:r>
    </w:p>
  </w:footnote>
  <w:footnote w:id="4">
    <w:p w14:paraId="41157DAB" w14:textId="2308F0E0" w:rsidR="000D54B8" w:rsidRPr="00802B66" w:rsidRDefault="000D54B8"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Regulamentul (UE) nr. 604/2013 al Parlamentului European și al Consiliului din 26 iunie 2013 de stabilire a criteriilor și mecanismelor de determinare a statului membru responsabil de examinarea unei cereri de protecție internațională prezentate într-unul dintre statele membre de către un resortisant al unei țări terțe sau de către un apatrid (reformare), </w:t>
      </w:r>
      <w:r>
        <w:rPr>
          <w:rFonts w:ascii="Times New Roman" w:hAnsi="Times New Roman"/>
          <w:i/>
        </w:rPr>
        <w:t>JO L 180, 29.6.2013, p. 31, ELI</w:t>
      </w:r>
      <w:r>
        <w:rPr>
          <w:rFonts w:ascii="Times New Roman" w:hAnsi="Times New Roman"/>
        </w:rPr>
        <w:t>:</w:t>
      </w:r>
      <w:r>
        <w:rPr>
          <w:rFonts w:ascii="Times New Roman" w:hAnsi="Times New Roman"/>
          <w:i/>
        </w:rPr>
        <w:t xml:space="preserve"> </w:t>
      </w:r>
      <w:hyperlink r:id="rId3" w:history="1">
        <w:r>
          <w:rPr>
            <w:rStyle w:val="Hyperlink"/>
            <w:rFonts w:ascii="Times New Roman" w:hAnsi="Times New Roman"/>
            <w:i/>
          </w:rPr>
          <w:t>http://data.europa.eu/eli/reg/2013/604/oj</w:t>
        </w:r>
      </w:hyperlink>
      <w:r>
        <w:rPr>
          <w:rFonts w:ascii="Times New Roman" w:hAnsi="Times New Roman"/>
          <w:i/>
        </w:rPr>
        <w:t>.</w:t>
      </w:r>
    </w:p>
  </w:footnote>
  <w:footnote w:id="5">
    <w:p w14:paraId="764E44A3" w14:textId="17C03D28" w:rsidR="001B6F59" w:rsidRPr="00802B66" w:rsidRDefault="001B6F59"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Comunicarea Comisiei către Consiliu și Parlamentul European din 4 aprilie 2025 privind situația gestionării migrației în Grecia continentală, COM(2025) 170 final.</w:t>
      </w:r>
    </w:p>
  </w:footnote>
  <w:footnote w:id="6">
    <w:p w14:paraId="09A67C4B" w14:textId="5895CCD1" w:rsidR="0074784C" w:rsidRPr="00802B66" w:rsidRDefault="0074784C"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La 5 decembrie 2022, unitatea Dublin italiană a adresat tuturor unităților Dublin o circulară în care se preciza că, din cauza unor motive tehnice apărute pe neașteptate și legate de indisponibilitatea structurilor de primire, statelor membre li se solicita să suspende temporar transferurile către Italia efectuate în temeiul Regulamentului (UE) nr. 604/2013, cu excepția cazurilor de reîntregire a familiei care implică minori neînsoțiți. Printr-o a doua circulară, trimisă la 7 decembrie 2022, unitatea Dublin italiană a adăugat că, având în vedere numărul mare de sosiri atât la frontierele maritime, cât și la cele terestre, condițiile de primire a resortisanților țărilor terțe trebuie reorganizate, inclusiv ținând seama de lipsa locurilor disponibile în structurile de primire. Circularele din 2022 menționate mai sus nu au fost revocate sau înlocuite în mod oficial de autoritățile italiene.</w:t>
      </w:r>
    </w:p>
  </w:footnote>
  <w:footnote w:id="7">
    <w:p w14:paraId="438C8F45" w14:textId="09CA85E4" w:rsidR="001B6F59" w:rsidRPr="00802B66" w:rsidRDefault="001B6F59"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Cauzele conexate C 185/24 și C 189/24, [Tudmur], punctul 42; această concluzie a fost confirmată și prin hotărârea CJUE din 5 martie 2026 pronunțată în cauza C-458/24 [Daraa], punctul 38.</w:t>
      </w:r>
    </w:p>
  </w:footnote>
  <w:footnote w:id="8">
    <w:p w14:paraId="664D125A" w14:textId="65196EE4" w:rsidR="00385AF5" w:rsidRPr="00802B66" w:rsidRDefault="00385AF5"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Comunicare a Comisiei către Parlamentul European, Consiliu, Comitetul Economic și Social European și Comitetul Regiunilor – Stadiul punerii în aplicare a Pactului privind migrația și azilul COM(2026) 196 final.</w:t>
      </w:r>
    </w:p>
  </w:footnote>
  <w:footnote w:id="9">
    <w:p w14:paraId="735391C3" w14:textId="0D4C44B4" w:rsidR="00DA1906" w:rsidRPr="00A84826" w:rsidRDefault="00DA1906"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Informații suplimentare privind sistemul elen de primire pot fi găsite în Comunicarea Comisiei privind situația gestionării migrației în Grecia, COM(2025) 170 final. Potrivit comunicării respective, deși pot fi necesare în continuare îmbunătățiri în ceea ce privește anumite aspecte ale gestionării migrației, se poate concluziona că sistemul de azil și de primire din Grecia continentală nu are deficiențe care să genereze un risc de tratament inuman sau degradant în sensul articolului 4 din Carta drepturilor fundamentale a Uniunii Europene. Prin urmare, transferurile către Grecia în temeiul Regulamentului Dublin ar trebui să aibă loc în același mod ca în cazul celorlalte state membre, și anume fără cerința unor asigurări individuale recomandate de Comisie în Recomandarea (UE) 2016/1117, și în conformitate cu jurisprudența Curții privind interpretarea articolului 3 alineatul (2) din Regulamentul (UE) nr. 604/2013.</w:t>
      </w:r>
    </w:p>
  </w:footnote>
  <w:footnote w:id="10">
    <w:p w14:paraId="4A80AC03" w14:textId="59AA912E" w:rsidR="00DE247E" w:rsidRPr="00840E20" w:rsidRDefault="00DE247E" w:rsidP="00DE247E">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Regulamentul (UE) 2024/1358 al Parlamentului European și al Consiliului din 14 mai 2024 privind instituirea sistemului „Eurodac” pentru compararea datelor biometrice în scopul aplicării eficace a Regulamentelor (UE) 2024/1351 și (UE) 2024/1350 ale Parlamentului European și ale Consiliului și a Directivei 2001/55/CE a Consiliului și al identificării resortisanților din țări terțe și a apatrizilor în situație de ședere ilegală și privind cererile de comparare cu datele Eurodac prezentate de autoritățile de aplicare a legii din statele membre și de Europol cu scopul de a asigura respectarea legii, de modificare a Regulamentelor (UE) 2018/1240 și (UE) 2019/818 ale Parlamentului European și ale Consiliului și de abrogare a Regulamentului (UE) nr. 603/2013 al Parlamentului European și al Consiliului, </w:t>
      </w:r>
      <w:r>
        <w:rPr>
          <w:rFonts w:ascii="Times New Roman" w:hAnsi="Times New Roman"/>
          <w:i/>
        </w:rPr>
        <w:t xml:space="preserve">JO L 1358 22.5.2024, </w:t>
      </w:r>
      <w:hyperlink r:id="rId4" w:tooltip="Oferă acces la acest document prin identificatorul său uniform de resurse ELI." w:history="1">
        <w:r>
          <w:rPr>
            <w:rStyle w:val="Hyperlink"/>
            <w:rFonts w:ascii="Times New Roman" w:hAnsi="Times New Roman"/>
            <w:i/>
          </w:rPr>
          <w:t>http://data.europa.eu/eli/reg/2024/1358/2024-05-22</w:t>
        </w:r>
      </w:hyperlink>
      <w:r>
        <w:t>.</w:t>
      </w:r>
    </w:p>
    <w:p w14:paraId="71B0CEEB" w14:textId="4553DCDC" w:rsidR="00DE247E" w:rsidRPr="007E548C" w:rsidRDefault="00DE247E">
      <w:pPr>
        <w:pStyle w:val="FootnoteText"/>
        <w:rPr>
          <w:lang w:val="es-ES"/>
        </w:rPr>
      </w:pPr>
    </w:p>
  </w:footnote>
  <w:footnote w:id="11">
    <w:p w14:paraId="6225075D" w14:textId="6616189B" w:rsidR="00150642" w:rsidRPr="00802B66" w:rsidRDefault="00150642" w:rsidP="00802B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 a Comisiei către Parlamentul European, Consiliu, Comitetul Economic și Social European și Comitetul Regiunilor – Stadiul punerii în aplicare a Pactului privind migrația și azilul COM(2026) 196 final.</w:t>
      </w:r>
    </w:p>
  </w:footnote>
  <w:footnote w:id="12">
    <w:p w14:paraId="001EEE74" w14:textId="424CB8C8" w:rsidR="005923AD" w:rsidRPr="00802B66" w:rsidRDefault="005923AD"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În prezent, „sectorul primire” (cereri, notificări, transferuri) este format din 12 membri ai personalului intern și un membru al personalului temporar recrutat prin intermediul unui proiect finanțat din FAMI.</w:t>
      </w:r>
    </w:p>
  </w:footnote>
  <w:footnote w:id="13">
    <w:p w14:paraId="5B7C749C" w14:textId="0009BFE8" w:rsidR="00990E1A" w:rsidRPr="0049316B" w:rsidRDefault="00990E1A" w:rsidP="00802B66">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Informații detaliate privind sistemul italian de primire pot fi găsite în fișele informative elaborate de EUAA ca parte a punerii în aplicare a Foii de parcurs Dublin (</w:t>
      </w:r>
      <w:hyperlink r:id="rId5" w:history="1">
        <w:r>
          <w:rPr>
            <w:rStyle w:val="Hyperlink"/>
            <w:rFonts w:ascii="Times New Roman" w:hAnsi="Times New Roman"/>
          </w:rPr>
          <w:t>https://euaa.europa.eu/asylum-knowledge/dublin-procedure</w:t>
        </w:r>
      </w:hyperlink>
      <w:r>
        <w:rPr>
          <w:rFonts w:ascii="Times New Roman" w:hAnsi="Times New Roman"/>
        </w:rPr>
        <w:t>). Fișele informative conțin informații detaliate privind condițiile de primire și de detenție, inclusiv cele aplicabile persoanelor vulnerabile, accesul la îngrijire de bază și la servicii medicale, precum și informații privind procedura de azil, inclusiv accesul la procedură și garanțiile procedurale în urma unui transfer, astfel cum sunt prevăzute de legislația relevantă a Uniunii. Fișele informative sunt documente dinamice, actualizate în funcție de evoluția situației din statul membru în cauză.</w:t>
      </w:r>
    </w:p>
  </w:footnote>
  <w:footnote w:id="14">
    <w:p w14:paraId="27E5754C" w14:textId="310D850B" w:rsidR="00DE247E" w:rsidRPr="00A31AFA" w:rsidRDefault="00DE247E" w:rsidP="00A31AFA">
      <w:pPr>
        <w:pStyle w:val="FootnoteText"/>
        <w:jc w:val="both"/>
      </w:pPr>
      <w:r>
        <w:rPr>
          <w:rStyle w:val="FootnoteReference"/>
          <w:rFonts w:ascii="Times New Roman" w:hAnsi="Times New Roman" w:cs="Times New Roman"/>
        </w:rPr>
        <w:footnoteRef/>
      </w:r>
      <w:r>
        <w:rPr>
          <w:rFonts w:ascii="Times New Roman" w:hAnsi="Times New Roman"/>
        </w:rPr>
        <w:t xml:space="preserve"> Directiva (UE) 2024/1346 a Parlamentului European și a Consiliului din 14 mai 2024 de stabilire a standardelor pentru primirea solicitanților de protecție internațională, </w:t>
      </w:r>
      <w:r>
        <w:rPr>
          <w:rFonts w:ascii="Times New Roman" w:hAnsi="Times New Roman"/>
          <w:i/>
        </w:rPr>
        <w:t>JO L, 2024/1346, 22.5.2024, ELI</w:t>
      </w:r>
      <w:r>
        <w:rPr>
          <w:rFonts w:ascii="Times New Roman" w:hAnsi="Times New Roman"/>
        </w:rPr>
        <w:t>:</w:t>
      </w:r>
      <w:r>
        <w:rPr>
          <w:rFonts w:ascii="Times New Roman" w:hAnsi="Times New Roman"/>
          <w:i/>
        </w:rPr>
        <w:t> </w:t>
      </w:r>
      <w:hyperlink r:id="rId6" w:history="1">
        <w:r>
          <w:rPr>
            <w:rStyle w:val="Hyperlink"/>
            <w:rFonts w:ascii="Times New Roman" w:hAnsi="Times New Roman"/>
            <w:i/>
          </w:rPr>
          <w:t>http://data.europa.eu/eli/dir/2024/1346/oj</w:t>
        </w:r>
      </w:hyperlink>
      <w:r>
        <w:t>.</w:t>
      </w:r>
      <w:r>
        <w:rPr>
          <w:i/>
        </w:rPr>
        <w:t xml:space="preserve"> </w:t>
      </w:r>
    </w:p>
  </w:footnote>
  <w:footnote w:id="15">
    <w:p w14:paraId="3CB02D1C" w14:textId="3C413433" w:rsidR="00A7135B" w:rsidRPr="00802B66" w:rsidRDefault="00A7135B" w:rsidP="00802B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cursul perioadei de raportare a avut loc 1 transfer către Italia, pe baza unei cereri confirmate înainte de 12</w:t>
      </w:r>
      <w:r w:rsidR="00FF21CE">
        <w:rPr>
          <w:rFonts w:ascii="Times New Roman" w:hAnsi="Times New Roman"/>
        </w:rPr>
        <w:t> </w:t>
      </w:r>
      <w:r>
        <w:rPr>
          <w:rFonts w:ascii="Times New Roman" w:hAnsi="Times New Roman"/>
        </w:rPr>
        <w:t>iunie 2026.</w:t>
      </w:r>
    </w:p>
  </w:footnote>
  <w:footnote w:id="16">
    <w:p w14:paraId="09541DC7" w14:textId="76FD9951" w:rsidR="00972543" w:rsidRPr="00802B66" w:rsidRDefault="00972543" w:rsidP="00802B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de punere în aplicare (UE) 2025/2055 al Comisiei din 2 octombrie 2025 de stabilire a normelor de aplicare a Regulamentului (UE) 2024/1351 al Parlamentului European și al Consiliului privind gestionarea azilului și migrației și de abrogare a Regulamentului (CE) nr. 1560/2003 al Comisiei,</w:t>
      </w:r>
      <w:r>
        <w:rPr>
          <w:rFonts w:ascii="Times New Roman" w:hAnsi="Times New Roman"/>
          <w:b/>
        </w:rPr>
        <w:t xml:space="preserve"> </w:t>
      </w:r>
      <w:r>
        <w:rPr>
          <w:rFonts w:ascii="Times New Roman" w:hAnsi="Times New Roman"/>
          <w:i/>
        </w:rPr>
        <w:t>JO L, 2025/2055, 12.11.2025, ELI: </w:t>
      </w:r>
      <w:hyperlink r:id="rId7" w:tgtFrame="_blank" w:tooltip="Oferă acces la acest document prin identificatorul său uniform de resurse ELI." w:history="1">
        <w:r>
          <w:rPr>
            <w:rStyle w:val="Hyperlink"/>
            <w:rFonts w:ascii="Times New Roman" w:hAnsi="Times New Roman"/>
            <w:i/>
          </w:rPr>
          <w:t>http://data.europa.eu/eli/reg_impl/2025/2055/oj</w:t>
        </w:r>
      </w:hyperlink>
      <w:r>
        <w:rPr>
          <w:rFonts w:ascii="Times New Roman" w:hAnsi="Times New Roman"/>
        </w:rPr>
        <w:t>. Articolul 25 alineatul (5) și articolul 26 alineatul (2) din Regulamentul de punere în aplicare al Comisiei prevăd că statul membru de destinație fie confirmă disponibilitatea sa de a primi transferul, fie propune modalități diferite de transfer și/sau o altă locație și/sau o altă oră pentru transfer, indicând motivele pentru care nu poate primi transferul conform propunerii statului membru care efectuează transferul.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2A4F" w14:textId="77777777" w:rsidR="00EF59D5" w:rsidRPr="00EF59D5" w:rsidRDefault="00EF59D5" w:rsidP="00EF59D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2AC22" w14:textId="77777777" w:rsidR="00EF59D5" w:rsidRPr="00EF59D5" w:rsidRDefault="00EF59D5" w:rsidP="00EF59D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1EA00" w14:textId="77777777" w:rsidR="00EF59D5" w:rsidRPr="00EF59D5" w:rsidRDefault="00EF59D5" w:rsidP="00EF59D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85DD7" w14:textId="77777777" w:rsidR="005E3C18" w:rsidRDefault="005E3C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53B29" w14:textId="58048A79" w:rsidR="006B0DA1" w:rsidRDefault="006B0D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AAF66" w14:textId="77777777" w:rsidR="005C2704" w:rsidRDefault="005C2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E4BC6"/>
    <w:multiLevelType w:val="hybridMultilevel"/>
    <w:tmpl w:val="7870EDB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1A672527"/>
    <w:multiLevelType w:val="hybridMultilevel"/>
    <w:tmpl w:val="A36A9596"/>
    <w:lvl w:ilvl="0" w:tplc="59801590">
      <w:start w:val="1"/>
      <w:numFmt w:val="upperRoman"/>
      <w:lvlText w:val="%1."/>
      <w:lvlJc w:val="left"/>
      <w:pPr>
        <w:ind w:left="720" w:hanging="72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266D50A1"/>
    <w:multiLevelType w:val="multilevel"/>
    <w:tmpl w:val="C59EBAAC"/>
    <w:lvl w:ilvl="0">
      <w:start w:val="1"/>
      <w:numFmt w:val="upperRoman"/>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842F4"/>
    <w:multiLevelType w:val="hybridMultilevel"/>
    <w:tmpl w:val="EA7C1A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B576CB2"/>
    <w:multiLevelType w:val="hybridMultilevel"/>
    <w:tmpl w:val="4AFC0E62"/>
    <w:lvl w:ilvl="0" w:tplc="38547BB8">
      <w:start w:val="1"/>
      <w:numFmt w:val="bullet"/>
      <w:lvlText w:val=""/>
      <w:lvlJc w:val="left"/>
      <w:pPr>
        <w:ind w:left="1440" w:hanging="360"/>
      </w:pPr>
      <w:rPr>
        <w:rFonts w:ascii="Symbol" w:hAnsi="Symbol"/>
      </w:rPr>
    </w:lvl>
    <w:lvl w:ilvl="1" w:tplc="C8DC1CAA">
      <w:start w:val="1"/>
      <w:numFmt w:val="bullet"/>
      <w:lvlText w:val=""/>
      <w:lvlJc w:val="left"/>
      <w:pPr>
        <w:ind w:left="1440" w:hanging="360"/>
      </w:pPr>
      <w:rPr>
        <w:rFonts w:ascii="Symbol" w:hAnsi="Symbol"/>
      </w:rPr>
    </w:lvl>
    <w:lvl w:ilvl="2" w:tplc="1690090E">
      <w:start w:val="1"/>
      <w:numFmt w:val="bullet"/>
      <w:lvlText w:val=""/>
      <w:lvlJc w:val="left"/>
      <w:pPr>
        <w:ind w:left="1440" w:hanging="360"/>
      </w:pPr>
      <w:rPr>
        <w:rFonts w:ascii="Symbol" w:hAnsi="Symbol"/>
      </w:rPr>
    </w:lvl>
    <w:lvl w:ilvl="3" w:tplc="C66CBAB4">
      <w:start w:val="1"/>
      <w:numFmt w:val="bullet"/>
      <w:lvlText w:val=""/>
      <w:lvlJc w:val="left"/>
      <w:pPr>
        <w:ind w:left="1440" w:hanging="360"/>
      </w:pPr>
      <w:rPr>
        <w:rFonts w:ascii="Symbol" w:hAnsi="Symbol"/>
      </w:rPr>
    </w:lvl>
    <w:lvl w:ilvl="4" w:tplc="35881A5C">
      <w:start w:val="1"/>
      <w:numFmt w:val="bullet"/>
      <w:lvlText w:val=""/>
      <w:lvlJc w:val="left"/>
      <w:pPr>
        <w:ind w:left="1440" w:hanging="360"/>
      </w:pPr>
      <w:rPr>
        <w:rFonts w:ascii="Symbol" w:hAnsi="Symbol"/>
      </w:rPr>
    </w:lvl>
    <w:lvl w:ilvl="5" w:tplc="C1EAE1E8">
      <w:start w:val="1"/>
      <w:numFmt w:val="bullet"/>
      <w:lvlText w:val=""/>
      <w:lvlJc w:val="left"/>
      <w:pPr>
        <w:ind w:left="1440" w:hanging="360"/>
      </w:pPr>
      <w:rPr>
        <w:rFonts w:ascii="Symbol" w:hAnsi="Symbol"/>
      </w:rPr>
    </w:lvl>
    <w:lvl w:ilvl="6" w:tplc="10D8946C">
      <w:start w:val="1"/>
      <w:numFmt w:val="bullet"/>
      <w:lvlText w:val=""/>
      <w:lvlJc w:val="left"/>
      <w:pPr>
        <w:ind w:left="1440" w:hanging="360"/>
      </w:pPr>
      <w:rPr>
        <w:rFonts w:ascii="Symbol" w:hAnsi="Symbol"/>
      </w:rPr>
    </w:lvl>
    <w:lvl w:ilvl="7" w:tplc="65E8FA50">
      <w:start w:val="1"/>
      <w:numFmt w:val="bullet"/>
      <w:lvlText w:val=""/>
      <w:lvlJc w:val="left"/>
      <w:pPr>
        <w:ind w:left="1440" w:hanging="360"/>
      </w:pPr>
      <w:rPr>
        <w:rFonts w:ascii="Symbol" w:hAnsi="Symbol"/>
      </w:rPr>
    </w:lvl>
    <w:lvl w:ilvl="8" w:tplc="6A78F526">
      <w:start w:val="1"/>
      <w:numFmt w:val="bullet"/>
      <w:lvlText w:val=""/>
      <w:lvlJc w:val="left"/>
      <w:pPr>
        <w:ind w:left="1440" w:hanging="360"/>
      </w:pPr>
      <w:rPr>
        <w:rFonts w:ascii="Symbol" w:hAnsi="Symbol"/>
      </w:rPr>
    </w:lvl>
  </w:abstractNum>
  <w:abstractNum w:abstractNumId="5" w15:restartNumberingAfterBreak="0">
    <w:nsid w:val="3EBB4DF8"/>
    <w:multiLevelType w:val="hybridMultilevel"/>
    <w:tmpl w:val="D26E51BC"/>
    <w:lvl w:ilvl="0" w:tplc="1178840C">
      <w:start w:val="1"/>
      <w:numFmt w:val="decimal"/>
      <w:lvlText w:val="%1."/>
      <w:lvlJc w:val="left"/>
      <w:pPr>
        <w:ind w:left="1020" w:hanging="360"/>
      </w:pPr>
    </w:lvl>
    <w:lvl w:ilvl="1" w:tplc="32508FA0">
      <w:start w:val="1"/>
      <w:numFmt w:val="decimal"/>
      <w:lvlText w:val="%2."/>
      <w:lvlJc w:val="left"/>
      <w:pPr>
        <w:ind w:left="1020" w:hanging="360"/>
      </w:pPr>
    </w:lvl>
    <w:lvl w:ilvl="2" w:tplc="79BA37CC">
      <w:start w:val="1"/>
      <w:numFmt w:val="decimal"/>
      <w:lvlText w:val="%3."/>
      <w:lvlJc w:val="left"/>
      <w:pPr>
        <w:ind w:left="1020" w:hanging="360"/>
      </w:pPr>
    </w:lvl>
    <w:lvl w:ilvl="3" w:tplc="F35A4ACC">
      <w:start w:val="1"/>
      <w:numFmt w:val="decimal"/>
      <w:lvlText w:val="%4."/>
      <w:lvlJc w:val="left"/>
      <w:pPr>
        <w:ind w:left="1020" w:hanging="360"/>
      </w:pPr>
    </w:lvl>
    <w:lvl w:ilvl="4" w:tplc="06DA11FC">
      <w:start w:val="1"/>
      <w:numFmt w:val="decimal"/>
      <w:lvlText w:val="%5."/>
      <w:lvlJc w:val="left"/>
      <w:pPr>
        <w:ind w:left="1020" w:hanging="360"/>
      </w:pPr>
    </w:lvl>
    <w:lvl w:ilvl="5" w:tplc="35FC6C8C">
      <w:start w:val="1"/>
      <w:numFmt w:val="decimal"/>
      <w:lvlText w:val="%6."/>
      <w:lvlJc w:val="left"/>
      <w:pPr>
        <w:ind w:left="1020" w:hanging="360"/>
      </w:pPr>
    </w:lvl>
    <w:lvl w:ilvl="6" w:tplc="9BDE3CDC">
      <w:start w:val="1"/>
      <w:numFmt w:val="decimal"/>
      <w:lvlText w:val="%7."/>
      <w:lvlJc w:val="left"/>
      <w:pPr>
        <w:ind w:left="1020" w:hanging="360"/>
      </w:pPr>
    </w:lvl>
    <w:lvl w:ilvl="7" w:tplc="520E3B22">
      <w:start w:val="1"/>
      <w:numFmt w:val="decimal"/>
      <w:lvlText w:val="%8."/>
      <w:lvlJc w:val="left"/>
      <w:pPr>
        <w:ind w:left="1020" w:hanging="360"/>
      </w:pPr>
    </w:lvl>
    <w:lvl w:ilvl="8" w:tplc="109C99FA">
      <w:start w:val="1"/>
      <w:numFmt w:val="decimal"/>
      <w:lvlText w:val="%9."/>
      <w:lvlJc w:val="left"/>
      <w:pPr>
        <w:ind w:left="1020" w:hanging="360"/>
      </w:pPr>
    </w:lvl>
  </w:abstractNum>
  <w:abstractNum w:abstractNumId="6" w15:restartNumberingAfterBreak="0">
    <w:nsid w:val="49DE08B1"/>
    <w:multiLevelType w:val="hybridMultilevel"/>
    <w:tmpl w:val="A6B87636"/>
    <w:lvl w:ilvl="0" w:tplc="8D2662E6">
      <w:start w:val="1"/>
      <w:numFmt w:val="bullet"/>
      <w:lvlText w:val="-"/>
      <w:lvlJc w:val="left"/>
      <w:pPr>
        <w:ind w:left="1800" w:hanging="360"/>
      </w:pPr>
      <w:rPr>
        <w:rFonts w:ascii="Times New Roman" w:eastAsia="Times New Roman" w:hAnsi="Times New Roman" w:cs="Times New Roman"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7" w15:restartNumberingAfterBreak="0">
    <w:nsid w:val="55CD579A"/>
    <w:multiLevelType w:val="hybridMultilevel"/>
    <w:tmpl w:val="CEDA2924"/>
    <w:lvl w:ilvl="0" w:tplc="18090011">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69C799E"/>
    <w:multiLevelType w:val="hybridMultilevel"/>
    <w:tmpl w:val="F260FB64"/>
    <w:lvl w:ilvl="0" w:tplc="DEAC17F4">
      <w:start w:val="1"/>
      <w:numFmt w:val="bullet"/>
      <w:lvlText w:val=""/>
      <w:lvlJc w:val="left"/>
      <w:pPr>
        <w:ind w:left="720" w:hanging="360"/>
      </w:pPr>
      <w:rPr>
        <w:rFonts w:ascii="Symbol" w:hAnsi="Symbol"/>
      </w:rPr>
    </w:lvl>
    <w:lvl w:ilvl="1" w:tplc="4B52E918">
      <w:start w:val="1"/>
      <w:numFmt w:val="bullet"/>
      <w:lvlText w:val=""/>
      <w:lvlJc w:val="left"/>
      <w:pPr>
        <w:ind w:left="720" w:hanging="360"/>
      </w:pPr>
      <w:rPr>
        <w:rFonts w:ascii="Symbol" w:hAnsi="Symbol"/>
      </w:rPr>
    </w:lvl>
    <w:lvl w:ilvl="2" w:tplc="BA1E86A6">
      <w:start w:val="1"/>
      <w:numFmt w:val="bullet"/>
      <w:lvlText w:val=""/>
      <w:lvlJc w:val="left"/>
      <w:pPr>
        <w:ind w:left="720" w:hanging="360"/>
      </w:pPr>
      <w:rPr>
        <w:rFonts w:ascii="Symbol" w:hAnsi="Symbol"/>
      </w:rPr>
    </w:lvl>
    <w:lvl w:ilvl="3" w:tplc="31C24CBE">
      <w:start w:val="1"/>
      <w:numFmt w:val="bullet"/>
      <w:lvlText w:val=""/>
      <w:lvlJc w:val="left"/>
      <w:pPr>
        <w:ind w:left="720" w:hanging="360"/>
      </w:pPr>
      <w:rPr>
        <w:rFonts w:ascii="Symbol" w:hAnsi="Symbol"/>
      </w:rPr>
    </w:lvl>
    <w:lvl w:ilvl="4" w:tplc="70C0D33E">
      <w:start w:val="1"/>
      <w:numFmt w:val="bullet"/>
      <w:lvlText w:val=""/>
      <w:lvlJc w:val="left"/>
      <w:pPr>
        <w:ind w:left="720" w:hanging="360"/>
      </w:pPr>
      <w:rPr>
        <w:rFonts w:ascii="Symbol" w:hAnsi="Symbol"/>
      </w:rPr>
    </w:lvl>
    <w:lvl w:ilvl="5" w:tplc="7122BAA4">
      <w:start w:val="1"/>
      <w:numFmt w:val="bullet"/>
      <w:lvlText w:val=""/>
      <w:lvlJc w:val="left"/>
      <w:pPr>
        <w:ind w:left="720" w:hanging="360"/>
      </w:pPr>
      <w:rPr>
        <w:rFonts w:ascii="Symbol" w:hAnsi="Symbol"/>
      </w:rPr>
    </w:lvl>
    <w:lvl w:ilvl="6" w:tplc="A510D4A6">
      <w:start w:val="1"/>
      <w:numFmt w:val="bullet"/>
      <w:lvlText w:val=""/>
      <w:lvlJc w:val="left"/>
      <w:pPr>
        <w:ind w:left="720" w:hanging="360"/>
      </w:pPr>
      <w:rPr>
        <w:rFonts w:ascii="Symbol" w:hAnsi="Symbol"/>
      </w:rPr>
    </w:lvl>
    <w:lvl w:ilvl="7" w:tplc="5B9E56C2">
      <w:start w:val="1"/>
      <w:numFmt w:val="bullet"/>
      <w:lvlText w:val=""/>
      <w:lvlJc w:val="left"/>
      <w:pPr>
        <w:ind w:left="720" w:hanging="360"/>
      </w:pPr>
      <w:rPr>
        <w:rFonts w:ascii="Symbol" w:hAnsi="Symbol"/>
      </w:rPr>
    </w:lvl>
    <w:lvl w:ilvl="8" w:tplc="A1641410">
      <w:start w:val="1"/>
      <w:numFmt w:val="bullet"/>
      <w:lvlText w:val=""/>
      <w:lvlJc w:val="left"/>
      <w:pPr>
        <w:ind w:left="720" w:hanging="360"/>
      </w:pPr>
      <w:rPr>
        <w:rFonts w:ascii="Symbol" w:hAnsi="Symbol"/>
      </w:rPr>
    </w:lvl>
  </w:abstractNum>
  <w:abstractNum w:abstractNumId="9" w15:restartNumberingAfterBreak="0">
    <w:nsid w:val="6B1C5ED5"/>
    <w:multiLevelType w:val="hybridMultilevel"/>
    <w:tmpl w:val="A30A3F28"/>
    <w:lvl w:ilvl="0" w:tplc="38DEE520">
      <w:start w:val="1"/>
      <w:numFmt w:val="bullet"/>
      <w:lvlText w:val=""/>
      <w:lvlJc w:val="left"/>
      <w:pPr>
        <w:ind w:left="1440" w:hanging="360"/>
      </w:pPr>
      <w:rPr>
        <w:rFonts w:ascii="Symbol" w:hAnsi="Symbol"/>
      </w:rPr>
    </w:lvl>
    <w:lvl w:ilvl="1" w:tplc="AAD05CDA">
      <w:start w:val="1"/>
      <w:numFmt w:val="bullet"/>
      <w:lvlText w:val=""/>
      <w:lvlJc w:val="left"/>
      <w:pPr>
        <w:ind w:left="1440" w:hanging="360"/>
      </w:pPr>
      <w:rPr>
        <w:rFonts w:ascii="Symbol" w:hAnsi="Symbol"/>
      </w:rPr>
    </w:lvl>
    <w:lvl w:ilvl="2" w:tplc="77B03A68">
      <w:start w:val="1"/>
      <w:numFmt w:val="bullet"/>
      <w:lvlText w:val=""/>
      <w:lvlJc w:val="left"/>
      <w:pPr>
        <w:ind w:left="1440" w:hanging="360"/>
      </w:pPr>
      <w:rPr>
        <w:rFonts w:ascii="Symbol" w:hAnsi="Symbol"/>
      </w:rPr>
    </w:lvl>
    <w:lvl w:ilvl="3" w:tplc="0D36440A">
      <w:start w:val="1"/>
      <w:numFmt w:val="bullet"/>
      <w:lvlText w:val=""/>
      <w:lvlJc w:val="left"/>
      <w:pPr>
        <w:ind w:left="1440" w:hanging="360"/>
      </w:pPr>
      <w:rPr>
        <w:rFonts w:ascii="Symbol" w:hAnsi="Symbol"/>
      </w:rPr>
    </w:lvl>
    <w:lvl w:ilvl="4" w:tplc="924CE5EA">
      <w:start w:val="1"/>
      <w:numFmt w:val="bullet"/>
      <w:lvlText w:val=""/>
      <w:lvlJc w:val="left"/>
      <w:pPr>
        <w:ind w:left="1440" w:hanging="360"/>
      </w:pPr>
      <w:rPr>
        <w:rFonts w:ascii="Symbol" w:hAnsi="Symbol"/>
      </w:rPr>
    </w:lvl>
    <w:lvl w:ilvl="5" w:tplc="08669004">
      <w:start w:val="1"/>
      <w:numFmt w:val="bullet"/>
      <w:lvlText w:val=""/>
      <w:lvlJc w:val="left"/>
      <w:pPr>
        <w:ind w:left="1440" w:hanging="360"/>
      </w:pPr>
      <w:rPr>
        <w:rFonts w:ascii="Symbol" w:hAnsi="Symbol"/>
      </w:rPr>
    </w:lvl>
    <w:lvl w:ilvl="6" w:tplc="78A24716">
      <w:start w:val="1"/>
      <w:numFmt w:val="bullet"/>
      <w:lvlText w:val=""/>
      <w:lvlJc w:val="left"/>
      <w:pPr>
        <w:ind w:left="1440" w:hanging="360"/>
      </w:pPr>
      <w:rPr>
        <w:rFonts w:ascii="Symbol" w:hAnsi="Symbol"/>
      </w:rPr>
    </w:lvl>
    <w:lvl w:ilvl="7" w:tplc="64FCA310">
      <w:start w:val="1"/>
      <w:numFmt w:val="bullet"/>
      <w:lvlText w:val=""/>
      <w:lvlJc w:val="left"/>
      <w:pPr>
        <w:ind w:left="1440" w:hanging="360"/>
      </w:pPr>
      <w:rPr>
        <w:rFonts w:ascii="Symbol" w:hAnsi="Symbol"/>
      </w:rPr>
    </w:lvl>
    <w:lvl w:ilvl="8" w:tplc="1D8A7700">
      <w:start w:val="1"/>
      <w:numFmt w:val="bullet"/>
      <w:lvlText w:val=""/>
      <w:lvlJc w:val="left"/>
      <w:pPr>
        <w:ind w:left="1440" w:hanging="360"/>
      </w:pPr>
      <w:rPr>
        <w:rFonts w:ascii="Symbol" w:hAnsi="Symbol"/>
      </w:rPr>
    </w:lvl>
  </w:abstractNum>
  <w:abstractNum w:abstractNumId="10" w15:restartNumberingAfterBreak="0">
    <w:nsid w:val="6CD4566A"/>
    <w:multiLevelType w:val="hybridMultilevel"/>
    <w:tmpl w:val="C988F7FA"/>
    <w:lvl w:ilvl="0" w:tplc="DD56BA0E">
      <w:start w:val="1"/>
      <w:numFmt w:val="decimal"/>
      <w:lvlText w:val="%1."/>
      <w:lvlJc w:val="left"/>
      <w:pPr>
        <w:ind w:left="720" w:hanging="360"/>
      </w:pPr>
    </w:lvl>
    <w:lvl w:ilvl="1" w:tplc="26B8E774">
      <w:start w:val="1"/>
      <w:numFmt w:val="decimal"/>
      <w:lvlText w:val="%2."/>
      <w:lvlJc w:val="left"/>
      <w:pPr>
        <w:ind w:left="720" w:hanging="360"/>
      </w:pPr>
    </w:lvl>
    <w:lvl w:ilvl="2" w:tplc="052813B8">
      <w:start w:val="1"/>
      <w:numFmt w:val="decimal"/>
      <w:lvlText w:val="%3."/>
      <w:lvlJc w:val="left"/>
      <w:pPr>
        <w:ind w:left="720" w:hanging="360"/>
      </w:pPr>
    </w:lvl>
    <w:lvl w:ilvl="3" w:tplc="E72E97A0">
      <w:start w:val="1"/>
      <w:numFmt w:val="decimal"/>
      <w:lvlText w:val="%4."/>
      <w:lvlJc w:val="left"/>
      <w:pPr>
        <w:ind w:left="720" w:hanging="360"/>
      </w:pPr>
    </w:lvl>
    <w:lvl w:ilvl="4" w:tplc="4594B548">
      <w:start w:val="1"/>
      <w:numFmt w:val="decimal"/>
      <w:lvlText w:val="%5."/>
      <w:lvlJc w:val="left"/>
      <w:pPr>
        <w:ind w:left="720" w:hanging="360"/>
      </w:pPr>
    </w:lvl>
    <w:lvl w:ilvl="5" w:tplc="0A8053FE">
      <w:start w:val="1"/>
      <w:numFmt w:val="decimal"/>
      <w:lvlText w:val="%6."/>
      <w:lvlJc w:val="left"/>
      <w:pPr>
        <w:ind w:left="720" w:hanging="360"/>
      </w:pPr>
    </w:lvl>
    <w:lvl w:ilvl="6" w:tplc="A072D554">
      <w:start w:val="1"/>
      <w:numFmt w:val="decimal"/>
      <w:lvlText w:val="%7."/>
      <w:lvlJc w:val="left"/>
      <w:pPr>
        <w:ind w:left="720" w:hanging="360"/>
      </w:pPr>
    </w:lvl>
    <w:lvl w:ilvl="7" w:tplc="85EC3AD2">
      <w:start w:val="1"/>
      <w:numFmt w:val="decimal"/>
      <w:lvlText w:val="%8."/>
      <w:lvlJc w:val="left"/>
      <w:pPr>
        <w:ind w:left="720" w:hanging="360"/>
      </w:pPr>
    </w:lvl>
    <w:lvl w:ilvl="8" w:tplc="D3D63B3E">
      <w:start w:val="1"/>
      <w:numFmt w:val="decimal"/>
      <w:lvlText w:val="%9."/>
      <w:lvlJc w:val="left"/>
      <w:pPr>
        <w:ind w:left="720" w:hanging="360"/>
      </w:pPr>
    </w:lvl>
  </w:abstractNum>
  <w:abstractNum w:abstractNumId="11" w15:restartNumberingAfterBreak="0">
    <w:nsid w:val="789370E3"/>
    <w:multiLevelType w:val="hybridMultilevel"/>
    <w:tmpl w:val="141824DA"/>
    <w:lvl w:ilvl="0" w:tplc="13806564">
      <w:start w:val="1"/>
      <w:numFmt w:val="bullet"/>
      <w:lvlText w:val=""/>
      <w:lvlJc w:val="left"/>
      <w:pPr>
        <w:ind w:left="1440" w:hanging="360"/>
      </w:pPr>
      <w:rPr>
        <w:rFonts w:ascii="Symbol" w:hAnsi="Symbol"/>
      </w:rPr>
    </w:lvl>
    <w:lvl w:ilvl="1" w:tplc="2D1003F2">
      <w:start w:val="1"/>
      <w:numFmt w:val="bullet"/>
      <w:lvlText w:val=""/>
      <w:lvlJc w:val="left"/>
      <w:pPr>
        <w:ind w:left="1440" w:hanging="360"/>
      </w:pPr>
      <w:rPr>
        <w:rFonts w:ascii="Symbol" w:hAnsi="Symbol"/>
      </w:rPr>
    </w:lvl>
    <w:lvl w:ilvl="2" w:tplc="9C0CFEFA">
      <w:start w:val="1"/>
      <w:numFmt w:val="bullet"/>
      <w:lvlText w:val=""/>
      <w:lvlJc w:val="left"/>
      <w:pPr>
        <w:ind w:left="1440" w:hanging="360"/>
      </w:pPr>
      <w:rPr>
        <w:rFonts w:ascii="Symbol" w:hAnsi="Symbol"/>
      </w:rPr>
    </w:lvl>
    <w:lvl w:ilvl="3" w:tplc="7EA278D0">
      <w:start w:val="1"/>
      <w:numFmt w:val="bullet"/>
      <w:lvlText w:val=""/>
      <w:lvlJc w:val="left"/>
      <w:pPr>
        <w:ind w:left="1440" w:hanging="360"/>
      </w:pPr>
      <w:rPr>
        <w:rFonts w:ascii="Symbol" w:hAnsi="Symbol"/>
      </w:rPr>
    </w:lvl>
    <w:lvl w:ilvl="4" w:tplc="40CC54FE">
      <w:start w:val="1"/>
      <w:numFmt w:val="bullet"/>
      <w:lvlText w:val=""/>
      <w:lvlJc w:val="left"/>
      <w:pPr>
        <w:ind w:left="1440" w:hanging="360"/>
      </w:pPr>
      <w:rPr>
        <w:rFonts w:ascii="Symbol" w:hAnsi="Symbol"/>
      </w:rPr>
    </w:lvl>
    <w:lvl w:ilvl="5" w:tplc="2FE273B6">
      <w:start w:val="1"/>
      <w:numFmt w:val="bullet"/>
      <w:lvlText w:val=""/>
      <w:lvlJc w:val="left"/>
      <w:pPr>
        <w:ind w:left="1440" w:hanging="360"/>
      </w:pPr>
      <w:rPr>
        <w:rFonts w:ascii="Symbol" w:hAnsi="Symbol"/>
      </w:rPr>
    </w:lvl>
    <w:lvl w:ilvl="6" w:tplc="AF5A9322">
      <w:start w:val="1"/>
      <w:numFmt w:val="bullet"/>
      <w:lvlText w:val=""/>
      <w:lvlJc w:val="left"/>
      <w:pPr>
        <w:ind w:left="1440" w:hanging="360"/>
      </w:pPr>
      <w:rPr>
        <w:rFonts w:ascii="Symbol" w:hAnsi="Symbol"/>
      </w:rPr>
    </w:lvl>
    <w:lvl w:ilvl="7" w:tplc="284A06FE">
      <w:start w:val="1"/>
      <w:numFmt w:val="bullet"/>
      <w:lvlText w:val=""/>
      <w:lvlJc w:val="left"/>
      <w:pPr>
        <w:ind w:left="1440" w:hanging="360"/>
      </w:pPr>
      <w:rPr>
        <w:rFonts w:ascii="Symbol" w:hAnsi="Symbol"/>
      </w:rPr>
    </w:lvl>
    <w:lvl w:ilvl="8" w:tplc="BDD87FDA">
      <w:start w:val="1"/>
      <w:numFmt w:val="bullet"/>
      <w:lvlText w:val=""/>
      <w:lvlJc w:val="left"/>
      <w:pPr>
        <w:ind w:left="1440" w:hanging="360"/>
      </w:pPr>
      <w:rPr>
        <w:rFonts w:ascii="Symbol" w:hAnsi="Symbol"/>
      </w:rPr>
    </w:lvl>
  </w:abstractNum>
  <w:num w:numId="1">
    <w:abstractNumId w:val="1"/>
  </w:num>
  <w:num w:numId="2">
    <w:abstractNumId w:val="7"/>
  </w:num>
  <w:num w:numId="3">
    <w:abstractNumId w:val="3"/>
  </w:num>
  <w:num w:numId="4">
    <w:abstractNumId w:val="0"/>
  </w:num>
  <w:num w:numId="5">
    <w:abstractNumId w:val="6"/>
  </w:num>
  <w:num w:numId="6">
    <w:abstractNumId w:val="2"/>
  </w:num>
  <w:num w:numId="7">
    <w:abstractNumId w:val="8"/>
  </w:num>
  <w:num w:numId="8">
    <w:abstractNumId w:val="4"/>
  </w:num>
  <w:num w:numId="9">
    <w:abstractNumId w:val="11"/>
  </w:num>
  <w:num w:numId="10">
    <w:abstractNumId w:val="9"/>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393BBB9-90A6-423A-98AF-E00048452FE9"/>
    <w:docVar w:name="LW_COVERPAGE_TYPE" w:val="1"/>
    <w:docVar w:name="LW_CROSSREFERENCE" w:val="&lt;UNUSED&gt;"/>
    <w:docVar w:name="LW_DocType" w:val="NORMAL"/>
    <w:docVar w:name="LW_EMISSION" w:val="15.7.2026"/>
    <w:docVar w:name="LW_EMISSION_ISODATE" w:val="2026-07-15"/>
    <w:docVar w:name="LW_EMISSION_LOCATION" w:val="BRX"/>
    <w:docVar w:name="LW_EMISSION_PREFIX" w:val="Bruxelles, "/>
    <w:docVar w:name="LW_EMISSION_SUFFIX" w:val=" "/>
    <w:docVar w:name="LW_ID_DOCTYPE_NONLW" w:val="CP-001"/>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valuare în temeiul articolului 4 din Decizia de punere în aplicare (UE) 2025/2323 a Comisiei"/>
    <w:docVar w:name="LW_TYPE.DOC.CP" w:val="COMUNICARE A COMISIEI"/>
    <w:docVar w:name="LW_TYPE.DOC.CP.USERTEXT" w:val="COMUNICARE A COMISIEI C\u258?TRE PARLAMENTUL EUROPEAN \u536?I CONSILIU"/>
    <w:docVar w:name="LwApiVersions" w:val="LW4CoDe 1.24.5.0; LW 9.2, Build 20251112"/>
  </w:docVars>
  <w:rsids>
    <w:rsidRoot w:val="000B3F04"/>
    <w:rsid w:val="000013BC"/>
    <w:rsid w:val="00004000"/>
    <w:rsid w:val="00010ACD"/>
    <w:rsid w:val="00011DD8"/>
    <w:rsid w:val="00014341"/>
    <w:rsid w:val="00020475"/>
    <w:rsid w:val="00020506"/>
    <w:rsid w:val="00023035"/>
    <w:rsid w:val="000230AB"/>
    <w:rsid w:val="000241DD"/>
    <w:rsid w:val="00030C67"/>
    <w:rsid w:val="000325BB"/>
    <w:rsid w:val="00035497"/>
    <w:rsid w:val="00045664"/>
    <w:rsid w:val="0004779E"/>
    <w:rsid w:val="0005091B"/>
    <w:rsid w:val="0005110B"/>
    <w:rsid w:val="0005479A"/>
    <w:rsid w:val="00055BC0"/>
    <w:rsid w:val="00060B4F"/>
    <w:rsid w:val="00061E12"/>
    <w:rsid w:val="00067EED"/>
    <w:rsid w:val="00070D8D"/>
    <w:rsid w:val="000712E9"/>
    <w:rsid w:val="000716C1"/>
    <w:rsid w:val="00077ED7"/>
    <w:rsid w:val="00077FD0"/>
    <w:rsid w:val="00080A05"/>
    <w:rsid w:val="000918A3"/>
    <w:rsid w:val="00092063"/>
    <w:rsid w:val="000A4442"/>
    <w:rsid w:val="000B1022"/>
    <w:rsid w:val="000B1343"/>
    <w:rsid w:val="000B13F1"/>
    <w:rsid w:val="000B3686"/>
    <w:rsid w:val="000B3F04"/>
    <w:rsid w:val="000C1E2C"/>
    <w:rsid w:val="000C218C"/>
    <w:rsid w:val="000C6534"/>
    <w:rsid w:val="000C70A5"/>
    <w:rsid w:val="000D12B3"/>
    <w:rsid w:val="000D4C1A"/>
    <w:rsid w:val="000D54B8"/>
    <w:rsid w:val="000D753B"/>
    <w:rsid w:val="000E01ED"/>
    <w:rsid w:val="000F101D"/>
    <w:rsid w:val="000F38B4"/>
    <w:rsid w:val="000F56C7"/>
    <w:rsid w:val="000F5C7A"/>
    <w:rsid w:val="000F66CB"/>
    <w:rsid w:val="00102379"/>
    <w:rsid w:val="00102E35"/>
    <w:rsid w:val="00104221"/>
    <w:rsid w:val="001134C1"/>
    <w:rsid w:val="00113FD6"/>
    <w:rsid w:val="00121D36"/>
    <w:rsid w:val="001265A5"/>
    <w:rsid w:val="001311A6"/>
    <w:rsid w:val="001323B9"/>
    <w:rsid w:val="001323E2"/>
    <w:rsid w:val="001357EA"/>
    <w:rsid w:val="001364CF"/>
    <w:rsid w:val="001370FD"/>
    <w:rsid w:val="00137912"/>
    <w:rsid w:val="00137AF9"/>
    <w:rsid w:val="00143893"/>
    <w:rsid w:val="001469B5"/>
    <w:rsid w:val="00150642"/>
    <w:rsid w:val="00160631"/>
    <w:rsid w:val="001611E6"/>
    <w:rsid w:val="00162A24"/>
    <w:rsid w:val="001638D5"/>
    <w:rsid w:val="001642F2"/>
    <w:rsid w:val="00174BA0"/>
    <w:rsid w:val="001757D2"/>
    <w:rsid w:val="001759D1"/>
    <w:rsid w:val="0017738C"/>
    <w:rsid w:val="00187341"/>
    <w:rsid w:val="001879AE"/>
    <w:rsid w:val="001A4EBF"/>
    <w:rsid w:val="001B5EFA"/>
    <w:rsid w:val="001B6F59"/>
    <w:rsid w:val="001B797B"/>
    <w:rsid w:val="001C1846"/>
    <w:rsid w:val="001C4621"/>
    <w:rsid w:val="001D34A1"/>
    <w:rsid w:val="001E1EEC"/>
    <w:rsid w:val="001E4F76"/>
    <w:rsid w:val="001F0546"/>
    <w:rsid w:val="001F1EBF"/>
    <w:rsid w:val="001F5D84"/>
    <w:rsid w:val="001F6B0A"/>
    <w:rsid w:val="00200ECA"/>
    <w:rsid w:val="00203160"/>
    <w:rsid w:val="0020484B"/>
    <w:rsid w:val="00205FD9"/>
    <w:rsid w:val="0020775D"/>
    <w:rsid w:val="00211385"/>
    <w:rsid w:val="002163D6"/>
    <w:rsid w:val="00222CE0"/>
    <w:rsid w:val="00224E03"/>
    <w:rsid w:val="002308B8"/>
    <w:rsid w:val="00230C99"/>
    <w:rsid w:val="002326A6"/>
    <w:rsid w:val="00240793"/>
    <w:rsid w:val="0024088F"/>
    <w:rsid w:val="0024339B"/>
    <w:rsid w:val="00244E47"/>
    <w:rsid w:val="00247308"/>
    <w:rsid w:val="0025058F"/>
    <w:rsid w:val="00251BBA"/>
    <w:rsid w:val="0025276D"/>
    <w:rsid w:val="0026007D"/>
    <w:rsid w:val="0026417D"/>
    <w:rsid w:val="00267636"/>
    <w:rsid w:val="00270E56"/>
    <w:rsid w:val="002723A8"/>
    <w:rsid w:val="00273DB2"/>
    <w:rsid w:val="00277F87"/>
    <w:rsid w:val="0029180C"/>
    <w:rsid w:val="002A0366"/>
    <w:rsid w:val="002A727C"/>
    <w:rsid w:val="002A79B7"/>
    <w:rsid w:val="002B0761"/>
    <w:rsid w:val="002B11F4"/>
    <w:rsid w:val="002B4A0B"/>
    <w:rsid w:val="002B6374"/>
    <w:rsid w:val="002C24F2"/>
    <w:rsid w:val="002C5B88"/>
    <w:rsid w:val="002C629D"/>
    <w:rsid w:val="002D194B"/>
    <w:rsid w:val="002D1B3C"/>
    <w:rsid w:val="002D4F8C"/>
    <w:rsid w:val="002D5DE2"/>
    <w:rsid w:val="002E4636"/>
    <w:rsid w:val="002E465D"/>
    <w:rsid w:val="002E4D3C"/>
    <w:rsid w:val="002F4A51"/>
    <w:rsid w:val="00300D19"/>
    <w:rsid w:val="00303341"/>
    <w:rsid w:val="00306113"/>
    <w:rsid w:val="00306DF7"/>
    <w:rsid w:val="00311C2A"/>
    <w:rsid w:val="0031331B"/>
    <w:rsid w:val="003133E3"/>
    <w:rsid w:val="003247D7"/>
    <w:rsid w:val="00330ABE"/>
    <w:rsid w:val="00330EC4"/>
    <w:rsid w:val="00332BB7"/>
    <w:rsid w:val="00333294"/>
    <w:rsid w:val="0033334C"/>
    <w:rsid w:val="0033608D"/>
    <w:rsid w:val="00343A6D"/>
    <w:rsid w:val="003447D0"/>
    <w:rsid w:val="00351539"/>
    <w:rsid w:val="0035288D"/>
    <w:rsid w:val="00352E11"/>
    <w:rsid w:val="003540C7"/>
    <w:rsid w:val="003550DE"/>
    <w:rsid w:val="00362AF2"/>
    <w:rsid w:val="003638BC"/>
    <w:rsid w:val="00363AFA"/>
    <w:rsid w:val="0036556B"/>
    <w:rsid w:val="00366205"/>
    <w:rsid w:val="0037516E"/>
    <w:rsid w:val="00377CA1"/>
    <w:rsid w:val="00380323"/>
    <w:rsid w:val="00380867"/>
    <w:rsid w:val="0038156A"/>
    <w:rsid w:val="00385AF5"/>
    <w:rsid w:val="00390B50"/>
    <w:rsid w:val="00393F9A"/>
    <w:rsid w:val="00394681"/>
    <w:rsid w:val="00394AB7"/>
    <w:rsid w:val="003968E4"/>
    <w:rsid w:val="003A0CCB"/>
    <w:rsid w:val="003A74FF"/>
    <w:rsid w:val="003B39AF"/>
    <w:rsid w:val="003B4A9E"/>
    <w:rsid w:val="003B6C44"/>
    <w:rsid w:val="003C59F4"/>
    <w:rsid w:val="003D5520"/>
    <w:rsid w:val="003D725E"/>
    <w:rsid w:val="003D7A96"/>
    <w:rsid w:val="003E1D04"/>
    <w:rsid w:val="003E362E"/>
    <w:rsid w:val="003E7600"/>
    <w:rsid w:val="003F2E70"/>
    <w:rsid w:val="003F6ABD"/>
    <w:rsid w:val="004031BD"/>
    <w:rsid w:val="00406606"/>
    <w:rsid w:val="00413125"/>
    <w:rsid w:val="00415A55"/>
    <w:rsid w:val="00416A78"/>
    <w:rsid w:val="00421089"/>
    <w:rsid w:val="00421889"/>
    <w:rsid w:val="004227E8"/>
    <w:rsid w:val="00423E3C"/>
    <w:rsid w:val="00425383"/>
    <w:rsid w:val="004259BB"/>
    <w:rsid w:val="00432B40"/>
    <w:rsid w:val="004341AF"/>
    <w:rsid w:val="00436F7F"/>
    <w:rsid w:val="00443581"/>
    <w:rsid w:val="00445056"/>
    <w:rsid w:val="00447E81"/>
    <w:rsid w:val="00451055"/>
    <w:rsid w:val="004524C7"/>
    <w:rsid w:val="00455349"/>
    <w:rsid w:val="00455B9A"/>
    <w:rsid w:val="00456B6F"/>
    <w:rsid w:val="00460572"/>
    <w:rsid w:val="00461157"/>
    <w:rsid w:val="00461713"/>
    <w:rsid w:val="00466E86"/>
    <w:rsid w:val="00467897"/>
    <w:rsid w:val="0047436C"/>
    <w:rsid w:val="00476E5E"/>
    <w:rsid w:val="00476FC0"/>
    <w:rsid w:val="004833BC"/>
    <w:rsid w:val="00483A6D"/>
    <w:rsid w:val="004903C6"/>
    <w:rsid w:val="00491F90"/>
    <w:rsid w:val="0049316B"/>
    <w:rsid w:val="004943C9"/>
    <w:rsid w:val="00494B5A"/>
    <w:rsid w:val="004A3445"/>
    <w:rsid w:val="004A4DAF"/>
    <w:rsid w:val="004A4F3C"/>
    <w:rsid w:val="004A645D"/>
    <w:rsid w:val="004A7074"/>
    <w:rsid w:val="004B13E7"/>
    <w:rsid w:val="004B15C4"/>
    <w:rsid w:val="004B2D9C"/>
    <w:rsid w:val="004B63D1"/>
    <w:rsid w:val="004B7A6F"/>
    <w:rsid w:val="004C04C4"/>
    <w:rsid w:val="004C2A5B"/>
    <w:rsid w:val="004C4257"/>
    <w:rsid w:val="004C72F9"/>
    <w:rsid w:val="004D0028"/>
    <w:rsid w:val="004D04EC"/>
    <w:rsid w:val="004D4277"/>
    <w:rsid w:val="004E62A4"/>
    <w:rsid w:val="004E6C7B"/>
    <w:rsid w:val="004F1129"/>
    <w:rsid w:val="004F2171"/>
    <w:rsid w:val="004F54A8"/>
    <w:rsid w:val="004F5B00"/>
    <w:rsid w:val="005020E2"/>
    <w:rsid w:val="005022C4"/>
    <w:rsid w:val="00504E79"/>
    <w:rsid w:val="005053D7"/>
    <w:rsid w:val="00513100"/>
    <w:rsid w:val="00515EDE"/>
    <w:rsid w:val="005254F7"/>
    <w:rsid w:val="00525B39"/>
    <w:rsid w:val="00526AF9"/>
    <w:rsid w:val="00537B70"/>
    <w:rsid w:val="00540803"/>
    <w:rsid w:val="00541E4C"/>
    <w:rsid w:val="00550279"/>
    <w:rsid w:val="005528C0"/>
    <w:rsid w:val="0055290E"/>
    <w:rsid w:val="005530EE"/>
    <w:rsid w:val="0055421C"/>
    <w:rsid w:val="00560392"/>
    <w:rsid w:val="00565103"/>
    <w:rsid w:val="005753D4"/>
    <w:rsid w:val="00575CAD"/>
    <w:rsid w:val="00577F11"/>
    <w:rsid w:val="00581509"/>
    <w:rsid w:val="005825C8"/>
    <w:rsid w:val="00586370"/>
    <w:rsid w:val="00586387"/>
    <w:rsid w:val="00586DCF"/>
    <w:rsid w:val="00591467"/>
    <w:rsid w:val="005923AD"/>
    <w:rsid w:val="005A1BF2"/>
    <w:rsid w:val="005A583C"/>
    <w:rsid w:val="005A6E1E"/>
    <w:rsid w:val="005A7615"/>
    <w:rsid w:val="005B215C"/>
    <w:rsid w:val="005B2BB6"/>
    <w:rsid w:val="005B49E6"/>
    <w:rsid w:val="005B6469"/>
    <w:rsid w:val="005C2704"/>
    <w:rsid w:val="005C41FE"/>
    <w:rsid w:val="005D30B2"/>
    <w:rsid w:val="005E1B57"/>
    <w:rsid w:val="005E3C18"/>
    <w:rsid w:val="005F42C7"/>
    <w:rsid w:val="005F5336"/>
    <w:rsid w:val="005F72FF"/>
    <w:rsid w:val="00602601"/>
    <w:rsid w:val="00605C10"/>
    <w:rsid w:val="00607DCF"/>
    <w:rsid w:val="006137BA"/>
    <w:rsid w:val="00620E9A"/>
    <w:rsid w:val="00621A12"/>
    <w:rsid w:val="0062306B"/>
    <w:rsid w:val="00627284"/>
    <w:rsid w:val="00634E11"/>
    <w:rsid w:val="00640563"/>
    <w:rsid w:val="0064144A"/>
    <w:rsid w:val="00642CD8"/>
    <w:rsid w:val="006436B1"/>
    <w:rsid w:val="0064670A"/>
    <w:rsid w:val="00646969"/>
    <w:rsid w:val="006519DD"/>
    <w:rsid w:val="006535C8"/>
    <w:rsid w:val="0065396E"/>
    <w:rsid w:val="00656259"/>
    <w:rsid w:val="006568CB"/>
    <w:rsid w:val="00656FCB"/>
    <w:rsid w:val="00662D14"/>
    <w:rsid w:val="00665B85"/>
    <w:rsid w:val="00666782"/>
    <w:rsid w:val="00672F09"/>
    <w:rsid w:val="006746E8"/>
    <w:rsid w:val="00681B0F"/>
    <w:rsid w:val="006822D6"/>
    <w:rsid w:val="0068242E"/>
    <w:rsid w:val="006848EC"/>
    <w:rsid w:val="006867CF"/>
    <w:rsid w:val="006916CD"/>
    <w:rsid w:val="00691EFA"/>
    <w:rsid w:val="00692E03"/>
    <w:rsid w:val="006936A6"/>
    <w:rsid w:val="00693C77"/>
    <w:rsid w:val="00695429"/>
    <w:rsid w:val="006973BE"/>
    <w:rsid w:val="006A0399"/>
    <w:rsid w:val="006A06F8"/>
    <w:rsid w:val="006A6D02"/>
    <w:rsid w:val="006B0DA1"/>
    <w:rsid w:val="006B0E83"/>
    <w:rsid w:val="006C6F13"/>
    <w:rsid w:val="006C7804"/>
    <w:rsid w:val="006D1310"/>
    <w:rsid w:val="006D16BA"/>
    <w:rsid w:val="006E7AE8"/>
    <w:rsid w:val="006F43EA"/>
    <w:rsid w:val="006F6A05"/>
    <w:rsid w:val="0070199A"/>
    <w:rsid w:val="00704293"/>
    <w:rsid w:val="007043A7"/>
    <w:rsid w:val="0071083B"/>
    <w:rsid w:val="007134D7"/>
    <w:rsid w:val="00715E38"/>
    <w:rsid w:val="00716345"/>
    <w:rsid w:val="00723FDA"/>
    <w:rsid w:val="00731E78"/>
    <w:rsid w:val="00733200"/>
    <w:rsid w:val="007351D3"/>
    <w:rsid w:val="0073623A"/>
    <w:rsid w:val="00737809"/>
    <w:rsid w:val="007417D1"/>
    <w:rsid w:val="00742648"/>
    <w:rsid w:val="00742778"/>
    <w:rsid w:val="0074784C"/>
    <w:rsid w:val="007504B7"/>
    <w:rsid w:val="007504C5"/>
    <w:rsid w:val="0075117F"/>
    <w:rsid w:val="00753844"/>
    <w:rsid w:val="00756B69"/>
    <w:rsid w:val="007579F7"/>
    <w:rsid w:val="00764665"/>
    <w:rsid w:val="00765416"/>
    <w:rsid w:val="00767DC8"/>
    <w:rsid w:val="00770496"/>
    <w:rsid w:val="0077059A"/>
    <w:rsid w:val="007755A9"/>
    <w:rsid w:val="007813DE"/>
    <w:rsid w:val="00783062"/>
    <w:rsid w:val="00787E2F"/>
    <w:rsid w:val="007902A3"/>
    <w:rsid w:val="0079309A"/>
    <w:rsid w:val="00793342"/>
    <w:rsid w:val="00793A33"/>
    <w:rsid w:val="00796B55"/>
    <w:rsid w:val="007A22B1"/>
    <w:rsid w:val="007B1EA3"/>
    <w:rsid w:val="007C668D"/>
    <w:rsid w:val="007D144E"/>
    <w:rsid w:val="007D2E31"/>
    <w:rsid w:val="007D5221"/>
    <w:rsid w:val="007E06F7"/>
    <w:rsid w:val="007E1132"/>
    <w:rsid w:val="007E548C"/>
    <w:rsid w:val="007F1AB3"/>
    <w:rsid w:val="00802B66"/>
    <w:rsid w:val="00803D68"/>
    <w:rsid w:val="008051A6"/>
    <w:rsid w:val="00830C9D"/>
    <w:rsid w:val="00830D8C"/>
    <w:rsid w:val="00832689"/>
    <w:rsid w:val="0084148A"/>
    <w:rsid w:val="008450FE"/>
    <w:rsid w:val="008458F5"/>
    <w:rsid w:val="00853269"/>
    <w:rsid w:val="00855874"/>
    <w:rsid w:val="008561E0"/>
    <w:rsid w:val="00856695"/>
    <w:rsid w:val="00857441"/>
    <w:rsid w:val="00861CA9"/>
    <w:rsid w:val="008626EF"/>
    <w:rsid w:val="00863673"/>
    <w:rsid w:val="00864040"/>
    <w:rsid w:val="00867AE3"/>
    <w:rsid w:val="008751F1"/>
    <w:rsid w:val="00875546"/>
    <w:rsid w:val="00880974"/>
    <w:rsid w:val="00881000"/>
    <w:rsid w:val="00881082"/>
    <w:rsid w:val="00883464"/>
    <w:rsid w:val="00883737"/>
    <w:rsid w:val="0089351C"/>
    <w:rsid w:val="008939E5"/>
    <w:rsid w:val="00897822"/>
    <w:rsid w:val="008A03DC"/>
    <w:rsid w:val="008A0BCD"/>
    <w:rsid w:val="008A28A1"/>
    <w:rsid w:val="008A3902"/>
    <w:rsid w:val="008A682C"/>
    <w:rsid w:val="008A77E2"/>
    <w:rsid w:val="008B01AF"/>
    <w:rsid w:val="008B31CE"/>
    <w:rsid w:val="008B334A"/>
    <w:rsid w:val="008B65E7"/>
    <w:rsid w:val="008B6666"/>
    <w:rsid w:val="008B7FCB"/>
    <w:rsid w:val="008C1B27"/>
    <w:rsid w:val="008D7785"/>
    <w:rsid w:val="008E41A4"/>
    <w:rsid w:val="008F0734"/>
    <w:rsid w:val="008F1EB7"/>
    <w:rsid w:val="008F352D"/>
    <w:rsid w:val="008F6466"/>
    <w:rsid w:val="009069EA"/>
    <w:rsid w:val="00906CC1"/>
    <w:rsid w:val="00910A93"/>
    <w:rsid w:val="00911A84"/>
    <w:rsid w:val="00912541"/>
    <w:rsid w:val="00913A75"/>
    <w:rsid w:val="00916C05"/>
    <w:rsid w:val="00917133"/>
    <w:rsid w:val="0092571A"/>
    <w:rsid w:val="00930E84"/>
    <w:rsid w:val="009337D8"/>
    <w:rsid w:val="00933978"/>
    <w:rsid w:val="00937650"/>
    <w:rsid w:val="00942D34"/>
    <w:rsid w:val="00943784"/>
    <w:rsid w:val="00947750"/>
    <w:rsid w:val="00952D56"/>
    <w:rsid w:val="00956759"/>
    <w:rsid w:val="00960ECE"/>
    <w:rsid w:val="00962377"/>
    <w:rsid w:val="0096350B"/>
    <w:rsid w:val="009667B9"/>
    <w:rsid w:val="0096738B"/>
    <w:rsid w:val="00970C87"/>
    <w:rsid w:val="00971693"/>
    <w:rsid w:val="00972240"/>
    <w:rsid w:val="00972543"/>
    <w:rsid w:val="00975C6B"/>
    <w:rsid w:val="009829B4"/>
    <w:rsid w:val="00982CFE"/>
    <w:rsid w:val="00983473"/>
    <w:rsid w:val="0098395E"/>
    <w:rsid w:val="0098428A"/>
    <w:rsid w:val="009852D1"/>
    <w:rsid w:val="00990730"/>
    <w:rsid w:val="009907AC"/>
    <w:rsid w:val="00990E1A"/>
    <w:rsid w:val="009917F3"/>
    <w:rsid w:val="00992BD7"/>
    <w:rsid w:val="00995F20"/>
    <w:rsid w:val="00996D30"/>
    <w:rsid w:val="009A0136"/>
    <w:rsid w:val="009A7374"/>
    <w:rsid w:val="009A798A"/>
    <w:rsid w:val="009B04DC"/>
    <w:rsid w:val="009C1862"/>
    <w:rsid w:val="009C2FD2"/>
    <w:rsid w:val="009C3741"/>
    <w:rsid w:val="009C6BA2"/>
    <w:rsid w:val="009C7CD7"/>
    <w:rsid w:val="009D2BBB"/>
    <w:rsid w:val="009D6F4E"/>
    <w:rsid w:val="009D78B5"/>
    <w:rsid w:val="009E0DC5"/>
    <w:rsid w:val="009E218E"/>
    <w:rsid w:val="009E34E2"/>
    <w:rsid w:val="009F3B57"/>
    <w:rsid w:val="009F3D04"/>
    <w:rsid w:val="009F58AF"/>
    <w:rsid w:val="009F600A"/>
    <w:rsid w:val="009F7C91"/>
    <w:rsid w:val="00A03DCE"/>
    <w:rsid w:val="00A05532"/>
    <w:rsid w:val="00A057C9"/>
    <w:rsid w:val="00A0717B"/>
    <w:rsid w:val="00A0717E"/>
    <w:rsid w:val="00A103D8"/>
    <w:rsid w:val="00A11639"/>
    <w:rsid w:val="00A13251"/>
    <w:rsid w:val="00A149DA"/>
    <w:rsid w:val="00A253CA"/>
    <w:rsid w:val="00A256B3"/>
    <w:rsid w:val="00A26071"/>
    <w:rsid w:val="00A31AFA"/>
    <w:rsid w:val="00A371CA"/>
    <w:rsid w:val="00A416C1"/>
    <w:rsid w:val="00A51154"/>
    <w:rsid w:val="00A5187A"/>
    <w:rsid w:val="00A5539A"/>
    <w:rsid w:val="00A566BE"/>
    <w:rsid w:val="00A60A35"/>
    <w:rsid w:val="00A60BEA"/>
    <w:rsid w:val="00A622D8"/>
    <w:rsid w:val="00A64E47"/>
    <w:rsid w:val="00A7135B"/>
    <w:rsid w:val="00A722D8"/>
    <w:rsid w:val="00A75E5A"/>
    <w:rsid w:val="00A84826"/>
    <w:rsid w:val="00A929C4"/>
    <w:rsid w:val="00AB2BC9"/>
    <w:rsid w:val="00AB5642"/>
    <w:rsid w:val="00AB674F"/>
    <w:rsid w:val="00AB75D3"/>
    <w:rsid w:val="00AC504B"/>
    <w:rsid w:val="00AC73E8"/>
    <w:rsid w:val="00AD4384"/>
    <w:rsid w:val="00AD4A7D"/>
    <w:rsid w:val="00AE5F6E"/>
    <w:rsid w:val="00AF349A"/>
    <w:rsid w:val="00AF51E3"/>
    <w:rsid w:val="00AF5C6D"/>
    <w:rsid w:val="00AF6D21"/>
    <w:rsid w:val="00B00B8E"/>
    <w:rsid w:val="00B028FD"/>
    <w:rsid w:val="00B076EF"/>
    <w:rsid w:val="00B10A4F"/>
    <w:rsid w:val="00B1151B"/>
    <w:rsid w:val="00B11B3C"/>
    <w:rsid w:val="00B1329E"/>
    <w:rsid w:val="00B13743"/>
    <w:rsid w:val="00B1493B"/>
    <w:rsid w:val="00B15A5C"/>
    <w:rsid w:val="00B15A68"/>
    <w:rsid w:val="00B15C39"/>
    <w:rsid w:val="00B16B1A"/>
    <w:rsid w:val="00B16D9E"/>
    <w:rsid w:val="00B2529A"/>
    <w:rsid w:val="00B32F7E"/>
    <w:rsid w:val="00B41AC9"/>
    <w:rsid w:val="00B42B21"/>
    <w:rsid w:val="00B4506B"/>
    <w:rsid w:val="00B47C58"/>
    <w:rsid w:val="00B51A89"/>
    <w:rsid w:val="00B60A07"/>
    <w:rsid w:val="00B61578"/>
    <w:rsid w:val="00B62B69"/>
    <w:rsid w:val="00B64EC1"/>
    <w:rsid w:val="00B651E3"/>
    <w:rsid w:val="00B67A00"/>
    <w:rsid w:val="00B72A62"/>
    <w:rsid w:val="00B746BF"/>
    <w:rsid w:val="00B907FF"/>
    <w:rsid w:val="00B92B50"/>
    <w:rsid w:val="00B937D5"/>
    <w:rsid w:val="00B93993"/>
    <w:rsid w:val="00B93DC9"/>
    <w:rsid w:val="00B9474B"/>
    <w:rsid w:val="00B947A8"/>
    <w:rsid w:val="00B96FB6"/>
    <w:rsid w:val="00BB0704"/>
    <w:rsid w:val="00BB0A19"/>
    <w:rsid w:val="00BB316D"/>
    <w:rsid w:val="00BC015C"/>
    <w:rsid w:val="00BC03B8"/>
    <w:rsid w:val="00BD2066"/>
    <w:rsid w:val="00BD2D10"/>
    <w:rsid w:val="00BE3DE0"/>
    <w:rsid w:val="00BE43DC"/>
    <w:rsid w:val="00BE503B"/>
    <w:rsid w:val="00BE6A1A"/>
    <w:rsid w:val="00BF1EB4"/>
    <w:rsid w:val="00BF4EFD"/>
    <w:rsid w:val="00BF670D"/>
    <w:rsid w:val="00C0731F"/>
    <w:rsid w:val="00C07A65"/>
    <w:rsid w:val="00C109C3"/>
    <w:rsid w:val="00C21674"/>
    <w:rsid w:val="00C26E1B"/>
    <w:rsid w:val="00C3380A"/>
    <w:rsid w:val="00C4098F"/>
    <w:rsid w:val="00C42B54"/>
    <w:rsid w:val="00C44992"/>
    <w:rsid w:val="00C450A8"/>
    <w:rsid w:val="00C451A8"/>
    <w:rsid w:val="00C46D39"/>
    <w:rsid w:val="00C5663C"/>
    <w:rsid w:val="00C605B4"/>
    <w:rsid w:val="00C60EAE"/>
    <w:rsid w:val="00C65D7E"/>
    <w:rsid w:val="00C84295"/>
    <w:rsid w:val="00C86237"/>
    <w:rsid w:val="00C950BB"/>
    <w:rsid w:val="00CA2D04"/>
    <w:rsid w:val="00CB1448"/>
    <w:rsid w:val="00CB33C5"/>
    <w:rsid w:val="00CB3B4D"/>
    <w:rsid w:val="00CB4F2D"/>
    <w:rsid w:val="00CC1A28"/>
    <w:rsid w:val="00CC6C8C"/>
    <w:rsid w:val="00CD1022"/>
    <w:rsid w:val="00CD2543"/>
    <w:rsid w:val="00CD7B8C"/>
    <w:rsid w:val="00CE15AC"/>
    <w:rsid w:val="00CE21C9"/>
    <w:rsid w:val="00CF3152"/>
    <w:rsid w:val="00CF54BD"/>
    <w:rsid w:val="00D00128"/>
    <w:rsid w:val="00D01802"/>
    <w:rsid w:val="00D05B7B"/>
    <w:rsid w:val="00D07337"/>
    <w:rsid w:val="00D11FAC"/>
    <w:rsid w:val="00D14223"/>
    <w:rsid w:val="00D16D2A"/>
    <w:rsid w:val="00D21B08"/>
    <w:rsid w:val="00D319EC"/>
    <w:rsid w:val="00D3555B"/>
    <w:rsid w:val="00D35F32"/>
    <w:rsid w:val="00D36D97"/>
    <w:rsid w:val="00D416E9"/>
    <w:rsid w:val="00D4382F"/>
    <w:rsid w:val="00D46486"/>
    <w:rsid w:val="00D537B0"/>
    <w:rsid w:val="00D54E5D"/>
    <w:rsid w:val="00D5552C"/>
    <w:rsid w:val="00D5557F"/>
    <w:rsid w:val="00D56BF1"/>
    <w:rsid w:val="00D63195"/>
    <w:rsid w:val="00D6368E"/>
    <w:rsid w:val="00D63AAC"/>
    <w:rsid w:val="00D65607"/>
    <w:rsid w:val="00D704F6"/>
    <w:rsid w:val="00D70514"/>
    <w:rsid w:val="00D70B31"/>
    <w:rsid w:val="00D73876"/>
    <w:rsid w:val="00D80D49"/>
    <w:rsid w:val="00D86031"/>
    <w:rsid w:val="00D878B7"/>
    <w:rsid w:val="00D90E13"/>
    <w:rsid w:val="00D91C5C"/>
    <w:rsid w:val="00D92D7A"/>
    <w:rsid w:val="00D9494C"/>
    <w:rsid w:val="00D97182"/>
    <w:rsid w:val="00DA1906"/>
    <w:rsid w:val="00DA26E3"/>
    <w:rsid w:val="00DA3776"/>
    <w:rsid w:val="00DA5D7B"/>
    <w:rsid w:val="00DA7901"/>
    <w:rsid w:val="00DB3982"/>
    <w:rsid w:val="00DC00FE"/>
    <w:rsid w:val="00DC1ED9"/>
    <w:rsid w:val="00DC3E29"/>
    <w:rsid w:val="00DC3EBA"/>
    <w:rsid w:val="00DC4722"/>
    <w:rsid w:val="00DC63D5"/>
    <w:rsid w:val="00DC6BE1"/>
    <w:rsid w:val="00DC77FE"/>
    <w:rsid w:val="00DD2F0D"/>
    <w:rsid w:val="00DE247E"/>
    <w:rsid w:val="00DE41E5"/>
    <w:rsid w:val="00DF00DB"/>
    <w:rsid w:val="00E03244"/>
    <w:rsid w:val="00E0442A"/>
    <w:rsid w:val="00E05575"/>
    <w:rsid w:val="00E15DA1"/>
    <w:rsid w:val="00E15FFF"/>
    <w:rsid w:val="00E20867"/>
    <w:rsid w:val="00E243D0"/>
    <w:rsid w:val="00E27073"/>
    <w:rsid w:val="00E313BC"/>
    <w:rsid w:val="00E33BDF"/>
    <w:rsid w:val="00E34CBD"/>
    <w:rsid w:val="00E35549"/>
    <w:rsid w:val="00E355C6"/>
    <w:rsid w:val="00E40AC9"/>
    <w:rsid w:val="00E415F4"/>
    <w:rsid w:val="00E478E2"/>
    <w:rsid w:val="00E50B22"/>
    <w:rsid w:val="00E541B5"/>
    <w:rsid w:val="00E56856"/>
    <w:rsid w:val="00E56F56"/>
    <w:rsid w:val="00E57766"/>
    <w:rsid w:val="00E67B3D"/>
    <w:rsid w:val="00E77C4F"/>
    <w:rsid w:val="00E77EA9"/>
    <w:rsid w:val="00E8023E"/>
    <w:rsid w:val="00E85FBC"/>
    <w:rsid w:val="00E86ABF"/>
    <w:rsid w:val="00E86B44"/>
    <w:rsid w:val="00E935A7"/>
    <w:rsid w:val="00E964E7"/>
    <w:rsid w:val="00E96C52"/>
    <w:rsid w:val="00EA277E"/>
    <w:rsid w:val="00EA5C78"/>
    <w:rsid w:val="00EA72B4"/>
    <w:rsid w:val="00EB5840"/>
    <w:rsid w:val="00EB61A4"/>
    <w:rsid w:val="00EB7CA4"/>
    <w:rsid w:val="00ED0BCB"/>
    <w:rsid w:val="00ED4913"/>
    <w:rsid w:val="00ED5B5B"/>
    <w:rsid w:val="00ED78EC"/>
    <w:rsid w:val="00EE1046"/>
    <w:rsid w:val="00EE76D7"/>
    <w:rsid w:val="00EF042A"/>
    <w:rsid w:val="00EF316F"/>
    <w:rsid w:val="00EF4FF2"/>
    <w:rsid w:val="00EF59D5"/>
    <w:rsid w:val="00EF66E5"/>
    <w:rsid w:val="00F11185"/>
    <w:rsid w:val="00F1485B"/>
    <w:rsid w:val="00F15997"/>
    <w:rsid w:val="00F16437"/>
    <w:rsid w:val="00F177C9"/>
    <w:rsid w:val="00F263ED"/>
    <w:rsid w:val="00F31D90"/>
    <w:rsid w:val="00F369C1"/>
    <w:rsid w:val="00F36A94"/>
    <w:rsid w:val="00F40A52"/>
    <w:rsid w:val="00F428E4"/>
    <w:rsid w:val="00F42BF8"/>
    <w:rsid w:val="00F47B52"/>
    <w:rsid w:val="00F51BE3"/>
    <w:rsid w:val="00F53B85"/>
    <w:rsid w:val="00F64C54"/>
    <w:rsid w:val="00F75FA8"/>
    <w:rsid w:val="00F7689C"/>
    <w:rsid w:val="00F77D5C"/>
    <w:rsid w:val="00F80215"/>
    <w:rsid w:val="00F809FE"/>
    <w:rsid w:val="00F85314"/>
    <w:rsid w:val="00F85784"/>
    <w:rsid w:val="00F92743"/>
    <w:rsid w:val="00F9498A"/>
    <w:rsid w:val="00F955D4"/>
    <w:rsid w:val="00F97C0F"/>
    <w:rsid w:val="00FA052C"/>
    <w:rsid w:val="00FA3421"/>
    <w:rsid w:val="00FA65B0"/>
    <w:rsid w:val="00FA7A03"/>
    <w:rsid w:val="00FB1D80"/>
    <w:rsid w:val="00FB2D26"/>
    <w:rsid w:val="00FB3997"/>
    <w:rsid w:val="00FB7F61"/>
    <w:rsid w:val="00FC1498"/>
    <w:rsid w:val="00FC2E40"/>
    <w:rsid w:val="00FC556C"/>
    <w:rsid w:val="00FC64F4"/>
    <w:rsid w:val="00FC7C95"/>
    <w:rsid w:val="00FD0C1A"/>
    <w:rsid w:val="00FD6711"/>
    <w:rsid w:val="00FE263A"/>
    <w:rsid w:val="00FE2F3F"/>
    <w:rsid w:val="00FE7F7E"/>
    <w:rsid w:val="00FF1CD7"/>
    <w:rsid w:val="00FF21CE"/>
    <w:rsid w:val="00FF261C"/>
    <w:rsid w:val="00FF4FCE"/>
    <w:rsid w:val="00FF5A8B"/>
    <w:rsid w:val="010EC895"/>
    <w:rsid w:val="01DEB286"/>
    <w:rsid w:val="0649FD49"/>
    <w:rsid w:val="0720A193"/>
    <w:rsid w:val="075CE771"/>
    <w:rsid w:val="08406F98"/>
    <w:rsid w:val="09D64EE3"/>
    <w:rsid w:val="09E80EDC"/>
    <w:rsid w:val="0BB5A079"/>
    <w:rsid w:val="0CD8D836"/>
    <w:rsid w:val="0E073E29"/>
    <w:rsid w:val="0E148F6C"/>
    <w:rsid w:val="0F3A7BDE"/>
    <w:rsid w:val="0F730991"/>
    <w:rsid w:val="100E9DC1"/>
    <w:rsid w:val="1029FC10"/>
    <w:rsid w:val="1073853E"/>
    <w:rsid w:val="1172C695"/>
    <w:rsid w:val="130CB1FB"/>
    <w:rsid w:val="1355897D"/>
    <w:rsid w:val="1625D8B7"/>
    <w:rsid w:val="1636A3F4"/>
    <w:rsid w:val="163B1B1D"/>
    <w:rsid w:val="170E2F6A"/>
    <w:rsid w:val="1925DEBD"/>
    <w:rsid w:val="1A72500D"/>
    <w:rsid w:val="1F0FF620"/>
    <w:rsid w:val="21BD533C"/>
    <w:rsid w:val="22BF2312"/>
    <w:rsid w:val="23DEFA36"/>
    <w:rsid w:val="23F0BBFA"/>
    <w:rsid w:val="2502ACBC"/>
    <w:rsid w:val="269F371B"/>
    <w:rsid w:val="2769769C"/>
    <w:rsid w:val="294803E4"/>
    <w:rsid w:val="294A05D8"/>
    <w:rsid w:val="29C44A5D"/>
    <w:rsid w:val="2ACCF84F"/>
    <w:rsid w:val="2B445C97"/>
    <w:rsid w:val="2B90C1A3"/>
    <w:rsid w:val="2C7799C2"/>
    <w:rsid w:val="2D0B477D"/>
    <w:rsid w:val="2F91D731"/>
    <w:rsid w:val="2FCF90B1"/>
    <w:rsid w:val="3250EB0D"/>
    <w:rsid w:val="34851083"/>
    <w:rsid w:val="356478E4"/>
    <w:rsid w:val="35735A3D"/>
    <w:rsid w:val="395819F9"/>
    <w:rsid w:val="3A62B8BF"/>
    <w:rsid w:val="3AF5485F"/>
    <w:rsid w:val="3B545EBD"/>
    <w:rsid w:val="3F5C3930"/>
    <w:rsid w:val="3FA8A16A"/>
    <w:rsid w:val="3FE4701B"/>
    <w:rsid w:val="42639C4A"/>
    <w:rsid w:val="43C65A52"/>
    <w:rsid w:val="45572229"/>
    <w:rsid w:val="4590BB52"/>
    <w:rsid w:val="459F0412"/>
    <w:rsid w:val="4753AEC2"/>
    <w:rsid w:val="47B1EA7D"/>
    <w:rsid w:val="481F035A"/>
    <w:rsid w:val="4B02C686"/>
    <w:rsid w:val="4C332294"/>
    <w:rsid w:val="4D3A281E"/>
    <w:rsid w:val="4DCE47DF"/>
    <w:rsid w:val="4DDA67B3"/>
    <w:rsid w:val="4FFDF2AB"/>
    <w:rsid w:val="50F41728"/>
    <w:rsid w:val="519D6196"/>
    <w:rsid w:val="52DDFEAA"/>
    <w:rsid w:val="5359B8A3"/>
    <w:rsid w:val="54B361B8"/>
    <w:rsid w:val="54EC2B85"/>
    <w:rsid w:val="553FCCFD"/>
    <w:rsid w:val="569FF626"/>
    <w:rsid w:val="57A0F404"/>
    <w:rsid w:val="5813CDEF"/>
    <w:rsid w:val="584EC9BE"/>
    <w:rsid w:val="585C2F4C"/>
    <w:rsid w:val="592EEF6E"/>
    <w:rsid w:val="5A5F0352"/>
    <w:rsid w:val="5B31AF9A"/>
    <w:rsid w:val="5B3A7C10"/>
    <w:rsid w:val="5EC1CC2F"/>
    <w:rsid w:val="5ED0996A"/>
    <w:rsid w:val="6081E405"/>
    <w:rsid w:val="633CBA26"/>
    <w:rsid w:val="639B2A45"/>
    <w:rsid w:val="662BDAF7"/>
    <w:rsid w:val="68EE1F90"/>
    <w:rsid w:val="69A48DD2"/>
    <w:rsid w:val="6A79E59C"/>
    <w:rsid w:val="6AD9C60F"/>
    <w:rsid w:val="6BC2CD0A"/>
    <w:rsid w:val="6CA43CED"/>
    <w:rsid w:val="6CDCDDB6"/>
    <w:rsid w:val="6CEA4884"/>
    <w:rsid w:val="6D33B895"/>
    <w:rsid w:val="6D3BE948"/>
    <w:rsid w:val="6DEB5BF6"/>
    <w:rsid w:val="6E8DFEBB"/>
    <w:rsid w:val="6FF446CA"/>
    <w:rsid w:val="70E5B412"/>
    <w:rsid w:val="72B07867"/>
    <w:rsid w:val="72BC1989"/>
    <w:rsid w:val="72D4CA3E"/>
    <w:rsid w:val="74D9A7E7"/>
    <w:rsid w:val="760B2B0D"/>
    <w:rsid w:val="76964FEE"/>
    <w:rsid w:val="76A151E8"/>
    <w:rsid w:val="77D9B54A"/>
    <w:rsid w:val="78270BF2"/>
    <w:rsid w:val="787A9DD8"/>
    <w:rsid w:val="78F96E8A"/>
    <w:rsid w:val="7B1C8E4E"/>
    <w:rsid w:val="7B2A1CDC"/>
    <w:rsid w:val="7C0C8DA8"/>
    <w:rsid w:val="7C8B4EAB"/>
    <w:rsid w:val="7D45A966"/>
    <w:rsid w:val="7DCCA881"/>
    <w:rsid w:val="7E1A0138"/>
    <w:rsid w:val="7EB20AE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28D05D"/>
  <w15:chartTrackingRefBased/>
  <w15:docId w15:val="{B6B4EFAE-8078-4BB6-92A3-BBE00209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B3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F04"/>
    <w:rPr>
      <w:rFonts w:eastAsiaTheme="majorEastAsia" w:cstheme="majorBidi"/>
      <w:color w:val="272727" w:themeColor="text1" w:themeTint="D8"/>
    </w:rPr>
  </w:style>
  <w:style w:type="paragraph" w:styleId="Title">
    <w:name w:val="Title"/>
    <w:basedOn w:val="Normal"/>
    <w:next w:val="Normal"/>
    <w:link w:val="TitleChar"/>
    <w:uiPriority w:val="10"/>
    <w:qFormat/>
    <w:rsid w:val="000B3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F04"/>
    <w:pPr>
      <w:spacing w:before="160"/>
      <w:jc w:val="center"/>
    </w:pPr>
    <w:rPr>
      <w:i/>
      <w:iCs/>
      <w:color w:val="404040" w:themeColor="text1" w:themeTint="BF"/>
    </w:rPr>
  </w:style>
  <w:style w:type="character" w:customStyle="1" w:styleId="QuoteChar">
    <w:name w:val="Quote Char"/>
    <w:basedOn w:val="DefaultParagraphFont"/>
    <w:link w:val="Quote"/>
    <w:uiPriority w:val="29"/>
    <w:rsid w:val="000B3F04"/>
    <w:rPr>
      <w:i/>
      <w:iCs/>
      <w:color w:val="404040" w:themeColor="text1" w:themeTint="BF"/>
    </w:rPr>
  </w:style>
  <w:style w:type="paragraph" w:styleId="ListParagraph">
    <w:name w:val="List Paragraph"/>
    <w:basedOn w:val="Normal"/>
    <w:uiPriority w:val="34"/>
    <w:qFormat/>
    <w:rsid w:val="000B3F04"/>
    <w:pPr>
      <w:ind w:left="720"/>
      <w:contextualSpacing/>
    </w:pPr>
  </w:style>
  <w:style w:type="character" w:styleId="IntenseEmphasis">
    <w:name w:val="Intense Emphasis"/>
    <w:basedOn w:val="DefaultParagraphFont"/>
    <w:uiPriority w:val="21"/>
    <w:qFormat/>
    <w:rsid w:val="000B3F04"/>
    <w:rPr>
      <w:i/>
      <w:iCs/>
      <w:color w:val="0F4761" w:themeColor="accent1" w:themeShade="BF"/>
    </w:rPr>
  </w:style>
  <w:style w:type="paragraph" w:styleId="IntenseQuote">
    <w:name w:val="Intense Quote"/>
    <w:basedOn w:val="Normal"/>
    <w:next w:val="Normal"/>
    <w:link w:val="IntenseQuoteChar"/>
    <w:uiPriority w:val="30"/>
    <w:qFormat/>
    <w:rsid w:val="000B3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F04"/>
    <w:rPr>
      <w:i/>
      <w:iCs/>
      <w:color w:val="0F4761" w:themeColor="accent1" w:themeShade="BF"/>
    </w:rPr>
  </w:style>
  <w:style w:type="character" w:styleId="IntenseReference">
    <w:name w:val="Intense Reference"/>
    <w:basedOn w:val="DefaultParagraphFont"/>
    <w:uiPriority w:val="32"/>
    <w:qFormat/>
    <w:rsid w:val="000B3F04"/>
    <w:rPr>
      <w:b/>
      <w:bCs/>
      <w:smallCaps/>
      <w:color w:val="0F4761" w:themeColor="accent1" w:themeShade="BF"/>
      <w:spacing w:val="5"/>
    </w:rPr>
  </w:style>
  <w:style w:type="character" w:styleId="CommentReference">
    <w:name w:val="annotation reference"/>
    <w:basedOn w:val="DefaultParagraphFont"/>
    <w:uiPriority w:val="99"/>
    <w:semiHidden/>
    <w:unhideWhenUsed/>
    <w:rsid w:val="00E8023E"/>
    <w:rPr>
      <w:sz w:val="16"/>
      <w:szCs w:val="16"/>
    </w:rPr>
  </w:style>
  <w:style w:type="paragraph" w:styleId="CommentText">
    <w:name w:val="annotation text"/>
    <w:basedOn w:val="Normal"/>
    <w:link w:val="CommentTextChar"/>
    <w:uiPriority w:val="99"/>
    <w:unhideWhenUsed/>
    <w:rsid w:val="00E8023E"/>
    <w:pPr>
      <w:spacing w:line="240" w:lineRule="auto"/>
    </w:pPr>
    <w:rPr>
      <w:sz w:val="20"/>
      <w:szCs w:val="20"/>
    </w:rPr>
  </w:style>
  <w:style w:type="character" w:customStyle="1" w:styleId="CommentTextChar">
    <w:name w:val="Comment Text Char"/>
    <w:basedOn w:val="DefaultParagraphFont"/>
    <w:link w:val="CommentText"/>
    <w:uiPriority w:val="99"/>
    <w:rsid w:val="00E8023E"/>
    <w:rPr>
      <w:sz w:val="20"/>
      <w:szCs w:val="20"/>
    </w:rPr>
  </w:style>
  <w:style w:type="paragraph" w:styleId="CommentSubject">
    <w:name w:val="annotation subject"/>
    <w:basedOn w:val="CommentText"/>
    <w:next w:val="CommentText"/>
    <w:link w:val="CommentSubjectChar"/>
    <w:uiPriority w:val="99"/>
    <w:semiHidden/>
    <w:unhideWhenUsed/>
    <w:rsid w:val="00E8023E"/>
    <w:rPr>
      <w:b/>
      <w:bCs/>
    </w:rPr>
  </w:style>
  <w:style w:type="character" w:customStyle="1" w:styleId="CommentSubjectChar">
    <w:name w:val="Comment Subject Char"/>
    <w:basedOn w:val="CommentTextChar"/>
    <w:link w:val="CommentSubject"/>
    <w:uiPriority w:val="99"/>
    <w:semiHidden/>
    <w:rsid w:val="00E8023E"/>
    <w:rPr>
      <w:b/>
      <w:bCs/>
      <w:sz w:val="20"/>
      <w:szCs w:val="20"/>
    </w:rPr>
  </w:style>
  <w:style w:type="paragraph" w:styleId="Header">
    <w:name w:val="header"/>
    <w:basedOn w:val="Normal"/>
    <w:link w:val="HeaderChar"/>
    <w:uiPriority w:val="99"/>
    <w:unhideWhenUsed/>
    <w:rsid w:val="00FD0C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C1A"/>
  </w:style>
  <w:style w:type="paragraph" w:styleId="Footer">
    <w:name w:val="footer"/>
    <w:basedOn w:val="Normal"/>
    <w:link w:val="FooterChar"/>
    <w:uiPriority w:val="99"/>
    <w:unhideWhenUsed/>
    <w:rsid w:val="00FD0C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C1A"/>
  </w:style>
  <w:style w:type="paragraph" w:styleId="Revision">
    <w:name w:val="Revision"/>
    <w:hidden/>
    <w:uiPriority w:val="99"/>
    <w:semiHidden/>
    <w:rsid w:val="004E6C7B"/>
    <w:pPr>
      <w:spacing w:after="0" w:line="240" w:lineRule="auto"/>
    </w:pPr>
  </w:style>
  <w:style w:type="paragraph" w:styleId="FootnoteText">
    <w:name w:val="footnote text"/>
    <w:basedOn w:val="Normal"/>
    <w:link w:val="FootnoteTextChar"/>
    <w:uiPriority w:val="99"/>
    <w:unhideWhenUsed/>
    <w:rsid w:val="001B6F59"/>
    <w:pPr>
      <w:spacing w:after="0" w:line="240" w:lineRule="auto"/>
    </w:pPr>
    <w:rPr>
      <w:sz w:val="20"/>
      <w:szCs w:val="20"/>
    </w:rPr>
  </w:style>
  <w:style w:type="character" w:customStyle="1" w:styleId="FootnoteTextChar">
    <w:name w:val="Footnote Text Char"/>
    <w:basedOn w:val="DefaultParagraphFont"/>
    <w:link w:val="FootnoteText"/>
    <w:uiPriority w:val="99"/>
    <w:rsid w:val="001B6F59"/>
    <w:rPr>
      <w:sz w:val="20"/>
      <w:szCs w:val="20"/>
    </w:rPr>
  </w:style>
  <w:style w:type="character" w:styleId="FootnoteReference">
    <w:name w:val="footnote reference"/>
    <w:basedOn w:val="DefaultParagraphFont"/>
    <w:uiPriority w:val="99"/>
    <w:semiHidden/>
    <w:unhideWhenUsed/>
    <w:rsid w:val="001B6F59"/>
    <w:rPr>
      <w:vertAlign w:val="superscript"/>
    </w:rPr>
  </w:style>
  <w:style w:type="character" w:styleId="Hyperlink">
    <w:name w:val="Hyperlink"/>
    <w:basedOn w:val="DefaultParagraphFont"/>
    <w:uiPriority w:val="99"/>
    <w:unhideWhenUsed/>
    <w:rsid w:val="00A05532"/>
    <w:rPr>
      <w:color w:val="467886" w:themeColor="hyperlink"/>
      <w:u w:val="single"/>
    </w:rPr>
  </w:style>
  <w:style w:type="character" w:customStyle="1" w:styleId="UnresolvedMention">
    <w:name w:val="Unresolved Mention"/>
    <w:basedOn w:val="DefaultParagraphFont"/>
    <w:uiPriority w:val="99"/>
    <w:semiHidden/>
    <w:unhideWhenUsed/>
    <w:rsid w:val="00A05532"/>
    <w:rPr>
      <w:color w:val="605E5C"/>
      <w:shd w:val="clear" w:color="auto" w:fill="E1DFDD"/>
    </w:rPr>
  </w:style>
  <w:style w:type="character" w:customStyle="1" w:styleId="Marker">
    <w:name w:val="Marker"/>
    <w:basedOn w:val="DefaultParagraphFont"/>
    <w:rsid w:val="006B0DA1"/>
    <w:rPr>
      <w:color w:val="0000FF"/>
      <w:shd w:val="clear" w:color="auto" w:fill="auto"/>
    </w:rPr>
  </w:style>
  <w:style w:type="paragraph" w:customStyle="1" w:styleId="Pagedecouverture">
    <w:name w:val="Page de couverture"/>
    <w:basedOn w:val="Normal"/>
    <w:next w:val="Normal"/>
    <w:link w:val="PagedecouvertureChar"/>
    <w:rsid w:val="006B0DA1"/>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rsid w:val="006B0DA1"/>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6B0DA1"/>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6B0D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6B0DA1"/>
    <w:rPr>
      <w:rFonts w:ascii="Times New Roman" w:hAnsi="Times New Roman" w:cs="Times New Roman"/>
      <w:sz w:val="24"/>
    </w:rPr>
  </w:style>
  <w:style w:type="character" w:customStyle="1" w:styleId="FooterCoverPageChar">
    <w:name w:val="Footer Cover Page Char"/>
    <w:basedOn w:val="PagedecouvertureChar"/>
    <w:link w:val="FooterCoverPage"/>
    <w:rsid w:val="006B0DA1"/>
    <w:rPr>
      <w:rFonts w:ascii="Times New Roman" w:hAnsi="Times New Roman" w:cs="Times New Roman"/>
      <w:sz w:val="24"/>
    </w:rPr>
  </w:style>
  <w:style w:type="paragraph" w:customStyle="1" w:styleId="FooterSensitivity">
    <w:name w:val="Footer Sensitivity"/>
    <w:basedOn w:val="Normal"/>
    <w:link w:val="FooterSensitivityChar"/>
    <w:rsid w:val="006B0D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6B0DA1"/>
    <w:rPr>
      <w:rFonts w:ascii="Times New Roman" w:hAnsi="Times New Roman" w:cs="Times New Roman"/>
      <w:b/>
      <w:sz w:val="32"/>
    </w:rPr>
  </w:style>
  <w:style w:type="paragraph" w:customStyle="1" w:styleId="HeaderCoverPage">
    <w:name w:val="Header Cover Page"/>
    <w:basedOn w:val="Normal"/>
    <w:link w:val="HeaderCoverPageChar"/>
    <w:rsid w:val="006B0D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6B0DA1"/>
    <w:rPr>
      <w:rFonts w:ascii="Times New Roman" w:hAnsi="Times New Roman" w:cs="Times New Roman"/>
      <w:sz w:val="24"/>
    </w:rPr>
  </w:style>
  <w:style w:type="paragraph" w:customStyle="1" w:styleId="HeaderSensitivity">
    <w:name w:val="Header Sensitivity"/>
    <w:basedOn w:val="Normal"/>
    <w:link w:val="HeaderSensitivityChar"/>
    <w:rsid w:val="006B0D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6B0DA1"/>
    <w:rPr>
      <w:rFonts w:ascii="Times New Roman" w:hAnsi="Times New Roman" w:cs="Times New Roman"/>
      <w:b/>
      <w:sz w:val="32"/>
    </w:rPr>
  </w:style>
  <w:style w:type="paragraph" w:customStyle="1" w:styleId="HeaderSensitivityRight">
    <w:name w:val="Header Sensitivity Right"/>
    <w:basedOn w:val="Normal"/>
    <w:link w:val="HeaderSensitivityRightChar"/>
    <w:rsid w:val="006B0D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6B0DA1"/>
    <w:rPr>
      <w:rFonts w:ascii="Times New Roman" w:hAnsi="Times New Roman" w:cs="Times New Roman"/>
      <w:sz w:val="28"/>
    </w:rPr>
  </w:style>
  <w:style w:type="character" w:styleId="FollowedHyperlink">
    <w:name w:val="FollowedHyperlink"/>
    <w:basedOn w:val="DefaultParagraphFont"/>
    <w:uiPriority w:val="99"/>
    <w:semiHidden/>
    <w:unhideWhenUsed/>
    <w:rsid w:val="00D001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11248">
      <w:bodyDiv w:val="1"/>
      <w:marLeft w:val="0"/>
      <w:marRight w:val="0"/>
      <w:marTop w:val="0"/>
      <w:marBottom w:val="0"/>
      <w:divBdr>
        <w:top w:val="none" w:sz="0" w:space="0" w:color="auto"/>
        <w:left w:val="none" w:sz="0" w:space="0" w:color="auto"/>
        <w:bottom w:val="none" w:sz="0" w:space="0" w:color="auto"/>
        <w:right w:val="none" w:sz="0" w:space="0" w:color="auto"/>
      </w:divBdr>
    </w:div>
    <w:div w:id="163055922">
      <w:bodyDiv w:val="1"/>
      <w:marLeft w:val="0"/>
      <w:marRight w:val="0"/>
      <w:marTop w:val="0"/>
      <w:marBottom w:val="0"/>
      <w:divBdr>
        <w:top w:val="none" w:sz="0" w:space="0" w:color="auto"/>
        <w:left w:val="none" w:sz="0" w:space="0" w:color="auto"/>
        <w:bottom w:val="none" w:sz="0" w:space="0" w:color="auto"/>
        <w:right w:val="none" w:sz="0" w:space="0" w:color="auto"/>
      </w:divBdr>
    </w:div>
    <w:div w:id="181480145">
      <w:bodyDiv w:val="1"/>
      <w:marLeft w:val="0"/>
      <w:marRight w:val="0"/>
      <w:marTop w:val="0"/>
      <w:marBottom w:val="0"/>
      <w:divBdr>
        <w:top w:val="none" w:sz="0" w:space="0" w:color="auto"/>
        <w:left w:val="none" w:sz="0" w:space="0" w:color="auto"/>
        <w:bottom w:val="none" w:sz="0" w:space="0" w:color="auto"/>
        <w:right w:val="none" w:sz="0" w:space="0" w:color="auto"/>
      </w:divBdr>
    </w:div>
    <w:div w:id="191774231">
      <w:bodyDiv w:val="1"/>
      <w:marLeft w:val="0"/>
      <w:marRight w:val="0"/>
      <w:marTop w:val="0"/>
      <w:marBottom w:val="0"/>
      <w:divBdr>
        <w:top w:val="none" w:sz="0" w:space="0" w:color="auto"/>
        <w:left w:val="none" w:sz="0" w:space="0" w:color="auto"/>
        <w:bottom w:val="none" w:sz="0" w:space="0" w:color="auto"/>
        <w:right w:val="none" w:sz="0" w:space="0" w:color="auto"/>
      </w:divBdr>
    </w:div>
    <w:div w:id="194538133">
      <w:bodyDiv w:val="1"/>
      <w:marLeft w:val="0"/>
      <w:marRight w:val="0"/>
      <w:marTop w:val="0"/>
      <w:marBottom w:val="0"/>
      <w:divBdr>
        <w:top w:val="none" w:sz="0" w:space="0" w:color="auto"/>
        <w:left w:val="none" w:sz="0" w:space="0" w:color="auto"/>
        <w:bottom w:val="none" w:sz="0" w:space="0" w:color="auto"/>
        <w:right w:val="none" w:sz="0" w:space="0" w:color="auto"/>
      </w:divBdr>
    </w:div>
    <w:div w:id="196815762">
      <w:bodyDiv w:val="1"/>
      <w:marLeft w:val="0"/>
      <w:marRight w:val="0"/>
      <w:marTop w:val="0"/>
      <w:marBottom w:val="0"/>
      <w:divBdr>
        <w:top w:val="none" w:sz="0" w:space="0" w:color="auto"/>
        <w:left w:val="none" w:sz="0" w:space="0" w:color="auto"/>
        <w:bottom w:val="none" w:sz="0" w:space="0" w:color="auto"/>
        <w:right w:val="none" w:sz="0" w:space="0" w:color="auto"/>
      </w:divBdr>
    </w:div>
    <w:div w:id="202251858">
      <w:bodyDiv w:val="1"/>
      <w:marLeft w:val="0"/>
      <w:marRight w:val="0"/>
      <w:marTop w:val="0"/>
      <w:marBottom w:val="0"/>
      <w:divBdr>
        <w:top w:val="none" w:sz="0" w:space="0" w:color="auto"/>
        <w:left w:val="none" w:sz="0" w:space="0" w:color="auto"/>
        <w:bottom w:val="none" w:sz="0" w:space="0" w:color="auto"/>
        <w:right w:val="none" w:sz="0" w:space="0" w:color="auto"/>
      </w:divBdr>
    </w:div>
    <w:div w:id="245185751">
      <w:bodyDiv w:val="1"/>
      <w:marLeft w:val="0"/>
      <w:marRight w:val="0"/>
      <w:marTop w:val="0"/>
      <w:marBottom w:val="0"/>
      <w:divBdr>
        <w:top w:val="none" w:sz="0" w:space="0" w:color="auto"/>
        <w:left w:val="none" w:sz="0" w:space="0" w:color="auto"/>
        <w:bottom w:val="none" w:sz="0" w:space="0" w:color="auto"/>
        <w:right w:val="none" w:sz="0" w:space="0" w:color="auto"/>
      </w:divBdr>
    </w:div>
    <w:div w:id="247084896">
      <w:bodyDiv w:val="1"/>
      <w:marLeft w:val="0"/>
      <w:marRight w:val="0"/>
      <w:marTop w:val="0"/>
      <w:marBottom w:val="0"/>
      <w:divBdr>
        <w:top w:val="none" w:sz="0" w:space="0" w:color="auto"/>
        <w:left w:val="none" w:sz="0" w:space="0" w:color="auto"/>
        <w:bottom w:val="none" w:sz="0" w:space="0" w:color="auto"/>
        <w:right w:val="none" w:sz="0" w:space="0" w:color="auto"/>
      </w:divBdr>
    </w:div>
    <w:div w:id="257643675">
      <w:bodyDiv w:val="1"/>
      <w:marLeft w:val="0"/>
      <w:marRight w:val="0"/>
      <w:marTop w:val="0"/>
      <w:marBottom w:val="0"/>
      <w:divBdr>
        <w:top w:val="none" w:sz="0" w:space="0" w:color="auto"/>
        <w:left w:val="none" w:sz="0" w:space="0" w:color="auto"/>
        <w:bottom w:val="none" w:sz="0" w:space="0" w:color="auto"/>
        <w:right w:val="none" w:sz="0" w:space="0" w:color="auto"/>
      </w:divBdr>
    </w:div>
    <w:div w:id="266932397">
      <w:bodyDiv w:val="1"/>
      <w:marLeft w:val="0"/>
      <w:marRight w:val="0"/>
      <w:marTop w:val="0"/>
      <w:marBottom w:val="0"/>
      <w:divBdr>
        <w:top w:val="none" w:sz="0" w:space="0" w:color="auto"/>
        <w:left w:val="none" w:sz="0" w:space="0" w:color="auto"/>
        <w:bottom w:val="none" w:sz="0" w:space="0" w:color="auto"/>
        <w:right w:val="none" w:sz="0" w:space="0" w:color="auto"/>
      </w:divBdr>
    </w:div>
    <w:div w:id="309675857">
      <w:bodyDiv w:val="1"/>
      <w:marLeft w:val="0"/>
      <w:marRight w:val="0"/>
      <w:marTop w:val="0"/>
      <w:marBottom w:val="0"/>
      <w:divBdr>
        <w:top w:val="none" w:sz="0" w:space="0" w:color="auto"/>
        <w:left w:val="none" w:sz="0" w:space="0" w:color="auto"/>
        <w:bottom w:val="none" w:sz="0" w:space="0" w:color="auto"/>
        <w:right w:val="none" w:sz="0" w:space="0" w:color="auto"/>
      </w:divBdr>
    </w:div>
    <w:div w:id="322783251">
      <w:bodyDiv w:val="1"/>
      <w:marLeft w:val="0"/>
      <w:marRight w:val="0"/>
      <w:marTop w:val="0"/>
      <w:marBottom w:val="0"/>
      <w:divBdr>
        <w:top w:val="none" w:sz="0" w:space="0" w:color="auto"/>
        <w:left w:val="none" w:sz="0" w:space="0" w:color="auto"/>
        <w:bottom w:val="none" w:sz="0" w:space="0" w:color="auto"/>
        <w:right w:val="none" w:sz="0" w:space="0" w:color="auto"/>
      </w:divBdr>
    </w:div>
    <w:div w:id="347492133">
      <w:bodyDiv w:val="1"/>
      <w:marLeft w:val="0"/>
      <w:marRight w:val="0"/>
      <w:marTop w:val="0"/>
      <w:marBottom w:val="0"/>
      <w:divBdr>
        <w:top w:val="none" w:sz="0" w:space="0" w:color="auto"/>
        <w:left w:val="none" w:sz="0" w:space="0" w:color="auto"/>
        <w:bottom w:val="none" w:sz="0" w:space="0" w:color="auto"/>
        <w:right w:val="none" w:sz="0" w:space="0" w:color="auto"/>
      </w:divBdr>
    </w:div>
    <w:div w:id="357243188">
      <w:bodyDiv w:val="1"/>
      <w:marLeft w:val="0"/>
      <w:marRight w:val="0"/>
      <w:marTop w:val="0"/>
      <w:marBottom w:val="0"/>
      <w:divBdr>
        <w:top w:val="none" w:sz="0" w:space="0" w:color="auto"/>
        <w:left w:val="none" w:sz="0" w:space="0" w:color="auto"/>
        <w:bottom w:val="none" w:sz="0" w:space="0" w:color="auto"/>
        <w:right w:val="none" w:sz="0" w:space="0" w:color="auto"/>
      </w:divBdr>
    </w:div>
    <w:div w:id="383336107">
      <w:bodyDiv w:val="1"/>
      <w:marLeft w:val="0"/>
      <w:marRight w:val="0"/>
      <w:marTop w:val="0"/>
      <w:marBottom w:val="0"/>
      <w:divBdr>
        <w:top w:val="none" w:sz="0" w:space="0" w:color="auto"/>
        <w:left w:val="none" w:sz="0" w:space="0" w:color="auto"/>
        <w:bottom w:val="none" w:sz="0" w:space="0" w:color="auto"/>
        <w:right w:val="none" w:sz="0" w:space="0" w:color="auto"/>
      </w:divBdr>
    </w:div>
    <w:div w:id="386607647">
      <w:bodyDiv w:val="1"/>
      <w:marLeft w:val="0"/>
      <w:marRight w:val="0"/>
      <w:marTop w:val="0"/>
      <w:marBottom w:val="0"/>
      <w:divBdr>
        <w:top w:val="none" w:sz="0" w:space="0" w:color="auto"/>
        <w:left w:val="none" w:sz="0" w:space="0" w:color="auto"/>
        <w:bottom w:val="none" w:sz="0" w:space="0" w:color="auto"/>
        <w:right w:val="none" w:sz="0" w:space="0" w:color="auto"/>
      </w:divBdr>
    </w:div>
    <w:div w:id="429593136">
      <w:bodyDiv w:val="1"/>
      <w:marLeft w:val="0"/>
      <w:marRight w:val="0"/>
      <w:marTop w:val="0"/>
      <w:marBottom w:val="0"/>
      <w:divBdr>
        <w:top w:val="none" w:sz="0" w:space="0" w:color="auto"/>
        <w:left w:val="none" w:sz="0" w:space="0" w:color="auto"/>
        <w:bottom w:val="none" w:sz="0" w:space="0" w:color="auto"/>
        <w:right w:val="none" w:sz="0" w:space="0" w:color="auto"/>
      </w:divBdr>
    </w:div>
    <w:div w:id="449587226">
      <w:bodyDiv w:val="1"/>
      <w:marLeft w:val="0"/>
      <w:marRight w:val="0"/>
      <w:marTop w:val="0"/>
      <w:marBottom w:val="0"/>
      <w:divBdr>
        <w:top w:val="none" w:sz="0" w:space="0" w:color="auto"/>
        <w:left w:val="none" w:sz="0" w:space="0" w:color="auto"/>
        <w:bottom w:val="none" w:sz="0" w:space="0" w:color="auto"/>
        <w:right w:val="none" w:sz="0" w:space="0" w:color="auto"/>
      </w:divBdr>
    </w:div>
    <w:div w:id="476384230">
      <w:bodyDiv w:val="1"/>
      <w:marLeft w:val="0"/>
      <w:marRight w:val="0"/>
      <w:marTop w:val="0"/>
      <w:marBottom w:val="0"/>
      <w:divBdr>
        <w:top w:val="none" w:sz="0" w:space="0" w:color="auto"/>
        <w:left w:val="none" w:sz="0" w:space="0" w:color="auto"/>
        <w:bottom w:val="none" w:sz="0" w:space="0" w:color="auto"/>
        <w:right w:val="none" w:sz="0" w:space="0" w:color="auto"/>
      </w:divBdr>
    </w:div>
    <w:div w:id="499003919">
      <w:bodyDiv w:val="1"/>
      <w:marLeft w:val="0"/>
      <w:marRight w:val="0"/>
      <w:marTop w:val="0"/>
      <w:marBottom w:val="0"/>
      <w:divBdr>
        <w:top w:val="none" w:sz="0" w:space="0" w:color="auto"/>
        <w:left w:val="none" w:sz="0" w:space="0" w:color="auto"/>
        <w:bottom w:val="none" w:sz="0" w:space="0" w:color="auto"/>
        <w:right w:val="none" w:sz="0" w:space="0" w:color="auto"/>
      </w:divBdr>
    </w:div>
    <w:div w:id="502669792">
      <w:bodyDiv w:val="1"/>
      <w:marLeft w:val="0"/>
      <w:marRight w:val="0"/>
      <w:marTop w:val="0"/>
      <w:marBottom w:val="0"/>
      <w:divBdr>
        <w:top w:val="none" w:sz="0" w:space="0" w:color="auto"/>
        <w:left w:val="none" w:sz="0" w:space="0" w:color="auto"/>
        <w:bottom w:val="none" w:sz="0" w:space="0" w:color="auto"/>
        <w:right w:val="none" w:sz="0" w:space="0" w:color="auto"/>
      </w:divBdr>
    </w:div>
    <w:div w:id="534926114">
      <w:bodyDiv w:val="1"/>
      <w:marLeft w:val="0"/>
      <w:marRight w:val="0"/>
      <w:marTop w:val="0"/>
      <w:marBottom w:val="0"/>
      <w:divBdr>
        <w:top w:val="none" w:sz="0" w:space="0" w:color="auto"/>
        <w:left w:val="none" w:sz="0" w:space="0" w:color="auto"/>
        <w:bottom w:val="none" w:sz="0" w:space="0" w:color="auto"/>
        <w:right w:val="none" w:sz="0" w:space="0" w:color="auto"/>
      </w:divBdr>
    </w:div>
    <w:div w:id="557206634">
      <w:bodyDiv w:val="1"/>
      <w:marLeft w:val="0"/>
      <w:marRight w:val="0"/>
      <w:marTop w:val="0"/>
      <w:marBottom w:val="0"/>
      <w:divBdr>
        <w:top w:val="none" w:sz="0" w:space="0" w:color="auto"/>
        <w:left w:val="none" w:sz="0" w:space="0" w:color="auto"/>
        <w:bottom w:val="none" w:sz="0" w:space="0" w:color="auto"/>
        <w:right w:val="none" w:sz="0" w:space="0" w:color="auto"/>
      </w:divBdr>
    </w:div>
    <w:div w:id="562376136">
      <w:bodyDiv w:val="1"/>
      <w:marLeft w:val="0"/>
      <w:marRight w:val="0"/>
      <w:marTop w:val="0"/>
      <w:marBottom w:val="0"/>
      <w:divBdr>
        <w:top w:val="none" w:sz="0" w:space="0" w:color="auto"/>
        <w:left w:val="none" w:sz="0" w:space="0" w:color="auto"/>
        <w:bottom w:val="none" w:sz="0" w:space="0" w:color="auto"/>
        <w:right w:val="none" w:sz="0" w:space="0" w:color="auto"/>
      </w:divBdr>
    </w:div>
    <w:div w:id="575163210">
      <w:bodyDiv w:val="1"/>
      <w:marLeft w:val="0"/>
      <w:marRight w:val="0"/>
      <w:marTop w:val="0"/>
      <w:marBottom w:val="0"/>
      <w:divBdr>
        <w:top w:val="none" w:sz="0" w:space="0" w:color="auto"/>
        <w:left w:val="none" w:sz="0" w:space="0" w:color="auto"/>
        <w:bottom w:val="none" w:sz="0" w:space="0" w:color="auto"/>
        <w:right w:val="none" w:sz="0" w:space="0" w:color="auto"/>
      </w:divBdr>
    </w:div>
    <w:div w:id="622544491">
      <w:bodyDiv w:val="1"/>
      <w:marLeft w:val="0"/>
      <w:marRight w:val="0"/>
      <w:marTop w:val="0"/>
      <w:marBottom w:val="0"/>
      <w:divBdr>
        <w:top w:val="none" w:sz="0" w:space="0" w:color="auto"/>
        <w:left w:val="none" w:sz="0" w:space="0" w:color="auto"/>
        <w:bottom w:val="none" w:sz="0" w:space="0" w:color="auto"/>
        <w:right w:val="none" w:sz="0" w:space="0" w:color="auto"/>
      </w:divBdr>
    </w:div>
    <w:div w:id="657224726">
      <w:bodyDiv w:val="1"/>
      <w:marLeft w:val="0"/>
      <w:marRight w:val="0"/>
      <w:marTop w:val="0"/>
      <w:marBottom w:val="0"/>
      <w:divBdr>
        <w:top w:val="none" w:sz="0" w:space="0" w:color="auto"/>
        <w:left w:val="none" w:sz="0" w:space="0" w:color="auto"/>
        <w:bottom w:val="none" w:sz="0" w:space="0" w:color="auto"/>
        <w:right w:val="none" w:sz="0" w:space="0" w:color="auto"/>
      </w:divBdr>
      <w:divsChild>
        <w:div w:id="1580599818">
          <w:marLeft w:val="0"/>
          <w:marRight w:val="0"/>
          <w:marTop w:val="0"/>
          <w:marBottom w:val="0"/>
          <w:divBdr>
            <w:top w:val="none" w:sz="0" w:space="0" w:color="auto"/>
            <w:left w:val="none" w:sz="0" w:space="0" w:color="auto"/>
            <w:bottom w:val="none" w:sz="0" w:space="0" w:color="auto"/>
            <w:right w:val="none" w:sz="0" w:space="0" w:color="auto"/>
          </w:divBdr>
        </w:div>
      </w:divsChild>
    </w:div>
    <w:div w:id="677342785">
      <w:bodyDiv w:val="1"/>
      <w:marLeft w:val="0"/>
      <w:marRight w:val="0"/>
      <w:marTop w:val="0"/>
      <w:marBottom w:val="0"/>
      <w:divBdr>
        <w:top w:val="none" w:sz="0" w:space="0" w:color="auto"/>
        <w:left w:val="none" w:sz="0" w:space="0" w:color="auto"/>
        <w:bottom w:val="none" w:sz="0" w:space="0" w:color="auto"/>
        <w:right w:val="none" w:sz="0" w:space="0" w:color="auto"/>
      </w:divBdr>
    </w:div>
    <w:div w:id="697196029">
      <w:bodyDiv w:val="1"/>
      <w:marLeft w:val="0"/>
      <w:marRight w:val="0"/>
      <w:marTop w:val="0"/>
      <w:marBottom w:val="0"/>
      <w:divBdr>
        <w:top w:val="none" w:sz="0" w:space="0" w:color="auto"/>
        <w:left w:val="none" w:sz="0" w:space="0" w:color="auto"/>
        <w:bottom w:val="none" w:sz="0" w:space="0" w:color="auto"/>
        <w:right w:val="none" w:sz="0" w:space="0" w:color="auto"/>
      </w:divBdr>
    </w:div>
    <w:div w:id="753866364">
      <w:bodyDiv w:val="1"/>
      <w:marLeft w:val="0"/>
      <w:marRight w:val="0"/>
      <w:marTop w:val="0"/>
      <w:marBottom w:val="0"/>
      <w:divBdr>
        <w:top w:val="none" w:sz="0" w:space="0" w:color="auto"/>
        <w:left w:val="none" w:sz="0" w:space="0" w:color="auto"/>
        <w:bottom w:val="none" w:sz="0" w:space="0" w:color="auto"/>
        <w:right w:val="none" w:sz="0" w:space="0" w:color="auto"/>
      </w:divBdr>
    </w:div>
    <w:div w:id="793213318">
      <w:bodyDiv w:val="1"/>
      <w:marLeft w:val="0"/>
      <w:marRight w:val="0"/>
      <w:marTop w:val="0"/>
      <w:marBottom w:val="0"/>
      <w:divBdr>
        <w:top w:val="none" w:sz="0" w:space="0" w:color="auto"/>
        <w:left w:val="none" w:sz="0" w:space="0" w:color="auto"/>
        <w:bottom w:val="none" w:sz="0" w:space="0" w:color="auto"/>
        <w:right w:val="none" w:sz="0" w:space="0" w:color="auto"/>
      </w:divBdr>
    </w:div>
    <w:div w:id="794522571">
      <w:bodyDiv w:val="1"/>
      <w:marLeft w:val="0"/>
      <w:marRight w:val="0"/>
      <w:marTop w:val="0"/>
      <w:marBottom w:val="0"/>
      <w:divBdr>
        <w:top w:val="none" w:sz="0" w:space="0" w:color="auto"/>
        <w:left w:val="none" w:sz="0" w:space="0" w:color="auto"/>
        <w:bottom w:val="none" w:sz="0" w:space="0" w:color="auto"/>
        <w:right w:val="none" w:sz="0" w:space="0" w:color="auto"/>
      </w:divBdr>
    </w:div>
    <w:div w:id="846793527">
      <w:bodyDiv w:val="1"/>
      <w:marLeft w:val="0"/>
      <w:marRight w:val="0"/>
      <w:marTop w:val="0"/>
      <w:marBottom w:val="0"/>
      <w:divBdr>
        <w:top w:val="none" w:sz="0" w:space="0" w:color="auto"/>
        <w:left w:val="none" w:sz="0" w:space="0" w:color="auto"/>
        <w:bottom w:val="none" w:sz="0" w:space="0" w:color="auto"/>
        <w:right w:val="none" w:sz="0" w:space="0" w:color="auto"/>
      </w:divBdr>
    </w:div>
    <w:div w:id="870535231">
      <w:bodyDiv w:val="1"/>
      <w:marLeft w:val="0"/>
      <w:marRight w:val="0"/>
      <w:marTop w:val="0"/>
      <w:marBottom w:val="0"/>
      <w:divBdr>
        <w:top w:val="none" w:sz="0" w:space="0" w:color="auto"/>
        <w:left w:val="none" w:sz="0" w:space="0" w:color="auto"/>
        <w:bottom w:val="none" w:sz="0" w:space="0" w:color="auto"/>
        <w:right w:val="none" w:sz="0" w:space="0" w:color="auto"/>
      </w:divBdr>
    </w:div>
    <w:div w:id="969020442">
      <w:bodyDiv w:val="1"/>
      <w:marLeft w:val="0"/>
      <w:marRight w:val="0"/>
      <w:marTop w:val="0"/>
      <w:marBottom w:val="0"/>
      <w:divBdr>
        <w:top w:val="none" w:sz="0" w:space="0" w:color="auto"/>
        <w:left w:val="none" w:sz="0" w:space="0" w:color="auto"/>
        <w:bottom w:val="none" w:sz="0" w:space="0" w:color="auto"/>
        <w:right w:val="none" w:sz="0" w:space="0" w:color="auto"/>
      </w:divBdr>
      <w:divsChild>
        <w:div w:id="1847937321">
          <w:marLeft w:val="0"/>
          <w:marRight w:val="0"/>
          <w:marTop w:val="0"/>
          <w:marBottom w:val="0"/>
          <w:divBdr>
            <w:top w:val="none" w:sz="0" w:space="0" w:color="auto"/>
            <w:left w:val="none" w:sz="0" w:space="0" w:color="auto"/>
            <w:bottom w:val="none" w:sz="0" w:space="0" w:color="auto"/>
            <w:right w:val="none" w:sz="0" w:space="0" w:color="auto"/>
          </w:divBdr>
        </w:div>
      </w:divsChild>
    </w:div>
    <w:div w:id="970942093">
      <w:bodyDiv w:val="1"/>
      <w:marLeft w:val="0"/>
      <w:marRight w:val="0"/>
      <w:marTop w:val="0"/>
      <w:marBottom w:val="0"/>
      <w:divBdr>
        <w:top w:val="none" w:sz="0" w:space="0" w:color="auto"/>
        <w:left w:val="none" w:sz="0" w:space="0" w:color="auto"/>
        <w:bottom w:val="none" w:sz="0" w:space="0" w:color="auto"/>
        <w:right w:val="none" w:sz="0" w:space="0" w:color="auto"/>
      </w:divBdr>
    </w:div>
    <w:div w:id="1084259337">
      <w:bodyDiv w:val="1"/>
      <w:marLeft w:val="0"/>
      <w:marRight w:val="0"/>
      <w:marTop w:val="0"/>
      <w:marBottom w:val="0"/>
      <w:divBdr>
        <w:top w:val="none" w:sz="0" w:space="0" w:color="auto"/>
        <w:left w:val="none" w:sz="0" w:space="0" w:color="auto"/>
        <w:bottom w:val="none" w:sz="0" w:space="0" w:color="auto"/>
        <w:right w:val="none" w:sz="0" w:space="0" w:color="auto"/>
      </w:divBdr>
    </w:div>
    <w:div w:id="1093822671">
      <w:bodyDiv w:val="1"/>
      <w:marLeft w:val="0"/>
      <w:marRight w:val="0"/>
      <w:marTop w:val="0"/>
      <w:marBottom w:val="0"/>
      <w:divBdr>
        <w:top w:val="none" w:sz="0" w:space="0" w:color="auto"/>
        <w:left w:val="none" w:sz="0" w:space="0" w:color="auto"/>
        <w:bottom w:val="none" w:sz="0" w:space="0" w:color="auto"/>
        <w:right w:val="none" w:sz="0" w:space="0" w:color="auto"/>
      </w:divBdr>
    </w:div>
    <w:div w:id="1105072994">
      <w:bodyDiv w:val="1"/>
      <w:marLeft w:val="0"/>
      <w:marRight w:val="0"/>
      <w:marTop w:val="0"/>
      <w:marBottom w:val="0"/>
      <w:divBdr>
        <w:top w:val="none" w:sz="0" w:space="0" w:color="auto"/>
        <w:left w:val="none" w:sz="0" w:space="0" w:color="auto"/>
        <w:bottom w:val="none" w:sz="0" w:space="0" w:color="auto"/>
        <w:right w:val="none" w:sz="0" w:space="0" w:color="auto"/>
      </w:divBdr>
    </w:div>
    <w:div w:id="1161040192">
      <w:bodyDiv w:val="1"/>
      <w:marLeft w:val="0"/>
      <w:marRight w:val="0"/>
      <w:marTop w:val="0"/>
      <w:marBottom w:val="0"/>
      <w:divBdr>
        <w:top w:val="none" w:sz="0" w:space="0" w:color="auto"/>
        <w:left w:val="none" w:sz="0" w:space="0" w:color="auto"/>
        <w:bottom w:val="none" w:sz="0" w:space="0" w:color="auto"/>
        <w:right w:val="none" w:sz="0" w:space="0" w:color="auto"/>
      </w:divBdr>
    </w:div>
    <w:div w:id="1285305863">
      <w:bodyDiv w:val="1"/>
      <w:marLeft w:val="0"/>
      <w:marRight w:val="0"/>
      <w:marTop w:val="0"/>
      <w:marBottom w:val="0"/>
      <w:divBdr>
        <w:top w:val="none" w:sz="0" w:space="0" w:color="auto"/>
        <w:left w:val="none" w:sz="0" w:space="0" w:color="auto"/>
        <w:bottom w:val="none" w:sz="0" w:space="0" w:color="auto"/>
        <w:right w:val="none" w:sz="0" w:space="0" w:color="auto"/>
      </w:divBdr>
    </w:div>
    <w:div w:id="1291592067">
      <w:bodyDiv w:val="1"/>
      <w:marLeft w:val="0"/>
      <w:marRight w:val="0"/>
      <w:marTop w:val="0"/>
      <w:marBottom w:val="0"/>
      <w:divBdr>
        <w:top w:val="none" w:sz="0" w:space="0" w:color="auto"/>
        <w:left w:val="none" w:sz="0" w:space="0" w:color="auto"/>
        <w:bottom w:val="none" w:sz="0" w:space="0" w:color="auto"/>
        <w:right w:val="none" w:sz="0" w:space="0" w:color="auto"/>
      </w:divBdr>
    </w:div>
    <w:div w:id="1464418683">
      <w:bodyDiv w:val="1"/>
      <w:marLeft w:val="0"/>
      <w:marRight w:val="0"/>
      <w:marTop w:val="0"/>
      <w:marBottom w:val="0"/>
      <w:divBdr>
        <w:top w:val="none" w:sz="0" w:space="0" w:color="auto"/>
        <w:left w:val="none" w:sz="0" w:space="0" w:color="auto"/>
        <w:bottom w:val="none" w:sz="0" w:space="0" w:color="auto"/>
        <w:right w:val="none" w:sz="0" w:space="0" w:color="auto"/>
      </w:divBdr>
    </w:div>
    <w:div w:id="1484734838">
      <w:bodyDiv w:val="1"/>
      <w:marLeft w:val="0"/>
      <w:marRight w:val="0"/>
      <w:marTop w:val="0"/>
      <w:marBottom w:val="0"/>
      <w:divBdr>
        <w:top w:val="none" w:sz="0" w:space="0" w:color="auto"/>
        <w:left w:val="none" w:sz="0" w:space="0" w:color="auto"/>
        <w:bottom w:val="none" w:sz="0" w:space="0" w:color="auto"/>
        <w:right w:val="none" w:sz="0" w:space="0" w:color="auto"/>
      </w:divBdr>
    </w:div>
    <w:div w:id="1610310543">
      <w:bodyDiv w:val="1"/>
      <w:marLeft w:val="0"/>
      <w:marRight w:val="0"/>
      <w:marTop w:val="0"/>
      <w:marBottom w:val="0"/>
      <w:divBdr>
        <w:top w:val="none" w:sz="0" w:space="0" w:color="auto"/>
        <w:left w:val="none" w:sz="0" w:space="0" w:color="auto"/>
        <w:bottom w:val="none" w:sz="0" w:space="0" w:color="auto"/>
        <w:right w:val="none" w:sz="0" w:space="0" w:color="auto"/>
      </w:divBdr>
    </w:div>
    <w:div w:id="1699623374">
      <w:bodyDiv w:val="1"/>
      <w:marLeft w:val="0"/>
      <w:marRight w:val="0"/>
      <w:marTop w:val="0"/>
      <w:marBottom w:val="0"/>
      <w:divBdr>
        <w:top w:val="none" w:sz="0" w:space="0" w:color="auto"/>
        <w:left w:val="none" w:sz="0" w:space="0" w:color="auto"/>
        <w:bottom w:val="none" w:sz="0" w:space="0" w:color="auto"/>
        <w:right w:val="none" w:sz="0" w:space="0" w:color="auto"/>
      </w:divBdr>
    </w:div>
    <w:div w:id="1731926661">
      <w:bodyDiv w:val="1"/>
      <w:marLeft w:val="0"/>
      <w:marRight w:val="0"/>
      <w:marTop w:val="0"/>
      <w:marBottom w:val="0"/>
      <w:divBdr>
        <w:top w:val="none" w:sz="0" w:space="0" w:color="auto"/>
        <w:left w:val="none" w:sz="0" w:space="0" w:color="auto"/>
        <w:bottom w:val="none" w:sz="0" w:space="0" w:color="auto"/>
        <w:right w:val="none" w:sz="0" w:space="0" w:color="auto"/>
      </w:divBdr>
    </w:div>
    <w:div w:id="1808547240">
      <w:bodyDiv w:val="1"/>
      <w:marLeft w:val="0"/>
      <w:marRight w:val="0"/>
      <w:marTop w:val="0"/>
      <w:marBottom w:val="0"/>
      <w:divBdr>
        <w:top w:val="none" w:sz="0" w:space="0" w:color="auto"/>
        <w:left w:val="none" w:sz="0" w:space="0" w:color="auto"/>
        <w:bottom w:val="none" w:sz="0" w:space="0" w:color="auto"/>
        <w:right w:val="none" w:sz="0" w:space="0" w:color="auto"/>
      </w:divBdr>
    </w:div>
    <w:div w:id="1823892198">
      <w:bodyDiv w:val="1"/>
      <w:marLeft w:val="0"/>
      <w:marRight w:val="0"/>
      <w:marTop w:val="0"/>
      <w:marBottom w:val="0"/>
      <w:divBdr>
        <w:top w:val="none" w:sz="0" w:space="0" w:color="auto"/>
        <w:left w:val="none" w:sz="0" w:space="0" w:color="auto"/>
        <w:bottom w:val="none" w:sz="0" w:space="0" w:color="auto"/>
        <w:right w:val="none" w:sz="0" w:space="0" w:color="auto"/>
      </w:divBdr>
    </w:div>
    <w:div w:id="1946187495">
      <w:bodyDiv w:val="1"/>
      <w:marLeft w:val="0"/>
      <w:marRight w:val="0"/>
      <w:marTop w:val="0"/>
      <w:marBottom w:val="0"/>
      <w:divBdr>
        <w:top w:val="none" w:sz="0" w:space="0" w:color="auto"/>
        <w:left w:val="none" w:sz="0" w:space="0" w:color="auto"/>
        <w:bottom w:val="none" w:sz="0" w:space="0" w:color="auto"/>
        <w:right w:val="none" w:sz="0" w:space="0" w:color="auto"/>
      </w:divBdr>
    </w:div>
    <w:div w:id="1959876371">
      <w:bodyDiv w:val="1"/>
      <w:marLeft w:val="0"/>
      <w:marRight w:val="0"/>
      <w:marTop w:val="0"/>
      <w:marBottom w:val="0"/>
      <w:divBdr>
        <w:top w:val="none" w:sz="0" w:space="0" w:color="auto"/>
        <w:left w:val="none" w:sz="0" w:space="0" w:color="auto"/>
        <w:bottom w:val="none" w:sz="0" w:space="0" w:color="auto"/>
        <w:right w:val="none" w:sz="0" w:space="0" w:color="auto"/>
      </w:divBdr>
    </w:div>
    <w:div w:id="1981954483">
      <w:bodyDiv w:val="1"/>
      <w:marLeft w:val="0"/>
      <w:marRight w:val="0"/>
      <w:marTop w:val="0"/>
      <w:marBottom w:val="0"/>
      <w:divBdr>
        <w:top w:val="none" w:sz="0" w:space="0" w:color="auto"/>
        <w:left w:val="none" w:sz="0" w:space="0" w:color="auto"/>
        <w:bottom w:val="none" w:sz="0" w:space="0" w:color="auto"/>
        <w:right w:val="none" w:sz="0" w:space="0" w:color="auto"/>
      </w:divBdr>
    </w:div>
    <w:div w:id="1998486937">
      <w:bodyDiv w:val="1"/>
      <w:marLeft w:val="0"/>
      <w:marRight w:val="0"/>
      <w:marTop w:val="0"/>
      <w:marBottom w:val="0"/>
      <w:divBdr>
        <w:top w:val="none" w:sz="0" w:space="0" w:color="auto"/>
        <w:left w:val="none" w:sz="0" w:space="0" w:color="auto"/>
        <w:bottom w:val="none" w:sz="0" w:space="0" w:color="auto"/>
        <w:right w:val="none" w:sz="0" w:space="0" w:color="auto"/>
      </w:divBdr>
    </w:div>
    <w:div w:id="2047634853">
      <w:bodyDiv w:val="1"/>
      <w:marLeft w:val="0"/>
      <w:marRight w:val="0"/>
      <w:marTop w:val="0"/>
      <w:marBottom w:val="0"/>
      <w:divBdr>
        <w:top w:val="none" w:sz="0" w:space="0" w:color="auto"/>
        <w:left w:val="none" w:sz="0" w:space="0" w:color="auto"/>
        <w:bottom w:val="none" w:sz="0" w:space="0" w:color="auto"/>
        <w:right w:val="none" w:sz="0" w:space="0" w:color="auto"/>
      </w:divBdr>
    </w:div>
    <w:div w:id="2052267877">
      <w:bodyDiv w:val="1"/>
      <w:marLeft w:val="0"/>
      <w:marRight w:val="0"/>
      <w:marTop w:val="0"/>
      <w:marBottom w:val="0"/>
      <w:divBdr>
        <w:top w:val="none" w:sz="0" w:space="0" w:color="auto"/>
        <w:left w:val="none" w:sz="0" w:space="0" w:color="auto"/>
        <w:bottom w:val="none" w:sz="0" w:space="0" w:color="auto"/>
        <w:right w:val="none" w:sz="0" w:space="0" w:color="auto"/>
      </w:divBdr>
    </w:div>
    <w:div w:id="2082216840">
      <w:bodyDiv w:val="1"/>
      <w:marLeft w:val="0"/>
      <w:marRight w:val="0"/>
      <w:marTop w:val="0"/>
      <w:marBottom w:val="0"/>
      <w:divBdr>
        <w:top w:val="none" w:sz="0" w:space="0" w:color="auto"/>
        <w:left w:val="none" w:sz="0" w:space="0" w:color="auto"/>
        <w:bottom w:val="none" w:sz="0" w:space="0" w:color="auto"/>
        <w:right w:val="none" w:sz="0" w:space="0" w:color="auto"/>
      </w:divBdr>
    </w:div>
    <w:div w:id="214507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3/604/oj" TargetMode="External"/><Relationship Id="rId7" Type="http://schemas.openxmlformats.org/officeDocument/2006/relationships/hyperlink" Target="http://data.europa.eu/eli/reg_impl/2025/2055/oj" TargetMode="External"/><Relationship Id="rId2" Type="http://schemas.openxmlformats.org/officeDocument/2006/relationships/hyperlink" Target="http://data.europa.eu/eli/dec_impl/2025/2323/oj" TargetMode="External"/><Relationship Id="rId1" Type="http://schemas.openxmlformats.org/officeDocument/2006/relationships/hyperlink" Target="http://data.europa.eu/eli/reg/2024/1351/oj" TargetMode="External"/><Relationship Id="rId6" Type="http://schemas.openxmlformats.org/officeDocument/2006/relationships/hyperlink" Target="http://data.europa.eu/eli/dir/2024/1346/oj" TargetMode="External"/><Relationship Id="rId5" Type="http://schemas.openxmlformats.org/officeDocument/2006/relationships/hyperlink" Target="https://euaa.europa.eu/asylum-knowledge/dublin-procedure" TargetMode="External"/><Relationship Id="rId4" Type="http://schemas.openxmlformats.org/officeDocument/2006/relationships/hyperlink" Target="http://data.europa.eu/eli/reg/2024/1358/2024-05-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2F05394DCE044693DCAA726179B598" ma:contentTypeVersion="8" ma:contentTypeDescription="Create a new document." ma:contentTypeScope="" ma:versionID="4947a5312bff6db28b81490a03448863">
  <xsd:schema xmlns:xsd="http://www.w3.org/2001/XMLSchema" xmlns:xs="http://www.w3.org/2001/XMLSchema" xmlns:p="http://schemas.microsoft.com/office/2006/metadata/properties" xmlns:ns3="71fe9c91-5602-4bdb-b72c-69451971f681" xmlns:ns4="ccf8ecc5-ce9f-4cc1-bb60-062c62b05209" targetNamespace="http://schemas.microsoft.com/office/2006/metadata/properties" ma:root="true" ma:fieldsID="6ba5063ee6d95fcf3712e7d4d7a17369" ns3:_="" ns4:_="">
    <xsd:import namespace="71fe9c91-5602-4bdb-b72c-69451971f681"/>
    <xsd:import namespace="ccf8ecc5-ce9f-4cc1-bb60-062c62b0520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9c91-5602-4bdb-b72c-6945197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8ecc5-ce9f-4cc1-bb60-062c62b0520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1fe9c91-5602-4bdb-b72c-69451971f6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03F58-A221-429A-A0D8-6C13DC43DB83}">
  <ds:schemaRefs>
    <ds:schemaRef ds:uri="http://schemas.microsoft.com/sharepoint/v3/contenttype/forms"/>
  </ds:schemaRefs>
</ds:datastoreItem>
</file>

<file path=customXml/itemProps2.xml><?xml version="1.0" encoding="utf-8"?>
<ds:datastoreItem xmlns:ds="http://schemas.openxmlformats.org/officeDocument/2006/customXml" ds:itemID="{D07069CF-2F57-4FA8-88FF-455688561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9c91-5602-4bdb-b72c-69451971f681"/>
    <ds:schemaRef ds:uri="ccf8ecc5-ce9f-4cc1-bb60-062c62b0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4A0BB2-EB69-4AD2-A2AB-CA50EB92FE79}">
  <ds:schemaRefs>
    <ds:schemaRef ds:uri="http://schemas.microsoft.com/office/2006/metadata/properties"/>
    <ds:schemaRef ds:uri="http://schemas.microsoft.com/office/infopath/2007/PartnerControls"/>
    <ds:schemaRef ds:uri="71fe9c91-5602-4bdb-b72c-69451971f681"/>
  </ds:schemaRefs>
</ds:datastoreItem>
</file>

<file path=customXml/itemProps4.xml><?xml version="1.0" encoding="utf-8"?>
<ds:datastoreItem xmlns:ds="http://schemas.openxmlformats.org/officeDocument/2006/customXml" ds:itemID="{191CAA0D-D7D4-4A20-BD27-639322A0C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3622</Words>
  <Characters>20649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2026-07-13T10:30:00Z</dcterms:created>
  <dcterms:modified xsi:type="dcterms:W3CDTF">2026-07-31T07:58:00Z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2026-05-13T10:15:10Z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484dbf77-cd03-4463-a9c1-feea29f6ee60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0x0101005C2F05394DCE044693DCAA726179B598</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CP-001</vt:lpwstr>
  </property>
  <property fmtid="{D5CDD505-2E9C-101B-9397-08002B2CF9AE}" pid="16" name="Last edited using">
    <vt:lpwstr>LW 9.2, Build 20250828</vt:lpwstr>
  </property>
  <property fmtid="{D5CDD505-2E9C-101B-9397-08002B2CF9AE}" pid="17" name="Created using">
    <vt:lpwstr>LW 9.2, Build 20250828</vt:lpwstr>
  </property>
</Properties>
</file>