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905FEA" w14:textId="6AC1B50B" w:rsidR="00EF641F" w:rsidRDefault="0093483A" w:rsidP="0093483A">
      <w:pPr>
        <w:pStyle w:val="Pagedecouverture"/>
        <w:rPr>
          <w:noProof/>
        </w:rPr>
      </w:pPr>
      <w:bookmarkStart w:id="0" w:name="LW_BM_COVERPAGE"/>
      <w:r>
        <w:rPr>
          <w:noProof/>
        </w:rPr>
        <w:pict w14:anchorId="7B0FEB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9676F97-72DF-4F5B-8513-D4B132BD5912" style="width:455.25pt;height:327.75pt">
            <v:imagedata r:id="rId11" o:title=""/>
          </v:shape>
        </w:pict>
      </w:r>
    </w:p>
    <w:bookmarkEnd w:id="0"/>
    <w:p w14:paraId="61A8A26D" w14:textId="77777777" w:rsidR="00EF641F" w:rsidRDefault="00EF641F" w:rsidP="00EF641F">
      <w:pPr>
        <w:rPr>
          <w:noProof/>
        </w:rPr>
        <w:sectPr w:rsidR="00EF641F" w:rsidSect="0093483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heme="minorHAnsi" w:eastAsiaTheme="minorEastAsia" w:hAnsiTheme="minorHAnsi" w:cstheme="minorBidi"/>
          <w:noProof/>
          <w:color w:val="auto"/>
          <w:kern w:val="2"/>
          <w:sz w:val="22"/>
          <w:szCs w:val="22"/>
          <w14:ligatures w14:val="standardContextual"/>
        </w:rPr>
        <w:id w:val="-517547817"/>
        <w:docPartObj>
          <w:docPartGallery w:val="Table of Contents"/>
          <w:docPartUnique/>
        </w:docPartObj>
      </w:sdtPr>
      <w:sdtEndPr>
        <w:rPr>
          <w:b/>
          <w:bCs/>
        </w:rPr>
      </w:sdtEndPr>
      <w:sdtContent>
        <w:p w14:paraId="7EBCF09D" w14:textId="22429D27" w:rsidR="00770D39" w:rsidRDefault="00770D39">
          <w:pPr>
            <w:pStyle w:val="TOCHeading"/>
            <w:rPr>
              <w:noProof/>
            </w:rPr>
          </w:pPr>
          <w:r>
            <w:rPr>
              <w:noProof/>
            </w:rPr>
            <w:t>Table des matières</w:t>
          </w:r>
        </w:p>
        <w:p w14:paraId="627E991A" w14:textId="75735BB3" w:rsidR="00BD7194" w:rsidRDefault="00770D39">
          <w:pPr>
            <w:pStyle w:val="TOC3"/>
            <w:tabs>
              <w:tab w:val="right" w:leader="dot" w:pos="9016"/>
            </w:tabs>
            <w:rPr>
              <w:rFonts w:cstheme="minorBidi"/>
              <w:noProof/>
              <w:kern w:val="2"/>
              <w:sz w:val="24"/>
              <w:szCs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35189482" w:history="1">
            <w:r w:rsidR="00BD7194" w:rsidRPr="00253500">
              <w:rPr>
                <w:rStyle w:val="Hyperlink"/>
                <w:rFonts w:ascii="Times New Roman" w:hAnsi="Times New Roman"/>
                <w:noProof/>
              </w:rPr>
              <w:t>INTRODUCTION</w:t>
            </w:r>
            <w:r w:rsidR="00BD7194">
              <w:rPr>
                <w:noProof/>
                <w:webHidden/>
              </w:rPr>
              <w:tab/>
            </w:r>
            <w:r w:rsidR="00BD7194">
              <w:rPr>
                <w:noProof/>
                <w:webHidden/>
              </w:rPr>
              <w:fldChar w:fldCharType="begin"/>
            </w:r>
            <w:r w:rsidR="00BD7194">
              <w:rPr>
                <w:noProof/>
                <w:webHidden/>
              </w:rPr>
              <w:instrText xml:space="preserve"> PAGEREF _Toc235189482 \h </w:instrText>
            </w:r>
            <w:r w:rsidR="00BD7194">
              <w:rPr>
                <w:noProof/>
                <w:webHidden/>
              </w:rPr>
            </w:r>
            <w:r w:rsidR="00BD7194">
              <w:rPr>
                <w:noProof/>
                <w:webHidden/>
              </w:rPr>
              <w:fldChar w:fldCharType="separate"/>
            </w:r>
            <w:r w:rsidR="005F56C6">
              <w:rPr>
                <w:noProof/>
                <w:webHidden/>
              </w:rPr>
              <w:t>3</w:t>
            </w:r>
            <w:r w:rsidR="00BD7194">
              <w:rPr>
                <w:noProof/>
                <w:webHidden/>
              </w:rPr>
              <w:fldChar w:fldCharType="end"/>
            </w:r>
          </w:hyperlink>
        </w:p>
        <w:p w14:paraId="2DC46D03" w14:textId="307574C6" w:rsidR="00BD7194" w:rsidRDefault="0093483A">
          <w:pPr>
            <w:pStyle w:val="TOC3"/>
            <w:tabs>
              <w:tab w:val="right" w:leader="dot" w:pos="9016"/>
            </w:tabs>
            <w:rPr>
              <w:rFonts w:cstheme="minorBidi"/>
              <w:noProof/>
              <w:kern w:val="2"/>
              <w:sz w:val="24"/>
              <w:szCs w:val="24"/>
              <w:lang w:val="en-IE" w:eastAsia="en-IE"/>
              <w14:ligatures w14:val="standardContextual"/>
            </w:rPr>
          </w:pPr>
          <w:hyperlink w:anchor="_Toc235189483" w:history="1">
            <w:r w:rsidR="00BD7194" w:rsidRPr="00253500">
              <w:rPr>
                <w:rStyle w:val="Hyperlink"/>
                <w:rFonts w:ascii="Times New Roman" w:hAnsi="Times New Roman"/>
                <w:noProof/>
              </w:rPr>
              <w:t>PARTIE I: DONNÉES ET INFORMATIONS SUR LA PROTECTION OFFERTE PAR DES SALAIRES MINIMAUX</w:t>
            </w:r>
            <w:r w:rsidR="00BD7194">
              <w:rPr>
                <w:noProof/>
                <w:webHidden/>
              </w:rPr>
              <w:tab/>
            </w:r>
            <w:r w:rsidR="00BD7194">
              <w:rPr>
                <w:noProof/>
                <w:webHidden/>
              </w:rPr>
              <w:fldChar w:fldCharType="begin"/>
            </w:r>
            <w:r w:rsidR="00BD7194">
              <w:rPr>
                <w:noProof/>
                <w:webHidden/>
              </w:rPr>
              <w:instrText xml:space="preserve"> PAGEREF _Toc235189483 \h </w:instrText>
            </w:r>
            <w:r w:rsidR="00BD7194">
              <w:rPr>
                <w:noProof/>
                <w:webHidden/>
              </w:rPr>
            </w:r>
            <w:r w:rsidR="00BD7194">
              <w:rPr>
                <w:noProof/>
                <w:webHidden/>
              </w:rPr>
              <w:fldChar w:fldCharType="separate"/>
            </w:r>
            <w:r w:rsidR="005F56C6">
              <w:rPr>
                <w:noProof/>
                <w:webHidden/>
              </w:rPr>
              <w:t>4</w:t>
            </w:r>
            <w:r w:rsidR="00BD7194">
              <w:rPr>
                <w:noProof/>
                <w:webHidden/>
              </w:rPr>
              <w:fldChar w:fldCharType="end"/>
            </w:r>
          </w:hyperlink>
        </w:p>
        <w:p w14:paraId="6396DB83" w14:textId="034C7EF1" w:rsidR="00BD7194" w:rsidRDefault="0093483A">
          <w:pPr>
            <w:pStyle w:val="TOC3"/>
            <w:tabs>
              <w:tab w:val="right" w:leader="dot" w:pos="9016"/>
            </w:tabs>
            <w:rPr>
              <w:rFonts w:cstheme="minorBidi"/>
              <w:noProof/>
              <w:kern w:val="2"/>
              <w:sz w:val="24"/>
              <w:szCs w:val="24"/>
              <w:lang w:val="en-IE" w:eastAsia="en-IE"/>
              <w14:ligatures w14:val="standardContextual"/>
            </w:rPr>
          </w:pPr>
          <w:hyperlink w:anchor="_Toc235189484" w:history="1">
            <w:r w:rsidR="00BD7194" w:rsidRPr="00253500">
              <w:rPr>
                <w:rStyle w:val="Hyperlink"/>
                <w:rFonts w:ascii="Times New Roman" w:hAnsi="Times New Roman"/>
                <w:noProof/>
              </w:rPr>
              <w:t>PARTIE II: PLANS D’ACTION POUR PROMOUVOIR LES NÉGOCIATIONS COLLECTIVES</w:t>
            </w:r>
            <w:r w:rsidR="00BD7194">
              <w:rPr>
                <w:noProof/>
                <w:webHidden/>
              </w:rPr>
              <w:tab/>
            </w:r>
            <w:r w:rsidR="00BD7194">
              <w:rPr>
                <w:noProof/>
                <w:webHidden/>
              </w:rPr>
              <w:fldChar w:fldCharType="begin"/>
            </w:r>
            <w:r w:rsidR="00BD7194">
              <w:rPr>
                <w:noProof/>
                <w:webHidden/>
              </w:rPr>
              <w:instrText xml:space="preserve"> PAGEREF _Toc235189484 \h </w:instrText>
            </w:r>
            <w:r w:rsidR="00BD7194">
              <w:rPr>
                <w:noProof/>
                <w:webHidden/>
              </w:rPr>
            </w:r>
            <w:r w:rsidR="00BD7194">
              <w:rPr>
                <w:noProof/>
                <w:webHidden/>
              </w:rPr>
              <w:fldChar w:fldCharType="separate"/>
            </w:r>
            <w:r w:rsidR="005F56C6">
              <w:rPr>
                <w:noProof/>
                <w:webHidden/>
              </w:rPr>
              <w:t>11</w:t>
            </w:r>
            <w:r w:rsidR="00BD7194">
              <w:rPr>
                <w:noProof/>
                <w:webHidden/>
              </w:rPr>
              <w:fldChar w:fldCharType="end"/>
            </w:r>
          </w:hyperlink>
        </w:p>
        <w:p w14:paraId="2D701F1C" w14:textId="50116717" w:rsidR="00BD7194" w:rsidRDefault="0093483A">
          <w:pPr>
            <w:pStyle w:val="TOC3"/>
            <w:tabs>
              <w:tab w:val="right" w:leader="dot" w:pos="9016"/>
            </w:tabs>
            <w:rPr>
              <w:rFonts w:cstheme="minorBidi"/>
              <w:noProof/>
              <w:kern w:val="2"/>
              <w:sz w:val="24"/>
              <w:szCs w:val="24"/>
              <w:lang w:val="en-IE" w:eastAsia="en-IE"/>
              <w14:ligatures w14:val="standardContextual"/>
            </w:rPr>
          </w:pPr>
          <w:hyperlink w:anchor="_Toc235189485" w:history="1">
            <w:r w:rsidR="00BD7194" w:rsidRPr="00253500">
              <w:rPr>
                <w:rStyle w:val="Hyperlink"/>
                <w:rFonts w:ascii="Times New Roman" w:hAnsi="Times New Roman"/>
                <w:noProof/>
              </w:rPr>
              <w:t>CONCLUSIONS</w:t>
            </w:r>
            <w:r w:rsidR="00BD7194">
              <w:rPr>
                <w:noProof/>
                <w:webHidden/>
              </w:rPr>
              <w:tab/>
            </w:r>
            <w:r w:rsidR="00BD7194">
              <w:rPr>
                <w:noProof/>
                <w:webHidden/>
              </w:rPr>
              <w:fldChar w:fldCharType="begin"/>
            </w:r>
            <w:r w:rsidR="00BD7194">
              <w:rPr>
                <w:noProof/>
                <w:webHidden/>
              </w:rPr>
              <w:instrText xml:space="preserve"> PAGEREF _Toc235189485 \h </w:instrText>
            </w:r>
            <w:r w:rsidR="00BD7194">
              <w:rPr>
                <w:noProof/>
                <w:webHidden/>
              </w:rPr>
            </w:r>
            <w:r w:rsidR="00BD7194">
              <w:rPr>
                <w:noProof/>
                <w:webHidden/>
              </w:rPr>
              <w:fldChar w:fldCharType="separate"/>
            </w:r>
            <w:r w:rsidR="005F56C6">
              <w:rPr>
                <w:noProof/>
                <w:webHidden/>
              </w:rPr>
              <w:t>15</w:t>
            </w:r>
            <w:r w:rsidR="00BD7194">
              <w:rPr>
                <w:noProof/>
                <w:webHidden/>
              </w:rPr>
              <w:fldChar w:fldCharType="end"/>
            </w:r>
          </w:hyperlink>
        </w:p>
        <w:p w14:paraId="3167AD7F" w14:textId="41664BF0" w:rsidR="00770D39" w:rsidRDefault="00770D39">
          <w:pPr>
            <w:rPr>
              <w:noProof/>
            </w:rPr>
          </w:pPr>
          <w:r>
            <w:rPr>
              <w:b/>
              <w:noProof/>
            </w:rPr>
            <w:fldChar w:fldCharType="end"/>
          </w:r>
        </w:p>
      </w:sdtContent>
    </w:sdt>
    <w:p w14:paraId="3AE53214" w14:textId="62BDA878" w:rsidR="00770D39" w:rsidRDefault="00770D39" w:rsidP="00770D39">
      <w:pPr>
        <w:pStyle w:val="TOC1"/>
        <w:rPr>
          <w:rFonts w:eastAsiaTheme="majorEastAsia"/>
          <w:noProof/>
        </w:rPr>
      </w:pPr>
      <w:r>
        <w:rPr>
          <w:noProof/>
        </w:rPr>
        <w:br w:type="page"/>
      </w:r>
    </w:p>
    <w:p w14:paraId="203C9E28" w14:textId="6D8F9C92" w:rsidR="00A466ED" w:rsidRPr="00506ABD" w:rsidRDefault="00770D39" w:rsidP="00FF7B81">
      <w:pPr>
        <w:pStyle w:val="Heading3"/>
        <w:rPr>
          <w:rFonts w:ascii="Times New Roman" w:hAnsi="Times New Roman" w:cs="Times New Roman"/>
          <w:noProof/>
        </w:rPr>
      </w:pPr>
      <w:bookmarkStart w:id="2" w:name="_Toc235189482"/>
      <w:r>
        <w:rPr>
          <w:rFonts w:ascii="Times New Roman" w:hAnsi="Times New Roman"/>
          <w:noProof/>
        </w:rPr>
        <w:lastRenderedPageBreak/>
        <w:t>INTRODUCTION</w:t>
      </w:r>
      <w:bookmarkEnd w:id="2"/>
    </w:p>
    <w:p w14:paraId="66A3951F" w14:textId="70DAA9F4" w:rsidR="00C14D6E" w:rsidRPr="00AE6900" w:rsidRDefault="00C14D6E" w:rsidP="00DF27D5">
      <w:pPr>
        <w:spacing w:line="240" w:lineRule="atLeast"/>
        <w:jc w:val="both"/>
        <w:rPr>
          <w:rFonts w:ascii="Times New Roman" w:hAnsi="Times New Roman" w:cs="Times New Roman"/>
          <w:noProof/>
          <w:sz w:val="24"/>
          <w:szCs w:val="24"/>
        </w:rPr>
      </w:pPr>
      <w:r>
        <w:rPr>
          <w:rFonts w:ascii="Times New Roman" w:hAnsi="Times New Roman"/>
          <w:noProof/>
          <w:sz w:val="24"/>
        </w:rPr>
        <w:t>La directive (UE) 2022/2041 (</w:t>
      </w:r>
      <w:r w:rsidRPr="00AE6900">
        <w:rPr>
          <w:rStyle w:val="FootnoteReference"/>
          <w:rFonts w:ascii="Times New Roman" w:hAnsi="Times New Roman" w:cs="Times New Roman"/>
          <w:noProof/>
          <w:sz w:val="24"/>
          <w:szCs w:val="24"/>
        </w:rPr>
        <w:footnoteReference w:id="1"/>
      </w:r>
      <w:r>
        <w:rPr>
          <w:rFonts w:ascii="Times New Roman" w:hAnsi="Times New Roman"/>
          <w:noProof/>
          <w:sz w:val="24"/>
        </w:rPr>
        <w:t>) (ci-après la «directive relative aux salaires minimaux» ou la «directive») établit un cadre visant à garantir le caractère adéquat des salaires minimaux légaux, à promouvoir la négociation collective en matière de fixation des salaires et à améliorer l’accès effectif des travailleurs à la protection offerte par des salaires minimaux. Elle constitue l’une des principales réalisations du socle européen des droits sociaux (</w:t>
      </w:r>
      <w:r w:rsidRPr="00AE6900">
        <w:rPr>
          <w:rStyle w:val="FootnoteReference"/>
          <w:rFonts w:ascii="Times New Roman" w:hAnsi="Times New Roman" w:cs="Times New Roman"/>
          <w:noProof/>
          <w:sz w:val="24"/>
          <w:szCs w:val="24"/>
        </w:rPr>
        <w:footnoteReference w:id="2"/>
      </w:r>
      <w:r>
        <w:rPr>
          <w:rFonts w:ascii="Times New Roman" w:hAnsi="Times New Roman"/>
          <w:noProof/>
          <w:sz w:val="24"/>
        </w:rPr>
        <w:t>), en particulier de son principe nº 6 relatif aux salaires.</w:t>
      </w:r>
    </w:p>
    <w:p w14:paraId="207B4FAE" w14:textId="54145C20" w:rsidR="00E4431C" w:rsidRPr="00AE6900" w:rsidRDefault="00E4431C" w:rsidP="00DF27D5">
      <w:pPr>
        <w:spacing w:line="240" w:lineRule="atLeast"/>
        <w:jc w:val="both"/>
        <w:rPr>
          <w:rFonts w:ascii="Times New Roman" w:hAnsi="Times New Roman" w:cs="Times New Roman"/>
          <w:noProof/>
          <w:sz w:val="24"/>
          <w:szCs w:val="24"/>
        </w:rPr>
      </w:pPr>
      <w:r>
        <w:rPr>
          <w:rFonts w:ascii="Times New Roman" w:hAnsi="Times New Roman"/>
          <w:noProof/>
          <w:sz w:val="24"/>
        </w:rPr>
        <w:t>La directive impose à tous les États membres de communiquer régulièrement des données et des informations sur la protection offerte par des salaires minimaux (article 10, paragraphe 2). Les obligations de communication varient selon le système de protection offerte par des salaires minimaux en vigueur dans l’État membre concerné. Elle impose également aux États membres dans lesquels le taux de couverture des négociations collectives est inférieur à un seuil de 80 % d’établir des plans d’action pour promouvoir les négociations collectives (article 4, paragraphe 2).</w:t>
      </w:r>
    </w:p>
    <w:p w14:paraId="35AC9077" w14:textId="305AC33C" w:rsidR="00E4431C" w:rsidRPr="00AE6900" w:rsidRDefault="00E4431C" w:rsidP="00DF27D5">
      <w:pPr>
        <w:spacing w:line="240" w:lineRule="atLeast"/>
        <w:jc w:val="both"/>
        <w:rPr>
          <w:rFonts w:ascii="Times New Roman" w:hAnsi="Times New Roman" w:cs="Times New Roman"/>
          <w:noProof/>
          <w:sz w:val="24"/>
          <w:szCs w:val="24"/>
        </w:rPr>
      </w:pPr>
      <w:r>
        <w:rPr>
          <w:rFonts w:ascii="Times New Roman" w:hAnsi="Times New Roman"/>
          <w:noProof/>
          <w:sz w:val="24"/>
        </w:rPr>
        <w:t xml:space="preserve">En outre, l’article 10, paragraphe 3, de la directive impose à la Commission d’analyser les données et les informations transmises par les États membres, ainsi que leurs plans d’action, et d’en faire rapport tous les deux ans au Parlement européen et au Conseil. </w:t>
      </w:r>
    </w:p>
    <w:p w14:paraId="2B806AEC" w14:textId="29B9C253" w:rsidR="00770D39" w:rsidRPr="00AE6900" w:rsidRDefault="006856D7" w:rsidP="00DF27D5">
      <w:pPr>
        <w:spacing w:line="240" w:lineRule="atLeast"/>
        <w:jc w:val="both"/>
        <w:rPr>
          <w:rFonts w:ascii="Times New Roman" w:hAnsi="Times New Roman" w:cs="Times New Roman"/>
          <w:noProof/>
          <w:sz w:val="24"/>
          <w:szCs w:val="24"/>
        </w:rPr>
      </w:pPr>
      <w:r>
        <w:rPr>
          <w:rFonts w:ascii="Times New Roman" w:hAnsi="Times New Roman"/>
          <w:noProof/>
          <w:sz w:val="24"/>
        </w:rPr>
        <w:t>Il s’agit du premier rapport périodique établi conformément à l’article 10, paragraphe 3. Il se compose de deux parties:</w:t>
      </w:r>
    </w:p>
    <w:p w14:paraId="2D211744" w14:textId="1B0B5CA7" w:rsidR="00FF7B81" w:rsidRPr="00C21432" w:rsidRDefault="00FF7B81" w:rsidP="00C21432">
      <w:pPr>
        <w:pStyle w:val="ListParagraph"/>
        <w:numPr>
          <w:ilvl w:val="0"/>
          <w:numId w:val="1"/>
        </w:numPr>
        <w:spacing w:line="240" w:lineRule="atLeast"/>
        <w:jc w:val="both"/>
        <w:rPr>
          <w:rFonts w:ascii="Times New Roman" w:hAnsi="Times New Roman" w:cs="Times New Roman"/>
          <w:noProof/>
          <w:sz w:val="24"/>
          <w:szCs w:val="24"/>
        </w:rPr>
      </w:pPr>
      <w:r>
        <w:rPr>
          <w:rFonts w:ascii="Times New Roman" w:hAnsi="Times New Roman"/>
          <w:noProof/>
          <w:sz w:val="24"/>
        </w:rPr>
        <w:t>une partie I consacrée aux données et aux informations sur la protection offerte par des salaires minimaux transmises par les États membres conformément à l’article 10, paragraphe 2, de la directive, couvrant les années 2021, 2022 et 2023. Comme la directive laisse aux États membres une marge d’appréciation importante en ce qui concerne les informations qu’ils communiquent, ces données et informations peuvent différer des statistiques sur les salaires minimaux publiées par Eurostat (</w:t>
      </w:r>
      <w:r w:rsidR="00C21432" w:rsidRPr="00C21432">
        <w:rPr>
          <w:rFonts w:ascii="Times New Roman" w:hAnsi="Times New Roman" w:cs="Times New Roman"/>
          <w:noProof/>
          <w:sz w:val="24"/>
          <w:szCs w:val="24"/>
          <w:vertAlign w:val="superscript"/>
        </w:rPr>
        <w:footnoteReference w:id="3"/>
      </w:r>
      <w:r>
        <w:rPr>
          <w:rFonts w:ascii="Times New Roman" w:hAnsi="Times New Roman"/>
          <w:noProof/>
          <w:sz w:val="24"/>
        </w:rPr>
        <w:t>);</w:t>
      </w:r>
    </w:p>
    <w:p w14:paraId="13A02BC6" w14:textId="77777777" w:rsidR="00FF7B81" w:rsidRPr="00AE6900" w:rsidRDefault="00FF7B81" w:rsidP="00DF27D5">
      <w:pPr>
        <w:pStyle w:val="ListParagraph"/>
        <w:spacing w:line="240" w:lineRule="atLeast"/>
        <w:jc w:val="both"/>
        <w:rPr>
          <w:rFonts w:ascii="Times New Roman" w:hAnsi="Times New Roman" w:cs="Times New Roman"/>
          <w:noProof/>
          <w:sz w:val="24"/>
          <w:szCs w:val="24"/>
        </w:rPr>
      </w:pPr>
    </w:p>
    <w:p w14:paraId="3AC953AC" w14:textId="281634A4" w:rsidR="00FF7B81" w:rsidRPr="00AE6900" w:rsidRDefault="00FF7B81" w:rsidP="00DF27D5">
      <w:pPr>
        <w:pStyle w:val="ListParagraph"/>
        <w:numPr>
          <w:ilvl w:val="0"/>
          <w:numId w:val="1"/>
        </w:numPr>
        <w:spacing w:line="240" w:lineRule="atLeast"/>
        <w:jc w:val="both"/>
        <w:rPr>
          <w:rFonts w:ascii="Times New Roman" w:hAnsi="Times New Roman" w:cs="Times New Roman"/>
          <w:noProof/>
          <w:sz w:val="24"/>
          <w:szCs w:val="24"/>
        </w:rPr>
      </w:pPr>
      <w:r>
        <w:rPr>
          <w:rFonts w:ascii="Times New Roman" w:hAnsi="Times New Roman"/>
          <w:noProof/>
          <w:sz w:val="24"/>
        </w:rPr>
        <w:t>une partie II consacrée aux plans d’action pour promouvoir les négociations collectives établis par les États membres dans lesquels le taux de couverture des négociations collectives est inférieur à un seuil de 80 %, conformément à l’article 4, paragraphe 2, de la directive.</w:t>
      </w:r>
    </w:p>
    <w:p w14:paraId="35334899" w14:textId="5D9A2822" w:rsidR="00B22864" w:rsidRPr="00AE6900" w:rsidRDefault="5362D4C2" w:rsidP="00DF27D5">
      <w:pPr>
        <w:spacing w:line="240" w:lineRule="atLeast"/>
        <w:jc w:val="both"/>
        <w:rPr>
          <w:rFonts w:ascii="Times New Roman" w:hAnsi="Times New Roman" w:cs="Times New Roman"/>
          <w:noProof/>
          <w:sz w:val="24"/>
          <w:szCs w:val="24"/>
        </w:rPr>
      </w:pPr>
      <w:r>
        <w:rPr>
          <w:rFonts w:ascii="Times New Roman" w:hAnsi="Times New Roman"/>
          <w:noProof/>
          <w:sz w:val="24"/>
        </w:rPr>
        <w:t>Le présent rapport est fondé sur des données et des informations fournies par les États membres, ainsi que sur d’autres sources accessibles au public. Il est sans préjudice de l’évaluation, par la Commission, de la conformité des mesures nationales de transposition, ni de la position que la Commission pourrait adopter dans le cadre de futures procédures judiciaires.</w:t>
      </w:r>
    </w:p>
    <w:p w14:paraId="2A00C283" w14:textId="563C127A" w:rsidR="00B03EC3" w:rsidRPr="00AE6900" w:rsidRDefault="00B22864" w:rsidP="00DF27D5">
      <w:pPr>
        <w:spacing w:line="240" w:lineRule="atLeast"/>
        <w:jc w:val="both"/>
        <w:rPr>
          <w:rFonts w:ascii="Times New Roman" w:hAnsi="Times New Roman" w:cs="Times New Roman"/>
          <w:noProof/>
          <w:sz w:val="24"/>
          <w:szCs w:val="24"/>
        </w:rPr>
      </w:pPr>
      <w:r>
        <w:rPr>
          <w:rFonts w:ascii="Times New Roman" w:hAnsi="Times New Roman"/>
          <w:noProof/>
          <w:sz w:val="24"/>
        </w:rPr>
        <w:t>Le rapport est accompagné d’un document de travail des services de la Commission (</w:t>
      </w:r>
      <w:r w:rsidRPr="00AE6900">
        <w:rPr>
          <w:rStyle w:val="FootnoteReference"/>
          <w:rFonts w:ascii="Times New Roman" w:hAnsi="Times New Roman" w:cs="Times New Roman"/>
          <w:noProof/>
          <w:sz w:val="24"/>
          <w:szCs w:val="24"/>
        </w:rPr>
        <w:footnoteReference w:id="4"/>
      </w:r>
      <w:r>
        <w:rPr>
          <w:rFonts w:ascii="Times New Roman" w:hAnsi="Times New Roman"/>
          <w:noProof/>
          <w:sz w:val="24"/>
        </w:rPr>
        <w:t xml:space="preserve">), qui fournit des informations plus détaillées sur l’analyse et publie les données et les informations transmises par les États membres, conformément aux exigences de la directive. </w:t>
      </w:r>
    </w:p>
    <w:p w14:paraId="26067E37" w14:textId="77777777" w:rsidR="00BD7194" w:rsidRDefault="00BD7194" w:rsidP="000C7476">
      <w:pPr>
        <w:pStyle w:val="Heading3"/>
        <w:spacing w:after="240"/>
        <w:rPr>
          <w:rFonts w:ascii="Times New Roman" w:hAnsi="Times New Roman"/>
          <w:noProof/>
        </w:rPr>
      </w:pPr>
    </w:p>
    <w:p w14:paraId="089C32CA" w14:textId="25F43E4B" w:rsidR="00770D39" w:rsidRPr="00504DF4" w:rsidRDefault="00FF7B81" w:rsidP="000C7476">
      <w:pPr>
        <w:pStyle w:val="Heading3"/>
        <w:spacing w:after="240"/>
        <w:rPr>
          <w:rFonts w:ascii="Times New Roman" w:hAnsi="Times New Roman" w:cs="Times New Roman"/>
          <w:noProof/>
        </w:rPr>
      </w:pPr>
      <w:bookmarkStart w:id="3" w:name="_Toc235189483"/>
      <w:r>
        <w:rPr>
          <w:rFonts w:ascii="Times New Roman" w:hAnsi="Times New Roman"/>
          <w:noProof/>
        </w:rPr>
        <w:t>PARTIE I: DONNÉES ET INFORMATIONS SUR LA PROTECTION OFFERTE PAR DES SALAIRES MINIMAUX</w:t>
      </w:r>
      <w:bookmarkEnd w:id="3"/>
    </w:p>
    <w:p w14:paraId="6D82477C" w14:textId="60E345E0" w:rsidR="00504DF4" w:rsidRDefault="001355B2" w:rsidP="00BF7990">
      <w:pPr>
        <w:pStyle w:val="Text1"/>
        <w:spacing w:line="240" w:lineRule="atLeast"/>
        <w:ind w:left="0"/>
        <w:rPr>
          <w:noProof/>
          <w:szCs w:val="24"/>
        </w:rPr>
      </w:pPr>
      <w:r>
        <w:rPr>
          <w:b/>
          <w:noProof/>
        </w:rPr>
        <w:t>Tous les États membres disposent d’un système de protection offerte par des salaires minimaux, soit sous la forme de salaires minimaux légaux, soit par la voie des négociations collectives.</w:t>
      </w:r>
      <w:r>
        <w:rPr>
          <w:noProof/>
        </w:rPr>
        <w:t xml:space="preserve"> Vingt États membres indiquent disposer d’un salaire minimum légal, tandis que sept assurent une protection offerte par des salaires minimaux exclusivement par voie de conventions collectives (tableau 1). Cette distinction est essentielle, certaines dispositions de la directive ne s’appliquant qu’aux États membres disposant de salaires minimaux légaux.</w:t>
      </w:r>
    </w:p>
    <w:p w14:paraId="6A4FBA05" w14:textId="1DEC76B0" w:rsidR="00BF7990" w:rsidRPr="00C87A43" w:rsidRDefault="00BF7990" w:rsidP="00BE0861">
      <w:pPr>
        <w:pStyle w:val="Text1"/>
        <w:spacing w:after="120" w:line="240" w:lineRule="atLeast"/>
        <w:ind w:left="993" w:hanging="993"/>
        <w:jc w:val="left"/>
        <w:rPr>
          <w:b/>
          <w:bCs/>
          <w:noProof/>
        </w:rPr>
      </w:pPr>
      <w:r>
        <w:rPr>
          <w:b/>
          <w:noProof/>
        </w:rPr>
        <w:t>Tableau 1:</w:t>
      </w:r>
      <w:r>
        <w:rPr>
          <w:noProof/>
        </w:rPr>
        <w:t xml:space="preserve"> Système prédominant de protection offerte par des salaires minimaux, tel qu’il a été déclaré par les États membres</w:t>
      </w:r>
    </w:p>
    <w:tbl>
      <w:tblPr>
        <w:tblStyle w:val="TableGrid"/>
        <w:tblW w:w="8992" w:type="dxa"/>
        <w:tblBorders>
          <w:bottom w:val="single" w:sz="4" w:space="0" w:color="auto"/>
        </w:tblBorders>
        <w:tblLook w:val="04A0" w:firstRow="1" w:lastRow="0" w:firstColumn="1" w:lastColumn="0" w:noHBand="0" w:noVBand="1"/>
      </w:tblPr>
      <w:tblGrid>
        <w:gridCol w:w="2827"/>
        <w:gridCol w:w="6165"/>
      </w:tblGrid>
      <w:tr w:rsidR="00BF7990" w:rsidRPr="002C1A8B" w14:paraId="1E8A7795" w14:textId="77777777" w:rsidTr="008E51E9">
        <w:tc>
          <w:tcPr>
            <w:tcW w:w="2827" w:type="dxa"/>
          </w:tcPr>
          <w:p w14:paraId="0FA0522C" w14:textId="5CB77997" w:rsidR="00BF7990" w:rsidRPr="001A14CF" w:rsidRDefault="00BF7990" w:rsidP="005F5E05">
            <w:pPr>
              <w:pStyle w:val="Text1"/>
              <w:spacing w:after="120" w:line="240" w:lineRule="atLeast"/>
              <w:ind w:left="0"/>
              <w:rPr>
                <w:noProof/>
              </w:rPr>
            </w:pPr>
            <w:r>
              <w:rPr>
                <w:noProof/>
              </w:rPr>
              <w:t>Salaires minimaux légaux</w:t>
            </w:r>
          </w:p>
        </w:tc>
        <w:tc>
          <w:tcPr>
            <w:tcW w:w="6165" w:type="dxa"/>
          </w:tcPr>
          <w:p w14:paraId="147D1B3C" w14:textId="77777777" w:rsidR="00BF7990" w:rsidRPr="001A14CF" w:rsidRDefault="00BF7990">
            <w:pPr>
              <w:pStyle w:val="Text1"/>
              <w:spacing w:after="120" w:line="240" w:lineRule="atLeast"/>
              <w:ind w:left="0"/>
              <w:rPr>
                <w:noProof/>
              </w:rPr>
            </w:pPr>
            <w:r>
              <w:rPr>
                <w:noProof/>
              </w:rPr>
              <w:t>Allemagne, Bulgarie, Chypre (</w:t>
            </w:r>
            <w:r w:rsidRPr="001A14CF">
              <w:rPr>
                <w:rStyle w:val="FootnoteReference"/>
                <w:noProof/>
                <w:lang w:val="en-US"/>
              </w:rPr>
              <w:footnoteReference w:id="5"/>
            </w:r>
            <w:r>
              <w:rPr>
                <w:noProof/>
              </w:rPr>
              <w:t>), Croatie, Espagne, France, Grèce, Hongrie, Irlande, Lettonie, Lituanie, Luxembourg, Malte, Pays-Bas, Pologne, Portugal, Roumanie, Slovaquie, Slovénie, Tchéquie</w:t>
            </w:r>
          </w:p>
        </w:tc>
      </w:tr>
      <w:tr w:rsidR="00BF7990" w:rsidRPr="00494E9C" w14:paraId="26361573" w14:textId="77777777" w:rsidTr="008E51E9">
        <w:tc>
          <w:tcPr>
            <w:tcW w:w="2827" w:type="dxa"/>
          </w:tcPr>
          <w:p w14:paraId="411A5E1B" w14:textId="77777777" w:rsidR="00BF7990" w:rsidRPr="001A14CF" w:rsidRDefault="00BF7990" w:rsidP="005F5E05">
            <w:pPr>
              <w:pStyle w:val="Text1"/>
              <w:spacing w:after="120" w:line="240" w:lineRule="atLeast"/>
              <w:ind w:left="0"/>
              <w:rPr>
                <w:noProof/>
              </w:rPr>
            </w:pPr>
            <w:r>
              <w:rPr>
                <w:noProof/>
              </w:rPr>
              <w:t>Protection offerte par des salaires minimaux exclusivement par voie de conventions collectives</w:t>
            </w:r>
          </w:p>
        </w:tc>
        <w:tc>
          <w:tcPr>
            <w:tcW w:w="6165" w:type="dxa"/>
          </w:tcPr>
          <w:p w14:paraId="2B98F685" w14:textId="77720DF8" w:rsidR="00BF7990" w:rsidRPr="001A14CF" w:rsidRDefault="00BF7990">
            <w:pPr>
              <w:pStyle w:val="Text1"/>
              <w:spacing w:after="120" w:line="240" w:lineRule="atLeast"/>
              <w:ind w:left="0"/>
              <w:rPr>
                <w:noProof/>
              </w:rPr>
            </w:pPr>
            <w:r>
              <w:rPr>
                <w:noProof/>
                <w:color w:val="000000" w:themeColor="text1"/>
              </w:rPr>
              <w:t>Autriche, Belgique, Danemark, Estonie</w:t>
            </w:r>
            <w:r>
              <w:rPr>
                <w:noProof/>
              </w:rPr>
              <w:t>, Finlande, Italie, Suède.</w:t>
            </w:r>
          </w:p>
        </w:tc>
      </w:tr>
    </w:tbl>
    <w:p w14:paraId="65E3C53E" w14:textId="315AED8A" w:rsidR="00FE358D" w:rsidRPr="00C32ACE" w:rsidRDefault="00BD03EF" w:rsidP="00D44EA9">
      <w:pPr>
        <w:pStyle w:val="Text1"/>
        <w:spacing w:before="240" w:line="240" w:lineRule="atLeast"/>
        <w:ind w:left="0"/>
        <w:rPr>
          <w:i/>
          <w:noProof/>
        </w:rPr>
      </w:pPr>
      <w:r>
        <w:rPr>
          <w:i/>
          <w:noProof/>
        </w:rPr>
        <w:t xml:space="preserve">Salaires minimaux légaux </w:t>
      </w:r>
    </w:p>
    <w:p w14:paraId="745378FB" w14:textId="435AB0A7" w:rsidR="00751143" w:rsidRDefault="00751143" w:rsidP="00B27BBA">
      <w:pPr>
        <w:pStyle w:val="Text3"/>
        <w:spacing w:line="240" w:lineRule="atLeast"/>
        <w:ind w:left="0"/>
        <w:rPr>
          <w:noProof/>
          <w:highlight w:val="lightGray"/>
        </w:rPr>
      </w:pPr>
      <w:r>
        <w:rPr>
          <w:b/>
          <w:noProof/>
        </w:rPr>
        <w:t>Les niveaux des salaires minimaux légaux varient considérablement d’un État membre à l’autre</w:t>
      </w:r>
      <w:r>
        <w:rPr>
          <w:noProof/>
        </w:rPr>
        <w:t xml:space="preserve"> </w:t>
      </w:r>
      <w:r>
        <w:rPr>
          <w:b/>
          <w:noProof/>
        </w:rPr>
        <w:t>en termes nominaux</w:t>
      </w:r>
      <w:r>
        <w:rPr>
          <w:noProof/>
        </w:rPr>
        <w:t xml:space="preserve"> (graphique 1) (</w:t>
      </w:r>
      <w:r w:rsidR="00FC7AC4" w:rsidRPr="0049069B">
        <w:rPr>
          <w:rStyle w:val="FootnoteReference"/>
          <w:noProof/>
        </w:rPr>
        <w:footnoteReference w:id="6"/>
      </w:r>
      <w:r>
        <w:rPr>
          <w:noProof/>
        </w:rPr>
        <w:t>). En 2023, le Luxembourg (2 509 EUR par mois), l’Allemagne (2 023 EUR) et les Pays-Bas (1 965 EUR) ont déclaré les salaires minimaux les plus élevés, suivis de l’Irlande (1 910 EUR) et de la France (1 735 EUR). En Espagne et en Slovénie, ils s’établissaient à environ 1 200 EUR. Dans neuf États membres (</w:t>
      </w:r>
      <w:r w:rsidRPr="003965C3">
        <w:rPr>
          <w:rStyle w:val="FootnoteReference"/>
          <w:noProof/>
        </w:rPr>
        <w:footnoteReference w:id="7"/>
      </w:r>
      <w:r>
        <w:rPr>
          <w:noProof/>
        </w:rPr>
        <w:t>), ils étaient compris entre 700 EUR et 940 EUR. Les salaires minimaux les plus faibles ont été enregistrés en Bulgarie (399 EUR), suivie par la Hongrie (615 EUR), la Lettonie (620 EUR) et la Roumanie (622 EUR).</w:t>
      </w:r>
      <w:r>
        <w:rPr>
          <w:rStyle w:val="CommentReference"/>
          <w:rFonts w:asciiTheme="minorHAnsi" w:hAnsiTheme="minorHAnsi"/>
          <w:noProof/>
        </w:rPr>
        <w:t xml:space="preserve"> </w:t>
      </w:r>
    </w:p>
    <w:p w14:paraId="62B30E63" w14:textId="55E7816D" w:rsidR="00246CB1" w:rsidRDefault="00422A94" w:rsidP="000019A7">
      <w:pPr>
        <w:pStyle w:val="Text3"/>
        <w:keepNext/>
        <w:spacing w:after="0" w:line="240" w:lineRule="atLeast"/>
        <w:ind w:left="0"/>
        <w:jc w:val="left"/>
        <w:rPr>
          <w:noProof/>
        </w:rPr>
      </w:pPr>
      <w:r>
        <w:rPr>
          <w:b/>
          <w:noProof/>
        </w:rPr>
        <w:t>Graphique 1</w:t>
      </w:r>
      <w:r>
        <w:rPr>
          <w:noProof/>
        </w:rPr>
        <w:t>: Niveaux des salaires minimaux légaux bruts mensuels dans l’UE (en EUR)</w:t>
      </w:r>
    </w:p>
    <w:p w14:paraId="7C3CC2FA" w14:textId="428B0542" w:rsidR="00422A94" w:rsidRDefault="00280193" w:rsidP="00422A94">
      <w:pPr>
        <w:pStyle w:val="Text3"/>
        <w:spacing w:after="0" w:line="240" w:lineRule="atLeast"/>
        <w:ind w:left="0"/>
        <w:jc w:val="center"/>
        <w:rPr>
          <w:noProof/>
        </w:rPr>
      </w:pPr>
      <w:r>
        <w:rPr>
          <w:noProof/>
          <w:lang w:val="en-GB" w:eastAsia="en-GB"/>
        </w:rPr>
        <w:drawing>
          <wp:inline distT="0" distB="0" distL="0" distR="0" wp14:anchorId="66A2F64E" wp14:editId="26AB4CA2">
            <wp:extent cx="5295900" cy="2160656"/>
            <wp:effectExtent l="0" t="0" r="0" b="0"/>
            <wp:docPr id="171394115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03208" cy="2163638"/>
                    </a:xfrm>
                    <a:prstGeom prst="rect">
                      <a:avLst/>
                    </a:prstGeom>
                    <a:noFill/>
                  </pic:spPr>
                </pic:pic>
              </a:graphicData>
            </a:graphic>
          </wp:inline>
        </w:drawing>
      </w:r>
    </w:p>
    <w:p w14:paraId="607FD708" w14:textId="66E9720F" w:rsidR="001A14CF" w:rsidRDefault="001A14CF" w:rsidP="00E34A6A">
      <w:pPr>
        <w:pStyle w:val="Text3"/>
        <w:spacing w:after="0" w:line="240" w:lineRule="atLeast"/>
        <w:ind w:left="0"/>
        <w:rPr>
          <w:i/>
          <w:iCs/>
          <w:noProof/>
          <w:sz w:val="20"/>
        </w:rPr>
      </w:pPr>
      <w:r>
        <w:rPr>
          <w:i/>
          <w:noProof/>
          <w:sz w:val="20"/>
        </w:rPr>
        <w:t>Note: la Slovénie n’a communiqué des données que pour 2023. Chypre a instauré un salaire minimum légal en 2023.</w:t>
      </w:r>
    </w:p>
    <w:p w14:paraId="204E75AB" w14:textId="3FD16E43" w:rsidR="00422A94" w:rsidRPr="00285E1B" w:rsidRDefault="00422A94" w:rsidP="00422A94">
      <w:pPr>
        <w:pStyle w:val="Text3"/>
        <w:spacing w:line="240" w:lineRule="atLeast"/>
        <w:ind w:left="0"/>
        <w:rPr>
          <w:noProof/>
        </w:rPr>
      </w:pPr>
      <w:r>
        <w:rPr>
          <w:i/>
          <w:noProof/>
          <w:sz w:val="20"/>
        </w:rPr>
        <w:t xml:space="preserve">Source: </w:t>
      </w:r>
      <w:r>
        <w:rPr>
          <w:i/>
          <w:noProof/>
          <w:sz w:val="20"/>
        </w:rPr>
        <w:tab/>
        <w:t xml:space="preserve">Données transmises par les États membres, converties en EUR et en niveaux moyens de salaires mensuels. </w:t>
      </w:r>
    </w:p>
    <w:p w14:paraId="55047217" w14:textId="777F2742" w:rsidR="003D5A3E" w:rsidRDefault="009F714F" w:rsidP="00F355F3">
      <w:pPr>
        <w:pStyle w:val="Text3"/>
        <w:spacing w:line="240" w:lineRule="atLeast"/>
        <w:ind w:left="0"/>
        <w:rPr>
          <w:noProof/>
        </w:rPr>
      </w:pPr>
      <w:r>
        <w:rPr>
          <w:b/>
          <w:noProof/>
        </w:rPr>
        <w:t>Les disparités entre les salaires minimaux légaux des États membres sont nettement plus faibles une fois prises en compte les différences de niveaux de prix.</w:t>
      </w:r>
      <w:r>
        <w:rPr>
          <w:rStyle w:val="CommentReference"/>
          <w:noProof/>
        </w:rPr>
        <w:t xml:space="preserve"> </w:t>
      </w:r>
      <w:r>
        <w:rPr>
          <w:noProof/>
        </w:rPr>
        <w:t xml:space="preserve"> En termes nominaux en euros, le salaire minimum brut mensuel le plus élevé dans l’Union est environ six fois supérieur au plus faible. Toutefois, cet écart est ramené à moins de trois lorsque les salaires sont exprimés en standards de pouvoir d’achat, les niveaux de prix étant généralement plus faibles dans les États membres où les salaires minimaux sont les plus bas. Exprimés en standards de pouvoir d’achat, les salaires minimaux bruts mensuels étaient les plus élevés, en 2023, au Luxembourg et en Allemagne, suivis des Pays-Bas et de la France. Les salaires minimaux légaux les plus faibles ont été déclarés par la Bulgarie, suivie de la Lettonie et de la Tchéquie.  </w:t>
      </w:r>
    </w:p>
    <w:p w14:paraId="1E38DCFD" w14:textId="5A682AA0" w:rsidR="00CF0E84" w:rsidRPr="00CF0E84" w:rsidRDefault="00A0547B" w:rsidP="00F355F3">
      <w:pPr>
        <w:pStyle w:val="Text3"/>
        <w:spacing w:line="240" w:lineRule="atLeast"/>
        <w:ind w:left="0"/>
        <w:rPr>
          <w:noProof/>
        </w:rPr>
      </w:pPr>
      <w:bookmarkStart w:id="4" w:name="_Hlk234833778"/>
      <w:r>
        <w:rPr>
          <w:b/>
          <w:noProof/>
        </w:rPr>
        <w:t xml:space="preserve">Les salaires minimaux légaux ont augmenté plus rapidement dans les pays où les niveaux étaient initialement plus faibles, ce qui a favorisé la convergence vers le haut. </w:t>
      </w:r>
      <w:r>
        <w:rPr>
          <w:noProof/>
        </w:rPr>
        <w:t xml:space="preserve">Conformément aux objectifs fixés par la directive, la variation des salaires minimaux nominaux entre les États membres a diminué entre 2021 et 2023. Cette évolution a été soutenue par le rattrapage des États membres dont les niveaux nominaux étaient initialement plus faibles, tels que la Hongrie et la Roumanie, qui ont enregistré les plus fortes croissances nominales au cours de la période (respectivement 40,8 % et 33,7 %). Cette convergence vers le haut des salaires minimaux légaux en termes nominaux s’est poursuivie après la période de référence.   </w:t>
      </w:r>
    </w:p>
    <w:bookmarkEnd w:id="4"/>
    <w:p w14:paraId="50257915" w14:textId="60886572" w:rsidR="004F5751" w:rsidRDefault="00F85397" w:rsidP="00E34A6A">
      <w:pPr>
        <w:pStyle w:val="Text3"/>
        <w:spacing w:after="120" w:line="240" w:lineRule="atLeast"/>
        <w:ind w:left="0"/>
        <w:rPr>
          <w:noProof/>
        </w:rPr>
      </w:pPr>
      <w:r>
        <w:rPr>
          <w:b/>
          <w:noProof/>
        </w:rPr>
        <w:t xml:space="preserve">Au cours de la période allant de 2021 à 2023, </w:t>
      </w:r>
      <w:bookmarkStart w:id="5" w:name="_Hlk234836229"/>
      <w:r>
        <w:rPr>
          <w:b/>
          <w:noProof/>
        </w:rPr>
        <w:t>les augmentations des salaires minimaux légaux ont compensé les pertes de pouvoir d’achat dues à la forte inflation dans environ la moitié des États membres</w:t>
      </w:r>
      <w:bookmarkEnd w:id="5"/>
      <w:r>
        <w:rPr>
          <w:noProof/>
        </w:rPr>
        <w:t xml:space="preserve"> (graphique 2).</w:t>
      </w:r>
      <w:r>
        <w:rPr>
          <w:b/>
          <w:noProof/>
        </w:rPr>
        <w:t xml:space="preserve"> </w:t>
      </w:r>
      <w:r>
        <w:rPr>
          <w:noProof/>
        </w:rPr>
        <w:t>En 2023, les salaires minimaux légaux réels étaient plus élevés qu’en 2021 dans 10 des 18 États membres pour lesquels des données étaient disponibles (</w:t>
      </w:r>
      <w:r w:rsidR="007B41FE">
        <w:rPr>
          <w:rStyle w:val="FootnoteReference"/>
          <w:noProof/>
          <w:lang w:val="en-IE"/>
        </w:rPr>
        <w:footnoteReference w:id="8"/>
      </w:r>
      <w:r>
        <w:rPr>
          <w:noProof/>
        </w:rPr>
        <w:t>). Les hausses les plus importantes en termes réels ont été enregistrées en Allemagne (9 %) et en Roumanie (8,7 %), tandis que des augmentations supérieures à 2 % ont été enregistrées en Hongrie (4,3 %), en Croatie (3,5 %) et en Grèce (3,1 %). Des augmentations plus modestes (inférieures à 2 %) ont été enregistrées au Luxembourg, en Lituanie, en Espagne, en Pologne et au Portugal. À l’inverse, de faibles diminutions, inférieures à 1 %, ont été enregistrées aux Pays-Bas et en France, tandis que des baisses plus marquées, comprises entre – 2 % et – 5 %, ont été observées en Bulgarie, en Irlande, en Lettonie et à Malte. Les pertes les plus importantes de salaire minimum légal réel ont été observées en Slovaquie (– 9,7 %) et en Tchéquie (– 11,4 %), où une inflation relativement élevée n’a été accompagnée que d’une hausse limitée des salaires minimaux (</w:t>
      </w:r>
      <w:r w:rsidR="00765B27">
        <w:rPr>
          <w:rStyle w:val="FootnoteReference"/>
          <w:noProof/>
        </w:rPr>
        <w:footnoteReference w:id="9"/>
      </w:r>
      <w:r>
        <w:rPr>
          <w:noProof/>
        </w:rPr>
        <w:t xml:space="preserve">).   </w:t>
      </w:r>
    </w:p>
    <w:p w14:paraId="1833374E" w14:textId="04D2C73C" w:rsidR="00B6518D" w:rsidRPr="00D8643D" w:rsidRDefault="00EB7484" w:rsidP="000C7476">
      <w:pPr>
        <w:pStyle w:val="Text3"/>
        <w:keepNext/>
        <w:spacing w:after="0" w:line="240" w:lineRule="atLeast"/>
        <w:ind w:left="0"/>
        <w:jc w:val="left"/>
        <w:rPr>
          <w:noProof/>
          <w:szCs w:val="24"/>
        </w:rPr>
      </w:pPr>
      <w:r>
        <w:rPr>
          <w:b/>
          <w:noProof/>
        </w:rPr>
        <w:t xml:space="preserve">Graphique 2: </w:t>
      </w:r>
      <w:r>
        <w:rPr>
          <w:noProof/>
        </w:rPr>
        <w:t>Évolution des salaires minimaux légaux</w:t>
      </w:r>
    </w:p>
    <w:p w14:paraId="610A6C7B" w14:textId="5321C72D" w:rsidR="00320048" w:rsidRDefault="00E75F78" w:rsidP="00E34A6A">
      <w:pPr>
        <w:spacing w:after="0"/>
        <w:jc w:val="center"/>
        <w:rPr>
          <w:noProof/>
          <w:highlight w:val="lightGray"/>
        </w:rPr>
      </w:pPr>
      <w:r w:rsidRPr="00E75F78">
        <w:rPr>
          <w:noProof/>
          <w:lang w:val="en-GB" w:eastAsia="en-GB"/>
        </w:rPr>
        <w:drawing>
          <wp:inline distT="0" distB="0" distL="0" distR="0" wp14:anchorId="51E2EAD4" wp14:editId="3EE82C61">
            <wp:extent cx="5314505" cy="2544792"/>
            <wp:effectExtent l="0" t="0" r="635" b="8255"/>
            <wp:docPr id="1604754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754617" name=""/>
                    <pic:cNvPicPr/>
                  </pic:nvPicPr>
                  <pic:blipFill>
                    <a:blip r:embed="rId19"/>
                    <a:stretch>
                      <a:fillRect/>
                    </a:stretch>
                  </pic:blipFill>
                  <pic:spPr>
                    <a:xfrm>
                      <a:off x="0" y="0"/>
                      <a:ext cx="5318897" cy="2546895"/>
                    </a:xfrm>
                    <a:prstGeom prst="rect">
                      <a:avLst/>
                    </a:prstGeom>
                  </pic:spPr>
                </pic:pic>
              </a:graphicData>
            </a:graphic>
          </wp:inline>
        </w:drawing>
      </w:r>
    </w:p>
    <w:p w14:paraId="11306260" w14:textId="753A8141" w:rsidR="004725A3" w:rsidRPr="00C87A43" w:rsidRDefault="004725A3" w:rsidP="004725A3">
      <w:pPr>
        <w:pStyle w:val="Text3"/>
        <w:spacing w:after="0" w:line="240" w:lineRule="atLeast"/>
        <w:ind w:left="0"/>
        <w:rPr>
          <w:i/>
          <w:iCs/>
          <w:noProof/>
          <w:sz w:val="20"/>
        </w:rPr>
      </w:pPr>
      <w:r>
        <w:rPr>
          <w:i/>
          <w:noProof/>
          <w:sz w:val="20"/>
        </w:rPr>
        <w:t>Note:</w:t>
      </w:r>
      <w:r>
        <w:rPr>
          <w:i/>
          <w:noProof/>
          <w:sz w:val="20"/>
        </w:rPr>
        <w:tab/>
        <w:t xml:space="preserve"> la Slovénie n’a communiqué des données que pour 2023. </w:t>
      </w:r>
      <w:bookmarkStart w:id="6" w:name="_Hlk234834023"/>
      <w:r>
        <w:rPr>
          <w:i/>
          <w:noProof/>
          <w:sz w:val="20"/>
        </w:rPr>
        <w:t>Chypre a instauré un salaire minimum légal en 2023.</w:t>
      </w:r>
      <w:bookmarkEnd w:id="6"/>
    </w:p>
    <w:p w14:paraId="58BC4D52" w14:textId="6BA8B4B5" w:rsidR="00EB7484" w:rsidRPr="009D2769" w:rsidRDefault="004725A3" w:rsidP="00EB7484">
      <w:pPr>
        <w:pStyle w:val="Text3"/>
        <w:spacing w:after="0" w:line="240" w:lineRule="atLeast"/>
        <w:ind w:left="0"/>
        <w:rPr>
          <w:i/>
          <w:noProof/>
          <w:sz w:val="20"/>
          <w:highlight w:val="lightGray"/>
        </w:rPr>
      </w:pPr>
      <w:r>
        <w:rPr>
          <w:i/>
          <w:noProof/>
          <w:sz w:val="20"/>
        </w:rPr>
        <w:t xml:space="preserve">Source: </w:t>
      </w:r>
      <w:r>
        <w:rPr>
          <w:i/>
          <w:noProof/>
          <w:sz w:val="20"/>
        </w:rPr>
        <w:tab/>
        <w:t>calculs de la Commission fondés sur les données communiquées par les États membres.</w:t>
      </w:r>
    </w:p>
    <w:p w14:paraId="3D2FABF0" w14:textId="06D176E7" w:rsidR="00194409" w:rsidRPr="00590FCA" w:rsidRDefault="00194409" w:rsidP="00E91DE2">
      <w:pPr>
        <w:spacing w:line="240" w:lineRule="atLeast"/>
        <w:jc w:val="both"/>
        <w:rPr>
          <w:rFonts w:ascii="Times New Roman" w:hAnsi="Times New Roman" w:cs="Times New Roman"/>
          <w:noProof/>
          <w:sz w:val="24"/>
          <w:szCs w:val="24"/>
        </w:rPr>
      </w:pPr>
      <w:r>
        <w:rPr>
          <w:rFonts w:ascii="Times New Roman" w:hAnsi="Times New Roman"/>
          <w:b/>
          <w:noProof/>
          <w:sz w:val="24"/>
        </w:rPr>
        <w:t xml:space="preserve">En 2023, les salaires minimaux légaux atteignaient ou dépassaient 60 % du salaire médian brut dans six États membres et dépassaient 50 % du salaire moyen brut dans quatre d’entre eux </w:t>
      </w:r>
      <w:r>
        <w:rPr>
          <w:rFonts w:ascii="Times New Roman" w:hAnsi="Times New Roman"/>
          <w:noProof/>
          <w:sz w:val="24"/>
        </w:rPr>
        <w:t>(graphique 3).</w:t>
      </w:r>
      <w:r>
        <w:rPr>
          <w:rFonts w:ascii="Times New Roman" w:hAnsi="Times New Roman"/>
          <w:b/>
          <w:noProof/>
          <w:sz w:val="24"/>
        </w:rPr>
        <w:t xml:space="preserve"> </w:t>
      </w:r>
      <w:r>
        <w:rPr>
          <w:rFonts w:ascii="Times New Roman" w:hAnsi="Times New Roman"/>
          <w:noProof/>
          <w:sz w:val="24"/>
        </w:rPr>
        <w:t>Les salaires minimaux légaux atteignaient 60 % du salaire médian au Portugal, en Slovénie, en France, en Pologne, en Allemagne et en Grèce. Les Pays-Bas, le Luxembourg, la Roumanie, l’Espagne, Chypre, la Hongrie et la Croatie se situaient à moins de cinq points de pourcentage de la valeur de référence indicative de 60 %, tandis que cinq États membres affichaient des valeurs comprises entre 50 % et 54 % du salaire médian (</w:t>
      </w:r>
      <w:r w:rsidRPr="00590FCA">
        <w:rPr>
          <w:rStyle w:val="FootnoteReference"/>
          <w:rFonts w:ascii="Times New Roman" w:hAnsi="Times New Roman" w:cs="Times New Roman"/>
          <w:noProof/>
          <w:sz w:val="24"/>
          <w:szCs w:val="24"/>
        </w:rPr>
        <w:footnoteReference w:id="10"/>
      </w:r>
      <w:r>
        <w:rPr>
          <w:rFonts w:ascii="Times New Roman" w:hAnsi="Times New Roman"/>
          <w:noProof/>
          <w:sz w:val="24"/>
        </w:rPr>
        <w:t>). En 2023, cet indicateur était le plus faible en Lettonie et à Malte, où il était inférieur à 50 %. Un constat similaire se dégage lorsque les niveaux des salaires minimaux sont examinés par rapport aux salaires moyens. Les salaires minimaux légaux représentaient plus de 50 % du salaire moyen en Slovénie, en France, aux Pays–Bas et en Allemagne, tandis que la Grèce, le Portugal et la Pologne se situaient à moins d’un point de pourcentage de cette valeur.</w:t>
      </w:r>
    </w:p>
    <w:p w14:paraId="2549B253" w14:textId="01FDB0D4" w:rsidR="00FA4784" w:rsidRPr="00900A5B" w:rsidRDefault="00ED238D" w:rsidP="00665C4D">
      <w:pPr>
        <w:pStyle w:val="paragraph"/>
        <w:keepNext/>
        <w:spacing w:before="0" w:beforeAutospacing="0" w:after="0" w:afterAutospacing="0"/>
        <w:textAlignment w:val="baseline"/>
        <w:rPr>
          <w:rFonts w:ascii="Segoe UI" w:hAnsi="Segoe UI" w:cs="Segoe UI"/>
          <w:noProof/>
          <w:sz w:val="18"/>
          <w:szCs w:val="18"/>
        </w:rPr>
      </w:pPr>
      <w:r>
        <w:rPr>
          <w:rStyle w:val="normaltextrun"/>
          <w:b/>
          <w:noProof/>
        </w:rPr>
        <w:t>Graphique 3: </w:t>
      </w:r>
      <w:r>
        <w:rPr>
          <w:rStyle w:val="normaltextrun"/>
          <w:noProof/>
        </w:rPr>
        <w:t>Ratio entre le salaire minimum légal et le salaire médian ainsi que le salaire moyen, 2023</w:t>
      </w:r>
    </w:p>
    <w:p w14:paraId="02BAF9A6" w14:textId="4878AF45" w:rsidR="00900A5B" w:rsidRDefault="00900A5B" w:rsidP="00FA4784">
      <w:pPr>
        <w:spacing w:after="0" w:line="240" w:lineRule="atLeast"/>
        <w:rPr>
          <w:rFonts w:ascii="Times New Roman" w:hAnsi="Times New Roman" w:cs="Times New Roman"/>
          <w:i/>
          <w:noProof/>
        </w:rPr>
      </w:pPr>
    </w:p>
    <w:p w14:paraId="2AF168C7" w14:textId="3D318751" w:rsidR="00436503" w:rsidRDefault="00E75F78" w:rsidP="00D44EA9">
      <w:pPr>
        <w:pStyle w:val="Text3"/>
        <w:spacing w:after="0" w:line="240" w:lineRule="atLeast"/>
        <w:ind w:left="0"/>
        <w:jc w:val="center"/>
        <w:rPr>
          <w:i/>
          <w:iCs/>
          <w:noProof/>
          <w:sz w:val="20"/>
        </w:rPr>
      </w:pPr>
      <w:r w:rsidRPr="00E75F78">
        <w:rPr>
          <w:i/>
          <w:iCs/>
          <w:noProof/>
          <w:sz w:val="20"/>
          <w:lang w:val="en-GB" w:eastAsia="en-GB"/>
        </w:rPr>
        <w:drawing>
          <wp:inline distT="0" distB="0" distL="0" distR="0" wp14:anchorId="3020F10A" wp14:editId="5F76F629">
            <wp:extent cx="5731510" cy="2792095"/>
            <wp:effectExtent l="0" t="0" r="2540" b="8255"/>
            <wp:docPr id="2111351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351458" name=""/>
                    <pic:cNvPicPr/>
                  </pic:nvPicPr>
                  <pic:blipFill>
                    <a:blip r:embed="rId20"/>
                    <a:stretch>
                      <a:fillRect/>
                    </a:stretch>
                  </pic:blipFill>
                  <pic:spPr>
                    <a:xfrm>
                      <a:off x="0" y="0"/>
                      <a:ext cx="5731510" cy="2792095"/>
                    </a:xfrm>
                    <a:prstGeom prst="rect">
                      <a:avLst/>
                    </a:prstGeom>
                  </pic:spPr>
                </pic:pic>
              </a:graphicData>
            </a:graphic>
          </wp:inline>
        </w:drawing>
      </w:r>
    </w:p>
    <w:p w14:paraId="6CED784D" w14:textId="2ED86700" w:rsidR="00FA4E27" w:rsidRDefault="00064DE6" w:rsidP="000C7476">
      <w:pPr>
        <w:pStyle w:val="Text3"/>
        <w:spacing w:after="360" w:line="240" w:lineRule="atLeast"/>
        <w:ind w:left="0"/>
        <w:rPr>
          <w:b/>
          <w:noProof/>
        </w:rPr>
      </w:pPr>
      <w:r>
        <w:rPr>
          <w:i/>
          <w:noProof/>
          <w:sz w:val="20"/>
        </w:rPr>
        <w:t>Source: calculs de la Commission fondés sur les données communiquées par les États membres et sur les calculs d’Eurostat concernant les salaires médians et moyens établis à partir de l’enquête sur la structure des salaires (ESS).</w:t>
      </w:r>
    </w:p>
    <w:p w14:paraId="79E1BAD4" w14:textId="760F8CC7" w:rsidR="00CC3A1D" w:rsidRPr="00D8403A" w:rsidRDefault="00F16DE8" w:rsidP="00D8403A">
      <w:pPr>
        <w:pStyle w:val="Text3"/>
        <w:spacing w:line="240" w:lineRule="atLeast"/>
        <w:ind w:left="0"/>
        <w:rPr>
          <w:noProof/>
        </w:rPr>
      </w:pPr>
      <w:r>
        <w:rPr>
          <w:b/>
          <w:noProof/>
        </w:rPr>
        <w:t>Entre 2021 et 2023, les salaires minimaux légaux ont augmenté plus rapidement que les salaires médians dans la plupart des États membres</w:t>
      </w:r>
      <w:r>
        <w:rPr>
          <w:noProof/>
        </w:rPr>
        <w:t xml:space="preserve">. L’augmentation la plus importante du ratio entre le salaire minimum légal et le salaire médian a été observée en Allemagne, où il a progressé de 8,1 points de pourcentage entre 2021 et 2023. Les Pays-Bas, la Grèce, le Portugal, l’Espagne et la Hongrie ont également enregistré des augmentations importantes de ce ratio (de 2 à 3 points de pourcentage), tandis que des hausses plus modestes ont été observées en France, en Tchéquie, en Lettonie, en Roumanie, en Lituanie, en Irlande, au Luxembourg et en Pologne (de 0,5 à 2 points de pourcentage). Les salaires minimaux n’ont augmenté moins rapidement que les salaires médians qu’en Croatie, à Malte, en Slovaquie et en Bulgarie (de – 0,2 à – 4,8 points de pourcentage). Ces évolutions donnent à penser que les salaires de la partie inférieure de l’échelle des salaires ont subi une compression, le niveau des salaires minimaux légaux se rapprochant du salaire médian dans la plupart des États membres. En outre, les répercussions sur les salaires proches du salaire minimum consécutives à une augmentation des salaires minimaux pourraient avoir encore réduit l’écart entre les bas salaires et le salaire médian.  </w:t>
      </w:r>
    </w:p>
    <w:p w14:paraId="1280857C" w14:textId="732618AE" w:rsidR="006479FB" w:rsidRDefault="006524BE" w:rsidP="003965C3">
      <w:pPr>
        <w:spacing w:line="240" w:lineRule="atLeast"/>
        <w:jc w:val="both"/>
        <w:rPr>
          <w:rFonts w:ascii="Times New Roman" w:hAnsi="Times New Roman" w:cs="Times New Roman"/>
          <w:i/>
          <w:iCs/>
          <w:noProof/>
          <w:sz w:val="24"/>
          <w:szCs w:val="24"/>
        </w:rPr>
      </w:pPr>
      <w:r>
        <w:rPr>
          <w:rFonts w:ascii="Times New Roman" w:hAnsi="Times New Roman"/>
          <w:b/>
          <w:noProof/>
          <w:sz w:val="24"/>
        </w:rPr>
        <w:t xml:space="preserve">La part des travailleurs percevant le salaire minimum légal varie fortement d’un État membre à l’autre, avec des variations annuelles limitées. </w:t>
      </w:r>
      <w:r>
        <w:rPr>
          <w:rFonts w:ascii="Times New Roman" w:hAnsi="Times New Roman"/>
          <w:noProof/>
          <w:sz w:val="24"/>
        </w:rPr>
        <w:t>Les États membres ont indiqué des parts comprises entre 1 % et 25 %, mais la comparabilité de ces parts entre les pays est très limitée en raison des différences entre les sources de données et les méthodologies (</w:t>
      </w:r>
      <w:r w:rsidR="006F5097">
        <w:rPr>
          <w:rStyle w:val="FootnoteReference"/>
          <w:rFonts w:ascii="Times New Roman" w:hAnsi="Times New Roman" w:cs="Times New Roman"/>
          <w:noProof/>
          <w:sz w:val="24"/>
          <w:szCs w:val="24"/>
        </w:rPr>
        <w:footnoteReference w:id="11"/>
      </w:r>
      <w:r>
        <w:rPr>
          <w:rFonts w:ascii="Times New Roman" w:hAnsi="Times New Roman"/>
          <w:noProof/>
          <w:sz w:val="24"/>
        </w:rPr>
        <w:t xml:space="preserve">). La part des travailleurs percevant le salaire minimum tendait à être plus élevée parmi les jeunes travailleurs, les travailleurs employés dans de petites entreprises et ceux des secteurs de la construction, de l’hôtellerie et de la restauration, ainsi que des services administratifs et de soutien. Dans la plupart des États membres ayant communiqué une ventilation comparable, la part des bénéficiaires du salaire minimum était plus élevée chez les femmes. Entre 2021 et 2023, ces parts sont restées globalement stables, les variations étant inférieures à un point de pourcentage en Hongrie, en Tchéquie, en Lettonie, en Lituanie, aux Pays-Bas, au Luxembourg, à Malte et en Irlande. Cette part a diminué d’un à deux points de pourcentage en Pologne et en Slovaquie, et de près de trois points de pourcentage en Bulgarie, en Croatie et au Portugal. À l’inverse, elle a augmenté d’un peu plus d’un point de pourcentage en Espagne, et de quatre à six points de pourcentage en Allemagne, en France et en Roumanie. Les augmentations les plus importantes de la part des bénéficiaires du salaire minimum donnent à penser que les salaires de la partie inférieure de l’échelle des salaires ont subi une compression. </w:t>
      </w:r>
    </w:p>
    <w:p w14:paraId="0BC8FD92" w14:textId="4C511102" w:rsidR="00D849AC" w:rsidRDefault="794E76CE" w:rsidP="00096505">
      <w:pPr>
        <w:spacing w:line="240" w:lineRule="atLeast"/>
        <w:jc w:val="both"/>
        <w:rPr>
          <w:rFonts w:ascii="Times New Roman" w:hAnsi="Times New Roman" w:cs="Times New Roman"/>
          <w:noProof/>
          <w:sz w:val="24"/>
          <w:szCs w:val="24"/>
        </w:rPr>
      </w:pPr>
      <w:r>
        <w:rPr>
          <w:rFonts w:ascii="Times New Roman" w:hAnsi="Times New Roman"/>
          <w:b/>
          <w:noProof/>
          <w:sz w:val="24"/>
        </w:rPr>
        <w:t>Certains États membres autorisent les employeurs à verser des salaires inférieurs au salaire minimum légal à certaines catégories de travailleurs.</w:t>
      </w:r>
      <w:r>
        <w:rPr>
          <w:rFonts w:ascii="Times New Roman" w:hAnsi="Times New Roman"/>
          <w:noProof/>
          <w:sz w:val="24"/>
        </w:rPr>
        <w:t xml:space="preserve"> Les variations applicables aux jeunes travailleurs (Allemagne, Chypre, France, Irlande, Luxembourg, Malte, Pays-Bas), aux travailleurs récemment recrutés (Allemagne, Chypre) ou aux travailleurs handicapés (Pays-Bas, Portugal) visent à faciliter l’intégration de ces travailleurs sur le marché du travail. Les variations applicables aux étudiants, aux apprentis et aux stagiaires (France, Pays-Bas, Portugal) visent en outre à encourager les employeurs à dispenser une formation professionnelle.</w:t>
      </w:r>
    </w:p>
    <w:p w14:paraId="4A3F2B4B" w14:textId="07064022" w:rsidR="008C0D1B" w:rsidRPr="008C0D1B" w:rsidRDefault="001A5DE6" w:rsidP="00096505">
      <w:pPr>
        <w:spacing w:line="240" w:lineRule="atLeast"/>
        <w:jc w:val="both"/>
        <w:rPr>
          <w:rFonts w:ascii="Times New Roman" w:hAnsi="Times New Roman" w:cs="Times New Roman"/>
          <w:noProof/>
          <w:sz w:val="24"/>
          <w:szCs w:val="24"/>
        </w:rPr>
      </w:pPr>
      <w:r>
        <w:rPr>
          <w:rFonts w:ascii="Times New Roman" w:hAnsi="Times New Roman"/>
          <w:b/>
          <w:noProof/>
          <w:sz w:val="24"/>
        </w:rPr>
        <w:t xml:space="preserve">En outre, plusieurs États membres appliquent des variations du salaire minimum légal aux travailleurs de certaines régions, de certains secteurs ou de certaines professions. </w:t>
      </w:r>
      <w:r>
        <w:rPr>
          <w:rFonts w:ascii="Times New Roman" w:hAnsi="Times New Roman"/>
          <w:noProof/>
          <w:sz w:val="24"/>
        </w:rPr>
        <w:t xml:space="preserve">Ces variations sont généralement justifiées par la situation économique de la région (comme à Mayotte, un département français d’outre-mer) ou par les caractéristiques propres au secteur ou à la profession concernés. À Chypre, les travailleurs du secteur hôtelier sont soumis à des salaires minimaux propres au secteur et à la profession, fondés sur un accord conclu avec les partenaires sociaux. En France, les variations applicables aux assistants maternels et aux aides à domicile visent à concilier les intérêts des travailleurs exerçant ces professions avec ceux de leurs employeurs, notamment la nécessité de maintenir ces services d’aide à un coût abordable. En Hongrie, les salaires minimaux plus faibles applicables aux travailleurs employés dans le cadre de travaux publics et, en Lettonie, ceux applicables aux détenus, visent respectivement à encourager les travailleurs à rechercher un emploi dans le secteur privé et à favoriser leur réinsertion. À l’inverse, Malte et la Roumanie ont instauré des variations exigeant que les salariés soient rémunérés au-delà du salaire minimum légal dans les secteurs touchés par la volatilité économique ou dans lesquels les travailleurs disposent d’un pouvoir de négociation plus limité. </w:t>
      </w:r>
    </w:p>
    <w:p w14:paraId="758C59C3" w14:textId="3470E5EE" w:rsidR="00594041" w:rsidRDefault="000F7C44" w:rsidP="001813DD">
      <w:pPr>
        <w:spacing w:line="240" w:lineRule="atLeast"/>
        <w:jc w:val="both"/>
        <w:rPr>
          <w:rFonts w:ascii="Times New Roman" w:hAnsi="Times New Roman" w:cs="Times New Roman"/>
          <w:i/>
          <w:noProof/>
          <w:sz w:val="24"/>
          <w:szCs w:val="24"/>
        </w:rPr>
      </w:pPr>
      <w:r>
        <w:rPr>
          <w:rFonts w:ascii="Times New Roman" w:hAnsi="Times New Roman"/>
          <w:b/>
          <w:noProof/>
          <w:sz w:val="24"/>
        </w:rPr>
        <w:t xml:space="preserve">Plusieurs États membres autorisent les employeurs à appliquer des retenues, qui peuvent ramener la rémunération versée à un salarié à un niveau inférieur au salaire minimum légal. </w:t>
      </w:r>
      <w:r>
        <w:rPr>
          <w:rFonts w:ascii="Times New Roman" w:hAnsi="Times New Roman"/>
          <w:noProof/>
          <w:sz w:val="24"/>
        </w:rPr>
        <w:t>Ces retenues peuvent être liées au logement fourni par l’employeur (Chypre, Irlande, Pays-Bas), à la nourriture (Chypre, Irlande), à l’assurance maladie (Pays-Bas), à des amendes pour absences injustifiées et violations des règles de santé et de sécurité (Pologne), à une indemnisation du préjudice causé à l’employeur (Lituanie, Pologne), ainsi qu’aux versements d’aliments pour les enfants et à d’autres retenues ordonnées par une autorité administrative ou judiciaire (Croatie, France, Lituanie, Pologne, Tchéquie). Dans de nombreux cas, le montant des retenues est plafonné à un pourcentage déterminé du salaire du travailleur (généralement compris entre 5 % et 30 %). D’autres retenues ne peuvent être appliquées qu’à condition qu’un niveau minimal de revenu soit garanti au bénéficiaire.</w:t>
      </w:r>
    </w:p>
    <w:p w14:paraId="29DDCF55" w14:textId="77777777" w:rsidR="00795E32" w:rsidRDefault="00795E32">
      <w:pPr>
        <w:rPr>
          <w:rFonts w:ascii="Times New Roman" w:eastAsia="Times New Roman" w:hAnsi="Times New Roman" w:cs="Times New Roman"/>
          <w:i/>
          <w:noProof/>
          <w:kern w:val="0"/>
          <w:sz w:val="24"/>
          <w:szCs w:val="24"/>
          <w14:ligatures w14:val="none"/>
        </w:rPr>
      </w:pPr>
      <w:r>
        <w:rPr>
          <w:noProof/>
        </w:rPr>
        <w:br w:type="page"/>
      </w:r>
    </w:p>
    <w:p w14:paraId="5D2C06C0" w14:textId="62908B3B" w:rsidR="007E503C" w:rsidRPr="006D23FE" w:rsidRDefault="00BD03EF" w:rsidP="003965C3">
      <w:pPr>
        <w:pStyle w:val="Text1"/>
        <w:spacing w:line="240" w:lineRule="atLeast"/>
        <w:ind w:left="0"/>
        <w:rPr>
          <w:i/>
          <w:noProof/>
          <w:szCs w:val="24"/>
        </w:rPr>
      </w:pPr>
      <w:r>
        <w:rPr>
          <w:i/>
          <w:noProof/>
        </w:rPr>
        <w:t xml:space="preserve">Protection offerte par des salaires minimaux prévus exclusivement dans des conventions collectives  </w:t>
      </w:r>
    </w:p>
    <w:p w14:paraId="5A9B399A" w14:textId="14EADE9E" w:rsidR="00054463" w:rsidRDefault="00A479B7" w:rsidP="00861815">
      <w:pPr>
        <w:spacing w:line="240" w:lineRule="atLeast"/>
        <w:jc w:val="both"/>
        <w:rPr>
          <w:rFonts w:ascii="Times New Roman" w:hAnsi="Times New Roman" w:cs="Times New Roman"/>
          <w:noProof/>
          <w:sz w:val="24"/>
          <w:szCs w:val="24"/>
        </w:rPr>
      </w:pPr>
      <w:bookmarkStart w:id="7" w:name="_Hlk234836503"/>
      <w:r>
        <w:rPr>
          <w:rFonts w:ascii="Times New Roman" w:hAnsi="Times New Roman"/>
          <w:b/>
          <w:noProof/>
          <w:sz w:val="24"/>
        </w:rPr>
        <w:t>Les niveaux de salaires les plus bas prévus par les conventions collectives couvrant les travailleurs à bas salaire</w:t>
      </w:r>
      <w:r>
        <w:rPr>
          <w:rFonts w:ascii="Times New Roman" w:hAnsi="Times New Roman"/>
          <w:noProof/>
          <w:sz w:val="24"/>
        </w:rPr>
        <w:t> </w:t>
      </w:r>
      <w:bookmarkStart w:id="8" w:name="_Hlk230768577"/>
      <w:r>
        <w:rPr>
          <w:rFonts w:ascii="Times New Roman" w:hAnsi="Times New Roman"/>
          <w:noProof/>
          <w:sz w:val="24"/>
        </w:rPr>
        <w:t>(</w:t>
      </w:r>
      <w:r w:rsidR="000633CF" w:rsidRPr="00ED696A">
        <w:rPr>
          <w:rStyle w:val="FootnoteReference"/>
          <w:rFonts w:ascii="Times New Roman" w:hAnsi="Times New Roman" w:cs="Times New Roman"/>
          <w:noProof/>
          <w:sz w:val="24"/>
          <w:szCs w:val="24"/>
        </w:rPr>
        <w:footnoteReference w:id="12"/>
      </w:r>
      <w:r>
        <w:rPr>
          <w:rFonts w:ascii="Times New Roman" w:hAnsi="Times New Roman"/>
          <w:noProof/>
          <w:sz w:val="24"/>
        </w:rPr>
        <w:t>)</w:t>
      </w:r>
      <w:bookmarkEnd w:id="8"/>
      <w:r>
        <w:rPr>
          <w:rFonts w:ascii="Times New Roman" w:hAnsi="Times New Roman"/>
          <w:b/>
          <w:noProof/>
          <w:sz w:val="24"/>
        </w:rPr>
        <w:t xml:space="preserve"> varient considérablement d’un État membre concerné à l’autre</w:t>
      </w:r>
      <w:bookmarkEnd w:id="7"/>
      <w:r>
        <w:rPr>
          <w:rFonts w:ascii="Times New Roman" w:hAnsi="Times New Roman"/>
          <w:noProof/>
          <w:sz w:val="24"/>
        </w:rPr>
        <w:t xml:space="preserve"> (graphique 4). En 2023, le Danemark a déclaré le taux le plus élevé (2 807 EUR par mois), suivi par la Belgique (1 955 EUR). Des niveaux de salaires compris entre 1 600 EUR et 1 800 EUR ont été déclarés par la Suède (1 762 EUR), l’Autriche (1 750 EUR), l’Italie (1 659 EUR) (</w:t>
      </w:r>
      <w:r w:rsidR="00686EEB" w:rsidRPr="00C54C53">
        <w:rPr>
          <w:rStyle w:val="FootnoteReference"/>
          <w:rFonts w:ascii="Times New Roman" w:hAnsi="Times New Roman" w:cs="Times New Roman"/>
          <w:noProof/>
          <w:sz w:val="24"/>
          <w:szCs w:val="24"/>
        </w:rPr>
        <w:footnoteReference w:id="13"/>
      </w:r>
      <w:r>
        <w:rPr>
          <w:rFonts w:ascii="Times New Roman" w:hAnsi="Times New Roman"/>
          <w:noProof/>
          <w:sz w:val="24"/>
        </w:rPr>
        <w:t>) et la Finlande (1 642 EUR), tandis que l’Estonie a déclaré le niveau de salaire le plus faible (725 EUR) (</w:t>
      </w:r>
      <w:r w:rsidR="00A73A4C">
        <w:rPr>
          <w:rStyle w:val="FootnoteReference"/>
          <w:rFonts w:ascii="Times New Roman" w:hAnsi="Times New Roman" w:cs="Times New Roman"/>
          <w:noProof/>
          <w:sz w:val="24"/>
          <w:szCs w:val="24"/>
        </w:rPr>
        <w:footnoteReference w:id="14"/>
      </w:r>
      <w:r>
        <w:rPr>
          <w:rFonts w:ascii="Times New Roman" w:hAnsi="Times New Roman"/>
          <w:noProof/>
          <w:sz w:val="24"/>
        </w:rPr>
        <w:t>).</w:t>
      </w:r>
      <w:r>
        <w:rPr>
          <w:noProof/>
        </w:rPr>
        <w:t xml:space="preserve"> </w:t>
      </w:r>
      <w:bookmarkStart w:id="10" w:name="_Hlk234837163"/>
      <w:r>
        <w:rPr>
          <w:rFonts w:ascii="Times New Roman" w:hAnsi="Times New Roman"/>
          <w:noProof/>
          <w:sz w:val="24"/>
        </w:rPr>
        <w:t>Dans ces États membres, les travailleurs qui n’étaient pas couverts par une convention collective percevaient généralement une rémunération inférieure à celle des travailleurs qui en relevaient.</w:t>
      </w:r>
      <w:bookmarkEnd w:id="10"/>
    </w:p>
    <w:p w14:paraId="7E18EDDC" w14:textId="7EB021AB" w:rsidR="00370879" w:rsidRPr="007B0877" w:rsidRDefault="00370879" w:rsidP="000C7476">
      <w:pPr>
        <w:keepNext/>
        <w:spacing w:after="120" w:line="240" w:lineRule="atLeast"/>
        <w:rPr>
          <w:noProof/>
          <w:sz w:val="24"/>
          <w:szCs w:val="24"/>
        </w:rPr>
      </w:pPr>
      <w:r>
        <w:rPr>
          <w:rFonts w:ascii="Times New Roman" w:hAnsi="Times New Roman"/>
          <w:b/>
          <w:noProof/>
          <w:sz w:val="24"/>
        </w:rPr>
        <w:t>Graphique 4</w:t>
      </w:r>
      <w:r>
        <w:rPr>
          <w:rFonts w:ascii="Times New Roman" w:hAnsi="Times New Roman"/>
          <w:noProof/>
          <w:sz w:val="24"/>
        </w:rPr>
        <w:t>: Niveaux de salaires mensuels les plus bas prévus dans les conventions collectives (en EUR)</w:t>
      </w:r>
    </w:p>
    <w:p w14:paraId="3A65C1BE" w14:textId="18E7DB0B" w:rsidR="00644D5F" w:rsidRDefault="00E64757" w:rsidP="000C7476">
      <w:pPr>
        <w:pStyle w:val="Text2"/>
        <w:spacing w:after="0" w:line="240" w:lineRule="atLeast"/>
        <w:ind w:left="0"/>
        <w:jc w:val="center"/>
        <w:rPr>
          <w:rFonts w:eastAsiaTheme="minorEastAsia"/>
          <w:i/>
          <w:noProof/>
          <w:sz w:val="20"/>
        </w:rPr>
      </w:pPr>
      <w:r>
        <w:rPr>
          <w:i/>
          <w:noProof/>
          <w:sz w:val="20"/>
          <w:lang w:val="en-GB" w:eastAsia="en-GB"/>
        </w:rPr>
        <w:drawing>
          <wp:inline distT="0" distB="0" distL="0" distR="0" wp14:anchorId="14F134CF" wp14:editId="1D52B0B1">
            <wp:extent cx="5708015" cy="1685925"/>
            <wp:effectExtent l="0" t="0" r="6985" b="9525"/>
            <wp:docPr id="13377991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9560" cy="1689335"/>
                    </a:xfrm>
                    <a:prstGeom prst="rect">
                      <a:avLst/>
                    </a:prstGeom>
                    <a:noFill/>
                  </pic:spPr>
                </pic:pic>
              </a:graphicData>
            </a:graphic>
          </wp:inline>
        </w:drawing>
      </w:r>
    </w:p>
    <w:p w14:paraId="1D69FB66" w14:textId="424D0D83" w:rsidR="00370879" w:rsidRPr="008D798D" w:rsidRDefault="00370879" w:rsidP="000C7476">
      <w:pPr>
        <w:pStyle w:val="Text2"/>
        <w:spacing w:after="0" w:line="240" w:lineRule="atLeast"/>
        <w:ind w:left="720" w:hanging="720"/>
        <w:rPr>
          <w:rFonts w:eastAsiaTheme="minorEastAsia"/>
          <w:i/>
          <w:noProof/>
          <w:sz w:val="20"/>
        </w:rPr>
      </w:pPr>
      <w:r>
        <w:rPr>
          <w:i/>
          <w:noProof/>
          <w:sz w:val="20"/>
        </w:rPr>
        <w:t>Note:</w:t>
      </w:r>
      <w:r>
        <w:rPr>
          <w:i/>
          <w:noProof/>
          <w:sz w:val="20"/>
        </w:rPr>
        <w:tab/>
        <w:t>en Suède, la baisse des niveaux de salaires nominaux les plus bas exprimés en euros est due aux variations du taux de change. Le montant nominal exprimé dans la monnaie nationale a augmenté au cours de la période. L’Italie n’a communiqué des données que pour 2023.</w:t>
      </w:r>
    </w:p>
    <w:p w14:paraId="32275B0F" w14:textId="2C4CB889" w:rsidR="00B91C9D" w:rsidRPr="00B91C9D" w:rsidRDefault="00370879" w:rsidP="00370879">
      <w:pPr>
        <w:pStyle w:val="Text2"/>
        <w:spacing w:line="240" w:lineRule="atLeast"/>
        <w:ind w:left="0"/>
        <w:rPr>
          <w:noProof/>
          <w:szCs w:val="24"/>
        </w:rPr>
      </w:pPr>
      <w:r>
        <w:rPr>
          <w:i/>
          <w:noProof/>
          <w:sz w:val="20"/>
        </w:rPr>
        <w:t xml:space="preserve">Source: </w:t>
      </w:r>
      <w:r>
        <w:rPr>
          <w:noProof/>
        </w:rPr>
        <w:tab/>
      </w:r>
      <w:r>
        <w:rPr>
          <w:i/>
          <w:noProof/>
          <w:sz w:val="20"/>
        </w:rPr>
        <w:t>données communiquées par les États membres, converties en EUR et en niveaux de rémunération mensuels.</w:t>
      </w:r>
    </w:p>
    <w:p w14:paraId="3464253D" w14:textId="6AF88241" w:rsidR="00C1551E" w:rsidRPr="003965C3" w:rsidRDefault="00B660AE" w:rsidP="007B0877">
      <w:pPr>
        <w:pStyle w:val="Text3"/>
        <w:spacing w:line="240" w:lineRule="atLeast"/>
        <w:ind w:left="0"/>
        <w:rPr>
          <w:noProof/>
          <w:color w:val="FF0000"/>
        </w:rPr>
      </w:pPr>
      <w:r>
        <w:rPr>
          <w:b/>
          <w:noProof/>
        </w:rPr>
        <w:t>Les disparités entre les niveaux de salaires les plus bas prévus dans les conventions collectives dans les différents États membres sont plus faibles une fois prises en compte les différences de niveaux de prix</w:t>
      </w:r>
      <w:r>
        <w:rPr>
          <w:noProof/>
        </w:rPr>
        <w:t>. En 2023, les niveaux de salaires nominaux les plus bas étaient près de quatre fois plus élevés au Danemark qu’en Estonie. Exprimé en standards de pouvoir d’achat afin de tenir compte du fait que les États membres où les niveaux de salaires sont plus élevés présentent généralement aussi un niveau de prix plus élevé, cet écart est ramené à moins de trois. Exprimés en standards de pouvoir d’achat, les niveaux de salaires les plus bas prévus dans les conventions collectives étaient les plus élevés, en 2023, au Danemark, suivi de l’Italie, de la Belgique, de l’Autriche, de la Suède et de la Finlande. Les niveaux de salaires les plus bas au regard du pouvoir d’achat ont été enregistrés en Estonie, avec une marge importante par rapport aux autres États membres.</w:t>
      </w:r>
    </w:p>
    <w:p w14:paraId="6F0E90D7" w14:textId="27C0994A" w:rsidR="000A72AE" w:rsidRPr="00CC2650" w:rsidRDefault="00FF2000" w:rsidP="00B20918">
      <w:pPr>
        <w:pStyle w:val="Text2"/>
        <w:spacing w:line="240" w:lineRule="atLeast"/>
        <w:ind w:left="0"/>
        <w:rPr>
          <w:noProof/>
        </w:rPr>
      </w:pPr>
      <w:bookmarkStart w:id="11" w:name="_Hlk234836587"/>
      <w:r>
        <w:rPr>
          <w:b/>
          <w:noProof/>
        </w:rPr>
        <w:t xml:space="preserve">Dans la plupart des États membres qui s’appuient exclusivement sur les négociations collectives, les augmentations des niveaux de salaires les plus bas prévus dans les conventions collectives sont restées inférieures à l’inflation au cours de la période de référence </w:t>
      </w:r>
      <w:bookmarkEnd w:id="11"/>
      <w:r>
        <w:rPr>
          <w:noProof/>
        </w:rPr>
        <w:t xml:space="preserve">(graphique 5). Entre 2021 et 2023, le pouvoir d’achat des travailleurs percevant les salaires les plus bas a diminué de 5 % à 10 % dans tous les pays, à l’exception de l’Autriche et de la Belgique. La perte la plus importante a été enregistrée en Suède (-10 %). Des pertes plus limitées, mais néanmoins importantes, ont été enregistrées en Finlande (-7 %), au Danemark (-6 %) et en Estonie (-5 %). En Autriche, les niveaux de salaires les plus bas sont restés relativement stables en termes réels (0,2 %), tandis qu’en Belgique, ils ont augmenté de 3 %. </w:t>
      </w:r>
    </w:p>
    <w:p w14:paraId="4780297F" w14:textId="6F6C55EA" w:rsidR="000C4E19" w:rsidRPr="00ED5091" w:rsidRDefault="000C4E19" w:rsidP="008B2111">
      <w:pPr>
        <w:pStyle w:val="Text2"/>
        <w:keepNext/>
        <w:spacing w:after="120" w:line="240" w:lineRule="atLeast"/>
        <w:ind w:left="0"/>
        <w:jc w:val="left"/>
        <w:rPr>
          <w:noProof/>
        </w:rPr>
      </w:pPr>
      <w:r>
        <w:rPr>
          <w:b/>
          <w:noProof/>
        </w:rPr>
        <w:t>Graphique 5:</w:t>
      </w:r>
      <w:r>
        <w:rPr>
          <w:noProof/>
        </w:rPr>
        <w:t xml:space="preserve"> Croissance réelle des niveaux de salaires les plus bas, 2021-2023</w:t>
      </w:r>
    </w:p>
    <w:p w14:paraId="0B5D168C" w14:textId="78001D8B" w:rsidR="000C4E19" w:rsidRDefault="00D23070" w:rsidP="000C7476">
      <w:pPr>
        <w:pStyle w:val="Text2"/>
        <w:spacing w:after="0" w:line="240" w:lineRule="atLeast"/>
        <w:ind w:left="0"/>
        <w:jc w:val="center"/>
        <w:rPr>
          <w:noProof/>
        </w:rPr>
      </w:pPr>
      <w:r>
        <w:rPr>
          <w:noProof/>
          <w:lang w:val="en-GB" w:eastAsia="en-GB"/>
        </w:rPr>
        <w:drawing>
          <wp:inline distT="0" distB="0" distL="0" distR="0" wp14:anchorId="30B059E0" wp14:editId="2D751A1D">
            <wp:extent cx="5112588" cy="2204162"/>
            <wp:effectExtent l="0" t="0" r="0" b="5715"/>
            <wp:docPr id="13379882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50682" cy="2220585"/>
                    </a:xfrm>
                    <a:prstGeom prst="rect">
                      <a:avLst/>
                    </a:prstGeom>
                    <a:noFill/>
                  </pic:spPr>
                </pic:pic>
              </a:graphicData>
            </a:graphic>
          </wp:inline>
        </w:drawing>
      </w:r>
    </w:p>
    <w:p w14:paraId="08DBC477" w14:textId="3F517DD4" w:rsidR="000C4E19" w:rsidRDefault="000C4E19" w:rsidP="000C4E19">
      <w:pPr>
        <w:pStyle w:val="Text2"/>
        <w:spacing w:after="0" w:line="240" w:lineRule="atLeast"/>
        <w:ind w:left="0"/>
        <w:rPr>
          <w:i/>
          <w:iCs/>
          <w:noProof/>
          <w:sz w:val="20"/>
        </w:rPr>
      </w:pPr>
      <w:r>
        <w:rPr>
          <w:i/>
          <w:noProof/>
          <w:sz w:val="20"/>
        </w:rPr>
        <w:t xml:space="preserve">Note: </w:t>
      </w:r>
      <w:r>
        <w:rPr>
          <w:i/>
          <w:noProof/>
          <w:sz w:val="20"/>
        </w:rPr>
        <w:tab/>
        <w:t>les taux de croissance n’étaient pas disponibles pour l’Italie, qui n’a communiqué des données que pour 2023.</w:t>
      </w:r>
    </w:p>
    <w:p w14:paraId="720CACF8" w14:textId="77777777" w:rsidR="000C4E19" w:rsidRDefault="000C4E19" w:rsidP="000C4E19">
      <w:pPr>
        <w:pStyle w:val="Text2"/>
        <w:spacing w:line="240" w:lineRule="atLeast"/>
        <w:ind w:left="0"/>
        <w:rPr>
          <w:i/>
          <w:noProof/>
          <w:sz w:val="20"/>
        </w:rPr>
      </w:pPr>
      <w:r>
        <w:rPr>
          <w:i/>
          <w:noProof/>
          <w:sz w:val="20"/>
        </w:rPr>
        <w:t xml:space="preserve">Source: </w:t>
      </w:r>
      <w:r>
        <w:rPr>
          <w:i/>
          <w:noProof/>
          <w:sz w:val="20"/>
        </w:rPr>
        <w:tab/>
        <w:t>données communiquées par les États membres.</w:t>
      </w:r>
    </w:p>
    <w:p w14:paraId="12FFD667" w14:textId="54BE1B8A" w:rsidR="0073036D" w:rsidRPr="00ED5091" w:rsidRDefault="00D012BE" w:rsidP="0073036D">
      <w:pPr>
        <w:pStyle w:val="Text2"/>
        <w:spacing w:line="240" w:lineRule="atLeast"/>
        <w:ind w:left="0"/>
        <w:rPr>
          <w:noProof/>
        </w:rPr>
      </w:pPr>
      <w:r>
        <w:rPr>
          <w:b/>
          <w:noProof/>
        </w:rPr>
        <w:t xml:space="preserve">L’ampleur des pertes de pouvoir d’achat subies par les travailleurs percevant le salaire minimum reflète la capacité des systèmes de protection offerte par des salaires minimaux à s’adapter en temps utile à une forte inflation. </w:t>
      </w:r>
      <w:r>
        <w:rPr>
          <w:noProof/>
        </w:rPr>
        <w:t xml:space="preserve">Dans plusieurs pays où la protection offerte par des salaires minimaux repose exclusivement sur les conventions collectives, les travailleurs percevant les salaires les plus bas ont subi des pertes de salaire réelles entre 2021 et 2023, tandis que la situation est plus contrastée dans les États membres disposant de salaires minimaux légaux. Lorsque la fixation des salaires minimaux suppose le recours aux négociations collectives, </w:t>
      </w:r>
      <w:bookmarkStart w:id="12" w:name="_Hlk234836658"/>
      <w:r>
        <w:rPr>
          <w:noProof/>
        </w:rPr>
        <w:t>les ajustements à des circonstances imprévues, telles qu’une brusque poussée de l’inflation, peuvent prendre davantage de temps (</w:t>
      </w:r>
      <w:r w:rsidR="0073036D">
        <w:rPr>
          <w:rStyle w:val="FootnoteReference"/>
          <w:noProof/>
          <w:lang w:val="en-IE"/>
        </w:rPr>
        <w:footnoteReference w:id="15"/>
      </w:r>
      <w:r>
        <w:rPr>
          <w:noProof/>
        </w:rPr>
        <w:t xml:space="preserve">). </w:t>
      </w:r>
      <w:bookmarkEnd w:id="12"/>
      <w:r>
        <w:rPr>
          <w:noProof/>
        </w:rPr>
        <w:t xml:space="preserve">En outre, la manière dont les anticipations d’inflation sont prises en compte dans le processus de fixation des salaires diffère selon les États membres. </w:t>
      </w:r>
      <w:bookmarkStart w:id="13" w:name="_Hlk234836678"/>
      <w:r>
        <w:rPr>
          <w:noProof/>
        </w:rPr>
        <w:t>Toutefois, les conséquences économiques et sociales ont été atténuées par le fait que les niveaux de salaires les plus bas dans les États membres où la protection offerte par des salaires minimaux repose sur les conventions collectives étaient en général relativement élevés par rapport aux salaires minimaux légaux dans les autres pays de l’Union.</w:t>
      </w:r>
    </w:p>
    <w:bookmarkEnd w:id="13"/>
    <w:p w14:paraId="0146AD50" w14:textId="4C240D5C" w:rsidR="00A621C6" w:rsidRPr="00F15C4D" w:rsidRDefault="009B3AB1" w:rsidP="0097324B">
      <w:pPr>
        <w:rPr>
          <w:rFonts w:ascii="Times New Roman" w:hAnsi="Times New Roman" w:cs="Times New Roman"/>
          <w:i/>
          <w:noProof/>
          <w:sz w:val="24"/>
          <w:szCs w:val="24"/>
        </w:rPr>
      </w:pPr>
      <w:r>
        <w:rPr>
          <w:rFonts w:ascii="Times New Roman" w:hAnsi="Times New Roman"/>
          <w:i/>
          <w:noProof/>
          <w:sz w:val="24"/>
        </w:rPr>
        <w:t>Taux de couverture des négociations collectives</w:t>
      </w:r>
      <w:r>
        <w:rPr>
          <w:b/>
          <w:noProof/>
        </w:rPr>
        <w:t xml:space="preserve"> </w:t>
      </w:r>
    </w:p>
    <w:p w14:paraId="1033B013" w14:textId="4796781E" w:rsidR="008B4060" w:rsidRDefault="007B3CE5" w:rsidP="008B4060">
      <w:pPr>
        <w:pStyle w:val="Text1"/>
        <w:spacing w:line="240" w:lineRule="atLeast"/>
        <w:ind w:left="0"/>
        <w:rPr>
          <w:noProof/>
        </w:rPr>
      </w:pPr>
      <w:r>
        <w:rPr>
          <w:b/>
          <w:noProof/>
        </w:rPr>
        <w:t xml:space="preserve">Les taux de couverture des négociations collectives varient fortement d’un État membre à l’autre, les conventions collectives couvrant l’ensemble des travailleurs dans certains États membres et moins d’un cinquième d’entre eux dans d’autres </w:t>
      </w:r>
      <w:r>
        <w:rPr>
          <w:noProof/>
        </w:rPr>
        <w:t>(graphique 6).  En 2023, la Belgique et l’Italie affichaient un taux de couverture des négociations collectives de 100 %, tandis que six autres États membres présentaient un taux supérieur au seuil de 80 %, à savoir l’Autriche (94,9 %), l’Espagne (91,8 %), la Finlande (88,8 %), la Suède (88 %), le Portugal (83,3 %) et le Danemark (81 %). En dessous de ce seuil, plus de la moitié de l’ensemble des travailleurs étaient couverts par des conventions collectives aux Pays-Bas (72,6 %), en Slovénie (65,3 %) et au Luxembourg (57,3 %). Entre un cinquième et la moitié des travailleurs étaient couverts en Allemagne (49,5 %), en Tchéquie (42,4 %), en Lettonie (31,6 %), à Malte (31 %), en Roumanie (28,0 %), en Slovaquie (27 %) et à Chypre (24,9 %). Enfin, les taux de couverture des négociations collectives les plus faibles, inférieurs à 20 %, ont été déclarés par l’Estonie (19,1 %), la Bulgarie (16,2 %), la Hongrie (14,8 %) et la Pologne (11,6 %) (</w:t>
      </w:r>
      <w:r w:rsidRPr="63D47C9C">
        <w:rPr>
          <w:rStyle w:val="FootnoteReference"/>
          <w:noProof/>
          <w:lang w:val="en-US"/>
        </w:rPr>
        <w:footnoteReference w:id="16"/>
      </w:r>
      <w:r>
        <w:rPr>
          <w:noProof/>
        </w:rPr>
        <w:t>). Entre 2021 et 2023, les taux de couverture des négociations collectives ont relativement peu évolué, sauf à Chypre, à Malte et en Roumanie (</w:t>
      </w:r>
      <w:r w:rsidRPr="63D47C9C">
        <w:rPr>
          <w:rStyle w:val="FootnoteReference"/>
          <w:noProof/>
          <w:lang w:val="en-US"/>
        </w:rPr>
        <w:footnoteReference w:id="17"/>
      </w:r>
      <w:r>
        <w:rPr>
          <w:noProof/>
        </w:rPr>
        <w:t>).</w:t>
      </w:r>
      <w:r>
        <w:rPr>
          <w:b/>
          <w:noProof/>
        </w:rPr>
        <w:t xml:space="preserve"> </w:t>
      </w:r>
    </w:p>
    <w:p w14:paraId="47B691EC" w14:textId="728AE56C" w:rsidR="00F17AF4" w:rsidRPr="00773549" w:rsidRDefault="00F17AF4" w:rsidP="00F17AF4">
      <w:pPr>
        <w:spacing w:after="0" w:line="240" w:lineRule="atLeast"/>
        <w:jc w:val="center"/>
        <w:rPr>
          <w:rFonts w:ascii="Times New Roman" w:hAnsi="Times New Roman" w:cs="Times New Roman"/>
          <w:noProof/>
          <w:sz w:val="24"/>
          <w:szCs w:val="24"/>
        </w:rPr>
      </w:pPr>
      <w:r>
        <w:rPr>
          <w:rFonts w:ascii="Times New Roman" w:hAnsi="Times New Roman"/>
          <w:b/>
          <w:noProof/>
          <w:sz w:val="24"/>
        </w:rPr>
        <w:t>Graphique 6</w:t>
      </w:r>
      <w:r>
        <w:rPr>
          <w:rFonts w:ascii="Times New Roman" w:hAnsi="Times New Roman"/>
          <w:noProof/>
          <w:sz w:val="24"/>
        </w:rPr>
        <w:t>: Taux de couverture des négociations collectives dans l’Union européenne, 2021-2023</w:t>
      </w:r>
    </w:p>
    <w:p w14:paraId="4208F0B6" w14:textId="06E41746" w:rsidR="00F17AF4" w:rsidRPr="00C87A43" w:rsidRDefault="00C62B12" w:rsidP="00F17AF4">
      <w:pPr>
        <w:pStyle w:val="Text2"/>
        <w:spacing w:after="0" w:line="240" w:lineRule="atLeast"/>
        <w:ind w:left="0"/>
        <w:rPr>
          <w:noProof/>
        </w:rPr>
      </w:pPr>
      <w:r>
        <w:rPr>
          <w:noProof/>
          <w:lang w:val="en-GB" w:eastAsia="en-GB"/>
        </w:rPr>
        <w:drawing>
          <wp:inline distT="0" distB="0" distL="0" distR="0" wp14:anchorId="7C28C409" wp14:editId="3358DCAF">
            <wp:extent cx="5600065" cy="2228850"/>
            <wp:effectExtent l="0" t="0" r="635" b="0"/>
            <wp:docPr id="2054402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27138" cy="2239625"/>
                    </a:xfrm>
                    <a:prstGeom prst="rect">
                      <a:avLst/>
                    </a:prstGeom>
                    <a:noFill/>
                  </pic:spPr>
                </pic:pic>
              </a:graphicData>
            </a:graphic>
          </wp:inline>
        </w:drawing>
      </w:r>
    </w:p>
    <w:p w14:paraId="426B17A0" w14:textId="6ACCF222" w:rsidR="00C10C24" w:rsidRPr="000C7476" w:rsidRDefault="00C10C24" w:rsidP="000C7476">
      <w:pPr>
        <w:pStyle w:val="Text3"/>
        <w:spacing w:after="0" w:line="240" w:lineRule="atLeast"/>
        <w:ind w:left="720" w:hanging="720"/>
        <w:jc w:val="left"/>
        <w:rPr>
          <w:i/>
          <w:iCs/>
          <w:noProof/>
          <w:sz w:val="20"/>
        </w:rPr>
      </w:pPr>
      <w:r>
        <w:rPr>
          <w:i/>
          <w:noProof/>
          <w:sz w:val="20"/>
        </w:rPr>
        <w:t xml:space="preserve">Note: </w:t>
      </w:r>
      <w:r>
        <w:rPr>
          <w:i/>
          <w:noProof/>
          <w:sz w:val="20"/>
        </w:rPr>
        <w:tab/>
        <w:t xml:space="preserve">la Croatie, la France, la Grèce, l’Irlande et la Lituanie n’ont communiqué aucune donnée pour les trois années. Malte a utilisé des sources de données différentes pour chacune des années considérées: l’enquête sur la structure des salaires pour 2022 et une étude réalisée par le Department of Industrial and Employment Relations pour 2023. </w:t>
      </w:r>
      <w:bookmarkStart w:id="14" w:name="_Hlk234834141"/>
      <w:r>
        <w:rPr>
          <w:i/>
          <w:noProof/>
          <w:sz w:val="20"/>
        </w:rPr>
        <w:t>La Suède a utilisé une méthode différente pour calculer la couverture des négociations collectives en 2021. La Slovénie, le Luxembourg, la Lettonie et l’Estonie n’ont fourni des données que pour des années spécifiques.</w:t>
      </w:r>
      <w:bookmarkEnd w:id="14"/>
    </w:p>
    <w:p w14:paraId="1D112D83" w14:textId="3B27B797" w:rsidR="00EE16C6" w:rsidRDefault="00F17AF4" w:rsidP="003C763C">
      <w:pPr>
        <w:pStyle w:val="Text3"/>
        <w:spacing w:line="240" w:lineRule="atLeast"/>
        <w:ind w:left="0"/>
        <w:jc w:val="left"/>
        <w:rPr>
          <w:i/>
          <w:noProof/>
          <w:sz w:val="20"/>
        </w:rPr>
      </w:pPr>
      <w:r>
        <w:rPr>
          <w:i/>
          <w:noProof/>
          <w:sz w:val="20"/>
        </w:rPr>
        <w:t xml:space="preserve">Source: </w:t>
      </w:r>
      <w:r>
        <w:rPr>
          <w:i/>
          <w:noProof/>
          <w:sz w:val="20"/>
        </w:rPr>
        <w:tab/>
        <w:t>données communiquées par les États membres.</w:t>
      </w:r>
    </w:p>
    <w:p w14:paraId="1798CCFE" w14:textId="77777777" w:rsidR="00457FF4" w:rsidRDefault="00457FF4" w:rsidP="00C62B12">
      <w:pPr>
        <w:pStyle w:val="Heading3"/>
        <w:rPr>
          <w:rFonts w:ascii="Times New Roman" w:hAnsi="Times New Roman" w:cs="Times New Roman"/>
          <w:noProof/>
        </w:rPr>
      </w:pPr>
    </w:p>
    <w:p w14:paraId="6E398678" w14:textId="6CC3336D" w:rsidR="004C2FD8" w:rsidRPr="00AD3EF0" w:rsidRDefault="004C2FD8" w:rsidP="00C62B12">
      <w:pPr>
        <w:pStyle w:val="Heading3"/>
        <w:rPr>
          <w:rFonts w:ascii="Times New Roman" w:hAnsi="Times New Roman" w:cs="Times New Roman"/>
          <w:noProof/>
        </w:rPr>
      </w:pPr>
      <w:bookmarkStart w:id="15" w:name="_Toc235189484"/>
      <w:r>
        <w:rPr>
          <w:rFonts w:ascii="Times New Roman" w:hAnsi="Times New Roman"/>
          <w:noProof/>
        </w:rPr>
        <w:t>PARTIE II: PLANS D’ACTION POUR PROMOUVOIR LES NÉGOCIATIONS COLLECTIVES</w:t>
      </w:r>
      <w:bookmarkEnd w:id="15"/>
    </w:p>
    <w:p w14:paraId="3BF03A5F" w14:textId="2451FF54" w:rsidR="006F4659" w:rsidRDefault="00D612C3" w:rsidP="009E1491">
      <w:pPr>
        <w:spacing w:line="240" w:lineRule="atLeast"/>
        <w:jc w:val="both"/>
        <w:rPr>
          <w:rFonts w:ascii="Times New Roman" w:eastAsia="Times New Roman" w:hAnsi="Times New Roman" w:cs="Times New Roman"/>
          <w:noProof/>
          <w:color w:val="000000"/>
          <w:kern w:val="0"/>
          <w:sz w:val="24"/>
          <w:szCs w:val="20"/>
          <w14:ligatures w14:val="none"/>
        </w:rPr>
      </w:pPr>
      <w:r>
        <w:rPr>
          <w:rFonts w:ascii="Times New Roman" w:hAnsi="Times New Roman"/>
          <w:b/>
          <w:noProof/>
          <w:color w:val="000000"/>
          <w:sz w:val="24"/>
        </w:rPr>
        <w:t>Actuellement, le taux de couverture des négociations collectives est inférieur au seuil de 80 % dans 18 </w:t>
      </w:r>
      <w:r w:rsidR="00C21B36">
        <w:rPr>
          <w:rFonts w:ascii="Times New Roman" w:hAnsi="Times New Roman"/>
          <w:b/>
          <w:noProof/>
          <w:color w:val="000000"/>
          <w:sz w:val="24"/>
        </w:rPr>
        <w:t>États membres </w:t>
      </w:r>
      <w:r>
        <w:rPr>
          <w:rFonts w:ascii="Times New Roman" w:hAnsi="Times New Roman"/>
          <w:noProof/>
          <w:color w:val="000000"/>
          <w:sz w:val="24"/>
        </w:rPr>
        <w:t>(</w:t>
      </w:r>
      <w:r w:rsidR="00D152A3" w:rsidRPr="009E1491">
        <w:rPr>
          <w:rFonts w:ascii="Times New Roman" w:eastAsia="Times New Roman" w:hAnsi="Times New Roman" w:cs="Times New Roman"/>
          <w:noProof/>
          <w:color w:val="000000"/>
          <w:kern w:val="0"/>
          <w:sz w:val="24"/>
          <w:szCs w:val="24"/>
          <w:vertAlign w:val="superscript"/>
          <w:lang w:val="en-GB" w:eastAsia="en-IE"/>
        </w:rPr>
        <w:footnoteReference w:id="18"/>
      </w:r>
      <w:r>
        <w:rPr>
          <w:rFonts w:ascii="Times New Roman" w:hAnsi="Times New Roman"/>
          <w:noProof/>
          <w:color w:val="000000"/>
          <w:sz w:val="24"/>
        </w:rPr>
        <w:t xml:space="preserve">). Ces États membres sont dès lors tenus d’établir un plan d’action pour promouvoir les négociations collectives conformément à l’article 4, paragraphe 2, de la directive. La directive prévoit également que les plans d’action doivent être rendus publics et notifiés à la Commission. Bien qu’elle ne précise pas de délai pour l’établissement des plans d’action, on peut en déduire que celui-ci devrait intervenir sans retard indu. </w:t>
      </w:r>
    </w:p>
    <w:p w14:paraId="4A0D9C69" w14:textId="49EB81CA" w:rsidR="006D170B" w:rsidRPr="003965C3" w:rsidRDefault="00506ABD" w:rsidP="003965C3">
      <w:pPr>
        <w:spacing w:line="240" w:lineRule="atLeast"/>
        <w:jc w:val="both"/>
        <w:rPr>
          <w:rFonts w:ascii="Times New Roman" w:hAnsi="Times New Roman" w:cs="Times New Roman"/>
          <w:noProof/>
          <w:sz w:val="24"/>
          <w:szCs w:val="24"/>
        </w:rPr>
      </w:pPr>
      <w:bookmarkStart w:id="16" w:name="_Hlk234837493"/>
      <w:r>
        <w:rPr>
          <w:rFonts w:ascii="Times New Roman" w:hAnsi="Times New Roman"/>
          <w:b/>
          <w:noProof/>
          <w:color w:val="000000"/>
          <w:sz w:val="24"/>
        </w:rPr>
        <w:t>Au 15 juin 2026, la Commission avait reçu les plans d’action de 12 États membres</w:t>
      </w:r>
      <w:r>
        <w:rPr>
          <w:rFonts w:ascii="Times New Roman" w:hAnsi="Times New Roman"/>
          <w:noProof/>
          <w:color w:val="000000"/>
          <w:sz w:val="24"/>
        </w:rPr>
        <w:t> </w:t>
      </w:r>
      <w:bookmarkEnd w:id="16"/>
      <w:r>
        <w:rPr>
          <w:rFonts w:ascii="Times New Roman" w:hAnsi="Times New Roman"/>
          <w:noProof/>
          <w:color w:val="000000"/>
          <w:sz w:val="24"/>
        </w:rPr>
        <w:t>(</w:t>
      </w:r>
      <w:r w:rsidR="001C7BD5" w:rsidRPr="009E1491">
        <w:rPr>
          <w:rFonts w:ascii="Times New Roman" w:eastAsia="Times New Roman" w:hAnsi="Times New Roman" w:cs="Times New Roman"/>
          <w:noProof/>
          <w:color w:val="000000"/>
          <w:kern w:val="0"/>
          <w:sz w:val="24"/>
          <w:szCs w:val="24"/>
          <w:vertAlign w:val="superscript"/>
          <w:lang w:val="en-GB" w:eastAsia="en-IE"/>
        </w:rPr>
        <w:footnoteReference w:id="19"/>
      </w:r>
      <w:r>
        <w:rPr>
          <w:rFonts w:ascii="Times New Roman" w:hAnsi="Times New Roman"/>
          <w:noProof/>
          <w:color w:val="000000"/>
          <w:sz w:val="24"/>
        </w:rPr>
        <w:t>). La portée de l’analyse se limite donc aux plans d’action de ces États membres. D</w:t>
      </w:r>
      <w:r>
        <w:rPr>
          <w:rFonts w:ascii="Times New Roman" w:hAnsi="Times New Roman"/>
          <w:noProof/>
          <w:sz w:val="24"/>
        </w:rPr>
        <w:t>ans les six États membres restants (</w:t>
      </w:r>
      <w:r w:rsidR="004E1D4F" w:rsidRPr="00A571BD">
        <w:rPr>
          <w:rStyle w:val="FootnoteReference"/>
          <w:rFonts w:ascii="Times New Roman" w:hAnsi="Times New Roman" w:cs="Times New Roman"/>
          <w:noProof/>
          <w:sz w:val="24"/>
          <w:szCs w:val="24"/>
        </w:rPr>
        <w:footnoteReference w:id="20"/>
      </w:r>
      <w:r>
        <w:rPr>
          <w:rFonts w:ascii="Times New Roman" w:hAnsi="Times New Roman"/>
          <w:noProof/>
          <w:sz w:val="24"/>
        </w:rPr>
        <w:t xml:space="preserve">), les plans d’action font l’objet de discussions avec les partenaires sociaux. La Commission suit de près l’état d’avancement dans ces pays et s’attend à ce qu’ils établissent leurs plans d’action dans les mois à venir. </w:t>
      </w:r>
    </w:p>
    <w:p w14:paraId="53FB4494" w14:textId="21136233" w:rsidR="003849E3" w:rsidRDefault="00F9361F" w:rsidP="00C3301A">
      <w:pPr>
        <w:spacing w:after="240" w:line="240" w:lineRule="auto"/>
        <w:jc w:val="both"/>
        <w:rPr>
          <w:rFonts w:ascii="Times New Roman" w:hAnsi="Times New Roman" w:cs="Times New Roman"/>
          <w:bCs/>
          <w:noProof/>
          <w:sz w:val="24"/>
          <w:szCs w:val="24"/>
        </w:rPr>
      </w:pPr>
      <w:r>
        <w:rPr>
          <w:rFonts w:ascii="Times New Roman" w:hAnsi="Times New Roman"/>
          <w:b/>
          <w:noProof/>
          <w:sz w:val="24"/>
        </w:rPr>
        <w:t xml:space="preserve">Conformément aux exigences de la directive, les plans d’action reçus </w:t>
      </w:r>
      <w:bookmarkStart w:id="17" w:name="_Hlk234837664"/>
      <w:r>
        <w:rPr>
          <w:rFonts w:ascii="Times New Roman" w:hAnsi="Times New Roman"/>
          <w:b/>
          <w:noProof/>
          <w:sz w:val="24"/>
        </w:rPr>
        <w:t>ont été établis avec la participation des partenaires sociaux</w:t>
      </w:r>
      <w:bookmarkEnd w:id="17"/>
      <w:r>
        <w:rPr>
          <w:rFonts w:ascii="Times New Roman" w:hAnsi="Times New Roman"/>
          <w:b/>
          <w:noProof/>
          <w:sz w:val="24"/>
        </w:rPr>
        <w:t> </w:t>
      </w:r>
      <w:r>
        <w:rPr>
          <w:rFonts w:ascii="Times New Roman" w:hAnsi="Times New Roman"/>
          <w:noProof/>
          <w:sz w:val="24"/>
        </w:rPr>
        <w:t>(</w:t>
      </w:r>
      <w:r w:rsidR="003849E3" w:rsidRPr="00C3301A">
        <w:rPr>
          <w:rStyle w:val="FootnoteReference"/>
          <w:rFonts w:ascii="Times New Roman" w:hAnsi="Times New Roman" w:cs="Times New Roman"/>
          <w:bCs/>
          <w:noProof/>
          <w:sz w:val="24"/>
          <w:szCs w:val="24"/>
        </w:rPr>
        <w:footnoteReference w:id="21"/>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La plupart des États membres précisent dans leurs plans d’action que ceux-ci ont été établis après consultation des partenaires sociaux (</w:t>
      </w:r>
      <w:r w:rsidR="00716DFF">
        <w:rPr>
          <w:rStyle w:val="FootnoteReference"/>
          <w:rFonts w:ascii="Times New Roman" w:hAnsi="Times New Roman" w:cs="Times New Roman"/>
          <w:bCs/>
          <w:noProof/>
          <w:sz w:val="24"/>
          <w:szCs w:val="24"/>
        </w:rPr>
        <w:footnoteReference w:id="22"/>
      </w:r>
      <w:r>
        <w:rPr>
          <w:rFonts w:ascii="Times New Roman" w:hAnsi="Times New Roman"/>
          <w:noProof/>
          <w:sz w:val="24"/>
        </w:rPr>
        <w:t>) ou en accord avec ceux-ci (</w:t>
      </w:r>
      <w:r w:rsidR="003849E3">
        <w:rPr>
          <w:rStyle w:val="FootnoteReference"/>
          <w:rFonts w:ascii="Times New Roman" w:hAnsi="Times New Roman" w:cs="Times New Roman"/>
          <w:bCs/>
          <w:noProof/>
          <w:sz w:val="24"/>
          <w:szCs w:val="24"/>
        </w:rPr>
        <w:footnoteReference w:id="23"/>
      </w:r>
      <w:r>
        <w:rPr>
          <w:rFonts w:ascii="Times New Roman" w:hAnsi="Times New Roman"/>
          <w:noProof/>
          <w:sz w:val="24"/>
        </w:rPr>
        <w:t>), tandis que, dans les autres cas, il ressort des sources accessibles au public que les partenaires sociaux ont été consultés (</w:t>
      </w:r>
      <w:r w:rsidR="003849E3">
        <w:rPr>
          <w:rStyle w:val="FootnoteReference"/>
          <w:rFonts w:ascii="Times New Roman" w:hAnsi="Times New Roman" w:cs="Times New Roman"/>
          <w:bCs/>
          <w:noProof/>
          <w:sz w:val="24"/>
          <w:szCs w:val="24"/>
        </w:rPr>
        <w:footnoteReference w:id="24"/>
      </w:r>
      <w:r>
        <w:rPr>
          <w:rFonts w:ascii="Times New Roman" w:hAnsi="Times New Roman"/>
          <w:noProof/>
          <w:sz w:val="24"/>
        </w:rPr>
        <w:t>).</w:t>
      </w:r>
    </w:p>
    <w:p w14:paraId="5E3722FA" w14:textId="37C36D3F" w:rsidR="0079585D" w:rsidRPr="00371D8D" w:rsidRDefault="00844A26" w:rsidP="000C7476">
      <w:pPr>
        <w:spacing w:line="240" w:lineRule="atLeast"/>
        <w:jc w:val="both"/>
        <w:rPr>
          <w:rFonts w:ascii="Times New Roman" w:hAnsi="Times New Roman" w:cs="Times New Roman"/>
          <w:noProof/>
          <w:sz w:val="24"/>
          <w:szCs w:val="24"/>
        </w:rPr>
      </w:pPr>
      <w:r>
        <w:rPr>
          <w:rFonts w:ascii="Times New Roman" w:hAnsi="Times New Roman"/>
          <w:b/>
          <w:noProof/>
          <w:sz w:val="24"/>
        </w:rPr>
        <w:t xml:space="preserve">Ils comportent tous un calendrier clair pour leur mise en œuvre complète. </w:t>
      </w:r>
      <w:r>
        <w:rPr>
          <w:rFonts w:ascii="Times New Roman" w:hAnsi="Times New Roman"/>
          <w:noProof/>
          <w:sz w:val="24"/>
        </w:rPr>
        <w:t>La plupart des plans d’action transmis à la Commission doivent être mis en œuvre dans un délai de cinq ans (</w:t>
      </w:r>
      <w:r w:rsidR="0079585D">
        <w:rPr>
          <w:rStyle w:val="FootnoteReference"/>
          <w:rFonts w:ascii="Times New Roman" w:hAnsi="Times New Roman" w:cs="Times New Roman"/>
          <w:noProof/>
          <w:sz w:val="24"/>
          <w:szCs w:val="24"/>
        </w:rPr>
        <w:footnoteReference w:id="25"/>
      </w:r>
      <w:r>
        <w:rPr>
          <w:rFonts w:ascii="Times New Roman" w:hAnsi="Times New Roman"/>
          <w:noProof/>
          <w:sz w:val="24"/>
        </w:rPr>
        <w:t>). Cette durée correspond à la durée maximale qu’ils peuvent avoir avant leur mise à jour obligatoire conformément à l’article 4, paragraphe 2, de la directive. Certains plans d’action (</w:t>
      </w:r>
      <w:r w:rsidR="0079585D">
        <w:rPr>
          <w:rStyle w:val="FootnoteReference"/>
          <w:rFonts w:ascii="Times New Roman" w:hAnsi="Times New Roman" w:cs="Times New Roman"/>
          <w:noProof/>
          <w:sz w:val="24"/>
          <w:szCs w:val="24"/>
        </w:rPr>
        <w:footnoteReference w:id="26"/>
      </w:r>
      <w:r>
        <w:rPr>
          <w:rFonts w:ascii="Times New Roman" w:hAnsi="Times New Roman"/>
          <w:noProof/>
          <w:sz w:val="24"/>
        </w:rPr>
        <w:t>) prévoient un délai plus court de deux ans. Outre le calendrier global, la plupart des plans d’action fixent des échéances spécifiques pour chacune des mesures qu’ils contiennent (</w:t>
      </w:r>
      <w:r w:rsidR="0079585D" w:rsidRPr="00371D8D">
        <w:rPr>
          <w:rStyle w:val="FootnoteReference"/>
          <w:rFonts w:ascii="Times New Roman" w:hAnsi="Times New Roman" w:cs="Times New Roman"/>
          <w:noProof/>
          <w:sz w:val="24"/>
          <w:szCs w:val="24"/>
        </w:rPr>
        <w:footnoteReference w:id="27"/>
      </w:r>
      <w:r>
        <w:rPr>
          <w:rFonts w:ascii="Times New Roman" w:hAnsi="Times New Roman"/>
          <w:noProof/>
          <w:sz w:val="24"/>
        </w:rPr>
        <w:t xml:space="preserve">). </w:t>
      </w:r>
    </w:p>
    <w:p w14:paraId="49AB05A6" w14:textId="3FCF2B75" w:rsidR="003234DC" w:rsidRPr="000C7476" w:rsidRDefault="004D5316" w:rsidP="000C7476">
      <w:pPr>
        <w:jc w:val="both"/>
        <w:rPr>
          <w:rFonts w:ascii="Times New Roman" w:hAnsi="Times New Roman" w:cs="Times New Roman"/>
          <w:noProof/>
          <w:sz w:val="24"/>
          <w:szCs w:val="24"/>
        </w:rPr>
      </w:pPr>
      <w:r>
        <w:rPr>
          <w:rFonts w:ascii="Times New Roman" w:hAnsi="Times New Roman"/>
          <w:b/>
          <w:noProof/>
          <w:sz w:val="24"/>
        </w:rPr>
        <w:t xml:space="preserve">Les plans d’action reçus comprennent également des mesures concrètes visant à promouvoir les négociations collectives. </w:t>
      </w:r>
      <w:r>
        <w:rPr>
          <w:rFonts w:ascii="Times New Roman" w:hAnsi="Times New Roman"/>
          <w:noProof/>
          <w:sz w:val="24"/>
        </w:rPr>
        <w:t>La directive laisse aux États membres une marge d’appréciation pour déterminer les moyens les plus appropriés d’atteindre l’objectif consistant à augmenter progressivement le taux de couverture des négociations collectives. À cet égard, les États membres peuvent s’inspirer d’autres instruments non contraignants de l’Union, tels que la recommandation du Conseil relative au renforcement du dialogue social dans l’Union européenne (</w:t>
      </w:r>
      <w:r w:rsidR="00E83BB3" w:rsidRPr="003B783D">
        <w:rPr>
          <w:rStyle w:val="FootnoteReference"/>
          <w:bCs/>
          <w:noProof/>
        </w:rPr>
        <w:footnoteReference w:id="28"/>
      </w:r>
      <w:r>
        <w:rPr>
          <w:rFonts w:ascii="Times New Roman" w:hAnsi="Times New Roman"/>
          <w:noProof/>
          <w:sz w:val="24"/>
        </w:rPr>
        <w:t>) ainsi que la ligne directrice nº 7 des lignes directrices pour les politiques de l’emploi des États membres (</w:t>
      </w:r>
      <w:r w:rsidR="00E83BB3" w:rsidRPr="00886521">
        <w:rPr>
          <w:rStyle w:val="FootnoteReference"/>
          <w:bCs/>
          <w:noProof/>
        </w:rPr>
        <w:footnoteReference w:id="29"/>
      </w:r>
      <w:r>
        <w:rPr>
          <w:rFonts w:ascii="Times New Roman" w:hAnsi="Times New Roman"/>
          <w:noProof/>
          <w:sz w:val="24"/>
        </w:rPr>
        <w:t xml:space="preserve">). </w:t>
      </w:r>
    </w:p>
    <w:p w14:paraId="35648D60" w14:textId="362096BC" w:rsidR="00743B37" w:rsidRDefault="00F70481" w:rsidP="00F00E00">
      <w:pPr>
        <w:spacing w:line="240" w:lineRule="atLeast"/>
        <w:jc w:val="both"/>
        <w:rPr>
          <w:rFonts w:ascii="Times New Roman" w:hAnsi="Times New Roman" w:cs="Times New Roman"/>
          <w:noProof/>
          <w:sz w:val="24"/>
          <w:szCs w:val="24"/>
        </w:rPr>
      </w:pPr>
      <w:r>
        <w:rPr>
          <w:rFonts w:ascii="Times New Roman" w:hAnsi="Times New Roman"/>
          <w:noProof/>
          <w:sz w:val="24"/>
        </w:rPr>
        <w:t>Les mesures concrètes visant à promouvoir les négociations collectives figurant dans les plans d’action peuvent être classées, selon leur objectif principal, dans les six catégories principales suivantes.</w:t>
      </w:r>
    </w:p>
    <w:p w14:paraId="2AD9E664" w14:textId="077EDD98" w:rsidR="00D66F01" w:rsidRDefault="00D12BE8" w:rsidP="00D66F01">
      <w:pPr>
        <w:pStyle w:val="ListParagraph"/>
        <w:numPr>
          <w:ilvl w:val="0"/>
          <w:numId w:val="23"/>
        </w:numPr>
        <w:spacing w:line="240" w:lineRule="atLeast"/>
        <w:jc w:val="both"/>
        <w:rPr>
          <w:rFonts w:ascii="Times New Roman" w:eastAsia="Times New Roman" w:hAnsi="Times New Roman" w:cs="Times New Roman"/>
          <w:noProof/>
          <w:kern w:val="0"/>
          <w:sz w:val="24"/>
          <w:szCs w:val="20"/>
          <w14:ligatures w14:val="none"/>
        </w:rPr>
      </w:pPr>
      <w:r>
        <w:rPr>
          <w:rFonts w:ascii="Times New Roman" w:hAnsi="Times New Roman"/>
          <w:b/>
          <w:noProof/>
          <w:sz w:val="24"/>
        </w:rPr>
        <w:t>Renforcement des capacités des partenaires sociaux.</w:t>
      </w:r>
      <w:r>
        <w:rPr>
          <w:rFonts w:ascii="Times New Roman" w:hAnsi="Times New Roman"/>
          <w:noProof/>
          <w:sz w:val="24"/>
        </w:rPr>
        <w:t xml:space="preserve"> Ces mesures visent à permettre aux partenaires sociaux de participer plus efficacement aux négociations collectives à tous les niveaux. Elles comprennent souvent des actions de formation, de développement des compétences et d’échange de connaissances. Neuf des douze États membres ont inclus de telles mesures dans leurs plans d’action</w:t>
      </w:r>
      <w:r w:rsidR="00C21B36">
        <w:rPr>
          <w:rFonts w:ascii="Times New Roman" w:hAnsi="Times New Roman"/>
          <w:noProof/>
          <w:sz w:val="24"/>
        </w:rPr>
        <w:t> </w:t>
      </w:r>
      <w:r>
        <w:rPr>
          <w:rFonts w:ascii="Times New Roman" w:hAnsi="Times New Roman"/>
          <w:noProof/>
          <w:sz w:val="24"/>
        </w:rPr>
        <w:t>(</w:t>
      </w:r>
      <w:r w:rsidR="00400DDB" w:rsidRPr="3459339D">
        <w:rPr>
          <w:rFonts w:eastAsia="Times New Roman"/>
          <w:noProof/>
          <w:kern w:val="0"/>
          <w:vertAlign w:val="superscript"/>
          <w:lang w:val="en-GB" w:eastAsia="en-IE"/>
        </w:rPr>
        <w:footnoteReference w:id="30"/>
      </w:r>
      <w:r>
        <w:rPr>
          <w:rFonts w:ascii="Times New Roman" w:hAnsi="Times New Roman"/>
          <w:noProof/>
          <w:sz w:val="24"/>
        </w:rPr>
        <w:t>).</w:t>
      </w:r>
    </w:p>
    <w:p w14:paraId="699C3C27" w14:textId="77777777" w:rsidR="00EB3B5C" w:rsidRPr="00C21B36" w:rsidRDefault="00EB3B5C" w:rsidP="00EB3B5C">
      <w:pPr>
        <w:pStyle w:val="ListParagraph"/>
        <w:spacing w:line="240" w:lineRule="atLeast"/>
        <w:jc w:val="both"/>
        <w:rPr>
          <w:rFonts w:ascii="Times New Roman" w:eastAsia="Times New Roman" w:hAnsi="Times New Roman" w:cs="Times New Roman"/>
          <w:noProof/>
          <w:kern w:val="0"/>
          <w:sz w:val="24"/>
          <w:szCs w:val="20"/>
          <w:lang w:val="fr-BE" w:eastAsia="en-IE"/>
          <w14:ligatures w14:val="none"/>
        </w:rPr>
      </w:pPr>
    </w:p>
    <w:p w14:paraId="2C11412D" w14:textId="6ADEFA6C" w:rsidR="001467BB" w:rsidRPr="00EB3B5C" w:rsidRDefault="00B5558A" w:rsidP="00D66F01">
      <w:pPr>
        <w:pStyle w:val="ListParagraph"/>
        <w:numPr>
          <w:ilvl w:val="0"/>
          <w:numId w:val="23"/>
        </w:numPr>
        <w:spacing w:line="240" w:lineRule="atLeast"/>
        <w:jc w:val="both"/>
        <w:rPr>
          <w:rFonts w:ascii="Times New Roman" w:eastAsia="Times New Roman" w:hAnsi="Times New Roman" w:cs="Times New Roman"/>
          <w:noProof/>
          <w:kern w:val="0"/>
          <w:sz w:val="24"/>
          <w:szCs w:val="20"/>
          <w14:ligatures w14:val="none"/>
        </w:rPr>
      </w:pPr>
      <w:r>
        <w:rPr>
          <w:rFonts w:ascii="Times New Roman" w:hAnsi="Times New Roman"/>
          <w:b/>
          <w:noProof/>
          <w:sz w:val="24"/>
        </w:rPr>
        <w:t>Amélioration du cadre réglementaire des négociations collectives.</w:t>
      </w:r>
      <w:r>
        <w:rPr>
          <w:rFonts w:ascii="Times New Roman" w:hAnsi="Times New Roman"/>
          <w:noProof/>
          <w:sz w:val="24"/>
        </w:rPr>
        <w:t xml:space="preserve"> Les mesures relevant de cette catégorie visent à supprimer les obstacles juridiques et procéduraux, à clarifier les droits et les obligations des partenaires sociaux et à permettre les négociations au niveau approprié (par exemple en facilitant les négociations collectives au niveau sectoriel ou dans le contexte des nouvelles formes de travail). La plupart des plans d’action prévoient ce type de mesures (</w:t>
      </w:r>
      <w:r w:rsidR="001467BB" w:rsidRPr="00EB3B5C">
        <w:rPr>
          <w:rFonts w:ascii="Times New Roman" w:eastAsia="Times New Roman" w:hAnsi="Times New Roman" w:cs="Times New Roman"/>
          <w:noProof/>
          <w:kern w:val="0"/>
          <w:sz w:val="24"/>
          <w:szCs w:val="24"/>
          <w:vertAlign w:val="superscript"/>
          <w:lang w:val="en-GB" w:eastAsia="en-IE"/>
        </w:rPr>
        <w:footnoteReference w:id="31"/>
      </w:r>
      <w:r>
        <w:rPr>
          <w:rFonts w:ascii="Times New Roman" w:hAnsi="Times New Roman"/>
          <w:noProof/>
          <w:sz w:val="24"/>
        </w:rPr>
        <w:t xml:space="preserve">). </w:t>
      </w:r>
    </w:p>
    <w:p w14:paraId="12BD911D" w14:textId="77777777" w:rsidR="007745F5" w:rsidRPr="007745F5" w:rsidRDefault="007745F5" w:rsidP="00F00E00">
      <w:pPr>
        <w:pStyle w:val="ListParagraph"/>
        <w:spacing w:line="240" w:lineRule="atLeast"/>
        <w:rPr>
          <w:rFonts w:ascii="Times New Roman" w:hAnsi="Times New Roman" w:cs="Times New Roman"/>
          <w:noProof/>
          <w:sz w:val="24"/>
          <w:szCs w:val="24"/>
        </w:rPr>
      </w:pPr>
    </w:p>
    <w:p w14:paraId="20D09B63" w14:textId="1EA6FD50" w:rsidR="00F70481" w:rsidRPr="00591DF4" w:rsidRDefault="00954BD1" w:rsidP="00EE2BEB">
      <w:pPr>
        <w:pStyle w:val="ListParagraph"/>
        <w:numPr>
          <w:ilvl w:val="0"/>
          <w:numId w:val="23"/>
        </w:numPr>
        <w:spacing w:line="240" w:lineRule="atLeast"/>
        <w:jc w:val="both"/>
        <w:rPr>
          <w:rFonts w:ascii="Times New Roman" w:eastAsia="Times New Roman" w:hAnsi="Times New Roman" w:cs="Times New Roman"/>
          <w:noProof/>
          <w:kern w:val="0"/>
          <w:sz w:val="24"/>
          <w:szCs w:val="20"/>
          <w14:ligatures w14:val="none"/>
        </w:rPr>
      </w:pPr>
      <w:r>
        <w:rPr>
          <w:rFonts w:ascii="Times New Roman" w:hAnsi="Times New Roman"/>
          <w:b/>
          <w:noProof/>
          <w:sz w:val="24"/>
        </w:rPr>
        <w:t xml:space="preserve">Sensibilisation et promotion des avantages des négociations collectives. </w:t>
      </w:r>
      <w:r>
        <w:rPr>
          <w:rFonts w:ascii="Times New Roman" w:hAnsi="Times New Roman"/>
          <w:noProof/>
          <w:sz w:val="24"/>
        </w:rPr>
        <w:t>Ces mesures visent à lever les obstacles d’ordre informationnel et culturel auxquels se heurtent les travailleurs, les employeurs et le grand public. Elles comprennent des campagnes d’information, des publications ou des portails web. Des mesures relevant de cette catégorie figurent dans 10 des 12 plans d’action (</w:t>
      </w:r>
      <w:r w:rsidR="00591DF4" w:rsidDel="00452583">
        <w:rPr>
          <w:rStyle w:val="FootnoteReference"/>
          <w:rFonts w:ascii="Times New Roman" w:eastAsia="Times New Roman" w:hAnsi="Times New Roman" w:cs="Times New Roman"/>
          <w:noProof/>
          <w:kern w:val="0"/>
          <w:sz w:val="24"/>
          <w:szCs w:val="24"/>
          <w:lang w:val="en-GB" w:eastAsia="en-IE"/>
        </w:rPr>
        <w:footnoteReference w:id="32"/>
      </w:r>
      <w:r>
        <w:rPr>
          <w:rFonts w:ascii="Times New Roman" w:hAnsi="Times New Roman"/>
          <w:noProof/>
          <w:sz w:val="24"/>
        </w:rPr>
        <w:t xml:space="preserve">). </w:t>
      </w:r>
    </w:p>
    <w:p w14:paraId="01A32E83" w14:textId="77777777" w:rsidR="00FE6B0F" w:rsidRPr="00C21B36" w:rsidRDefault="00FE6B0F" w:rsidP="00591DF4">
      <w:pPr>
        <w:pStyle w:val="ListParagraph"/>
        <w:spacing w:line="240" w:lineRule="atLeast"/>
        <w:jc w:val="both"/>
        <w:rPr>
          <w:rFonts w:ascii="Times New Roman" w:eastAsia="Times New Roman" w:hAnsi="Times New Roman" w:cs="Times New Roman"/>
          <w:noProof/>
          <w:kern w:val="0"/>
          <w:sz w:val="24"/>
          <w:szCs w:val="20"/>
          <w:lang w:val="fr-BE" w:eastAsia="en-IE"/>
          <w14:ligatures w14:val="none"/>
        </w:rPr>
      </w:pPr>
    </w:p>
    <w:p w14:paraId="3C6C954E" w14:textId="7F8438ED" w:rsidR="00EF65A3" w:rsidRDefault="00AC2B88" w:rsidP="00EF65A3">
      <w:pPr>
        <w:pStyle w:val="ListParagraph"/>
        <w:numPr>
          <w:ilvl w:val="0"/>
          <w:numId w:val="23"/>
        </w:numPr>
        <w:spacing w:line="240" w:lineRule="atLeast"/>
        <w:jc w:val="both"/>
        <w:rPr>
          <w:rFonts w:ascii="Times New Roman" w:eastAsia="Times New Roman" w:hAnsi="Times New Roman" w:cs="Times New Roman"/>
          <w:noProof/>
          <w:kern w:val="0"/>
          <w:sz w:val="24"/>
          <w:szCs w:val="20"/>
          <w14:ligatures w14:val="none"/>
        </w:rPr>
      </w:pPr>
      <w:r>
        <w:rPr>
          <w:rFonts w:ascii="Times New Roman" w:hAnsi="Times New Roman"/>
          <w:b/>
          <w:noProof/>
          <w:sz w:val="24"/>
        </w:rPr>
        <w:t>Amélioration de la collecte, du suivi et de la transparence des données relatives aux négociations collectives</w:t>
      </w:r>
      <w:r>
        <w:rPr>
          <w:rFonts w:ascii="Times New Roman" w:hAnsi="Times New Roman"/>
          <w:noProof/>
          <w:sz w:val="24"/>
        </w:rPr>
        <w:t>. Cette catégorie regroupe des mesures et des outils, tels que des registres des conventions collectives, des statistiques sur le taux de couverture et la communication régulière d’informations sur les conventions collectives et leur taux de couverture. Dix plans d’action comprennent des mesures de ce type (</w:t>
      </w:r>
      <w:r w:rsidR="00081222" w:rsidDel="00452583">
        <w:rPr>
          <w:rStyle w:val="FootnoteReference"/>
          <w:rFonts w:ascii="Times New Roman" w:eastAsia="Times New Roman" w:hAnsi="Times New Roman" w:cs="Times New Roman"/>
          <w:noProof/>
          <w:kern w:val="0"/>
          <w:sz w:val="24"/>
          <w:szCs w:val="24"/>
          <w:lang w:val="en-GB" w:eastAsia="en-IE"/>
        </w:rPr>
        <w:footnoteReference w:id="33"/>
      </w:r>
      <w:r>
        <w:rPr>
          <w:rFonts w:ascii="Times New Roman" w:hAnsi="Times New Roman"/>
          <w:noProof/>
          <w:sz w:val="24"/>
        </w:rPr>
        <w:t>) .</w:t>
      </w:r>
    </w:p>
    <w:p w14:paraId="2CA895D2" w14:textId="77777777" w:rsidR="00EF65A3" w:rsidRPr="00EF65A3" w:rsidRDefault="00EF65A3" w:rsidP="00EF65A3">
      <w:pPr>
        <w:pStyle w:val="ListParagraph"/>
        <w:rPr>
          <w:rFonts w:ascii="Times New Roman" w:eastAsia="Times New Roman" w:hAnsi="Times New Roman" w:cs="Times New Roman"/>
          <w:noProof/>
          <w:kern w:val="0"/>
          <w:sz w:val="24"/>
          <w:szCs w:val="20"/>
          <w:lang w:val="en-GB" w:eastAsia="en-IE"/>
          <w14:ligatures w14:val="none"/>
        </w:rPr>
      </w:pPr>
    </w:p>
    <w:p w14:paraId="2FA0E452" w14:textId="0739EB7D" w:rsidR="00F70481" w:rsidRPr="00276560" w:rsidRDefault="00DB0DCC" w:rsidP="00EE2BEB">
      <w:pPr>
        <w:pStyle w:val="ListParagraph"/>
        <w:numPr>
          <w:ilvl w:val="0"/>
          <w:numId w:val="23"/>
        </w:numPr>
        <w:spacing w:line="240" w:lineRule="atLeast"/>
        <w:jc w:val="both"/>
        <w:rPr>
          <w:rFonts w:ascii="Times New Roman" w:eastAsia="Times New Roman" w:hAnsi="Times New Roman" w:cs="Times New Roman"/>
          <w:noProof/>
          <w:kern w:val="0"/>
          <w:sz w:val="24"/>
          <w:szCs w:val="20"/>
          <w14:ligatures w14:val="none"/>
        </w:rPr>
      </w:pPr>
      <w:r>
        <w:rPr>
          <w:rFonts w:ascii="Times New Roman" w:hAnsi="Times New Roman"/>
          <w:b/>
          <w:noProof/>
          <w:sz w:val="24"/>
        </w:rPr>
        <w:t>Incitations et mécanismes de soutien visant à encourager les négociations collectives.</w:t>
      </w:r>
      <w:r>
        <w:rPr>
          <w:rFonts w:ascii="Times New Roman" w:hAnsi="Times New Roman"/>
          <w:noProof/>
          <w:sz w:val="24"/>
        </w:rPr>
        <w:t xml:space="preserve"> Parmi les exemples figurant dans les différents plans d’action relevant de cette catégorie figurent l’instauration d’incitations fiscales en faveur des entreprises couvertes par une convention collective ou la création, au sein des organisations de partenaires sociaux, d’unités spécialisées chargées d’apporter un soutien et des orientations méthodologiques dans le cadre des négociations de conventions collectives. Sept plans d’action prévoient des mesures pouvant être classées dans cette catégorie (</w:t>
      </w:r>
      <w:r w:rsidR="00941FE9">
        <w:rPr>
          <w:rStyle w:val="FootnoteReference"/>
          <w:rFonts w:ascii="Times New Roman" w:eastAsia="Times New Roman" w:hAnsi="Times New Roman" w:cs="Times New Roman"/>
          <w:noProof/>
          <w:kern w:val="0"/>
          <w:sz w:val="24"/>
          <w:szCs w:val="24"/>
          <w:lang w:val="en-GB" w:eastAsia="en-IE"/>
        </w:rPr>
        <w:footnoteReference w:id="34"/>
      </w:r>
      <w:r>
        <w:rPr>
          <w:rFonts w:ascii="Times New Roman" w:hAnsi="Times New Roman"/>
          <w:noProof/>
          <w:sz w:val="24"/>
        </w:rPr>
        <w:t>) .</w:t>
      </w:r>
    </w:p>
    <w:p w14:paraId="5B81DF9B" w14:textId="77777777" w:rsidR="00762388" w:rsidRPr="00C21B36" w:rsidRDefault="00762388" w:rsidP="00591DF4">
      <w:pPr>
        <w:pStyle w:val="ListParagraph"/>
        <w:spacing w:line="240" w:lineRule="atLeast"/>
        <w:jc w:val="both"/>
        <w:rPr>
          <w:rFonts w:ascii="Times New Roman" w:eastAsia="Times New Roman" w:hAnsi="Times New Roman" w:cs="Times New Roman"/>
          <w:noProof/>
          <w:kern w:val="0"/>
          <w:sz w:val="24"/>
          <w:szCs w:val="20"/>
          <w:lang w:val="fr-BE" w:eastAsia="en-IE"/>
          <w14:ligatures w14:val="none"/>
        </w:rPr>
      </w:pPr>
    </w:p>
    <w:p w14:paraId="087089FF" w14:textId="33B042A1" w:rsidR="00762388" w:rsidRPr="00070668" w:rsidRDefault="00FD17B6" w:rsidP="00EE2BEB">
      <w:pPr>
        <w:pStyle w:val="ListParagraph"/>
        <w:numPr>
          <w:ilvl w:val="0"/>
          <w:numId w:val="23"/>
        </w:numPr>
        <w:spacing w:line="240" w:lineRule="atLeast"/>
        <w:jc w:val="both"/>
        <w:rPr>
          <w:rFonts w:ascii="Times New Roman" w:eastAsia="Times New Roman" w:hAnsi="Times New Roman" w:cs="Times New Roman"/>
          <w:noProof/>
          <w:kern w:val="0"/>
          <w:sz w:val="24"/>
          <w:szCs w:val="20"/>
          <w14:ligatures w14:val="none"/>
        </w:rPr>
      </w:pPr>
      <w:r>
        <w:rPr>
          <w:rFonts w:ascii="Times New Roman" w:hAnsi="Times New Roman"/>
          <w:b/>
          <w:noProof/>
          <w:sz w:val="24"/>
        </w:rPr>
        <w:t xml:space="preserve">Mécanismes d’application et de règlement des différends. </w:t>
      </w:r>
      <w:r>
        <w:rPr>
          <w:rFonts w:ascii="Times New Roman" w:hAnsi="Times New Roman"/>
          <w:noProof/>
          <w:sz w:val="24"/>
        </w:rPr>
        <w:t>Ces mesures consistent notamment à renforcer le rôle des inspections du travail dans l’application des conventions collectives et à fournir des formations et des ressources supplémentaires aux médiateurs et aux arbitres. Des mesures de ce type figurent dans les plans d’action de six États membres (</w:t>
      </w:r>
      <w:r w:rsidR="00D60D21">
        <w:rPr>
          <w:rStyle w:val="FootnoteReference"/>
          <w:rFonts w:ascii="Times New Roman" w:eastAsia="Times New Roman" w:hAnsi="Times New Roman" w:cs="Times New Roman"/>
          <w:noProof/>
          <w:kern w:val="0"/>
          <w:sz w:val="24"/>
          <w:szCs w:val="24"/>
          <w:lang w:val="en-GB" w:eastAsia="en-IE"/>
        </w:rPr>
        <w:footnoteReference w:id="35"/>
      </w:r>
      <w:r>
        <w:rPr>
          <w:rFonts w:ascii="Times New Roman" w:hAnsi="Times New Roman"/>
          <w:noProof/>
          <w:sz w:val="24"/>
        </w:rPr>
        <w:t xml:space="preserve">). </w:t>
      </w:r>
    </w:p>
    <w:p w14:paraId="653A3771" w14:textId="05C8F3AC" w:rsidR="00F70481" w:rsidRDefault="00ED2A07" w:rsidP="00F70481">
      <w:pPr>
        <w:pStyle w:val="Text1"/>
        <w:ind w:left="0"/>
        <w:rPr>
          <w:noProof/>
        </w:rPr>
      </w:pPr>
      <w:bookmarkStart w:id="18" w:name="_Hlk224219417"/>
      <w:r>
        <w:rPr>
          <w:noProof/>
        </w:rPr>
        <w:t>Le document de travail des services de la Commission accompagnant le présent rapport contient une description plus détaillée des mesures prévues dans les plans d’action au titre de chacune de ces catégories.</w:t>
      </w:r>
    </w:p>
    <w:bookmarkEnd w:id="18"/>
    <w:p w14:paraId="056DE3D0" w14:textId="07456EDB" w:rsidR="00F70481" w:rsidRPr="00BA1EBA" w:rsidRDefault="00236271" w:rsidP="00F00E00">
      <w:pPr>
        <w:spacing w:before="240"/>
        <w:jc w:val="both"/>
        <w:rPr>
          <w:rFonts w:ascii="Times New Roman" w:hAnsi="Times New Roman" w:cs="Times New Roman"/>
          <w:i/>
          <w:noProof/>
          <w:sz w:val="24"/>
          <w:szCs w:val="24"/>
        </w:rPr>
      </w:pPr>
      <w:r>
        <w:rPr>
          <w:rFonts w:ascii="Times New Roman" w:hAnsi="Times New Roman"/>
          <w:i/>
          <w:noProof/>
          <w:sz w:val="24"/>
        </w:rPr>
        <w:t>Évaluation des plans d’action par la Commission</w:t>
      </w:r>
    </w:p>
    <w:p w14:paraId="076D1F70" w14:textId="57D173C6" w:rsidR="00F70481" w:rsidRDefault="00D03ACE" w:rsidP="00BA1EBA">
      <w:pPr>
        <w:pStyle w:val="Text1"/>
        <w:spacing w:line="240" w:lineRule="atLeast"/>
        <w:ind w:left="0"/>
        <w:rPr>
          <w:noProof/>
        </w:rPr>
      </w:pPr>
      <w:r>
        <w:rPr>
          <w:b/>
          <w:noProof/>
        </w:rPr>
        <w:t>Tous les plans d’action reçus peuvent être considérés comme étant formellement conformes aux exigences juridiques</w:t>
      </w:r>
      <w:r>
        <w:rPr>
          <w:noProof/>
        </w:rPr>
        <w:t xml:space="preserve"> </w:t>
      </w:r>
      <w:r>
        <w:rPr>
          <w:b/>
          <w:noProof/>
        </w:rPr>
        <w:t>énoncées à l’article 4, paragraphe 2, de la directive</w:t>
      </w:r>
      <w:r>
        <w:rPr>
          <w:noProof/>
        </w:rPr>
        <w:t>. Ils ont tous été établis avec la participation des partenaires sociaux et comportent à la fois un calendrier clair et un ensemble de mesures concrètes visant à accroître le taux de couverture des négociations collectives.</w:t>
      </w:r>
    </w:p>
    <w:p w14:paraId="0C781E28" w14:textId="0D4595ED" w:rsidR="007B5AAB" w:rsidRDefault="00A751D7" w:rsidP="007B5AAB">
      <w:pPr>
        <w:pStyle w:val="Text1"/>
        <w:ind w:left="0"/>
        <w:rPr>
          <w:noProof/>
        </w:rPr>
      </w:pPr>
      <w:r>
        <w:rPr>
          <w:b/>
          <w:noProof/>
        </w:rPr>
        <w:t>L’efficacité des plans d’action doit être évaluée à la lumière des spécificités de chaque système national de négociation collective.</w:t>
      </w:r>
      <w:r>
        <w:rPr>
          <w:noProof/>
        </w:rPr>
        <w:t xml:space="preserve"> Conformément à la directive, les plans d’action visent à parvenir à une augmentation progressive du taux de couverture des négociations collectives. Toutefois, il n’existe pas de méthodologie normalisée permettant d’évaluer ex ante l’efficacité des mesures destinées à promouvoir les négociations collectives, celle-ci dépendant dans une très large mesure de leur mise en œuvre concrète. En outre, les traditions et pratiques nationales en matière de dialogue social doivent être prises en considération dans chaque cas. </w:t>
      </w:r>
    </w:p>
    <w:p w14:paraId="277CBB81" w14:textId="508B5FA8" w:rsidR="0012560C" w:rsidRDefault="007B5AAB" w:rsidP="001257AB">
      <w:pPr>
        <w:pStyle w:val="Text1"/>
        <w:ind w:left="0"/>
        <w:rPr>
          <w:noProof/>
        </w:rPr>
      </w:pPr>
      <w:r>
        <w:rPr>
          <w:b/>
          <w:noProof/>
        </w:rPr>
        <w:t>En définitive, l’efficacité des plans d’action se reflétera dans l’évolution des taux de couverture des négociations collectives au cours des prochaines années.</w:t>
      </w:r>
      <w:r>
        <w:rPr>
          <w:noProof/>
        </w:rPr>
        <w:t xml:space="preserve"> À cet égard, il est encore trop tôt pour tirer des conclusions quant à la probabilité que chaque plan d’action permette d’accroître le taux de couverture. </w:t>
      </w:r>
    </w:p>
    <w:p w14:paraId="3EC7D518" w14:textId="669F5CAF" w:rsidR="00E549D6" w:rsidRPr="00A35ACE" w:rsidRDefault="00737958" w:rsidP="00776C87">
      <w:pPr>
        <w:pStyle w:val="Text1"/>
        <w:keepNext/>
        <w:ind w:left="0"/>
        <w:rPr>
          <w:noProof/>
        </w:rPr>
      </w:pPr>
      <w:r>
        <w:rPr>
          <w:b/>
          <w:noProof/>
        </w:rPr>
        <w:t>Dans le même temps, il est déjà possible de formuler quelques observations préliminaires au sujet des bonnes pratiques</w:t>
      </w:r>
      <w:r>
        <w:rPr>
          <w:noProof/>
        </w:rPr>
        <w:t>:</w:t>
      </w:r>
    </w:p>
    <w:p w14:paraId="1CDAD8EC" w14:textId="36F63C0C" w:rsidR="00E243C5" w:rsidRDefault="007A69E0" w:rsidP="00A80474">
      <w:pPr>
        <w:pStyle w:val="Text1"/>
        <w:numPr>
          <w:ilvl w:val="0"/>
          <w:numId w:val="1"/>
        </w:numPr>
        <w:spacing w:line="240" w:lineRule="atLeast"/>
        <w:rPr>
          <w:noProof/>
        </w:rPr>
      </w:pPr>
      <w:r>
        <w:rPr>
          <w:b/>
          <w:noProof/>
        </w:rPr>
        <w:t xml:space="preserve">Niveau de détail des mesures institutionnelles. </w:t>
      </w:r>
      <w:r>
        <w:rPr>
          <w:noProof/>
        </w:rPr>
        <w:t>La plupart des plans d’action décrivent de manière concrète les mesures de sensibilisation et d’information envisagées (</w:t>
      </w:r>
      <w:r w:rsidR="00630E93" w:rsidRPr="00C434DB">
        <w:rPr>
          <w:rStyle w:val="FootnoteReference"/>
          <w:noProof/>
          <w:lang w:val="en-IE"/>
        </w:rPr>
        <w:footnoteReference w:id="36"/>
      </w:r>
      <w:r>
        <w:rPr>
          <w:noProof/>
        </w:rPr>
        <w:t>), qui peuvent contribuer à créer un climat plus favorable aux négociations collectives. En revanche, ils sont souvent plus vagues lorsqu’il s’agit d’expliquer les futures modifications institutionnelles qui seront apportées au cadre des négociations collectives (</w:t>
      </w:r>
      <w:r w:rsidR="005376E0" w:rsidRPr="00C434DB">
        <w:rPr>
          <w:rStyle w:val="FootnoteReference"/>
          <w:noProof/>
          <w:lang w:val="en-IE"/>
        </w:rPr>
        <w:footnoteReference w:id="37"/>
      </w:r>
      <w:r>
        <w:rPr>
          <w:noProof/>
        </w:rPr>
        <w:t xml:space="preserve">). Étant donné que les mesures institutionnelles ont souvent un effet positif direct sur les taux de couverture des négociations collectives, il serait souhaitable que tous les plans d’action les précisent de manière plus concrète. </w:t>
      </w:r>
    </w:p>
    <w:p w14:paraId="53F1371B" w14:textId="15DE463F" w:rsidR="00F70481" w:rsidRPr="007052BB" w:rsidRDefault="00184BAD" w:rsidP="0012560C">
      <w:pPr>
        <w:pStyle w:val="Text1"/>
        <w:numPr>
          <w:ilvl w:val="0"/>
          <w:numId w:val="1"/>
        </w:numPr>
        <w:spacing w:line="240" w:lineRule="atLeast"/>
        <w:rPr>
          <w:noProof/>
        </w:rPr>
      </w:pPr>
      <w:r>
        <w:rPr>
          <w:b/>
          <w:noProof/>
        </w:rPr>
        <w:t>Calendrier de mise en œuvre.</w:t>
      </w:r>
      <w:r>
        <w:rPr>
          <w:noProof/>
        </w:rPr>
        <w:t xml:space="preserve"> Tous les plans d’action comportent un calendrier général de mise en œuvre, mais certains d’entre eux ne fixent pas de délai spécifique pour chacune des mesures qu’ils contiennent (</w:t>
      </w:r>
      <w:r w:rsidR="00E243C5">
        <w:rPr>
          <w:rStyle w:val="FootnoteReference"/>
          <w:noProof/>
          <w:lang w:val="en-IE"/>
        </w:rPr>
        <w:footnoteReference w:id="38"/>
      </w:r>
      <w:r>
        <w:rPr>
          <w:noProof/>
        </w:rPr>
        <w:t>). À cet égard, la définition d’échéances intermédiaires et de jalons peut être considérée comme une bonne pratique, car elle peut contribuer à garantir des progrès constants et permettre un meilleur suivi de la mise en œuvre.</w:t>
      </w:r>
    </w:p>
    <w:p w14:paraId="67DBF301" w14:textId="540BBD67" w:rsidR="00F70481" w:rsidRDefault="00B6612C" w:rsidP="0012560C">
      <w:pPr>
        <w:pStyle w:val="Text1"/>
        <w:numPr>
          <w:ilvl w:val="0"/>
          <w:numId w:val="1"/>
        </w:numPr>
        <w:spacing w:line="240" w:lineRule="atLeast"/>
        <w:rPr>
          <w:noProof/>
        </w:rPr>
      </w:pPr>
      <w:r>
        <w:rPr>
          <w:b/>
          <w:noProof/>
        </w:rPr>
        <w:t>Participation des partenaires sociaux au suivi de la mise en œuvre.</w:t>
      </w:r>
      <w:r>
        <w:rPr>
          <w:noProof/>
        </w:rPr>
        <w:t xml:space="preserve"> Si tous les plans d’action comportent des références au suivi de leur mise en œuvre (dans certains cas au moyen d’indicateurs détaillés), seuls certains d’entre eux prévoient expressément la participation des partenaires sociaux à cette tâche (</w:t>
      </w:r>
      <w:r w:rsidR="0047108B">
        <w:rPr>
          <w:rStyle w:val="FootnoteReference"/>
          <w:noProof/>
        </w:rPr>
        <w:footnoteReference w:id="39"/>
      </w:r>
      <w:r>
        <w:rPr>
          <w:noProof/>
        </w:rPr>
        <w:t>). Cette pratique est également considérée comme une bonne pratique, les partenaires sociaux étant généralement les mieux placés pour apprécier si les mesures prévues dans le plan d’action sont effectivement mises en œuvre dans la pratique.</w:t>
      </w:r>
    </w:p>
    <w:p w14:paraId="476F324C" w14:textId="77777777" w:rsidR="00655AE3" w:rsidRDefault="00655AE3" w:rsidP="00E34A6A">
      <w:pPr>
        <w:pStyle w:val="Text1"/>
        <w:spacing w:line="240" w:lineRule="atLeast"/>
        <w:ind w:left="0"/>
        <w:rPr>
          <w:noProof/>
        </w:rPr>
      </w:pPr>
      <w:bookmarkStart w:id="19" w:name="_Toc234832527"/>
    </w:p>
    <w:p w14:paraId="4D3B12A9" w14:textId="5FAB3DD0" w:rsidR="00655AE3" w:rsidRPr="00506ABD" w:rsidRDefault="00655AE3" w:rsidP="00E34A6A">
      <w:pPr>
        <w:pStyle w:val="Heading3"/>
        <w:rPr>
          <w:rFonts w:ascii="Times New Roman" w:hAnsi="Times New Roman" w:cs="Times New Roman"/>
          <w:noProof/>
        </w:rPr>
      </w:pPr>
      <w:bookmarkStart w:id="20" w:name="_Toc235189485"/>
      <w:r>
        <w:rPr>
          <w:rFonts w:ascii="Times New Roman" w:hAnsi="Times New Roman"/>
          <w:noProof/>
        </w:rPr>
        <w:t>CONCLUSIONS</w:t>
      </w:r>
      <w:bookmarkEnd w:id="19"/>
      <w:bookmarkEnd w:id="20"/>
    </w:p>
    <w:p w14:paraId="583BECC6" w14:textId="032BE450" w:rsidR="00F55BE3" w:rsidRDefault="00E92EE9" w:rsidP="00737523">
      <w:pPr>
        <w:pStyle w:val="Text1"/>
        <w:spacing w:line="240" w:lineRule="atLeast"/>
        <w:ind w:left="0"/>
        <w:rPr>
          <w:noProof/>
        </w:rPr>
      </w:pPr>
      <w:r>
        <w:rPr>
          <w:b/>
          <w:noProof/>
        </w:rPr>
        <w:t>Entre 2021 et 2023, les salaires minimaux légaux ont augmenté dans tous les États membres.</w:t>
      </w:r>
      <w:r>
        <w:rPr>
          <w:noProof/>
        </w:rPr>
        <w:t xml:space="preserve"> Dans environ la moitié des États membres, les augmentations ont compensé la perte de pouvoir d’achat causée par une inflation élevée. Les salaires minimaux ont par ailleurs augmenté davantage dans les pays où ils étaient les plus faibles, ce qui a contribué à soutenir la convergence vers le haut des salaires minimaux, conformément aux objectifs de la directive. </w:t>
      </w:r>
    </w:p>
    <w:p w14:paraId="57BD6B6F" w14:textId="57C3BE9E" w:rsidR="00AF4ED6" w:rsidRDefault="00415340" w:rsidP="00737523">
      <w:pPr>
        <w:pStyle w:val="Text1"/>
        <w:spacing w:line="240" w:lineRule="atLeast"/>
        <w:ind w:left="0"/>
        <w:rPr>
          <w:noProof/>
        </w:rPr>
      </w:pPr>
      <w:r>
        <w:rPr>
          <w:noProof/>
        </w:rPr>
        <w:t xml:space="preserve">Dans les États membres où la protection offerte par des salaires minimaux n’est assurée que par des conventions collectives, les taux de rémunération les plus bas fixés par convention collective variaient considérablement. Dans la plupart des pays, les augmentations des taux de rémunération les plus bas fixés par convention collective au cours de la période de référence ont été inférieures à l’inflation. Néanmoins, cette situation a été partiellement atténuée par le fait que ces taux étaient en général relativement plus élevés que ceux des pays disposant de salaires minimaux légaux. </w:t>
      </w:r>
    </w:p>
    <w:p w14:paraId="7EDC383C" w14:textId="78F1AF14" w:rsidR="00F013A8" w:rsidRDefault="00F013A8" w:rsidP="00797E3D">
      <w:pPr>
        <w:pStyle w:val="Text1"/>
        <w:spacing w:line="240" w:lineRule="atLeast"/>
        <w:ind w:left="0"/>
        <w:rPr>
          <w:noProof/>
        </w:rPr>
      </w:pPr>
      <w:r>
        <w:rPr>
          <w:b/>
          <w:noProof/>
        </w:rPr>
        <w:t>Actuellement, le taux de couverture des négociations collectives est inférieur au seuil de 80 % dans 18 États membres</w:t>
      </w:r>
      <w:r>
        <w:rPr>
          <w:noProof/>
        </w:rPr>
        <w:t>. Ces États membres sont dès lors tenus d’établir un plan d’action pour promouvoir les négociations collectives conformément à la directive. Toutefois, au 15 juin 2026, la Commission n’avait reçu les plans d’action que de 12 États membres.</w:t>
      </w:r>
    </w:p>
    <w:p w14:paraId="28823A8C" w14:textId="22849E6C" w:rsidR="00655AE3" w:rsidRDefault="0004026D" w:rsidP="00E34A6A">
      <w:pPr>
        <w:pStyle w:val="Text1"/>
        <w:spacing w:line="240" w:lineRule="atLeast"/>
        <w:ind w:left="0"/>
        <w:rPr>
          <w:noProof/>
        </w:rPr>
      </w:pPr>
      <w:r>
        <w:rPr>
          <w:b/>
          <w:noProof/>
        </w:rPr>
        <w:t>Les plans d’action notifiés à la Commission sont conformes aux exigences énoncées dans la directive.</w:t>
      </w:r>
      <w:r>
        <w:rPr>
          <w:noProof/>
        </w:rPr>
        <w:t xml:space="preserve"> Ils ont été établis avec la participation des partenaires sociaux et contiennent à la fois des mesures concrètes visant à promouvoir la négociation collective et un calendrier clair pour leur mise en œuvre. Une évaluation préliminaire a permis de déceler certaines bonnes pratiques, telles que l’insertion d’explications détaillées des mesures institutionnelles prévues. Les États membres pourraient souhaiter tenir compte de ces éléments dans le cadre du réexamen et de la mise à jour futurs de leurs plans d’action.</w:t>
      </w:r>
    </w:p>
    <w:p w14:paraId="198FD46D" w14:textId="0A44C5F3" w:rsidR="00F70481" w:rsidRDefault="3AA77240" w:rsidP="00BA1EBA">
      <w:pPr>
        <w:pStyle w:val="Text1"/>
        <w:spacing w:line="240" w:lineRule="atLeast"/>
        <w:ind w:left="0"/>
        <w:rPr>
          <w:noProof/>
        </w:rPr>
      </w:pPr>
      <w:r>
        <w:rPr>
          <w:noProof/>
        </w:rPr>
        <w:t xml:space="preserve">La Commission entend suivre de près l’incidence des plans d’action sur l’évolution du taux de couverture des négociations collectives dans les États membres concernés et réévaluera l’efficacité de ces plans d’action dans son prochain rapport périodique au Parlement européen et au Conseil, présenté conformément à l’article 10, paragraphe 3, de la directive. </w:t>
      </w:r>
    </w:p>
    <w:p w14:paraId="51030A28" w14:textId="77777777" w:rsidR="00F70481" w:rsidRDefault="00F70481" w:rsidP="00506ABD">
      <w:pPr>
        <w:jc w:val="both"/>
        <w:rPr>
          <w:noProof/>
        </w:rPr>
      </w:pPr>
    </w:p>
    <w:p w14:paraId="0436CEB6" w14:textId="77777777" w:rsidR="005E54CC" w:rsidRDefault="005E54CC" w:rsidP="00506ABD">
      <w:pPr>
        <w:jc w:val="both"/>
        <w:rPr>
          <w:noProof/>
        </w:rPr>
      </w:pPr>
    </w:p>
    <w:p w14:paraId="5B9CA3DD" w14:textId="77777777" w:rsidR="00F70481" w:rsidRPr="00E34A6A" w:rsidRDefault="00F70481" w:rsidP="00506ABD">
      <w:pPr>
        <w:jc w:val="both"/>
        <w:rPr>
          <w:b/>
          <w:noProof/>
        </w:rPr>
      </w:pPr>
    </w:p>
    <w:sectPr w:rsidR="00F70481" w:rsidRPr="00E34A6A" w:rsidSect="008C6074">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04984C" w14:textId="77777777" w:rsidR="00EB039F" w:rsidRDefault="00EB039F" w:rsidP="00EF641F">
      <w:pPr>
        <w:spacing w:after="0" w:line="240" w:lineRule="auto"/>
      </w:pPr>
      <w:r>
        <w:separator/>
      </w:r>
    </w:p>
  </w:endnote>
  <w:endnote w:type="continuationSeparator" w:id="0">
    <w:p w14:paraId="1FFBB7E4" w14:textId="77777777" w:rsidR="00EB039F" w:rsidRDefault="00EB039F" w:rsidP="00EF6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0DC57" w14:textId="42D384CC" w:rsidR="0093483A" w:rsidRPr="0093483A" w:rsidRDefault="0093483A" w:rsidP="0093483A">
    <w:pPr>
      <w:pStyle w:val="FooterCoverPage"/>
      <w:rPr>
        <w:rFonts w:ascii="Arial" w:hAnsi="Arial" w:cs="Arial"/>
        <w:b/>
        <w:sz w:val="48"/>
      </w:rPr>
    </w:pPr>
    <w:r w:rsidRPr="0093483A">
      <w:rPr>
        <w:rFonts w:ascii="Arial" w:hAnsi="Arial" w:cs="Arial"/>
        <w:b/>
        <w:sz w:val="48"/>
      </w:rPr>
      <w:t>FR</w:t>
    </w:r>
    <w:r w:rsidRPr="0093483A">
      <w:rPr>
        <w:rFonts w:ascii="Arial" w:hAnsi="Arial" w:cs="Arial"/>
        <w:b/>
        <w:sz w:val="48"/>
      </w:rPr>
      <w:tab/>
    </w:r>
    <w:r w:rsidRPr="0093483A">
      <w:rPr>
        <w:rFonts w:ascii="Arial" w:hAnsi="Arial" w:cs="Arial"/>
        <w:b/>
        <w:sz w:val="48"/>
      </w:rPr>
      <w:tab/>
    </w:r>
    <w:r w:rsidRPr="0093483A">
      <w:tab/>
    </w:r>
    <w:r w:rsidRPr="0093483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1298D" w14:textId="1BA9997E" w:rsidR="0093483A" w:rsidRPr="0093483A" w:rsidRDefault="0093483A" w:rsidP="0093483A">
    <w:pPr>
      <w:pStyle w:val="FooterCoverPage"/>
      <w:rPr>
        <w:rFonts w:ascii="Arial" w:hAnsi="Arial" w:cs="Arial"/>
        <w:b/>
        <w:sz w:val="48"/>
      </w:rPr>
    </w:pPr>
    <w:r w:rsidRPr="0093483A">
      <w:rPr>
        <w:rFonts w:ascii="Arial" w:hAnsi="Arial" w:cs="Arial"/>
        <w:b/>
        <w:sz w:val="48"/>
      </w:rPr>
      <w:t>FR</w:t>
    </w:r>
    <w:r w:rsidRPr="0093483A">
      <w:rPr>
        <w:rFonts w:ascii="Arial" w:hAnsi="Arial" w:cs="Arial"/>
        <w:b/>
        <w:sz w:val="48"/>
      </w:rPr>
      <w:tab/>
    </w:r>
    <w:r w:rsidRPr="0093483A">
      <w:rPr>
        <w:rFonts w:ascii="Arial" w:hAnsi="Arial" w:cs="Arial"/>
        <w:b/>
        <w:sz w:val="48"/>
      </w:rPr>
      <w:tab/>
    </w:r>
    <w:r w:rsidRPr="0093483A">
      <w:tab/>
    </w:r>
    <w:r w:rsidRPr="0093483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EBDFB" w14:textId="77777777" w:rsidR="0093483A" w:rsidRPr="0093483A" w:rsidRDefault="0093483A" w:rsidP="0093483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35D99" w14:textId="77777777" w:rsidR="00EF641F" w:rsidRDefault="00EF64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7512399"/>
      <w:docPartObj>
        <w:docPartGallery w:val="Page Numbers (Bottom of Page)"/>
        <w:docPartUnique/>
      </w:docPartObj>
    </w:sdtPr>
    <w:sdtEndPr>
      <w:rPr>
        <w:rFonts w:ascii="Times New Roman" w:hAnsi="Times New Roman" w:cs="Times New Roman"/>
        <w:noProof/>
        <w:sz w:val="24"/>
        <w:szCs w:val="24"/>
      </w:rPr>
    </w:sdtEndPr>
    <w:sdtContent>
      <w:p w14:paraId="7079BD37" w14:textId="33E5DF8E" w:rsidR="00E92D7F" w:rsidRPr="00E92D7F" w:rsidRDefault="00E92D7F">
        <w:pPr>
          <w:pStyle w:val="Footer"/>
          <w:jc w:val="center"/>
          <w:rPr>
            <w:rFonts w:ascii="Times New Roman" w:hAnsi="Times New Roman" w:cs="Times New Roman"/>
            <w:sz w:val="24"/>
            <w:szCs w:val="24"/>
          </w:rPr>
        </w:pPr>
        <w:r w:rsidRPr="00E92D7F">
          <w:rPr>
            <w:rFonts w:ascii="Times New Roman" w:hAnsi="Times New Roman" w:cs="Times New Roman"/>
            <w:sz w:val="24"/>
          </w:rPr>
          <w:fldChar w:fldCharType="begin"/>
        </w:r>
        <w:r w:rsidRPr="00E92D7F">
          <w:rPr>
            <w:rFonts w:ascii="Times New Roman" w:hAnsi="Times New Roman" w:cs="Times New Roman"/>
            <w:sz w:val="24"/>
          </w:rPr>
          <w:instrText xml:space="preserve"> PAGE   \* MERGEFORMAT </w:instrText>
        </w:r>
        <w:r w:rsidRPr="00E92D7F">
          <w:rPr>
            <w:rFonts w:ascii="Times New Roman" w:hAnsi="Times New Roman" w:cs="Times New Roman"/>
            <w:sz w:val="24"/>
          </w:rPr>
          <w:fldChar w:fldCharType="separate"/>
        </w:r>
        <w:r w:rsidR="0093483A">
          <w:rPr>
            <w:rFonts w:ascii="Times New Roman" w:hAnsi="Times New Roman" w:cs="Times New Roman"/>
            <w:noProof/>
            <w:sz w:val="24"/>
          </w:rPr>
          <w:t>2</w:t>
        </w:r>
        <w:r w:rsidRPr="00E92D7F">
          <w:rPr>
            <w:rFonts w:ascii="Times New Roman" w:hAnsi="Times New Roman" w:cs="Times New Roman"/>
            <w:sz w:val="24"/>
          </w:rPr>
          <w:fldChar w:fldCharType="end"/>
        </w:r>
      </w:p>
    </w:sdtContent>
  </w:sdt>
  <w:p w14:paraId="2383D560" w14:textId="77777777" w:rsidR="00EF641F" w:rsidRDefault="00EF641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3384E" w14:textId="77777777" w:rsidR="00EF641F" w:rsidRDefault="00EF6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B390C" w14:textId="77777777" w:rsidR="00EB039F" w:rsidRDefault="00EB039F" w:rsidP="00EF641F">
      <w:pPr>
        <w:spacing w:after="0" w:line="240" w:lineRule="auto"/>
      </w:pPr>
      <w:r>
        <w:separator/>
      </w:r>
    </w:p>
  </w:footnote>
  <w:footnote w:type="continuationSeparator" w:id="0">
    <w:p w14:paraId="5D1845EB" w14:textId="77777777" w:rsidR="00EB039F" w:rsidRDefault="00EB039F" w:rsidP="00EF641F">
      <w:pPr>
        <w:spacing w:after="0" w:line="240" w:lineRule="auto"/>
      </w:pPr>
      <w:r>
        <w:continuationSeparator/>
      </w:r>
    </w:p>
  </w:footnote>
  <w:footnote w:id="1">
    <w:p w14:paraId="2C9CC664" w14:textId="77777777" w:rsidR="00C14D6E" w:rsidRPr="0064675B" w:rsidRDefault="00C14D6E" w:rsidP="00C14D6E">
      <w:pPr>
        <w:pStyle w:val="FootnoteText"/>
      </w:pPr>
      <w:r>
        <w:t>(</w:t>
      </w:r>
      <w:r>
        <w:rPr>
          <w:rStyle w:val="FootnoteReference"/>
        </w:rPr>
        <w:footnoteRef/>
      </w:r>
      <w:r>
        <w:t xml:space="preserve">) </w:t>
      </w:r>
      <w:r>
        <w:tab/>
        <w:t xml:space="preserve">Directive (UE) 2022/2041 du Parlement européen et du Conseil du 19 octobre 2022 relative à des salaires minimaux adéquats dans l’Union européenne, </w:t>
      </w:r>
      <w:hyperlink r:id="rId1" w:history="1">
        <w:r>
          <w:rPr>
            <w:rStyle w:val="Hyperlink"/>
          </w:rPr>
          <w:t>https://eur-lex.europa.eu/eli/dir/2022/2041/oj/fra</w:t>
        </w:r>
      </w:hyperlink>
      <w:r>
        <w:t xml:space="preserve">. </w:t>
      </w:r>
    </w:p>
  </w:footnote>
  <w:footnote w:id="2">
    <w:p w14:paraId="1573B509" w14:textId="77777777" w:rsidR="00C14D6E" w:rsidRPr="004337C0" w:rsidRDefault="00C14D6E" w:rsidP="00C14D6E">
      <w:pPr>
        <w:pStyle w:val="FootnoteText"/>
      </w:pPr>
      <w:r>
        <w:t>(</w:t>
      </w:r>
      <w:r>
        <w:rPr>
          <w:rStyle w:val="FootnoteReference"/>
        </w:rPr>
        <w:footnoteRef/>
      </w:r>
      <w:r>
        <w:t>)</w:t>
      </w:r>
      <w:r>
        <w:tab/>
        <w:t xml:space="preserve">Proclamation interinstitutionnelle sur le socle européen des droits sociaux, (2017/C 428/09), </w:t>
      </w:r>
      <w:hyperlink r:id="rId2" w:history="1">
        <w:r>
          <w:rPr>
            <w:rStyle w:val="Hyperlink"/>
          </w:rPr>
          <w:t>https://employment-social-affairs.ec.europa.eu/policies-and-activities/european-pillar-social-rights-building-fairer-and-more-inclusive-european-union_en</w:t>
        </w:r>
      </w:hyperlink>
      <w:r>
        <w:t xml:space="preserve">. </w:t>
      </w:r>
    </w:p>
  </w:footnote>
  <w:footnote w:id="3">
    <w:p w14:paraId="698C32D6" w14:textId="77386C6F" w:rsidR="00C21432" w:rsidRDefault="00C21432" w:rsidP="00C21432">
      <w:pPr>
        <w:pStyle w:val="FootnoteText"/>
      </w:pPr>
      <w:r>
        <w:t>(</w:t>
      </w:r>
      <w:r>
        <w:rPr>
          <w:rStyle w:val="FootnoteReference"/>
          <w:rFonts w:eastAsiaTheme="majorEastAsia"/>
        </w:rPr>
        <w:footnoteRef/>
      </w:r>
      <w:r>
        <w:t>)</w:t>
      </w:r>
      <w:r>
        <w:tab/>
        <w:t xml:space="preserve">Eurostat publie des statistiques sur les salaires minimaux fondées sur des données comparables et harmonisées. Voir: </w:t>
      </w:r>
      <w:hyperlink r:id="rId3" w:history="1">
        <w:r>
          <w:rPr>
            <w:rStyle w:val="Hyperlink"/>
          </w:rPr>
          <w:t>https://ec.europa.eu/eurostat/statistics-explained/index.php?title=Minimum_wage_statistics</w:t>
        </w:r>
      </w:hyperlink>
      <w:r>
        <w:t>.</w:t>
      </w:r>
    </w:p>
  </w:footnote>
  <w:footnote w:id="4">
    <w:p w14:paraId="6A9F53E0" w14:textId="08A99425" w:rsidR="00B22864" w:rsidRPr="00B22864" w:rsidRDefault="00B22864">
      <w:pPr>
        <w:pStyle w:val="FootnoteText"/>
      </w:pPr>
      <w:r>
        <w:t>(</w:t>
      </w:r>
      <w:r>
        <w:rPr>
          <w:rStyle w:val="FootnoteReference"/>
        </w:rPr>
        <w:footnoteRef/>
      </w:r>
      <w:r>
        <w:t xml:space="preserve">) </w:t>
      </w:r>
      <w:r>
        <w:tab/>
      </w:r>
      <w:r w:rsidR="00337304" w:rsidRPr="00337304">
        <w:t>SWD(2026)237</w:t>
      </w:r>
      <w:r>
        <w:t>.</w:t>
      </w:r>
    </w:p>
  </w:footnote>
  <w:footnote w:id="5">
    <w:p w14:paraId="60984FA5" w14:textId="1A52C1AF" w:rsidR="00BF7990" w:rsidRPr="000372E1" w:rsidRDefault="00BF7990" w:rsidP="00BF7990">
      <w:pPr>
        <w:pStyle w:val="FootnoteText"/>
      </w:pPr>
      <w:r>
        <w:t>(</w:t>
      </w:r>
      <w:r>
        <w:rPr>
          <w:rStyle w:val="FootnoteReference"/>
        </w:rPr>
        <w:footnoteRef/>
      </w:r>
      <w:r>
        <w:t xml:space="preserve">) </w:t>
      </w:r>
      <w:r>
        <w:tab/>
        <w:t>Chypre a instauré un salaire minimum légal national en 2023. En 2021 et 2022, la protection offerte par des salaires minimaux était assurée par des conventions collectives ou, dans certains secteurs, par un salaire minimum propre au secteur.</w:t>
      </w:r>
    </w:p>
  </w:footnote>
  <w:footnote w:id="6">
    <w:p w14:paraId="49E762B0" w14:textId="77777777" w:rsidR="00FC7AC4" w:rsidRPr="00AF6FD4" w:rsidRDefault="00FC7AC4" w:rsidP="00FC7AC4">
      <w:pPr>
        <w:pStyle w:val="FootnoteText"/>
      </w:pPr>
      <w:r>
        <w:t>(</w:t>
      </w:r>
      <w:r>
        <w:rPr>
          <w:rStyle w:val="FootnoteReference"/>
        </w:rPr>
        <w:footnoteRef/>
      </w:r>
      <w:r>
        <w:t>)</w:t>
      </w:r>
      <w:r>
        <w:tab/>
        <w:t xml:space="preserve">Pour une meilleure comparabilité, les salaires minimaux légaux déclarés ont été convertis en moyennes pondérées des salaires minimaux mensuels sur l’année. </w:t>
      </w:r>
    </w:p>
  </w:footnote>
  <w:footnote w:id="7">
    <w:p w14:paraId="27434EBB" w14:textId="67055192" w:rsidR="00751143" w:rsidRPr="000019A7" w:rsidRDefault="00751143" w:rsidP="00751143">
      <w:pPr>
        <w:pStyle w:val="FootnoteText"/>
      </w:pPr>
      <w:r>
        <w:t>(</w:t>
      </w:r>
      <w:r>
        <w:rPr>
          <w:rStyle w:val="FootnoteReference"/>
        </w:rPr>
        <w:footnoteRef/>
      </w:r>
      <w:r>
        <w:t xml:space="preserve">) </w:t>
      </w:r>
      <w:r>
        <w:tab/>
        <w:t>Chypre, Croatie, Grèce, Lituanie, Malte, Pologne, Portugal, Slovaquie et Tchéquie.</w:t>
      </w:r>
    </w:p>
  </w:footnote>
  <w:footnote w:id="8">
    <w:p w14:paraId="120940AC" w14:textId="6038F3B0" w:rsidR="007B41FE" w:rsidRPr="007B41FE" w:rsidRDefault="008A72AD">
      <w:pPr>
        <w:pStyle w:val="FootnoteText"/>
      </w:pPr>
      <w:r>
        <w:t>(</w:t>
      </w:r>
      <w:r>
        <w:rPr>
          <w:rStyle w:val="FootnoteReference"/>
        </w:rPr>
        <w:footnoteRef/>
      </w:r>
      <w:r>
        <w:t xml:space="preserve">)  </w:t>
      </w:r>
      <w:r>
        <w:tab/>
        <w:t>Pour Chypre et la Slovénie, il n’a pas été possible de calculer les taux de croissance, la Slovénie n’ayant communiqué des données que pour 2023 et Chypre ayant instauré un salaire minimum légal en 2023.</w:t>
      </w:r>
    </w:p>
  </w:footnote>
  <w:footnote w:id="9">
    <w:p w14:paraId="51F6F7A2" w14:textId="7570DE87" w:rsidR="00765B27" w:rsidRPr="000E1793" w:rsidRDefault="00765B27" w:rsidP="00765B27">
      <w:pPr>
        <w:pStyle w:val="FootnoteText"/>
      </w:pPr>
      <w:r>
        <w:t>(</w:t>
      </w:r>
      <w:r>
        <w:rPr>
          <w:rStyle w:val="FootnoteReference"/>
        </w:rPr>
        <w:footnoteRef/>
      </w:r>
      <w:r>
        <w:t>)</w:t>
      </w:r>
      <w:r>
        <w:tab/>
        <w:t xml:space="preserve">Les augmentations intervenues ultérieurement, en dehors de la période de référence, ont encore contribué à compenser les pertes de pouvoir d’achat dans l’ensemble de l’Union. Voir, par exemple, Commission européenne, </w:t>
      </w:r>
      <w:r>
        <w:rPr>
          <w:i/>
        </w:rPr>
        <w:t>Labour market and wage developments in Europe — Annual review 2025</w:t>
      </w:r>
      <w:r>
        <w:t>, 2025.</w:t>
      </w:r>
    </w:p>
  </w:footnote>
  <w:footnote w:id="10">
    <w:p w14:paraId="1C9F1389" w14:textId="26A761E9" w:rsidR="00194409" w:rsidRPr="000E3D2B" w:rsidRDefault="00194409" w:rsidP="00194409">
      <w:pPr>
        <w:pStyle w:val="FootnoteText"/>
      </w:pPr>
      <w:r>
        <w:t>(</w:t>
      </w:r>
      <w:r>
        <w:rPr>
          <w:rStyle w:val="FootnoteReference"/>
        </w:rPr>
        <w:footnoteRef/>
      </w:r>
      <w:r>
        <w:t xml:space="preserve">) </w:t>
      </w:r>
      <w:r>
        <w:tab/>
        <w:t>Slovaquie, Irlande, Bulgarie, Lituanie et Tchéquie.</w:t>
      </w:r>
    </w:p>
  </w:footnote>
  <w:footnote w:id="11">
    <w:p w14:paraId="01ED6340" w14:textId="523C2B90" w:rsidR="006F5097" w:rsidRPr="00A51BDC" w:rsidRDefault="006F5097">
      <w:pPr>
        <w:pStyle w:val="FootnoteText"/>
      </w:pPr>
      <w:r>
        <w:t>(</w:t>
      </w:r>
      <w:r>
        <w:rPr>
          <w:rStyle w:val="FootnoteReference"/>
        </w:rPr>
        <w:footnoteRef/>
      </w:r>
      <w:r>
        <w:t>)</w:t>
      </w:r>
      <w:r>
        <w:tab/>
        <w:t>Les données harmonisées publiées par Eurostat indiquent qu’en 2022, la part des travailleurs percevant moins de 105 % du salaire minimum légal variait de 2,6 % en Tchéquie à 13,0 % en Bulgarie.</w:t>
      </w:r>
    </w:p>
  </w:footnote>
  <w:footnote w:id="12">
    <w:p w14:paraId="08C7AF17" w14:textId="4B825273" w:rsidR="000633CF" w:rsidRPr="000633CF" w:rsidRDefault="000633CF">
      <w:pPr>
        <w:pStyle w:val="FootnoteText"/>
      </w:pPr>
      <w:r>
        <w:t>(</w:t>
      </w:r>
      <w:r>
        <w:rPr>
          <w:rStyle w:val="FootnoteReference"/>
        </w:rPr>
        <w:footnoteRef/>
      </w:r>
      <w:r>
        <w:t>)</w:t>
      </w:r>
      <w:r>
        <w:tab/>
      </w:r>
      <w:bookmarkStart w:id="9" w:name="_Hlk230768633"/>
      <w:r>
        <w:t>Eurostat définit les travailleurs à bas salaire comme les salariés dont le revenu est inférieur ou égal aux deux tiers du salaire horaire brut médian national. Toutefois, la directive autorise les États membres à utiliser leurs propres définitions.</w:t>
      </w:r>
      <w:bookmarkEnd w:id="9"/>
    </w:p>
  </w:footnote>
  <w:footnote w:id="13">
    <w:p w14:paraId="2C0EFD30" w14:textId="7FC02A11" w:rsidR="00686EEB" w:rsidRPr="00807C66" w:rsidRDefault="00686EEB" w:rsidP="00686EEB">
      <w:pPr>
        <w:pStyle w:val="FootnoteText"/>
      </w:pPr>
      <w:r>
        <w:t>(</w:t>
      </w:r>
      <w:r>
        <w:rPr>
          <w:rStyle w:val="FootnoteReference"/>
        </w:rPr>
        <w:footnoteRef/>
      </w:r>
      <w:r>
        <w:t>)</w:t>
      </w:r>
      <w:r>
        <w:tab/>
        <w:t>L’Italie a communiqué le niveau de salaire correspondant au 25</w:t>
      </w:r>
      <w:r>
        <w:rPr>
          <w:vertAlign w:val="superscript"/>
        </w:rPr>
        <w:t>e</w:t>
      </w:r>
      <w:r>
        <w:t> centile, plutôt que le niveau de salaire le plus bas, prévu dans des conventions collectives sélectionnées couvrant les travailleurs faiblement rémunérés.</w:t>
      </w:r>
    </w:p>
  </w:footnote>
  <w:footnote w:id="14">
    <w:p w14:paraId="116B04A1" w14:textId="19C6D7B0" w:rsidR="00A73A4C" w:rsidRPr="0044710D" w:rsidRDefault="00A73A4C">
      <w:pPr>
        <w:pStyle w:val="FootnoteText"/>
      </w:pPr>
      <w:r>
        <w:t>(</w:t>
      </w:r>
      <w:r>
        <w:rPr>
          <w:rStyle w:val="FootnoteReference"/>
        </w:rPr>
        <w:footnoteRef/>
      </w:r>
      <w:r>
        <w:t>)</w:t>
      </w:r>
      <w:r>
        <w:tab/>
        <w:t>Les États membres ont recensé les conventions collectives couvrant les travailleurs à bas salaire et communiqué des données sur les niveaux de salaires les plus bas qui y figurent.</w:t>
      </w:r>
    </w:p>
  </w:footnote>
  <w:footnote w:id="15">
    <w:p w14:paraId="3C051143" w14:textId="77777777" w:rsidR="0073036D" w:rsidRPr="002B6BC7" w:rsidRDefault="0073036D" w:rsidP="0073036D">
      <w:pPr>
        <w:pStyle w:val="FootnoteText"/>
      </w:pPr>
      <w:r>
        <w:t>(</w:t>
      </w:r>
      <w:r>
        <w:rPr>
          <w:rStyle w:val="FootnoteReference"/>
        </w:rPr>
        <w:footnoteRef/>
      </w:r>
      <w:r>
        <w:t xml:space="preserve">) </w:t>
      </w:r>
      <w:r>
        <w:tab/>
        <w:t xml:space="preserve">Perspectives de l’emploi de l’OCDE (2023). </w:t>
      </w:r>
    </w:p>
  </w:footnote>
  <w:footnote w:id="16">
    <w:p w14:paraId="7919126D" w14:textId="77777777" w:rsidR="009B3AB1" w:rsidRPr="00885C1F" w:rsidRDefault="009B3AB1" w:rsidP="009B3AB1">
      <w:pPr>
        <w:pStyle w:val="FootnoteText"/>
      </w:pPr>
      <w:r>
        <w:t>(</w:t>
      </w:r>
      <w:r>
        <w:rPr>
          <w:rStyle w:val="FootnoteReference"/>
        </w:rPr>
        <w:footnoteRef/>
      </w:r>
      <w:r>
        <w:t>)</w:t>
      </w:r>
      <w:r>
        <w:tab/>
        <w:t>En raison de la disponibilité des données, les taux de couverture des négociations collectives retenus pour cette comparaison correspondent à l’année 2022 pour le Luxembourg et la Lettonie, tandis que le taux retenu pour l’Estonie correspond à l’année 2021.</w:t>
      </w:r>
    </w:p>
  </w:footnote>
  <w:footnote w:id="17">
    <w:p w14:paraId="6739442F" w14:textId="36011C1E" w:rsidR="00C4256D" w:rsidRPr="00B20918" w:rsidRDefault="00C4256D">
      <w:pPr>
        <w:pStyle w:val="FootnoteText"/>
      </w:pPr>
      <w:r>
        <w:t>(</w:t>
      </w:r>
      <w:r>
        <w:rPr>
          <w:rStyle w:val="FootnoteReference"/>
        </w:rPr>
        <w:footnoteRef/>
      </w:r>
      <w:r>
        <w:t xml:space="preserve">) </w:t>
      </w:r>
      <w:r>
        <w:tab/>
        <w:t>À Chypre, la baisse déclarée est conforme au recul à plus long terme du taux de syndicalisation observé dans le pays. En Roumanie, l’augmentation déclarée reflète probablement à la fois des évolutions institutionnelles, telles que les réformes du dialogue social, et la méthodologie de mesure. La baisse observée à Malte est due à l’utilisation de sources de données différentes.</w:t>
      </w:r>
    </w:p>
  </w:footnote>
  <w:footnote w:id="18">
    <w:p w14:paraId="43C5CD2F" w14:textId="0B9CCB1D" w:rsidR="00D152A3" w:rsidRPr="00D152A3" w:rsidRDefault="00261379" w:rsidP="001850A6">
      <w:pPr>
        <w:pStyle w:val="FootnoteText"/>
      </w:pPr>
      <w:r>
        <w:t>(</w:t>
      </w:r>
      <w:r>
        <w:rPr>
          <w:vertAlign w:val="superscript"/>
        </w:rPr>
        <w:footnoteRef/>
      </w:r>
      <w:r>
        <w:t xml:space="preserve">) </w:t>
      </w:r>
      <w:r>
        <w:tab/>
        <w:t>Allemagne, Bulgarie, Chypre, Croatie, Estonie, Grèce, Hongrie, Irlande, Lettonie, Lituanie, Luxembourg, Malte, Pays-Bas, Pologne, Roumanie, Slovaquie, Slovénie et Tchéquie.</w:t>
      </w:r>
    </w:p>
  </w:footnote>
  <w:footnote w:id="19">
    <w:p w14:paraId="101E03A2" w14:textId="6FAE1F15" w:rsidR="001C7BD5" w:rsidRPr="00261379" w:rsidRDefault="00261379">
      <w:pPr>
        <w:pStyle w:val="FootnoteText"/>
      </w:pPr>
      <w:r>
        <w:t>(</w:t>
      </w:r>
      <w:r>
        <w:rPr>
          <w:vertAlign w:val="superscript"/>
        </w:rPr>
        <w:footnoteRef/>
      </w:r>
      <w:r>
        <w:t xml:space="preserve">) </w:t>
      </w:r>
      <w:r>
        <w:tab/>
        <w:t>Bulgarie, Estonie, Grèce, Irlande, Lettonie, Lituanie, Malte, Pays-Bas, Pologne, Roumanie, Slovaquie et Tchéquie.</w:t>
      </w:r>
      <w:r>
        <w:tab/>
      </w:r>
      <w:r>
        <w:tab/>
      </w:r>
      <w:r>
        <w:tab/>
      </w:r>
    </w:p>
  </w:footnote>
  <w:footnote w:id="20">
    <w:p w14:paraId="54A1FA96" w14:textId="03E99FE0" w:rsidR="004E1D4F" w:rsidRPr="006D170B" w:rsidRDefault="004E1D4F" w:rsidP="004E1D4F">
      <w:pPr>
        <w:pStyle w:val="FootnoteText"/>
      </w:pPr>
      <w:r>
        <w:t>(</w:t>
      </w:r>
      <w:r>
        <w:rPr>
          <w:rStyle w:val="FootnoteReference"/>
        </w:rPr>
        <w:footnoteRef/>
      </w:r>
      <w:r>
        <w:t>)</w:t>
      </w:r>
      <w:r>
        <w:tab/>
        <w:t>Allemagne, Chypre, Croatie, Hongrie, Luxembourg et Slovénie.</w:t>
      </w:r>
    </w:p>
  </w:footnote>
  <w:footnote w:id="21">
    <w:p w14:paraId="4946F577" w14:textId="34A70E4C" w:rsidR="003849E3" w:rsidRPr="00177857" w:rsidRDefault="003849E3" w:rsidP="003849E3">
      <w:pPr>
        <w:pStyle w:val="FootnoteText"/>
      </w:pPr>
      <w:r>
        <w:t>(</w:t>
      </w:r>
      <w:r>
        <w:rPr>
          <w:rStyle w:val="FootnoteReference"/>
        </w:rPr>
        <w:footnoteRef/>
      </w:r>
      <w:r>
        <w:t xml:space="preserve">) </w:t>
      </w:r>
      <w:r>
        <w:tab/>
        <w:t>L’article 4, paragraphe 2, de la directive prévoit que les plans d’action sont établis après consultation des partenaires sociaux ou en accord avec eux, ou encore, à la suite d’une demande conjointe des partenaires sociaux, d’un commun accord entre eux.</w:t>
      </w:r>
    </w:p>
  </w:footnote>
  <w:footnote w:id="22">
    <w:p w14:paraId="42291053" w14:textId="462BC7F1" w:rsidR="00716DFF" w:rsidRPr="000C7476" w:rsidRDefault="00716DFF">
      <w:pPr>
        <w:pStyle w:val="FootnoteText"/>
      </w:pPr>
      <w:r>
        <w:t>(</w:t>
      </w:r>
      <w:r>
        <w:rPr>
          <w:rStyle w:val="FootnoteReference"/>
        </w:rPr>
        <w:footnoteRef/>
      </w:r>
      <w:r>
        <w:t>)</w:t>
      </w:r>
      <w:r>
        <w:tab/>
        <w:t>Bulgarie, Estonie, Grèce, Irlande, Lituanie, Pays-Bas, Pologne et Slovaquie.</w:t>
      </w:r>
    </w:p>
  </w:footnote>
  <w:footnote w:id="23">
    <w:p w14:paraId="4A6B1290" w14:textId="3BB1BDC8" w:rsidR="003849E3" w:rsidRPr="000C7476" w:rsidRDefault="007C07A1">
      <w:pPr>
        <w:pStyle w:val="FootnoteText"/>
      </w:pPr>
      <w:r>
        <w:t>(</w:t>
      </w:r>
      <w:r>
        <w:rPr>
          <w:rStyle w:val="FootnoteReference"/>
        </w:rPr>
        <w:footnoteRef/>
      </w:r>
      <w:r>
        <w:t>)</w:t>
      </w:r>
      <w:r>
        <w:tab/>
        <w:t xml:space="preserve">Tchéquie. </w:t>
      </w:r>
    </w:p>
  </w:footnote>
  <w:footnote w:id="24">
    <w:p w14:paraId="553B5277" w14:textId="6C10FE01" w:rsidR="003849E3" w:rsidRPr="000C7476" w:rsidRDefault="007C07A1">
      <w:pPr>
        <w:pStyle w:val="FootnoteText"/>
      </w:pPr>
      <w:r>
        <w:t>(</w:t>
      </w:r>
      <w:r>
        <w:rPr>
          <w:rStyle w:val="FootnoteReference"/>
        </w:rPr>
        <w:footnoteRef/>
      </w:r>
      <w:r>
        <w:t>)</w:t>
      </w:r>
      <w:r>
        <w:tab/>
        <w:t>Lettonie, Malte et Roumanie.</w:t>
      </w:r>
    </w:p>
  </w:footnote>
  <w:footnote w:id="25">
    <w:p w14:paraId="767E7410" w14:textId="77777777" w:rsidR="0079585D" w:rsidRPr="009308EF" w:rsidRDefault="0079585D" w:rsidP="0079585D">
      <w:pPr>
        <w:pStyle w:val="FootnoteText"/>
      </w:pPr>
      <w:r>
        <w:t>(</w:t>
      </w:r>
      <w:r>
        <w:rPr>
          <w:rStyle w:val="FootnoteReference"/>
        </w:rPr>
        <w:footnoteRef/>
      </w:r>
      <w:r>
        <w:t>) C’est le cas des plans d’action de la Bulgarie, de la Grèce, de l’Irlande, de Malte, de la Pologne, de la Roumanie, de la Slovaquie et de la Tchéquie, qui doivent être mis en œuvre d’ici à 2030. Le plan d’action de la Lituanie, qui a été établi avant les autres (2024), prévoit un délai de mise en œuvre de quatre ans (de 2024 à 2028).</w:t>
      </w:r>
    </w:p>
  </w:footnote>
  <w:footnote w:id="26">
    <w:p w14:paraId="6C378D16" w14:textId="77777777" w:rsidR="0079585D" w:rsidRPr="00EC5E41" w:rsidRDefault="0079585D" w:rsidP="0079585D">
      <w:pPr>
        <w:pStyle w:val="FootnoteText"/>
      </w:pPr>
      <w:r>
        <w:t>(</w:t>
      </w:r>
      <w:r>
        <w:rPr>
          <w:rStyle w:val="FootnoteReference"/>
        </w:rPr>
        <w:footnoteRef/>
      </w:r>
      <w:r>
        <w:t xml:space="preserve">) </w:t>
      </w:r>
      <w:r>
        <w:tab/>
        <w:t xml:space="preserve">Estonie, Lettonie et Pays-Bas. </w:t>
      </w:r>
    </w:p>
  </w:footnote>
  <w:footnote w:id="27">
    <w:p w14:paraId="2A2C67D3" w14:textId="54EE8CA7" w:rsidR="0079585D" w:rsidRPr="00AB24D2" w:rsidRDefault="0079585D" w:rsidP="0079585D">
      <w:pPr>
        <w:pStyle w:val="FootnoteText"/>
      </w:pPr>
      <w:r>
        <w:t>(</w:t>
      </w:r>
      <w:r>
        <w:rPr>
          <w:rStyle w:val="FootnoteReference"/>
        </w:rPr>
        <w:footnoteRef/>
      </w:r>
      <w:r>
        <w:t>)</w:t>
      </w:r>
      <w:r>
        <w:tab/>
        <w:t xml:space="preserve">À l’exception de ceux de l’Estonie, de la Lettonie et de Malte, qui ne fixent qu’un calendrier global. </w:t>
      </w:r>
    </w:p>
  </w:footnote>
  <w:footnote w:id="28">
    <w:p w14:paraId="5EB69D24" w14:textId="0040F20C" w:rsidR="00E83BB3" w:rsidRPr="002F6960" w:rsidRDefault="00E83BB3" w:rsidP="002E1D88">
      <w:pPr>
        <w:pStyle w:val="FootnoteText"/>
        <w:jc w:val="left"/>
      </w:pPr>
      <w:r>
        <w:t>(</w:t>
      </w:r>
      <w:r>
        <w:rPr>
          <w:rStyle w:val="FootnoteReference"/>
          <w:rFonts w:eastAsiaTheme="majorEastAsia"/>
        </w:rPr>
        <w:footnoteRef/>
      </w:r>
      <w:r>
        <w:t xml:space="preserve">) </w:t>
      </w:r>
      <w:r>
        <w:tab/>
        <w:t xml:space="preserve">Recommandation du Conseil du 12 juin 2023 relative au renforcement du dialogue social dans l’Union européenne(C/2023/1389), </w:t>
      </w:r>
      <w:hyperlink r:id="rId4" w:history="1">
        <w:r>
          <w:rPr>
            <w:rStyle w:val="Hyperlink"/>
          </w:rPr>
          <w:t>https://eur-lex.europa.eu/legal-content/FR/TXT/PDF/?uri=CELEX:32023H01389</w:t>
        </w:r>
      </w:hyperlink>
      <w:r>
        <w:t xml:space="preserve">. </w:t>
      </w:r>
    </w:p>
  </w:footnote>
  <w:footnote w:id="29">
    <w:p w14:paraId="1EB757E1" w14:textId="07DC3CC0" w:rsidR="00E83BB3" w:rsidRPr="00422CDB" w:rsidRDefault="00E83BB3" w:rsidP="00E83BB3">
      <w:pPr>
        <w:pStyle w:val="FootnoteText"/>
      </w:pPr>
      <w:r>
        <w:t>(</w:t>
      </w:r>
      <w:r>
        <w:rPr>
          <w:rStyle w:val="FootnoteReference"/>
        </w:rPr>
        <w:footnoteRef/>
      </w:r>
      <w:r>
        <w:t>)</w:t>
      </w:r>
      <w:r>
        <w:tab/>
        <w:t xml:space="preserve">Décision (UE) 2024/3134 du Conseil du 2 décembre 2024 relative aux lignes directrices pour les politiques de l’emploi des États membres, </w:t>
      </w:r>
      <w:hyperlink r:id="rId5" w:history="1">
        <w:r>
          <w:rPr>
            <w:rStyle w:val="Hyperlink"/>
          </w:rPr>
          <w:t>https://eur-lex.europa.eu/legal-content/FR/TXT/PDF/?uri=OJ:L_202403134</w:t>
        </w:r>
      </w:hyperlink>
      <w:r>
        <w:t xml:space="preserve">. </w:t>
      </w:r>
    </w:p>
  </w:footnote>
  <w:footnote w:id="30">
    <w:p w14:paraId="7C60EA95" w14:textId="27133BA3" w:rsidR="00400DDB" w:rsidRPr="00EF5D81" w:rsidRDefault="00400DDB" w:rsidP="00400DDB">
      <w:pPr>
        <w:pStyle w:val="FootnoteText"/>
      </w:pPr>
      <w:r>
        <w:t>(</w:t>
      </w:r>
      <w:r>
        <w:rPr>
          <w:rStyle w:val="FootnoteReference"/>
        </w:rPr>
        <w:footnoteRef/>
      </w:r>
      <w:r>
        <w:t xml:space="preserve">) </w:t>
      </w:r>
      <w:r>
        <w:tab/>
        <w:t xml:space="preserve">Bulgarie, Grèce, Irlande, Lituanie, Malte, Pologne, Roumanie, Slovaquie et Tchéquie. </w:t>
      </w:r>
    </w:p>
  </w:footnote>
  <w:footnote w:id="31">
    <w:p w14:paraId="4B811CD3" w14:textId="322CE58E" w:rsidR="001467BB" w:rsidRPr="000C7476" w:rsidRDefault="00340C3F">
      <w:pPr>
        <w:pStyle w:val="FootnoteText"/>
      </w:pPr>
      <w:r>
        <w:t>(</w:t>
      </w:r>
      <w:r>
        <w:rPr>
          <w:rStyle w:val="FootnoteReference"/>
        </w:rPr>
        <w:footnoteRef/>
      </w:r>
      <w:r>
        <w:t>) Bulgarie, Estonie, Grèce, Irlande, Lettonie, Lituanie, Malte, Pays-Bas, Pologne, Slovaquie et Tchéquie.</w:t>
      </w:r>
    </w:p>
  </w:footnote>
  <w:footnote w:id="32">
    <w:p w14:paraId="26C7ED4F" w14:textId="27E3A44C" w:rsidR="00591DF4" w:rsidRPr="00C302C8" w:rsidDel="00452583" w:rsidRDefault="00591DF4">
      <w:pPr>
        <w:pStyle w:val="FootnoteText"/>
      </w:pPr>
      <w:r>
        <w:t>(</w:t>
      </w:r>
      <w:r>
        <w:rPr>
          <w:rStyle w:val="FootnoteReference"/>
        </w:rPr>
        <w:footnoteRef/>
      </w:r>
      <w:r>
        <w:t xml:space="preserve">) </w:t>
      </w:r>
      <w:r>
        <w:tab/>
        <w:t>Bulgarie, Estonie, Irlande, Lettonie, Lituanie, Pays-Bas, Pologne, Roumanie, Slovaquie et Tchéquie.</w:t>
      </w:r>
    </w:p>
  </w:footnote>
  <w:footnote w:id="33">
    <w:p w14:paraId="411C3BE2" w14:textId="771E3516" w:rsidR="00081222" w:rsidRPr="000B172C" w:rsidDel="00452583" w:rsidRDefault="00081222">
      <w:pPr>
        <w:pStyle w:val="FootnoteText"/>
      </w:pPr>
      <w:r>
        <w:t>(</w:t>
      </w:r>
      <w:r>
        <w:rPr>
          <w:rStyle w:val="FootnoteReference"/>
        </w:rPr>
        <w:footnoteRef/>
      </w:r>
      <w:r>
        <w:t>)</w:t>
      </w:r>
      <w:r>
        <w:tab/>
        <w:t>Bulgarie, Estonie, Grèce, Irlande, Lettonie, Lituanie, Pays-Bas, Roumanie, Slovaquie et Tchéquie.</w:t>
      </w:r>
    </w:p>
  </w:footnote>
  <w:footnote w:id="34">
    <w:p w14:paraId="51A67053" w14:textId="067AF8E6" w:rsidR="00941FE9" w:rsidRPr="000C7476" w:rsidRDefault="00941FE9" w:rsidP="000B172C">
      <w:pPr>
        <w:pStyle w:val="FootnoteText"/>
      </w:pPr>
      <w:r>
        <w:t>(</w:t>
      </w:r>
      <w:r>
        <w:rPr>
          <w:rStyle w:val="FootnoteReference"/>
        </w:rPr>
        <w:footnoteRef/>
      </w:r>
      <w:r>
        <w:t xml:space="preserve">) </w:t>
      </w:r>
      <w:r>
        <w:tab/>
        <w:t>Bulgarie, Irlande, Lettonie, Lituanie, Pays-Bas, Pologne et Roumanie.</w:t>
      </w:r>
    </w:p>
  </w:footnote>
  <w:footnote w:id="35">
    <w:p w14:paraId="4F649FC9" w14:textId="61E56E5C" w:rsidR="00D60D21" w:rsidRPr="00D60D21" w:rsidRDefault="00D60D21">
      <w:pPr>
        <w:pStyle w:val="FootnoteText"/>
      </w:pPr>
      <w:r>
        <w:t>(</w:t>
      </w:r>
      <w:r>
        <w:rPr>
          <w:rStyle w:val="FootnoteReference"/>
        </w:rPr>
        <w:footnoteRef/>
      </w:r>
      <w:r>
        <w:t xml:space="preserve">) Bulgarie, Grèce, Irlande, Pays-Bas, Roumanie et Slovaquie. </w:t>
      </w:r>
    </w:p>
  </w:footnote>
  <w:footnote w:id="36">
    <w:p w14:paraId="563B95C4" w14:textId="6322C768" w:rsidR="00630E93" w:rsidRPr="00461DCE" w:rsidRDefault="00630E93" w:rsidP="00630E93">
      <w:pPr>
        <w:pStyle w:val="FootnoteText"/>
      </w:pPr>
      <w:r>
        <w:t>(</w:t>
      </w:r>
      <w:r>
        <w:rPr>
          <w:rStyle w:val="FootnoteReference"/>
        </w:rPr>
        <w:footnoteRef/>
      </w:r>
      <w:r>
        <w:t>)</w:t>
      </w:r>
      <w:r>
        <w:tab/>
        <w:t xml:space="preserve">Par exemple, des campagnes de sensibilisation, des initiatives de collecte de données ou des registres publics des conventions collectives. </w:t>
      </w:r>
    </w:p>
  </w:footnote>
  <w:footnote w:id="37">
    <w:p w14:paraId="78D54524" w14:textId="47918576" w:rsidR="005376E0" w:rsidRPr="006F38DF" w:rsidRDefault="006F38DF">
      <w:pPr>
        <w:pStyle w:val="FootnoteText"/>
      </w:pPr>
      <w:r>
        <w:t>(</w:t>
      </w:r>
      <w:r>
        <w:rPr>
          <w:rStyle w:val="FootnoteReference"/>
        </w:rPr>
        <w:footnoteRef/>
      </w:r>
      <w:r>
        <w:t xml:space="preserve">) </w:t>
      </w:r>
      <w:r>
        <w:tab/>
        <w:t>Si certains États membres, tels que la Bulgarie et la Grèce, précisent le contenu des modifications réglementaires qu’ils entendent introduire, d’autres, tels que la Lettonie, la Lituanie ou la Slovaquie, restent plus vagues et ne donnent aucune indication sur le contenu éventuel de ces modifications, ou se bornent à évoquer la nécessité de poursuivre les études et les analyses.</w:t>
      </w:r>
    </w:p>
  </w:footnote>
  <w:footnote w:id="38">
    <w:p w14:paraId="427DB939" w14:textId="77777777" w:rsidR="00E243C5" w:rsidRPr="00A4107A" w:rsidRDefault="00E243C5" w:rsidP="00E243C5">
      <w:pPr>
        <w:pStyle w:val="FootnoteText"/>
      </w:pPr>
      <w:r>
        <w:t>(</w:t>
      </w:r>
      <w:r>
        <w:rPr>
          <w:rStyle w:val="FootnoteReference"/>
        </w:rPr>
        <w:footnoteRef/>
      </w:r>
      <w:r>
        <w:t xml:space="preserve">) </w:t>
      </w:r>
      <w:r>
        <w:tab/>
        <w:t xml:space="preserve">C’est le cas des plans d’action de l’Estonie, de la Lettonie et de Malte. </w:t>
      </w:r>
    </w:p>
  </w:footnote>
  <w:footnote w:id="39">
    <w:p w14:paraId="08E8EDF1" w14:textId="57263332" w:rsidR="0047108B" w:rsidRPr="007E5C37" w:rsidRDefault="0047108B" w:rsidP="0047108B">
      <w:pPr>
        <w:pStyle w:val="FootnoteText"/>
      </w:pPr>
      <w:r>
        <w:t>(</w:t>
      </w:r>
      <w:r>
        <w:rPr>
          <w:rStyle w:val="FootnoteReference"/>
        </w:rPr>
        <w:footnoteRef/>
      </w:r>
      <w:r>
        <w:t xml:space="preserve">) </w:t>
      </w:r>
      <w:r>
        <w:tab/>
        <w:t>Grèce, Pologne, Roumanie, Slovaquie et Tchéquie.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3F0A9" w14:textId="77777777" w:rsidR="0093483A" w:rsidRPr="0093483A" w:rsidRDefault="0093483A" w:rsidP="0093483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81D55" w14:textId="77777777" w:rsidR="0093483A" w:rsidRPr="0093483A" w:rsidRDefault="0093483A" w:rsidP="0093483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E2A9F" w14:textId="77777777" w:rsidR="0093483A" w:rsidRPr="0093483A" w:rsidRDefault="0093483A" w:rsidP="0093483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9FB00" w14:textId="77777777" w:rsidR="00EF641F" w:rsidRDefault="00EF64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33F17" w14:textId="77777777" w:rsidR="00EF641F" w:rsidRDefault="00EF641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35137" w14:textId="77777777" w:rsidR="00EF641F" w:rsidRDefault="00EF64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FEDCFF88"/>
    <w:name w:val="ListDash4Numbering"/>
    <w:lvl w:ilvl="0">
      <w:start w:val="1"/>
      <w:numFmt w:val="bullet"/>
      <w:pStyle w:val="ListDash4"/>
      <w:lvlText w:val="–"/>
      <w:lvlJc w:val="left"/>
      <w:pPr>
        <w:tabs>
          <w:tab w:val="num" w:pos="1485"/>
        </w:tabs>
        <w:ind w:left="1485" w:hanging="283"/>
      </w:pPr>
      <w:rPr>
        <w:rFonts w:ascii="Times New Roman" w:hAnsi="Times New Roman" w:hint="default"/>
      </w:rPr>
    </w:lvl>
    <w:lvl w:ilvl="1">
      <w:start w:val="1"/>
      <w:numFmt w:val="bullet"/>
      <w:pStyle w:val="ListDash4Level2"/>
      <w:lvlText w:val="–"/>
      <w:lvlJc w:val="left"/>
      <w:pPr>
        <w:tabs>
          <w:tab w:val="num" w:pos="1769"/>
        </w:tabs>
        <w:ind w:left="1769" w:hanging="284"/>
      </w:pPr>
      <w:rPr>
        <w:rFonts w:ascii="Times New Roman" w:hAnsi="Times New Roman" w:hint="default"/>
      </w:rPr>
    </w:lvl>
    <w:lvl w:ilvl="2">
      <w:start w:val="1"/>
      <w:numFmt w:val="bullet"/>
      <w:pStyle w:val="ListDash4Level3"/>
      <w:lvlText w:val="–"/>
      <w:lvlJc w:val="left"/>
      <w:pPr>
        <w:tabs>
          <w:tab w:val="num" w:pos="2052"/>
        </w:tabs>
        <w:ind w:left="2052" w:hanging="283"/>
      </w:pPr>
      <w:rPr>
        <w:rFonts w:ascii="Times New Roman" w:hAnsi="Times New Roman" w:hint="default"/>
      </w:rPr>
    </w:lvl>
    <w:lvl w:ilvl="3">
      <w:start w:val="1"/>
      <w:numFmt w:val="bullet"/>
      <w:pStyle w:val="ListDash4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FB7115"/>
    <w:multiLevelType w:val="multilevel"/>
    <w:tmpl w:val="DA7EA5D6"/>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hint="default"/>
      </w:rPr>
    </w:lvl>
    <w:lvl w:ilvl="3">
      <w:start w:val="1"/>
      <w:numFmt w:val="bullet"/>
      <w:pStyle w:val="ListNumber3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0B7201"/>
    <w:multiLevelType w:val="multilevel"/>
    <w:tmpl w:val="C73E114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0B8345"/>
    <w:multiLevelType w:val="multilevel"/>
    <w:tmpl w:val="035A067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62685D"/>
    <w:multiLevelType w:val="multilevel"/>
    <w:tmpl w:val="466645B0"/>
    <w:name w:val="ListBullet4Numbering"/>
    <w:lvl w:ilvl="0">
      <w:start w:val="1"/>
      <w:numFmt w:val="bullet"/>
      <w:pStyle w:val="ListBullet4"/>
      <w:lvlText w:val=""/>
      <w:lvlJc w:val="left"/>
      <w:pPr>
        <w:tabs>
          <w:tab w:val="num" w:pos="1485"/>
        </w:tabs>
        <w:ind w:left="1485" w:hanging="283"/>
      </w:pPr>
      <w:rPr>
        <w:rFonts w:ascii="Symbol" w:hAnsi="Symbol" w:hint="default"/>
      </w:rPr>
    </w:lvl>
    <w:lvl w:ilvl="1">
      <w:start w:val="1"/>
      <w:numFmt w:val="bullet"/>
      <w:pStyle w:val="ListBullet4Level2"/>
      <w:lvlText w:val=""/>
      <w:lvlJc w:val="left"/>
      <w:pPr>
        <w:tabs>
          <w:tab w:val="num" w:pos="1769"/>
        </w:tabs>
        <w:ind w:left="1769" w:hanging="284"/>
      </w:pPr>
      <w:rPr>
        <w:rFonts w:ascii="Symbol" w:hAnsi="Symbol" w:hint="default"/>
      </w:rPr>
    </w:lvl>
    <w:lvl w:ilvl="2">
      <w:start w:val="1"/>
      <w:numFmt w:val="bullet"/>
      <w:pStyle w:val="ListBullet4Level3"/>
      <w:lvlText w:val=""/>
      <w:lvlJc w:val="left"/>
      <w:pPr>
        <w:tabs>
          <w:tab w:val="num" w:pos="2052"/>
        </w:tabs>
        <w:ind w:left="2052" w:hanging="283"/>
      </w:pPr>
      <w:rPr>
        <w:rFonts w:ascii="Symbol" w:hAnsi="Symbol" w:hint="default"/>
      </w:rPr>
    </w:lvl>
    <w:lvl w:ilvl="3">
      <w:start w:val="1"/>
      <w:numFmt w:val="bullet"/>
      <w:pStyle w:val="ListBullet4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3D0A16"/>
    <w:multiLevelType w:val="multilevel"/>
    <w:tmpl w:val="2ACC3CEC"/>
    <w:name w:val="ListBullet3Numbering"/>
    <w:lvl w:ilvl="0">
      <w:start w:val="1"/>
      <w:numFmt w:val="bullet"/>
      <w:pStyle w:val="ListBullet3"/>
      <w:lvlText w:val=""/>
      <w:lvlJc w:val="left"/>
      <w:pPr>
        <w:tabs>
          <w:tab w:val="num" w:pos="1485"/>
        </w:tabs>
        <w:ind w:left="1485" w:hanging="283"/>
      </w:pPr>
      <w:rPr>
        <w:rFonts w:ascii="Symbol" w:hAnsi="Symbol" w:hint="default"/>
      </w:rPr>
    </w:lvl>
    <w:lvl w:ilvl="1">
      <w:start w:val="1"/>
      <w:numFmt w:val="bullet"/>
      <w:pStyle w:val="ListBullet3Level2"/>
      <w:lvlText w:val=""/>
      <w:lvlJc w:val="left"/>
      <w:pPr>
        <w:tabs>
          <w:tab w:val="num" w:pos="1769"/>
        </w:tabs>
        <w:ind w:left="1769" w:hanging="284"/>
      </w:pPr>
      <w:rPr>
        <w:rFonts w:ascii="Symbol" w:hAnsi="Symbol" w:hint="default"/>
      </w:rPr>
    </w:lvl>
    <w:lvl w:ilvl="2">
      <w:start w:val="1"/>
      <w:numFmt w:val="bullet"/>
      <w:pStyle w:val="ListBullet3Level3"/>
      <w:lvlText w:val=""/>
      <w:lvlJc w:val="left"/>
      <w:pPr>
        <w:tabs>
          <w:tab w:val="num" w:pos="2052"/>
        </w:tabs>
        <w:ind w:left="2052" w:hanging="283"/>
      </w:pPr>
      <w:rPr>
        <w:rFonts w:ascii="Symbol" w:hAnsi="Symbol" w:hint="default"/>
      </w:rPr>
    </w:lvl>
    <w:lvl w:ilvl="3">
      <w:start w:val="1"/>
      <w:numFmt w:val="bullet"/>
      <w:pStyle w:val="ListBullet3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2F0AC5"/>
    <w:multiLevelType w:val="multilevel"/>
    <w:tmpl w:val="E24873E8"/>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7B624F"/>
    <w:multiLevelType w:val="multilevel"/>
    <w:tmpl w:val="A5E600B4"/>
    <w:name w:val="ListDash2Numbering"/>
    <w:lvl w:ilvl="0">
      <w:start w:val="1"/>
      <w:numFmt w:val="bullet"/>
      <w:pStyle w:val="ListDash2"/>
      <w:lvlText w:val="–"/>
      <w:lvlJc w:val="left"/>
      <w:pPr>
        <w:tabs>
          <w:tab w:val="num" w:pos="1485"/>
        </w:tabs>
        <w:ind w:left="1485" w:hanging="283"/>
      </w:pPr>
      <w:rPr>
        <w:rFonts w:ascii="Times New Roman" w:hAnsi="Times New Roman" w:hint="default"/>
      </w:rPr>
    </w:lvl>
    <w:lvl w:ilvl="1">
      <w:start w:val="1"/>
      <w:numFmt w:val="bullet"/>
      <w:pStyle w:val="ListDash2Level2"/>
      <w:lvlText w:val="–"/>
      <w:lvlJc w:val="left"/>
      <w:pPr>
        <w:tabs>
          <w:tab w:val="num" w:pos="1769"/>
        </w:tabs>
        <w:ind w:left="1769" w:hanging="284"/>
      </w:pPr>
      <w:rPr>
        <w:rFonts w:ascii="Times New Roman" w:hAnsi="Times New Roman" w:hint="default"/>
      </w:rPr>
    </w:lvl>
    <w:lvl w:ilvl="2">
      <w:start w:val="1"/>
      <w:numFmt w:val="bullet"/>
      <w:pStyle w:val="ListDash2Level3"/>
      <w:lvlText w:val="–"/>
      <w:lvlJc w:val="left"/>
      <w:pPr>
        <w:tabs>
          <w:tab w:val="num" w:pos="2052"/>
        </w:tabs>
        <w:ind w:left="2052" w:hanging="283"/>
      </w:pPr>
      <w:rPr>
        <w:rFonts w:ascii="Times New Roman" w:hAnsi="Times New Roman" w:hint="default"/>
      </w:rPr>
    </w:lvl>
    <w:lvl w:ilvl="3">
      <w:start w:val="1"/>
      <w:numFmt w:val="bullet"/>
      <w:pStyle w:val="ListDash2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A34329"/>
    <w:multiLevelType w:val="hybridMultilevel"/>
    <w:tmpl w:val="33C43C3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C8DFDF8"/>
    <w:multiLevelType w:val="multilevel"/>
    <w:tmpl w:val="C7D49D80"/>
    <w:name w:val="ListBullet2Numbering"/>
    <w:lvl w:ilvl="0">
      <w:start w:val="1"/>
      <w:numFmt w:val="bullet"/>
      <w:pStyle w:val="ListBullet2"/>
      <w:lvlText w:val=""/>
      <w:lvlJc w:val="left"/>
      <w:pPr>
        <w:tabs>
          <w:tab w:val="num" w:pos="1485"/>
        </w:tabs>
        <w:ind w:left="1485" w:hanging="283"/>
      </w:pPr>
      <w:rPr>
        <w:rFonts w:ascii="Symbol" w:hAnsi="Symbol" w:hint="default"/>
      </w:rPr>
    </w:lvl>
    <w:lvl w:ilvl="1">
      <w:start w:val="1"/>
      <w:numFmt w:val="bullet"/>
      <w:pStyle w:val="ListBullet2Level2"/>
      <w:lvlText w:val=""/>
      <w:lvlJc w:val="left"/>
      <w:pPr>
        <w:tabs>
          <w:tab w:val="num" w:pos="1769"/>
        </w:tabs>
        <w:ind w:left="1769" w:hanging="284"/>
      </w:pPr>
      <w:rPr>
        <w:rFonts w:ascii="Symbol" w:hAnsi="Symbol" w:hint="default"/>
      </w:rPr>
    </w:lvl>
    <w:lvl w:ilvl="2">
      <w:start w:val="1"/>
      <w:numFmt w:val="bullet"/>
      <w:pStyle w:val="ListBullet2Level3"/>
      <w:lvlText w:val=""/>
      <w:lvlJc w:val="left"/>
      <w:pPr>
        <w:tabs>
          <w:tab w:val="num" w:pos="2052"/>
        </w:tabs>
        <w:ind w:left="2052" w:hanging="283"/>
      </w:pPr>
      <w:rPr>
        <w:rFonts w:ascii="Symbol" w:hAnsi="Symbol" w:hint="default"/>
      </w:rPr>
    </w:lvl>
    <w:lvl w:ilvl="3">
      <w:start w:val="1"/>
      <w:numFmt w:val="bullet"/>
      <w:pStyle w:val="ListBullet2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D293CE3"/>
    <w:multiLevelType w:val="multilevel"/>
    <w:tmpl w:val="DF148E58"/>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293CF4"/>
    <w:multiLevelType w:val="multilevel"/>
    <w:tmpl w:val="20968CDC"/>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3532395"/>
    <w:multiLevelType w:val="multilevel"/>
    <w:tmpl w:val="62CEE12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4FD041B"/>
    <w:multiLevelType w:val="hybridMultilevel"/>
    <w:tmpl w:val="4F2225DE"/>
    <w:lvl w:ilvl="0" w:tplc="1C26501E">
      <w:start w:val="1"/>
      <w:numFmt w:val="decimal"/>
      <w:lvlText w:val="%1."/>
      <w:lvlJc w:val="left"/>
      <w:pPr>
        <w:ind w:left="1020" w:hanging="360"/>
      </w:pPr>
    </w:lvl>
    <w:lvl w:ilvl="1" w:tplc="0F36ECA2">
      <w:start w:val="1"/>
      <w:numFmt w:val="decimal"/>
      <w:lvlText w:val="%2."/>
      <w:lvlJc w:val="left"/>
      <w:pPr>
        <w:ind w:left="1020" w:hanging="360"/>
      </w:pPr>
    </w:lvl>
    <w:lvl w:ilvl="2" w:tplc="A4001796">
      <w:start w:val="1"/>
      <w:numFmt w:val="decimal"/>
      <w:lvlText w:val="%3."/>
      <w:lvlJc w:val="left"/>
      <w:pPr>
        <w:ind w:left="1020" w:hanging="360"/>
      </w:pPr>
    </w:lvl>
    <w:lvl w:ilvl="3" w:tplc="5AC81362">
      <w:start w:val="1"/>
      <w:numFmt w:val="decimal"/>
      <w:lvlText w:val="%4."/>
      <w:lvlJc w:val="left"/>
      <w:pPr>
        <w:ind w:left="1020" w:hanging="360"/>
      </w:pPr>
    </w:lvl>
    <w:lvl w:ilvl="4" w:tplc="FF5E3DC4">
      <w:start w:val="1"/>
      <w:numFmt w:val="decimal"/>
      <w:lvlText w:val="%5."/>
      <w:lvlJc w:val="left"/>
      <w:pPr>
        <w:ind w:left="1020" w:hanging="360"/>
      </w:pPr>
    </w:lvl>
    <w:lvl w:ilvl="5" w:tplc="DC5EA640">
      <w:start w:val="1"/>
      <w:numFmt w:val="decimal"/>
      <w:lvlText w:val="%6."/>
      <w:lvlJc w:val="left"/>
      <w:pPr>
        <w:ind w:left="1020" w:hanging="360"/>
      </w:pPr>
    </w:lvl>
    <w:lvl w:ilvl="6" w:tplc="5586852A">
      <w:start w:val="1"/>
      <w:numFmt w:val="decimal"/>
      <w:lvlText w:val="%7."/>
      <w:lvlJc w:val="left"/>
      <w:pPr>
        <w:ind w:left="1020" w:hanging="360"/>
      </w:pPr>
    </w:lvl>
    <w:lvl w:ilvl="7" w:tplc="12E08530">
      <w:start w:val="1"/>
      <w:numFmt w:val="decimal"/>
      <w:lvlText w:val="%8."/>
      <w:lvlJc w:val="left"/>
      <w:pPr>
        <w:ind w:left="1020" w:hanging="360"/>
      </w:pPr>
    </w:lvl>
    <w:lvl w:ilvl="8" w:tplc="FFE69EDE">
      <w:start w:val="1"/>
      <w:numFmt w:val="decimal"/>
      <w:lvlText w:val="%9."/>
      <w:lvlJc w:val="left"/>
      <w:pPr>
        <w:ind w:left="1020" w:hanging="360"/>
      </w:pPr>
    </w:lvl>
  </w:abstractNum>
  <w:abstractNum w:abstractNumId="14" w15:restartNumberingAfterBreak="0">
    <w:nsid w:val="36324F1E"/>
    <w:multiLevelType w:val="multilevel"/>
    <w:tmpl w:val="C27A35E2"/>
    <w:name w:val="ListDash3Numbering"/>
    <w:lvl w:ilvl="0">
      <w:start w:val="1"/>
      <w:numFmt w:val="bullet"/>
      <w:pStyle w:val="ListDash3"/>
      <w:lvlText w:val="–"/>
      <w:lvlJc w:val="left"/>
      <w:pPr>
        <w:tabs>
          <w:tab w:val="num" w:pos="1485"/>
        </w:tabs>
        <w:ind w:left="1485" w:hanging="283"/>
      </w:pPr>
      <w:rPr>
        <w:rFonts w:ascii="Times New Roman" w:hAnsi="Times New Roman" w:hint="default"/>
      </w:rPr>
    </w:lvl>
    <w:lvl w:ilvl="1">
      <w:start w:val="1"/>
      <w:numFmt w:val="bullet"/>
      <w:pStyle w:val="ListDash3Level2"/>
      <w:lvlText w:val="–"/>
      <w:lvlJc w:val="left"/>
      <w:pPr>
        <w:tabs>
          <w:tab w:val="num" w:pos="1769"/>
        </w:tabs>
        <w:ind w:left="1769" w:hanging="284"/>
      </w:pPr>
      <w:rPr>
        <w:rFonts w:ascii="Times New Roman" w:hAnsi="Times New Roman" w:hint="default"/>
      </w:rPr>
    </w:lvl>
    <w:lvl w:ilvl="2">
      <w:start w:val="1"/>
      <w:numFmt w:val="bullet"/>
      <w:pStyle w:val="ListDash3Level3"/>
      <w:lvlText w:val="–"/>
      <w:lvlJc w:val="left"/>
      <w:pPr>
        <w:tabs>
          <w:tab w:val="num" w:pos="2052"/>
        </w:tabs>
        <w:ind w:left="2052" w:hanging="283"/>
      </w:pPr>
      <w:rPr>
        <w:rFonts w:ascii="Times New Roman" w:hAnsi="Times New Roman" w:hint="default"/>
      </w:rPr>
    </w:lvl>
    <w:lvl w:ilvl="3">
      <w:start w:val="1"/>
      <w:numFmt w:val="bullet"/>
      <w:pStyle w:val="ListDash3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7CB1E1C"/>
    <w:multiLevelType w:val="multilevel"/>
    <w:tmpl w:val="9246013C"/>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A7730C4"/>
    <w:multiLevelType w:val="multilevel"/>
    <w:tmpl w:val="77C05EB2"/>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054659"/>
    <w:multiLevelType w:val="multilevel"/>
    <w:tmpl w:val="F82431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FE02E98"/>
    <w:multiLevelType w:val="hybridMultilevel"/>
    <w:tmpl w:val="37E4903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9E662A"/>
    <w:multiLevelType w:val="multilevel"/>
    <w:tmpl w:val="168C62B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BC532C"/>
    <w:multiLevelType w:val="hybridMultilevel"/>
    <w:tmpl w:val="6608AF52"/>
    <w:lvl w:ilvl="0" w:tplc="38DE2A26">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79A3516"/>
    <w:multiLevelType w:val="hybridMultilevel"/>
    <w:tmpl w:val="33C43C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1A63DF"/>
    <w:multiLevelType w:val="multilevel"/>
    <w:tmpl w:val="F2FC4A76"/>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E1A982C"/>
    <w:multiLevelType w:val="multilevel"/>
    <w:tmpl w:val="396E80F2"/>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072619B"/>
    <w:multiLevelType w:val="multilevel"/>
    <w:tmpl w:val="2598B3BE"/>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0729B52"/>
    <w:multiLevelType w:val="multilevel"/>
    <w:tmpl w:val="CA407E7C"/>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53D3EFA"/>
    <w:multiLevelType w:val="hybridMultilevel"/>
    <w:tmpl w:val="A7DA005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59153DD"/>
    <w:multiLevelType w:val="multilevel"/>
    <w:tmpl w:val="F31E4A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D87B50"/>
    <w:multiLevelType w:val="hybridMultilevel"/>
    <w:tmpl w:val="11FC4B74"/>
    <w:lvl w:ilvl="0" w:tplc="300C9E10">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977472E"/>
    <w:multiLevelType w:val="multilevel"/>
    <w:tmpl w:val="A24CA7E8"/>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hint="default"/>
      </w:rPr>
    </w:lvl>
    <w:lvl w:ilvl="3">
      <w:start w:val="1"/>
      <w:numFmt w:val="bullet"/>
      <w:pStyle w:val="ListNumber4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9970C6"/>
    <w:multiLevelType w:val="hybridMultilevel"/>
    <w:tmpl w:val="B352DC20"/>
    <w:lvl w:ilvl="0" w:tplc="C5C836E6">
      <w:numFmt w:val="bullet"/>
      <w:lvlText w:val="-"/>
      <w:lvlJc w:val="left"/>
      <w:pPr>
        <w:ind w:left="720" w:hanging="360"/>
      </w:pPr>
      <w:rPr>
        <w:rFonts w:ascii="Aptos" w:hAnsi="Aptos" w:hint="default"/>
      </w:rPr>
    </w:lvl>
    <w:lvl w:ilvl="1" w:tplc="8F346A1C">
      <w:start w:val="1"/>
      <w:numFmt w:val="bullet"/>
      <w:lvlText w:val="o"/>
      <w:lvlJc w:val="left"/>
      <w:pPr>
        <w:ind w:left="1440" w:hanging="360"/>
      </w:pPr>
      <w:rPr>
        <w:rFonts w:ascii="Courier New" w:hAnsi="Courier New" w:hint="default"/>
      </w:rPr>
    </w:lvl>
    <w:lvl w:ilvl="2" w:tplc="37008C48">
      <w:start w:val="1"/>
      <w:numFmt w:val="bullet"/>
      <w:lvlText w:val=""/>
      <w:lvlJc w:val="left"/>
      <w:pPr>
        <w:ind w:left="2160" w:hanging="360"/>
      </w:pPr>
      <w:rPr>
        <w:rFonts w:ascii="Wingdings" w:hAnsi="Wingdings" w:hint="default"/>
      </w:rPr>
    </w:lvl>
    <w:lvl w:ilvl="3" w:tplc="40E284C0" w:tentative="1">
      <w:start w:val="1"/>
      <w:numFmt w:val="bullet"/>
      <w:lvlText w:val=""/>
      <w:lvlJc w:val="left"/>
      <w:pPr>
        <w:ind w:left="2880" w:hanging="360"/>
      </w:pPr>
      <w:rPr>
        <w:rFonts w:ascii="Symbol" w:hAnsi="Symbol" w:hint="default"/>
      </w:rPr>
    </w:lvl>
    <w:lvl w:ilvl="4" w:tplc="4BFE9EB4" w:tentative="1">
      <w:start w:val="1"/>
      <w:numFmt w:val="bullet"/>
      <w:lvlText w:val="o"/>
      <w:lvlJc w:val="left"/>
      <w:pPr>
        <w:ind w:left="3600" w:hanging="360"/>
      </w:pPr>
      <w:rPr>
        <w:rFonts w:ascii="Courier New" w:hAnsi="Courier New" w:hint="default"/>
      </w:rPr>
    </w:lvl>
    <w:lvl w:ilvl="5" w:tplc="DADCBFF4" w:tentative="1">
      <w:start w:val="1"/>
      <w:numFmt w:val="bullet"/>
      <w:lvlText w:val=""/>
      <w:lvlJc w:val="left"/>
      <w:pPr>
        <w:ind w:left="4320" w:hanging="360"/>
      </w:pPr>
      <w:rPr>
        <w:rFonts w:ascii="Wingdings" w:hAnsi="Wingdings" w:hint="default"/>
      </w:rPr>
    </w:lvl>
    <w:lvl w:ilvl="6" w:tplc="90B8864A" w:tentative="1">
      <w:start w:val="1"/>
      <w:numFmt w:val="bullet"/>
      <w:lvlText w:val=""/>
      <w:lvlJc w:val="left"/>
      <w:pPr>
        <w:ind w:left="5040" w:hanging="360"/>
      </w:pPr>
      <w:rPr>
        <w:rFonts w:ascii="Symbol" w:hAnsi="Symbol" w:hint="default"/>
      </w:rPr>
    </w:lvl>
    <w:lvl w:ilvl="7" w:tplc="5F64D7D8" w:tentative="1">
      <w:start w:val="1"/>
      <w:numFmt w:val="bullet"/>
      <w:lvlText w:val="o"/>
      <w:lvlJc w:val="left"/>
      <w:pPr>
        <w:ind w:left="5760" w:hanging="360"/>
      </w:pPr>
      <w:rPr>
        <w:rFonts w:ascii="Courier New" w:hAnsi="Courier New" w:hint="default"/>
      </w:rPr>
    </w:lvl>
    <w:lvl w:ilvl="8" w:tplc="2A126216" w:tentative="1">
      <w:start w:val="1"/>
      <w:numFmt w:val="bullet"/>
      <w:lvlText w:val=""/>
      <w:lvlJc w:val="left"/>
      <w:pPr>
        <w:ind w:left="6480" w:hanging="360"/>
      </w:pPr>
      <w:rPr>
        <w:rFonts w:ascii="Wingdings" w:hAnsi="Wingdings" w:hint="default"/>
      </w:rPr>
    </w:lvl>
  </w:abstractNum>
  <w:abstractNum w:abstractNumId="31" w15:restartNumberingAfterBreak="0">
    <w:nsid w:val="6F78200A"/>
    <w:multiLevelType w:val="hybridMultilevel"/>
    <w:tmpl w:val="45E2576A"/>
    <w:lvl w:ilvl="0" w:tplc="38DE2A26">
      <w:numFmt w:val="bullet"/>
      <w:lvlText w:val="-"/>
      <w:lvlJc w:val="left"/>
      <w:pPr>
        <w:ind w:left="720" w:hanging="360"/>
      </w:pPr>
      <w:rPr>
        <w:rFonts w:ascii="Aptos" w:hAnsi="Aptos" w:hint="default"/>
      </w:rPr>
    </w:lvl>
    <w:lvl w:ilvl="1" w:tplc="5B74E3BC">
      <w:start w:val="1"/>
      <w:numFmt w:val="bullet"/>
      <w:lvlText w:val="o"/>
      <w:lvlJc w:val="left"/>
      <w:pPr>
        <w:ind w:left="1440" w:hanging="360"/>
      </w:pPr>
      <w:rPr>
        <w:rFonts w:ascii="Courier New" w:hAnsi="Courier New" w:hint="default"/>
      </w:rPr>
    </w:lvl>
    <w:lvl w:ilvl="2" w:tplc="5544A372" w:tentative="1">
      <w:start w:val="1"/>
      <w:numFmt w:val="bullet"/>
      <w:lvlText w:val=""/>
      <w:lvlJc w:val="left"/>
      <w:pPr>
        <w:ind w:left="2160" w:hanging="360"/>
      </w:pPr>
      <w:rPr>
        <w:rFonts w:ascii="Wingdings" w:hAnsi="Wingdings" w:hint="default"/>
      </w:rPr>
    </w:lvl>
    <w:lvl w:ilvl="3" w:tplc="E3FCBCFC" w:tentative="1">
      <w:start w:val="1"/>
      <w:numFmt w:val="bullet"/>
      <w:lvlText w:val=""/>
      <w:lvlJc w:val="left"/>
      <w:pPr>
        <w:ind w:left="2880" w:hanging="360"/>
      </w:pPr>
      <w:rPr>
        <w:rFonts w:ascii="Symbol" w:hAnsi="Symbol" w:hint="default"/>
      </w:rPr>
    </w:lvl>
    <w:lvl w:ilvl="4" w:tplc="B8F2CA64" w:tentative="1">
      <w:start w:val="1"/>
      <w:numFmt w:val="bullet"/>
      <w:lvlText w:val="o"/>
      <w:lvlJc w:val="left"/>
      <w:pPr>
        <w:ind w:left="3600" w:hanging="360"/>
      </w:pPr>
      <w:rPr>
        <w:rFonts w:ascii="Courier New" w:hAnsi="Courier New" w:hint="default"/>
      </w:rPr>
    </w:lvl>
    <w:lvl w:ilvl="5" w:tplc="0110183C" w:tentative="1">
      <w:start w:val="1"/>
      <w:numFmt w:val="bullet"/>
      <w:lvlText w:val=""/>
      <w:lvlJc w:val="left"/>
      <w:pPr>
        <w:ind w:left="4320" w:hanging="360"/>
      </w:pPr>
      <w:rPr>
        <w:rFonts w:ascii="Wingdings" w:hAnsi="Wingdings" w:hint="default"/>
      </w:rPr>
    </w:lvl>
    <w:lvl w:ilvl="6" w:tplc="0DEA2332" w:tentative="1">
      <w:start w:val="1"/>
      <w:numFmt w:val="bullet"/>
      <w:lvlText w:val=""/>
      <w:lvlJc w:val="left"/>
      <w:pPr>
        <w:ind w:left="5040" w:hanging="360"/>
      </w:pPr>
      <w:rPr>
        <w:rFonts w:ascii="Symbol" w:hAnsi="Symbol" w:hint="default"/>
      </w:rPr>
    </w:lvl>
    <w:lvl w:ilvl="7" w:tplc="C2526510" w:tentative="1">
      <w:start w:val="1"/>
      <w:numFmt w:val="bullet"/>
      <w:lvlText w:val="o"/>
      <w:lvlJc w:val="left"/>
      <w:pPr>
        <w:ind w:left="5760" w:hanging="360"/>
      </w:pPr>
      <w:rPr>
        <w:rFonts w:ascii="Courier New" w:hAnsi="Courier New" w:hint="default"/>
      </w:rPr>
    </w:lvl>
    <w:lvl w:ilvl="8" w:tplc="732A93FE" w:tentative="1">
      <w:start w:val="1"/>
      <w:numFmt w:val="bullet"/>
      <w:lvlText w:val=""/>
      <w:lvlJc w:val="left"/>
      <w:pPr>
        <w:ind w:left="6480" w:hanging="360"/>
      </w:pPr>
      <w:rPr>
        <w:rFonts w:ascii="Wingdings" w:hAnsi="Wingdings" w:hint="default"/>
      </w:rPr>
    </w:lvl>
  </w:abstractNum>
  <w:abstractNum w:abstractNumId="32" w15:restartNumberingAfterBreak="0">
    <w:nsid w:val="799647B4"/>
    <w:multiLevelType w:val="hybridMultilevel"/>
    <w:tmpl w:val="A7DA0050"/>
    <w:lvl w:ilvl="0" w:tplc="339AF10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8"/>
  </w:num>
  <w:num w:numId="2">
    <w:abstractNumId w:val="0"/>
  </w:num>
  <w:num w:numId="3">
    <w:abstractNumId w:val="14"/>
  </w:num>
  <w:num w:numId="4">
    <w:abstractNumId w:val="7"/>
  </w:num>
  <w:num w:numId="5">
    <w:abstractNumId w:val="15"/>
  </w:num>
  <w:num w:numId="6">
    <w:abstractNumId w:val="24"/>
  </w:num>
  <w:num w:numId="7">
    <w:abstractNumId w:val="29"/>
  </w:num>
  <w:num w:numId="8">
    <w:abstractNumId w:val="1"/>
  </w:num>
  <w:num w:numId="9">
    <w:abstractNumId w:val="6"/>
  </w:num>
  <w:num w:numId="10">
    <w:abstractNumId w:val="19"/>
  </w:num>
  <w:num w:numId="11">
    <w:abstractNumId w:val="2"/>
  </w:num>
  <w:num w:numId="12">
    <w:abstractNumId w:val="4"/>
  </w:num>
  <w:num w:numId="13">
    <w:abstractNumId w:val="5"/>
  </w:num>
  <w:num w:numId="14">
    <w:abstractNumId w:val="9"/>
  </w:num>
  <w:num w:numId="15">
    <w:abstractNumId w:val="16"/>
  </w:num>
  <w:num w:numId="16">
    <w:abstractNumId w:val="23"/>
  </w:num>
  <w:num w:numId="17">
    <w:abstractNumId w:val="10"/>
  </w:num>
  <w:num w:numId="18">
    <w:abstractNumId w:val="11"/>
  </w:num>
  <w:num w:numId="19">
    <w:abstractNumId w:val="33"/>
  </w:num>
  <w:num w:numId="20">
    <w:abstractNumId w:val="22"/>
  </w:num>
  <w:num w:numId="21">
    <w:abstractNumId w:val="25"/>
  </w:num>
  <w:num w:numId="22">
    <w:abstractNumId w:val="3"/>
  </w:num>
  <w:num w:numId="23">
    <w:abstractNumId w:val="8"/>
  </w:num>
  <w:num w:numId="24">
    <w:abstractNumId w:val="18"/>
  </w:num>
  <w:num w:numId="25">
    <w:abstractNumId w:val="31"/>
  </w:num>
  <w:num w:numId="26">
    <w:abstractNumId w:val="13"/>
  </w:num>
  <w:num w:numId="27">
    <w:abstractNumId w:val="27"/>
  </w:num>
  <w:num w:numId="28">
    <w:abstractNumId w:val="17"/>
  </w:num>
  <w:num w:numId="29">
    <w:abstractNumId w:val="12"/>
  </w:num>
  <w:num w:numId="30">
    <w:abstractNumId w:val="32"/>
  </w:num>
  <w:num w:numId="31">
    <w:abstractNumId w:val="26"/>
  </w:num>
  <w:num w:numId="32">
    <w:abstractNumId w:val="30"/>
  </w:num>
  <w:num w:numId="33">
    <w:abstractNumId w:val="21"/>
  </w:num>
  <w:num w:numId="34">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29676F97-72DF-4F5B-8513-D4B132BD5912"/>
    <w:docVar w:name="LW_COVERPAGE_TYPE" w:val="1"/>
    <w:docVar w:name="LW_CROSSREFERENCE" w:val="{SWD(2026) 237 final}"/>
    <w:docVar w:name="LW_DocType" w:val="NORMAL"/>
    <w:docVar w:name="LW_EMISSION" w:val="23.7.2026"/>
    <w:docVar w:name="LW_EMISSION_ISODATE" w:val="2026-07-23"/>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ur les données et les informations transmises par les États membres &lt;/FMT&gt;_x000b_&lt;FMT:Bold&gt;concernant la protection offerte par des salaires minimaux ainsi que sur les plans d\u8217?action visant à promouvoir les négociations collectives, conformément à l\u8217?article 10, paragraphe 3, de la directive (UE) 2022/2041&lt;/FMT&gt;"/>
    <w:docVar w:name="LW_TYPE.DOC.CP" w:val="RAPPORT DE LA COMMISSION AU PARLEMENT EUROPÉEN ET AU CONSEIL"/>
    <w:docVar w:name="LwApiVersions" w:val="LW4CoDe 1.24.5.0; LW 9.2, Build 20251112"/>
  </w:docVars>
  <w:rsids>
    <w:rsidRoot w:val="00DB629A"/>
    <w:rsid w:val="000000DD"/>
    <w:rsid w:val="00000447"/>
    <w:rsid w:val="000007C6"/>
    <w:rsid w:val="00000947"/>
    <w:rsid w:val="00000A3E"/>
    <w:rsid w:val="00000A7A"/>
    <w:rsid w:val="00000B95"/>
    <w:rsid w:val="00000C16"/>
    <w:rsid w:val="00000E4F"/>
    <w:rsid w:val="0000122F"/>
    <w:rsid w:val="000015BB"/>
    <w:rsid w:val="0000168B"/>
    <w:rsid w:val="00001837"/>
    <w:rsid w:val="00001959"/>
    <w:rsid w:val="000019A7"/>
    <w:rsid w:val="000019E6"/>
    <w:rsid w:val="00001B12"/>
    <w:rsid w:val="00001B17"/>
    <w:rsid w:val="00001B2E"/>
    <w:rsid w:val="00001C51"/>
    <w:rsid w:val="00001F9F"/>
    <w:rsid w:val="000020B4"/>
    <w:rsid w:val="000020EF"/>
    <w:rsid w:val="000022BA"/>
    <w:rsid w:val="00002315"/>
    <w:rsid w:val="0000243A"/>
    <w:rsid w:val="00002623"/>
    <w:rsid w:val="00002C35"/>
    <w:rsid w:val="00002CBB"/>
    <w:rsid w:val="00002CE0"/>
    <w:rsid w:val="00003624"/>
    <w:rsid w:val="000036DD"/>
    <w:rsid w:val="00003C73"/>
    <w:rsid w:val="00003D3B"/>
    <w:rsid w:val="00003DAE"/>
    <w:rsid w:val="00003DE5"/>
    <w:rsid w:val="00003E4B"/>
    <w:rsid w:val="0000422B"/>
    <w:rsid w:val="0000435A"/>
    <w:rsid w:val="000043E8"/>
    <w:rsid w:val="000046D6"/>
    <w:rsid w:val="000047F2"/>
    <w:rsid w:val="00004865"/>
    <w:rsid w:val="00004DE0"/>
    <w:rsid w:val="0000506E"/>
    <w:rsid w:val="00005073"/>
    <w:rsid w:val="0000564C"/>
    <w:rsid w:val="00005666"/>
    <w:rsid w:val="000059DB"/>
    <w:rsid w:val="00006022"/>
    <w:rsid w:val="0000609E"/>
    <w:rsid w:val="000065F5"/>
    <w:rsid w:val="000068DE"/>
    <w:rsid w:val="00006BFD"/>
    <w:rsid w:val="00006CDE"/>
    <w:rsid w:val="00007742"/>
    <w:rsid w:val="00007812"/>
    <w:rsid w:val="00007835"/>
    <w:rsid w:val="00007C97"/>
    <w:rsid w:val="00007E7A"/>
    <w:rsid w:val="000101EB"/>
    <w:rsid w:val="000103E4"/>
    <w:rsid w:val="0001044B"/>
    <w:rsid w:val="00010562"/>
    <w:rsid w:val="0001057B"/>
    <w:rsid w:val="000106A2"/>
    <w:rsid w:val="000108AF"/>
    <w:rsid w:val="000109F9"/>
    <w:rsid w:val="00010AD0"/>
    <w:rsid w:val="00010BFD"/>
    <w:rsid w:val="00010E10"/>
    <w:rsid w:val="00010F35"/>
    <w:rsid w:val="00011043"/>
    <w:rsid w:val="0001115B"/>
    <w:rsid w:val="00011376"/>
    <w:rsid w:val="00011447"/>
    <w:rsid w:val="000114A5"/>
    <w:rsid w:val="00011735"/>
    <w:rsid w:val="00011A26"/>
    <w:rsid w:val="00011F38"/>
    <w:rsid w:val="000120D7"/>
    <w:rsid w:val="0001216F"/>
    <w:rsid w:val="00012356"/>
    <w:rsid w:val="000123F2"/>
    <w:rsid w:val="00012426"/>
    <w:rsid w:val="00012909"/>
    <w:rsid w:val="00012B16"/>
    <w:rsid w:val="00012BD1"/>
    <w:rsid w:val="0001361F"/>
    <w:rsid w:val="0001373E"/>
    <w:rsid w:val="000138CC"/>
    <w:rsid w:val="00013A3A"/>
    <w:rsid w:val="00013A83"/>
    <w:rsid w:val="00013A9A"/>
    <w:rsid w:val="00013DE9"/>
    <w:rsid w:val="00014B83"/>
    <w:rsid w:val="00014C73"/>
    <w:rsid w:val="00014E98"/>
    <w:rsid w:val="0001509F"/>
    <w:rsid w:val="000152C1"/>
    <w:rsid w:val="00015702"/>
    <w:rsid w:val="00015720"/>
    <w:rsid w:val="0001582D"/>
    <w:rsid w:val="00015945"/>
    <w:rsid w:val="0001636E"/>
    <w:rsid w:val="000163AD"/>
    <w:rsid w:val="00016AA2"/>
    <w:rsid w:val="00016FB6"/>
    <w:rsid w:val="00017180"/>
    <w:rsid w:val="000172B6"/>
    <w:rsid w:val="00017711"/>
    <w:rsid w:val="000177ED"/>
    <w:rsid w:val="00017CC3"/>
    <w:rsid w:val="00017F0B"/>
    <w:rsid w:val="00020316"/>
    <w:rsid w:val="0002040C"/>
    <w:rsid w:val="0002067D"/>
    <w:rsid w:val="000207AB"/>
    <w:rsid w:val="00020D7F"/>
    <w:rsid w:val="00021033"/>
    <w:rsid w:val="0002140A"/>
    <w:rsid w:val="00021785"/>
    <w:rsid w:val="0002192A"/>
    <w:rsid w:val="0002196B"/>
    <w:rsid w:val="00021E21"/>
    <w:rsid w:val="000224F3"/>
    <w:rsid w:val="000227A1"/>
    <w:rsid w:val="00022A37"/>
    <w:rsid w:val="00022ADA"/>
    <w:rsid w:val="00022B40"/>
    <w:rsid w:val="00022EE4"/>
    <w:rsid w:val="0002307E"/>
    <w:rsid w:val="000231A8"/>
    <w:rsid w:val="00023292"/>
    <w:rsid w:val="000236F4"/>
    <w:rsid w:val="0002374E"/>
    <w:rsid w:val="000238EB"/>
    <w:rsid w:val="00023C9C"/>
    <w:rsid w:val="00023DB6"/>
    <w:rsid w:val="00023F74"/>
    <w:rsid w:val="00024223"/>
    <w:rsid w:val="000243A2"/>
    <w:rsid w:val="0002455E"/>
    <w:rsid w:val="000248AB"/>
    <w:rsid w:val="00024E89"/>
    <w:rsid w:val="00024F36"/>
    <w:rsid w:val="00024F74"/>
    <w:rsid w:val="000252A8"/>
    <w:rsid w:val="00025333"/>
    <w:rsid w:val="0002563E"/>
    <w:rsid w:val="000257F6"/>
    <w:rsid w:val="00025841"/>
    <w:rsid w:val="000258EC"/>
    <w:rsid w:val="000259FD"/>
    <w:rsid w:val="00025B6B"/>
    <w:rsid w:val="00025E7B"/>
    <w:rsid w:val="000260A6"/>
    <w:rsid w:val="000263EB"/>
    <w:rsid w:val="0002642B"/>
    <w:rsid w:val="00026430"/>
    <w:rsid w:val="000268D1"/>
    <w:rsid w:val="00026934"/>
    <w:rsid w:val="00026AD9"/>
    <w:rsid w:val="00026AFA"/>
    <w:rsid w:val="00026C58"/>
    <w:rsid w:val="00026C6B"/>
    <w:rsid w:val="00026CF0"/>
    <w:rsid w:val="00026DC4"/>
    <w:rsid w:val="00026DD4"/>
    <w:rsid w:val="00026F8B"/>
    <w:rsid w:val="0002702F"/>
    <w:rsid w:val="0002709B"/>
    <w:rsid w:val="000271D9"/>
    <w:rsid w:val="0002732E"/>
    <w:rsid w:val="000276D4"/>
    <w:rsid w:val="00027778"/>
    <w:rsid w:val="000277D6"/>
    <w:rsid w:val="00027A0E"/>
    <w:rsid w:val="00027B3A"/>
    <w:rsid w:val="0003001C"/>
    <w:rsid w:val="00030075"/>
    <w:rsid w:val="00030111"/>
    <w:rsid w:val="00030444"/>
    <w:rsid w:val="00030875"/>
    <w:rsid w:val="00030A8D"/>
    <w:rsid w:val="00030BB1"/>
    <w:rsid w:val="000312A7"/>
    <w:rsid w:val="000314AA"/>
    <w:rsid w:val="000314B8"/>
    <w:rsid w:val="000314FE"/>
    <w:rsid w:val="0003152F"/>
    <w:rsid w:val="00031584"/>
    <w:rsid w:val="0003169D"/>
    <w:rsid w:val="00031870"/>
    <w:rsid w:val="00031888"/>
    <w:rsid w:val="0003193F"/>
    <w:rsid w:val="00031C23"/>
    <w:rsid w:val="00031EC8"/>
    <w:rsid w:val="000322C8"/>
    <w:rsid w:val="0003248A"/>
    <w:rsid w:val="0003271B"/>
    <w:rsid w:val="0003283E"/>
    <w:rsid w:val="00032B1F"/>
    <w:rsid w:val="00032F73"/>
    <w:rsid w:val="00033674"/>
    <w:rsid w:val="000339AF"/>
    <w:rsid w:val="00033BF0"/>
    <w:rsid w:val="00033E51"/>
    <w:rsid w:val="00033F17"/>
    <w:rsid w:val="00034182"/>
    <w:rsid w:val="0003418B"/>
    <w:rsid w:val="000341BB"/>
    <w:rsid w:val="0003425B"/>
    <w:rsid w:val="0003438B"/>
    <w:rsid w:val="00034A9B"/>
    <w:rsid w:val="00034E49"/>
    <w:rsid w:val="00034EAB"/>
    <w:rsid w:val="00034FCC"/>
    <w:rsid w:val="00035689"/>
    <w:rsid w:val="000357A7"/>
    <w:rsid w:val="0003596C"/>
    <w:rsid w:val="00035986"/>
    <w:rsid w:val="000359F8"/>
    <w:rsid w:val="00035AFB"/>
    <w:rsid w:val="00035C6F"/>
    <w:rsid w:val="000364BD"/>
    <w:rsid w:val="00036727"/>
    <w:rsid w:val="00036B42"/>
    <w:rsid w:val="00036DFA"/>
    <w:rsid w:val="00036FC7"/>
    <w:rsid w:val="00037ABE"/>
    <w:rsid w:val="00037C4F"/>
    <w:rsid w:val="00037DD7"/>
    <w:rsid w:val="00037DFC"/>
    <w:rsid w:val="00037F79"/>
    <w:rsid w:val="00037FEB"/>
    <w:rsid w:val="00040233"/>
    <w:rsid w:val="0004026D"/>
    <w:rsid w:val="0004035A"/>
    <w:rsid w:val="00040443"/>
    <w:rsid w:val="00040682"/>
    <w:rsid w:val="000406D1"/>
    <w:rsid w:val="00040965"/>
    <w:rsid w:val="00040DF8"/>
    <w:rsid w:val="0004124B"/>
    <w:rsid w:val="00041254"/>
    <w:rsid w:val="000412C3"/>
    <w:rsid w:val="00041307"/>
    <w:rsid w:val="0004198C"/>
    <w:rsid w:val="00041AAC"/>
    <w:rsid w:val="0004241C"/>
    <w:rsid w:val="000424B1"/>
    <w:rsid w:val="000424EE"/>
    <w:rsid w:val="0004255B"/>
    <w:rsid w:val="00042894"/>
    <w:rsid w:val="00042F14"/>
    <w:rsid w:val="00042F87"/>
    <w:rsid w:val="0004303D"/>
    <w:rsid w:val="00043105"/>
    <w:rsid w:val="000436B0"/>
    <w:rsid w:val="000436C9"/>
    <w:rsid w:val="000437A6"/>
    <w:rsid w:val="00043963"/>
    <w:rsid w:val="00043BE9"/>
    <w:rsid w:val="00043CCF"/>
    <w:rsid w:val="00043CED"/>
    <w:rsid w:val="00043FD3"/>
    <w:rsid w:val="00044B10"/>
    <w:rsid w:val="00044B57"/>
    <w:rsid w:val="00044C56"/>
    <w:rsid w:val="00044D25"/>
    <w:rsid w:val="00044E41"/>
    <w:rsid w:val="00044FEB"/>
    <w:rsid w:val="0004511B"/>
    <w:rsid w:val="00045915"/>
    <w:rsid w:val="00045C89"/>
    <w:rsid w:val="00045F83"/>
    <w:rsid w:val="00046079"/>
    <w:rsid w:val="00046104"/>
    <w:rsid w:val="00046448"/>
    <w:rsid w:val="000469AC"/>
    <w:rsid w:val="00046B7D"/>
    <w:rsid w:val="00046EE9"/>
    <w:rsid w:val="00047176"/>
    <w:rsid w:val="00047234"/>
    <w:rsid w:val="000475C5"/>
    <w:rsid w:val="00047801"/>
    <w:rsid w:val="0004785A"/>
    <w:rsid w:val="00047AAE"/>
    <w:rsid w:val="00047CD7"/>
    <w:rsid w:val="00047D4B"/>
    <w:rsid w:val="00047DC6"/>
    <w:rsid w:val="00047E7B"/>
    <w:rsid w:val="0005003B"/>
    <w:rsid w:val="000500AF"/>
    <w:rsid w:val="00050141"/>
    <w:rsid w:val="00050201"/>
    <w:rsid w:val="000504D8"/>
    <w:rsid w:val="000505C7"/>
    <w:rsid w:val="000508BE"/>
    <w:rsid w:val="000508EB"/>
    <w:rsid w:val="00050A84"/>
    <w:rsid w:val="00050A8F"/>
    <w:rsid w:val="00050CBE"/>
    <w:rsid w:val="00050CF9"/>
    <w:rsid w:val="00050DD1"/>
    <w:rsid w:val="00050E72"/>
    <w:rsid w:val="000515B2"/>
    <w:rsid w:val="000519EA"/>
    <w:rsid w:val="00051FC2"/>
    <w:rsid w:val="00052232"/>
    <w:rsid w:val="00052405"/>
    <w:rsid w:val="00052885"/>
    <w:rsid w:val="00052957"/>
    <w:rsid w:val="00052993"/>
    <w:rsid w:val="00052A4D"/>
    <w:rsid w:val="00052AE5"/>
    <w:rsid w:val="00052EFB"/>
    <w:rsid w:val="00052F96"/>
    <w:rsid w:val="00052FF0"/>
    <w:rsid w:val="0005303C"/>
    <w:rsid w:val="000531FA"/>
    <w:rsid w:val="00053458"/>
    <w:rsid w:val="000535BD"/>
    <w:rsid w:val="00053C5E"/>
    <w:rsid w:val="00053CB9"/>
    <w:rsid w:val="00053D78"/>
    <w:rsid w:val="00053DB6"/>
    <w:rsid w:val="000540BC"/>
    <w:rsid w:val="000540FB"/>
    <w:rsid w:val="00054266"/>
    <w:rsid w:val="00054404"/>
    <w:rsid w:val="00054463"/>
    <w:rsid w:val="000546CF"/>
    <w:rsid w:val="000546E8"/>
    <w:rsid w:val="000548DC"/>
    <w:rsid w:val="00054910"/>
    <w:rsid w:val="000549B0"/>
    <w:rsid w:val="00054AC3"/>
    <w:rsid w:val="00054BD3"/>
    <w:rsid w:val="00054D0B"/>
    <w:rsid w:val="00055240"/>
    <w:rsid w:val="0005529E"/>
    <w:rsid w:val="00055319"/>
    <w:rsid w:val="00055521"/>
    <w:rsid w:val="000556DF"/>
    <w:rsid w:val="00055839"/>
    <w:rsid w:val="000558A7"/>
    <w:rsid w:val="00055923"/>
    <w:rsid w:val="00055B85"/>
    <w:rsid w:val="00055C41"/>
    <w:rsid w:val="00055FC6"/>
    <w:rsid w:val="00056224"/>
    <w:rsid w:val="0005626B"/>
    <w:rsid w:val="000562F9"/>
    <w:rsid w:val="000565D7"/>
    <w:rsid w:val="00056752"/>
    <w:rsid w:val="00056BFC"/>
    <w:rsid w:val="00056C03"/>
    <w:rsid w:val="00056EF0"/>
    <w:rsid w:val="00057021"/>
    <w:rsid w:val="0005750B"/>
    <w:rsid w:val="00057582"/>
    <w:rsid w:val="000577D9"/>
    <w:rsid w:val="00057A48"/>
    <w:rsid w:val="00057C40"/>
    <w:rsid w:val="00057D53"/>
    <w:rsid w:val="00057FF4"/>
    <w:rsid w:val="000603C0"/>
    <w:rsid w:val="00060469"/>
    <w:rsid w:val="0006064F"/>
    <w:rsid w:val="00060673"/>
    <w:rsid w:val="00060AD1"/>
    <w:rsid w:val="00060C6D"/>
    <w:rsid w:val="00060E26"/>
    <w:rsid w:val="00060F17"/>
    <w:rsid w:val="0006124C"/>
    <w:rsid w:val="00061295"/>
    <w:rsid w:val="00061497"/>
    <w:rsid w:val="000619F7"/>
    <w:rsid w:val="00061B2E"/>
    <w:rsid w:val="00061BE1"/>
    <w:rsid w:val="00061F37"/>
    <w:rsid w:val="000623E5"/>
    <w:rsid w:val="0006255C"/>
    <w:rsid w:val="00062947"/>
    <w:rsid w:val="0006299B"/>
    <w:rsid w:val="00062A31"/>
    <w:rsid w:val="00062ABA"/>
    <w:rsid w:val="00062D85"/>
    <w:rsid w:val="0006323D"/>
    <w:rsid w:val="00063311"/>
    <w:rsid w:val="0006337C"/>
    <w:rsid w:val="000633CF"/>
    <w:rsid w:val="00063587"/>
    <w:rsid w:val="0006359B"/>
    <w:rsid w:val="00063EBD"/>
    <w:rsid w:val="00063EE0"/>
    <w:rsid w:val="00063FF4"/>
    <w:rsid w:val="000640A3"/>
    <w:rsid w:val="00064104"/>
    <w:rsid w:val="00064132"/>
    <w:rsid w:val="00064345"/>
    <w:rsid w:val="0006439C"/>
    <w:rsid w:val="000644A3"/>
    <w:rsid w:val="000645E6"/>
    <w:rsid w:val="00064751"/>
    <w:rsid w:val="00064AB2"/>
    <w:rsid w:val="00064AF8"/>
    <w:rsid w:val="00064C5D"/>
    <w:rsid w:val="00064DE6"/>
    <w:rsid w:val="00064F02"/>
    <w:rsid w:val="00065216"/>
    <w:rsid w:val="0006530B"/>
    <w:rsid w:val="0006545C"/>
    <w:rsid w:val="000655F3"/>
    <w:rsid w:val="00065871"/>
    <w:rsid w:val="00065880"/>
    <w:rsid w:val="00065D7D"/>
    <w:rsid w:val="00065F32"/>
    <w:rsid w:val="00065FAB"/>
    <w:rsid w:val="00066055"/>
    <w:rsid w:val="00066066"/>
    <w:rsid w:val="00066086"/>
    <w:rsid w:val="00066137"/>
    <w:rsid w:val="00066340"/>
    <w:rsid w:val="000663A9"/>
    <w:rsid w:val="000664F7"/>
    <w:rsid w:val="000665BE"/>
    <w:rsid w:val="00066763"/>
    <w:rsid w:val="000667B4"/>
    <w:rsid w:val="00066A73"/>
    <w:rsid w:val="00066CDF"/>
    <w:rsid w:val="00066D73"/>
    <w:rsid w:val="00066D80"/>
    <w:rsid w:val="000670DA"/>
    <w:rsid w:val="000670F6"/>
    <w:rsid w:val="00067404"/>
    <w:rsid w:val="0006776F"/>
    <w:rsid w:val="00067B0D"/>
    <w:rsid w:val="00067B43"/>
    <w:rsid w:val="00067F0A"/>
    <w:rsid w:val="00070668"/>
    <w:rsid w:val="0007074D"/>
    <w:rsid w:val="00070782"/>
    <w:rsid w:val="0007079D"/>
    <w:rsid w:val="0007081C"/>
    <w:rsid w:val="000709B9"/>
    <w:rsid w:val="00070B93"/>
    <w:rsid w:val="00070D9C"/>
    <w:rsid w:val="000710A6"/>
    <w:rsid w:val="000710C3"/>
    <w:rsid w:val="0007175D"/>
    <w:rsid w:val="000718D6"/>
    <w:rsid w:val="00071A42"/>
    <w:rsid w:val="00071AA5"/>
    <w:rsid w:val="00071C55"/>
    <w:rsid w:val="00072166"/>
    <w:rsid w:val="00072458"/>
    <w:rsid w:val="0007274D"/>
    <w:rsid w:val="00072824"/>
    <w:rsid w:val="00072849"/>
    <w:rsid w:val="00072A13"/>
    <w:rsid w:val="00072CD1"/>
    <w:rsid w:val="00072EFE"/>
    <w:rsid w:val="000730BD"/>
    <w:rsid w:val="0007326C"/>
    <w:rsid w:val="000738ED"/>
    <w:rsid w:val="000739FB"/>
    <w:rsid w:val="00073F52"/>
    <w:rsid w:val="0007435D"/>
    <w:rsid w:val="00074520"/>
    <w:rsid w:val="00074554"/>
    <w:rsid w:val="00074685"/>
    <w:rsid w:val="000749A6"/>
    <w:rsid w:val="000749F5"/>
    <w:rsid w:val="00074ADE"/>
    <w:rsid w:val="00074E86"/>
    <w:rsid w:val="000753A2"/>
    <w:rsid w:val="0007548C"/>
    <w:rsid w:val="0007585C"/>
    <w:rsid w:val="00075A15"/>
    <w:rsid w:val="00075A21"/>
    <w:rsid w:val="00075BB6"/>
    <w:rsid w:val="0007629D"/>
    <w:rsid w:val="000766B4"/>
    <w:rsid w:val="00076809"/>
    <w:rsid w:val="00076A10"/>
    <w:rsid w:val="00076B79"/>
    <w:rsid w:val="00076D1F"/>
    <w:rsid w:val="00077278"/>
    <w:rsid w:val="000774B9"/>
    <w:rsid w:val="00077730"/>
    <w:rsid w:val="00077EDE"/>
    <w:rsid w:val="00077F2B"/>
    <w:rsid w:val="0008050D"/>
    <w:rsid w:val="00080698"/>
    <w:rsid w:val="0008079B"/>
    <w:rsid w:val="00080EF6"/>
    <w:rsid w:val="00080FF4"/>
    <w:rsid w:val="00081222"/>
    <w:rsid w:val="00081485"/>
    <w:rsid w:val="000814B0"/>
    <w:rsid w:val="0008150F"/>
    <w:rsid w:val="0008169A"/>
    <w:rsid w:val="00081BA6"/>
    <w:rsid w:val="00081CF6"/>
    <w:rsid w:val="00082084"/>
    <w:rsid w:val="000822BE"/>
    <w:rsid w:val="00082326"/>
    <w:rsid w:val="000824BA"/>
    <w:rsid w:val="00082705"/>
    <w:rsid w:val="000827D2"/>
    <w:rsid w:val="000827F2"/>
    <w:rsid w:val="00082895"/>
    <w:rsid w:val="00082A4D"/>
    <w:rsid w:val="00082D3D"/>
    <w:rsid w:val="00082EA5"/>
    <w:rsid w:val="00082F3B"/>
    <w:rsid w:val="00082FB1"/>
    <w:rsid w:val="00083064"/>
    <w:rsid w:val="0008336E"/>
    <w:rsid w:val="00083373"/>
    <w:rsid w:val="0008368C"/>
    <w:rsid w:val="000836B3"/>
    <w:rsid w:val="000838DB"/>
    <w:rsid w:val="00083DE5"/>
    <w:rsid w:val="00083F37"/>
    <w:rsid w:val="00084179"/>
    <w:rsid w:val="00084876"/>
    <w:rsid w:val="0008487B"/>
    <w:rsid w:val="00084BB6"/>
    <w:rsid w:val="00084DCB"/>
    <w:rsid w:val="00084F13"/>
    <w:rsid w:val="00084FB3"/>
    <w:rsid w:val="00084FBF"/>
    <w:rsid w:val="000850C9"/>
    <w:rsid w:val="000850DF"/>
    <w:rsid w:val="00085591"/>
    <w:rsid w:val="000855A0"/>
    <w:rsid w:val="000857A1"/>
    <w:rsid w:val="00085819"/>
    <w:rsid w:val="00085998"/>
    <w:rsid w:val="00085B9D"/>
    <w:rsid w:val="00085C62"/>
    <w:rsid w:val="0008615C"/>
    <w:rsid w:val="000867F6"/>
    <w:rsid w:val="00086FCA"/>
    <w:rsid w:val="00087185"/>
    <w:rsid w:val="000873EA"/>
    <w:rsid w:val="00087484"/>
    <w:rsid w:val="00087563"/>
    <w:rsid w:val="000877F4"/>
    <w:rsid w:val="00087983"/>
    <w:rsid w:val="00087A8A"/>
    <w:rsid w:val="00087A91"/>
    <w:rsid w:val="00087CBB"/>
    <w:rsid w:val="000901B9"/>
    <w:rsid w:val="000903CB"/>
    <w:rsid w:val="00090536"/>
    <w:rsid w:val="00090720"/>
    <w:rsid w:val="00090B45"/>
    <w:rsid w:val="00090EAB"/>
    <w:rsid w:val="00091595"/>
    <w:rsid w:val="000917CB"/>
    <w:rsid w:val="00091914"/>
    <w:rsid w:val="00091990"/>
    <w:rsid w:val="00091BE6"/>
    <w:rsid w:val="00091E78"/>
    <w:rsid w:val="00091F95"/>
    <w:rsid w:val="000920F5"/>
    <w:rsid w:val="00092118"/>
    <w:rsid w:val="00092508"/>
    <w:rsid w:val="00092611"/>
    <w:rsid w:val="00092BD9"/>
    <w:rsid w:val="00092C8D"/>
    <w:rsid w:val="000931A5"/>
    <w:rsid w:val="000931B8"/>
    <w:rsid w:val="00093263"/>
    <w:rsid w:val="00093806"/>
    <w:rsid w:val="00093831"/>
    <w:rsid w:val="000939AC"/>
    <w:rsid w:val="00093CBA"/>
    <w:rsid w:val="00094099"/>
    <w:rsid w:val="000940C7"/>
    <w:rsid w:val="000940E1"/>
    <w:rsid w:val="000940F4"/>
    <w:rsid w:val="000941E1"/>
    <w:rsid w:val="000945F2"/>
    <w:rsid w:val="0009480B"/>
    <w:rsid w:val="00094C63"/>
    <w:rsid w:val="00094F03"/>
    <w:rsid w:val="000950C4"/>
    <w:rsid w:val="000951EF"/>
    <w:rsid w:val="00095353"/>
    <w:rsid w:val="0009545D"/>
    <w:rsid w:val="0009578E"/>
    <w:rsid w:val="000959AD"/>
    <w:rsid w:val="00095C4F"/>
    <w:rsid w:val="00095DC8"/>
    <w:rsid w:val="00095EAA"/>
    <w:rsid w:val="000962F9"/>
    <w:rsid w:val="000964A8"/>
    <w:rsid w:val="00096505"/>
    <w:rsid w:val="000966C2"/>
    <w:rsid w:val="00096743"/>
    <w:rsid w:val="000968FA"/>
    <w:rsid w:val="0009695E"/>
    <w:rsid w:val="000969A2"/>
    <w:rsid w:val="00096AEA"/>
    <w:rsid w:val="00096B6C"/>
    <w:rsid w:val="00096BE0"/>
    <w:rsid w:val="00096DAD"/>
    <w:rsid w:val="00096F5B"/>
    <w:rsid w:val="00096FF3"/>
    <w:rsid w:val="00097074"/>
    <w:rsid w:val="0009732A"/>
    <w:rsid w:val="0009736A"/>
    <w:rsid w:val="000975D7"/>
    <w:rsid w:val="00097688"/>
    <w:rsid w:val="000979AD"/>
    <w:rsid w:val="00097B5F"/>
    <w:rsid w:val="00097DCE"/>
    <w:rsid w:val="000A001F"/>
    <w:rsid w:val="000A00C5"/>
    <w:rsid w:val="000A017C"/>
    <w:rsid w:val="000A0227"/>
    <w:rsid w:val="000A04C6"/>
    <w:rsid w:val="000A0781"/>
    <w:rsid w:val="000A0924"/>
    <w:rsid w:val="000A0CAC"/>
    <w:rsid w:val="000A0DAB"/>
    <w:rsid w:val="000A1027"/>
    <w:rsid w:val="000A10DB"/>
    <w:rsid w:val="000A1306"/>
    <w:rsid w:val="000A1907"/>
    <w:rsid w:val="000A1991"/>
    <w:rsid w:val="000A1996"/>
    <w:rsid w:val="000A1A0D"/>
    <w:rsid w:val="000A1A20"/>
    <w:rsid w:val="000A1EA9"/>
    <w:rsid w:val="000A2242"/>
    <w:rsid w:val="000A2553"/>
    <w:rsid w:val="000A2578"/>
    <w:rsid w:val="000A2C4C"/>
    <w:rsid w:val="000A3054"/>
    <w:rsid w:val="000A321D"/>
    <w:rsid w:val="000A32A2"/>
    <w:rsid w:val="000A338D"/>
    <w:rsid w:val="000A36FC"/>
    <w:rsid w:val="000A373F"/>
    <w:rsid w:val="000A385D"/>
    <w:rsid w:val="000A3B5F"/>
    <w:rsid w:val="000A3B6E"/>
    <w:rsid w:val="000A3E19"/>
    <w:rsid w:val="000A3ECE"/>
    <w:rsid w:val="000A40AE"/>
    <w:rsid w:val="000A4188"/>
    <w:rsid w:val="000A429E"/>
    <w:rsid w:val="000A446D"/>
    <w:rsid w:val="000A46FD"/>
    <w:rsid w:val="000A4947"/>
    <w:rsid w:val="000A4B6C"/>
    <w:rsid w:val="000A4BF9"/>
    <w:rsid w:val="000A4BFB"/>
    <w:rsid w:val="000A5328"/>
    <w:rsid w:val="000A542B"/>
    <w:rsid w:val="000A54FE"/>
    <w:rsid w:val="000A55FF"/>
    <w:rsid w:val="000A5716"/>
    <w:rsid w:val="000A5870"/>
    <w:rsid w:val="000A58F2"/>
    <w:rsid w:val="000A58F4"/>
    <w:rsid w:val="000A5DE8"/>
    <w:rsid w:val="000A6042"/>
    <w:rsid w:val="000A64CA"/>
    <w:rsid w:val="000A6632"/>
    <w:rsid w:val="000A679E"/>
    <w:rsid w:val="000A683D"/>
    <w:rsid w:val="000A6CAA"/>
    <w:rsid w:val="000A7204"/>
    <w:rsid w:val="000A72AE"/>
    <w:rsid w:val="000A72AF"/>
    <w:rsid w:val="000A742C"/>
    <w:rsid w:val="000A74B7"/>
    <w:rsid w:val="000A7537"/>
    <w:rsid w:val="000A778D"/>
    <w:rsid w:val="000B0814"/>
    <w:rsid w:val="000B08FE"/>
    <w:rsid w:val="000B0963"/>
    <w:rsid w:val="000B098E"/>
    <w:rsid w:val="000B0DCD"/>
    <w:rsid w:val="000B0F99"/>
    <w:rsid w:val="000B0FCE"/>
    <w:rsid w:val="000B1010"/>
    <w:rsid w:val="000B1036"/>
    <w:rsid w:val="000B117D"/>
    <w:rsid w:val="000B11B5"/>
    <w:rsid w:val="000B1249"/>
    <w:rsid w:val="000B16FD"/>
    <w:rsid w:val="000B171A"/>
    <w:rsid w:val="000B172C"/>
    <w:rsid w:val="000B1840"/>
    <w:rsid w:val="000B1C4D"/>
    <w:rsid w:val="000B1E4B"/>
    <w:rsid w:val="000B2485"/>
    <w:rsid w:val="000B2804"/>
    <w:rsid w:val="000B2918"/>
    <w:rsid w:val="000B2A5E"/>
    <w:rsid w:val="000B2B21"/>
    <w:rsid w:val="000B2B50"/>
    <w:rsid w:val="000B2F9A"/>
    <w:rsid w:val="000B3381"/>
    <w:rsid w:val="000B33FA"/>
    <w:rsid w:val="000B3614"/>
    <w:rsid w:val="000B3830"/>
    <w:rsid w:val="000B3ABB"/>
    <w:rsid w:val="000B3B7F"/>
    <w:rsid w:val="000B3D58"/>
    <w:rsid w:val="000B3D61"/>
    <w:rsid w:val="000B3D87"/>
    <w:rsid w:val="000B3E71"/>
    <w:rsid w:val="000B3F10"/>
    <w:rsid w:val="000B3F79"/>
    <w:rsid w:val="000B4322"/>
    <w:rsid w:val="000B4413"/>
    <w:rsid w:val="000B47FD"/>
    <w:rsid w:val="000B4A5C"/>
    <w:rsid w:val="000B4C49"/>
    <w:rsid w:val="000B53BB"/>
    <w:rsid w:val="000B58DC"/>
    <w:rsid w:val="000B59CC"/>
    <w:rsid w:val="000B5ED8"/>
    <w:rsid w:val="000B6B43"/>
    <w:rsid w:val="000B6D0E"/>
    <w:rsid w:val="000B714A"/>
    <w:rsid w:val="000B7409"/>
    <w:rsid w:val="000B7636"/>
    <w:rsid w:val="000B7B36"/>
    <w:rsid w:val="000B7B88"/>
    <w:rsid w:val="000B7DCA"/>
    <w:rsid w:val="000B7E5D"/>
    <w:rsid w:val="000B7F2D"/>
    <w:rsid w:val="000C046A"/>
    <w:rsid w:val="000C0608"/>
    <w:rsid w:val="000C06A4"/>
    <w:rsid w:val="000C09E3"/>
    <w:rsid w:val="000C0AC8"/>
    <w:rsid w:val="000C0ACB"/>
    <w:rsid w:val="000C0DEA"/>
    <w:rsid w:val="000C10DE"/>
    <w:rsid w:val="000C148E"/>
    <w:rsid w:val="000C1730"/>
    <w:rsid w:val="000C1B22"/>
    <w:rsid w:val="000C1EFC"/>
    <w:rsid w:val="000C20FC"/>
    <w:rsid w:val="000C226F"/>
    <w:rsid w:val="000C2293"/>
    <w:rsid w:val="000C25D2"/>
    <w:rsid w:val="000C277F"/>
    <w:rsid w:val="000C286C"/>
    <w:rsid w:val="000C2C44"/>
    <w:rsid w:val="000C2E07"/>
    <w:rsid w:val="000C2ECF"/>
    <w:rsid w:val="000C2FB2"/>
    <w:rsid w:val="000C358D"/>
    <w:rsid w:val="000C359E"/>
    <w:rsid w:val="000C35E7"/>
    <w:rsid w:val="000C3CA8"/>
    <w:rsid w:val="000C3E67"/>
    <w:rsid w:val="000C4ACF"/>
    <w:rsid w:val="000C4DCC"/>
    <w:rsid w:val="000C4E19"/>
    <w:rsid w:val="000C552F"/>
    <w:rsid w:val="000C559B"/>
    <w:rsid w:val="000C569D"/>
    <w:rsid w:val="000C5AB7"/>
    <w:rsid w:val="000C5D75"/>
    <w:rsid w:val="000C5E62"/>
    <w:rsid w:val="000C6172"/>
    <w:rsid w:val="000C67A4"/>
    <w:rsid w:val="000C68AF"/>
    <w:rsid w:val="000C6C61"/>
    <w:rsid w:val="000C6D65"/>
    <w:rsid w:val="000C6FB7"/>
    <w:rsid w:val="000C71A9"/>
    <w:rsid w:val="000C730C"/>
    <w:rsid w:val="000C742F"/>
    <w:rsid w:val="000C7476"/>
    <w:rsid w:val="000C7654"/>
    <w:rsid w:val="000C786E"/>
    <w:rsid w:val="000C789E"/>
    <w:rsid w:val="000C7C24"/>
    <w:rsid w:val="000C7EC9"/>
    <w:rsid w:val="000D0697"/>
    <w:rsid w:val="000D0A01"/>
    <w:rsid w:val="000D0B62"/>
    <w:rsid w:val="000D0C63"/>
    <w:rsid w:val="000D0E40"/>
    <w:rsid w:val="000D0EAA"/>
    <w:rsid w:val="000D149E"/>
    <w:rsid w:val="000D19AC"/>
    <w:rsid w:val="000D1A51"/>
    <w:rsid w:val="000D1BA4"/>
    <w:rsid w:val="000D1D22"/>
    <w:rsid w:val="000D1E35"/>
    <w:rsid w:val="000D277D"/>
    <w:rsid w:val="000D2A97"/>
    <w:rsid w:val="000D2E46"/>
    <w:rsid w:val="000D2EFE"/>
    <w:rsid w:val="000D33A1"/>
    <w:rsid w:val="000D3644"/>
    <w:rsid w:val="000D37E9"/>
    <w:rsid w:val="000D3B9D"/>
    <w:rsid w:val="000D3BAC"/>
    <w:rsid w:val="000D3F02"/>
    <w:rsid w:val="000D3FC0"/>
    <w:rsid w:val="000D40A4"/>
    <w:rsid w:val="000D411D"/>
    <w:rsid w:val="000D43D2"/>
    <w:rsid w:val="000D460F"/>
    <w:rsid w:val="000D48D1"/>
    <w:rsid w:val="000D4B70"/>
    <w:rsid w:val="000D4CD9"/>
    <w:rsid w:val="000D54EA"/>
    <w:rsid w:val="000D55D1"/>
    <w:rsid w:val="000D58E6"/>
    <w:rsid w:val="000D5A19"/>
    <w:rsid w:val="000D5C9F"/>
    <w:rsid w:val="000D625F"/>
    <w:rsid w:val="000D643C"/>
    <w:rsid w:val="000D65A0"/>
    <w:rsid w:val="000D67B6"/>
    <w:rsid w:val="000D6BEA"/>
    <w:rsid w:val="000D6BF3"/>
    <w:rsid w:val="000D7186"/>
    <w:rsid w:val="000D725F"/>
    <w:rsid w:val="000D74A6"/>
    <w:rsid w:val="000D7517"/>
    <w:rsid w:val="000D75B0"/>
    <w:rsid w:val="000D7BF9"/>
    <w:rsid w:val="000D7C36"/>
    <w:rsid w:val="000E062C"/>
    <w:rsid w:val="000E0724"/>
    <w:rsid w:val="000E097A"/>
    <w:rsid w:val="000E0B89"/>
    <w:rsid w:val="000E0BDA"/>
    <w:rsid w:val="000E0FAE"/>
    <w:rsid w:val="000E127E"/>
    <w:rsid w:val="000E16C3"/>
    <w:rsid w:val="000E16CE"/>
    <w:rsid w:val="000E1793"/>
    <w:rsid w:val="000E1B5A"/>
    <w:rsid w:val="000E1C3A"/>
    <w:rsid w:val="000E1C93"/>
    <w:rsid w:val="000E2098"/>
    <w:rsid w:val="000E218C"/>
    <w:rsid w:val="000E2370"/>
    <w:rsid w:val="000E28D6"/>
    <w:rsid w:val="000E2A02"/>
    <w:rsid w:val="000E2D0E"/>
    <w:rsid w:val="000E2ED8"/>
    <w:rsid w:val="000E3107"/>
    <w:rsid w:val="000E3280"/>
    <w:rsid w:val="000E334A"/>
    <w:rsid w:val="000E35C9"/>
    <w:rsid w:val="000E3602"/>
    <w:rsid w:val="000E38F7"/>
    <w:rsid w:val="000E39F4"/>
    <w:rsid w:val="000E3BF4"/>
    <w:rsid w:val="000E3C6A"/>
    <w:rsid w:val="000E3D23"/>
    <w:rsid w:val="000E4024"/>
    <w:rsid w:val="000E418F"/>
    <w:rsid w:val="000E4195"/>
    <w:rsid w:val="000E42AE"/>
    <w:rsid w:val="000E4342"/>
    <w:rsid w:val="000E4406"/>
    <w:rsid w:val="000E46E8"/>
    <w:rsid w:val="000E498C"/>
    <w:rsid w:val="000E4A65"/>
    <w:rsid w:val="000E4A76"/>
    <w:rsid w:val="000E5157"/>
    <w:rsid w:val="000E52F0"/>
    <w:rsid w:val="000E5355"/>
    <w:rsid w:val="000E5539"/>
    <w:rsid w:val="000E55D2"/>
    <w:rsid w:val="000E5727"/>
    <w:rsid w:val="000E590B"/>
    <w:rsid w:val="000E5CB1"/>
    <w:rsid w:val="000E5DEC"/>
    <w:rsid w:val="000E5EDE"/>
    <w:rsid w:val="000E5F22"/>
    <w:rsid w:val="000E5F78"/>
    <w:rsid w:val="000E5FFD"/>
    <w:rsid w:val="000E6503"/>
    <w:rsid w:val="000E68E5"/>
    <w:rsid w:val="000E6AD9"/>
    <w:rsid w:val="000E6CBD"/>
    <w:rsid w:val="000E70A2"/>
    <w:rsid w:val="000E71E5"/>
    <w:rsid w:val="000E71F7"/>
    <w:rsid w:val="000E7393"/>
    <w:rsid w:val="000E7584"/>
    <w:rsid w:val="000E75E7"/>
    <w:rsid w:val="000E76BA"/>
    <w:rsid w:val="000E788B"/>
    <w:rsid w:val="000E79B3"/>
    <w:rsid w:val="000E7AF8"/>
    <w:rsid w:val="000E7B0C"/>
    <w:rsid w:val="000E7E59"/>
    <w:rsid w:val="000F043A"/>
    <w:rsid w:val="000F05A5"/>
    <w:rsid w:val="000F0790"/>
    <w:rsid w:val="000F089B"/>
    <w:rsid w:val="000F08CB"/>
    <w:rsid w:val="000F0BF4"/>
    <w:rsid w:val="000F0C71"/>
    <w:rsid w:val="000F0DC1"/>
    <w:rsid w:val="000F0DCC"/>
    <w:rsid w:val="000F0DF6"/>
    <w:rsid w:val="000F0F01"/>
    <w:rsid w:val="000F0FB9"/>
    <w:rsid w:val="000F1488"/>
    <w:rsid w:val="000F148A"/>
    <w:rsid w:val="000F148C"/>
    <w:rsid w:val="000F1C0A"/>
    <w:rsid w:val="000F1C26"/>
    <w:rsid w:val="000F1E83"/>
    <w:rsid w:val="000F2144"/>
    <w:rsid w:val="000F2152"/>
    <w:rsid w:val="000F223E"/>
    <w:rsid w:val="000F2825"/>
    <w:rsid w:val="000F28A0"/>
    <w:rsid w:val="000F299C"/>
    <w:rsid w:val="000F29E9"/>
    <w:rsid w:val="000F2A7D"/>
    <w:rsid w:val="000F2C25"/>
    <w:rsid w:val="000F2CB0"/>
    <w:rsid w:val="000F2E03"/>
    <w:rsid w:val="000F2ED7"/>
    <w:rsid w:val="000F3570"/>
    <w:rsid w:val="000F3606"/>
    <w:rsid w:val="000F37EF"/>
    <w:rsid w:val="000F3C6D"/>
    <w:rsid w:val="000F429D"/>
    <w:rsid w:val="000F43D4"/>
    <w:rsid w:val="000F4444"/>
    <w:rsid w:val="000F448D"/>
    <w:rsid w:val="000F487F"/>
    <w:rsid w:val="000F48D0"/>
    <w:rsid w:val="000F4CF0"/>
    <w:rsid w:val="000F53E5"/>
    <w:rsid w:val="000F5438"/>
    <w:rsid w:val="000F56E0"/>
    <w:rsid w:val="000F5837"/>
    <w:rsid w:val="000F5EDD"/>
    <w:rsid w:val="000F6126"/>
    <w:rsid w:val="000F61AD"/>
    <w:rsid w:val="000F61F3"/>
    <w:rsid w:val="000F63A4"/>
    <w:rsid w:val="000F6491"/>
    <w:rsid w:val="000F65E3"/>
    <w:rsid w:val="000F6BDA"/>
    <w:rsid w:val="000F6CBC"/>
    <w:rsid w:val="000F6E60"/>
    <w:rsid w:val="000F6EDC"/>
    <w:rsid w:val="000F6F95"/>
    <w:rsid w:val="000F6FD1"/>
    <w:rsid w:val="000F7368"/>
    <w:rsid w:val="000F7399"/>
    <w:rsid w:val="000F73FD"/>
    <w:rsid w:val="000F7519"/>
    <w:rsid w:val="000F7563"/>
    <w:rsid w:val="000F75A3"/>
    <w:rsid w:val="000F7790"/>
    <w:rsid w:val="000F782F"/>
    <w:rsid w:val="000F7B1D"/>
    <w:rsid w:val="000F7C44"/>
    <w:rsid w:val="00100573"/>
    <w:rsid w:val="0010075C"/>
    <w:rsid w:val="0010082A"/>
    <w:rsid w:val="00100BA7"/>
    <w:rsid w:val="00100C2F"/>
    <w:rsid w:val="00100EFC"/>
    <w:rsid w:val="0010106A"/>
    <w:rsid w:val="00101761"/>
    <w:rsid w:val="00101795"/>
    <w:rsid w:val="001018EA"/>
    <w:rsid w:val="001019F9"/>
    <w:rsid w:val="00101B9A"/>
    <w:rsid w:val="00101BBD"/>
    <w:rsid w:val="00101FCD"/>
    <w:rsid w:val="0010216C"/>
    <w:rsid w:val="00102186"/>
    <w:rsid w:val="00102236"/>
    <w:rsid w:val="001023BD"/>
    <w:rsid w:val="0010285D"/>
    <w:rsid w:val="00102862"/>
    <w:rsid w:val="00102D9A"/>
    <w:rsid w:val="00102DA5"/>
    <w:rsid w:val="00102E46"/>
    <w:rsid w:val="00102EB6"/>
    <w:rsid w:val="0010377D"/>
    <w:rsid w:val="00103AA6"/>
    <w:rsid w:val="00103B7E"/>
    <w:rsid w:val="00103BDA"/>
    <w:rsid w:val="00103E6B"/>
    <w:rsid w:val="00103ECD"/>
    <w:rsid w:val="00104037"/>
    <w:rsid w:val="00104061"/>
    <w:rsid w:val="001040D1"/>
    <w:rsid w:val="00104390"/>
    <w:rsid w:val="0010463E"/>
    <w:rsid w:val="001046F5"/>
    <w:rsid w:val="00104951"/>
    <w:rsid w:val="00104CE8"/>
    <w:rsid w:val="0010507C"/>
    <w:rsid w:val="0010548F"/>
    <w:rsid w:val="001054B7"/>
    <w:rsid w:val="0010564C"/>
    <w:rsid w:val="0010585F"/>
    <w:rsid w:val="001058B9"/>
    <w:rsid w:val="00105974"/>
    <w:rsid w:val="00105C66"/>
    <w:rsid w:val="00105C71"/>
    <w:rsid w:val="00105CED"/>
    <w:rsid w:val="00105F1A"/>
    <w:rsid w:val="00105F46"/>
    <w:rsid w:val="00106058"/>
    <w:rsid w:val="001061F0"/>
    <w:rsid w:val="0010620B"/>
    <w:rsid w:val="00106694"/>
    <w:rsid w:val="00106C0C"/>
    <w:rsid w:val="00107121"/>
    <w:rsid w:val="001072B0"/>
    <w:rsid w:val="001072E0"/>
    <w:rsid w:val="00107367"/>
    <w:rsid w:val="001075D2"/>
    <w:rsid w:val="0010773E"/>
    <w:rsid w:val="00107D24"/>
    <w:rsid w:val="001106AE"/>
    <w:rsid w:val="001106FA"/>
    <w:rsid w:val="001107C7"/>
    <w:rsid w:val="0011080A"/>
    <w:rsid w:val="00110963"/>
    <w:rsid w:val="00110C27"/>
    <w:rsid w:val="00111106"/>
    <w:rsid w:val="00111529"/>
    <w:rsid w:val="00111694"/>
    <w:rsid w:val="001116B8"/>
    <w:rsid w:val="00111856"/>
    <w:rsid w:val="00111A73"/>
    <w:rsid w:val="00111C0B"/>
    <w:rsid w:val="00111D0C"/>
    <w:rsid w:val="00111D45"/>
    <w:rsid w:val="00111EC8"/>
    <w:rsid w:val="00111F8E"/>
    <w:rsid w:val="0011252E"/>
    <w:rsid w:val="00112A82"/>
    <w:rsid w:val="00112AE4"/>
    <w:rsid w:val="00112D78"/>
    <w:rsid w:val="001135F7"/>
    <w:rsid w:val="0011365E"/>
    <w:rsid w:val="00113CAC"/>
    <w:rsid w:val="00114351"/>
    <w:rsid w:val="001143BB"/>
    <w:rsid w:val="001143C2"/>
    <w:rsid w:val="0011446F"/>
    <w:rsid w:val="00114524"/>
    <w:rsid w:val="001146BF"/>
    <w:rsid w:val="001148A6"/>
    <w:rsid w:val="00114EBC"/>
    <w:rsid w:val="001152D2"/>
    <w:rsid w:val="00115464"/>
    <w:rsid w:val="0011558F"/>
    <w:rsid w:val="001156D3"/>
    <w:rsid w:val="00115B2B"/>
    <w:rsid w:val="00115F70"/>
    <w:rsid w:val="00116394"/>
    <w:rsid w:val="001166A8"/>
    <w:rsid w:val="00116C4A"/>
    <w:rsid w:val="001178B2"/>
    <w:rsid w:val="00117AA4"/>
    <w:rsid w:val="00117B6B"/>
    <w:rsid w:val="00117B97"/>
    <w:rsid w:val="00117DA1"/>
    <w:rsid w:val="00117E7A"/>
    <w:rsid w:val="00120A3D"/>
    <w:rsid w:val="001211ED"/>
    <w:rsid w:val="0012124C"/>
    <w:rsid w:val="00121506"/>
    <w:rsid w:val="00121634"/>
    <w:rsid w:val="00121782"/>
    <w:rsid w:val="00121A25"/>
    <w:rsid w:val="00121A6B"/>
    <w:rsid w:val="00121D82"/>
    <w:rsid w:val="00121FA2"/>
    <w:rsid w:val="001220CA"/>
    <w:rsid w:val="00122229"/>
    <w:rsid w:val="0012236A"/>
    <w:rsid w:val="001224DD"/>
    <w:rsid w:val="0012271D"/>
    <w:rsid w:val="00122A50"/>
    <w:rsid w:val="00122ACA"/>
    <w:rsid w:val="00122F59"/>
    <w:rsid w:val="001235DF"/>
    <w:rsid w:val="00123812"/>
    <w:rsid w:val="0012387A"/>
    <w:rsid w:val="00123988"/>
    <w:rsid w:val="00123BC0"/>
    <w:rsid w:val="00123E46"/>
    <w:rsid w:val="00124250"/>
    <w:rsid w:val="00124CCF"/>
    <w:rsid w:val="00124E06"/>
    <w:rsid w:val="0012512E"/>
    <w:rsid w:val="001251D9"/>
    <w:rsid w:val="0012537C"/>
    <w:rsid w:val="0012560C"/>
    <w:rsid w:val="001257AB"/>
    <w:rsid w:val="0012597A"/>
    <w:rsid w:val="00125A1D"/>
    <w:rsid w:val="00125C32"/>
    <w:rsid w:val="00125DD8"/>
    <w:rsid w:val="0012616B"/>
    <w:rsid w:val="001262B4"/>
    <w:rsid w:val="00126375"/>
    <w:rsid w:val="00126852"/>
    <w:rsid w:val="00126B3E"/>
    <w:rsid w:val="00126B9C"/>
    <w:rsid w:val="00126F15"/>
    <w:rsid w:val="00126F2F"/>
    <w:rsid w:val="0012704C"/>
    <w:rsid w:val="00127446"/>
    <w:rsid w:val="00127895"/>
    <w:rsid w:val="001278E8"/>
    <w:rsid w:val="00127B62"/>
    <w:rsid w:val="00127DC6"/>
    <w:rsid w:val="00127FC0"/>
    <w:rsid w:val="00127FDD"/>
    <w:rsid w:val="001301CE"/>
    <w:rsid w:val="001303BB"/>
    <w:rsid w:val="001303D5"/>
    <w:rsid w:val="0013043E"/>
    <w:rsid w:val="001307FD"/>
    <w:rsid w:val="00130AA0"/>
    <w:rsid w:val="00130AFB"/>
    <w:rsid w:val="00130C74"/>
    <w:rsid w:val="00130EFF"/>
    <w:rsid w:val="001311B0"/>
    <w:rsid w:val="00131397"/>
    <w:rsid w:val="001317ED"/>
    <w:rsid w:val="0013196E"/>
    <w:rsid w:val="00131A62"/>
    <w:rsid w:val="00131B2F"/>
    <w:rsid w:val="00131B6F"/>
    <w:rsid w:val="00131EAA"/>
    <w:rsid w:val="00132060"/>
    <w:rsid w:val="00132315"/>
    <w:rsid w:val="001323CA"/>
    <w:rsid w:val="00132556"/>
    <w:rsid w:val="00132740"/>
    <w:rsid w:val="00132D93"/>
    <w:rsid w:val="00132EF5"/>
    <w:rsid w:val="001330A0"/>
    <w:rsid w:val="00133105"/>
    <w:rsid w:val="00133336"/>
    <w:rsid w:val="001335EB"/>
    <w:rsid w:val="00133657"/>
    <w:rsid w:val="00133BD1"/>
    <w:rsid w:val="00133F13"/>
    <w:rsid w:val="00133F48"/>
    <w:rsid w:val="00134354"/>
    <w:rsid w:val="001344BA"/>
    <w:rsid w:val="0013456F"/>
    <w:rsid w:val="0013475E"/>
    <w:rsid w:val="001347FA"/>
    <w:rsid w:val="0013492E"/>
    <w:rsid w:val="00134B71"/>
    <w:rsid w:val="00134C18"/>
    <w:rsid w:val="00135254"/>
    <w:rsid w:val="001355B2"/>
    <w:rsid w:val="001357BE"/>
    <w:rsid w:val="00135880"/>
    <w:rsid w:val="00135959"/>
    <w:rsid w:val="00135FB5"/>
    <w:rsid w:val="00136567"/>
    <w:rsid w:val="001367B0"/>
    <w:rsid w:val="001369DC"/>
    <w:rsid w:val="00136AB3"/>
    <w:rsid w:val="00136B0C"/>
    <w:rsid w:val="001374FD"/>
    <w:rsid w:val="001375B7"/>
    <w:rsid w:val="00137784"/>
    <w:rsid w:val="001377BC"/>
    <w:rsid w:val="0013781F"/>
    <w:rsid w:val="001378AA"/>
    <w:rsid w:val="00137D29"/>
    <w:rsid w:val="0014030D"/>
    <w:rsid w:val="001405A6"/>
    <w:rsid w:val="00140923"/>
    <w:rsid w:val="00140A46"/>
    <w:rsid w:val="00140FBB"/>
    <w:rsid w:val="00141189"/>
    <w:rsid w:val="001414DA"/>
    <w:rsid w:val="001416FD"/>
    <w:rsid w:val="00141CC7"/>
    <w:rsid w:val="00141EB1"/>
    <w:rsid w:val="0014207C"/>
    <w:rsid w:val="001422D1"/>
    <w:rsid w:val="00142AE3"/>
    <w:rsid w:val="00142C36"/>
    <w:rsid w:val="00142FB0"/>
    <w:rsid w:val="0014373E"/>
    <w:rsid w:val="00143772"/>
    <w:rsid w:val="001438C0"/>
    <w:rsid w:val="00143D3C"/>
    <w:rsid w:val="00143E7A"/>
    <w:rsid w:val="00143F59"/>
    <w:rsid w:val="0014412E"/>
    <w:rsid w:val="00144185"/>
    <w:rsid w:val="00144B0A"/>
    <w:rsid w:val="00144D1E"/>
    <w:rsid w:val="00145027"/>
    <w:rsid w:val="0014518E"/>
    <w:rsid w:val="00145292"/>
    <w:rsid w:val="001454A0"/>
    <w:rsid w:val="001457DA"/>
    <w:rsid w:val="00145AED"/>
    <w:rsid w:val="00145E75"/>
    <w:rsid w:val="001463A1"/>
    <w:rsid w:val="001467B3"/>
    <w:rsid w:val="001467BB"/>
    <w:rsid w:val="00146AB5"/>
    <w:rsid w:val="00146B70"/>
    <w:rsid w:val="00146E46"/>
    <w:rsid w:val="00146E7E"/>
    <w:rsid w:val="00147696"/>
    <w:rsid w:val="001476D7"/>
    <w:rsid w:val="00147852"/>
    <w:rsid w:val="00147889"/>
    <w:rsid w:val="001479FB"/>
    <w:rsid w:val="00150360"/>
    <w:rsid w:val="00150958"/>
    <w:rsid w:val="0015098F"/>
    <w:rsid w:val="00150D8B"/>
    <w:rsid w:val="00150DD8"/>
    <w:rsid w:val="00150DFC"/>
    <w:rsid w:val="00150E0C"/>
    <w:rsid w:val="00150FD1"/>
    <w:rsid w:val="0015102D"/>
    <w:rsid w:val="001510BA"/>
    <w:rsid w:val="0015156B"/>
    <w:rsid w:val="0015162E"/>
    <w:rsid w:val="00151649"/>
    <w:rsid w:val="001516FD"/>
    <w:rsid w:val="00151951"/>
    <w:rsid w:val="0015198C"/>
    <w:rsid w:val="00151B9B"/>
    <w:rsid w:val="00151E92"/>
    <w:rsid w:val="00152012"/>
    <w:rsid w:val="0015209F"/>
    <w:rsid w:val="00152366"/>
    <w:rsid w:val="00152371"/>
    <w:rsid w:val="001524C4"/>
    <w:rsid w:val="00152652"/>
    <w:rsid w:val="00152954"/>
    <w:rsid w:val="00152AC6"/>
    <w:rsid w:val="00153B6B"/>
    <w:rsid w:val="00153E46"/>
    <w:rsid w:val="00153F96"/>
    <w:rsid w:val="00154015"/>
    <w:rsid w:val="0015438C"/>
    <w:rsid w:val="0015438E"/>
    <w:rsid w:val="001543EF"/>
    <w:rsid w:val="001546CA"/>
    <w:rsid w:val="00154824"/>
    <w:rsid w:val="00154D93"/>
    <w:rsid w:val="001550B6"/>
    <w:rsid w:val="00155207"/>
    <w:rsid w:val="00155221"/>
    <w:rsid w:val="00155456"/>
    <w:rsid w:val="00155838"/>
    <w:rsid w:val="00155A67"/>
    <w:rsid w:val="00155E9A"/>
    <w:rsid w:val="00156088"/>
    <w:rsid w:val="001563AA"/>
    <w:rsid w:val="0015646F"/>
    <w:rsid w:val="00156481"/>
    <w:rsid w:val="00156705"/>
    <w:rsid w:val="00156DB3"/>
    <w:rsid w:val="00156F85"/>
    <w:rsid w:val="0015706B"/>
    <w:rsid w:val="001572B8"/>
    <w:rsid w:val="00157332"/>
    <w:rsid w:val="00157459"/>
    <w:rsid w:val="0015755D"/>
    <w:rsid w:val="00157760"/>
    <w:rsid w:val="0015779C"/>
    <w:rsid w:val="00157AF0"/>
    <w:rsid w:val="00157C9E"/>
    <w:rsid w:val="00157CBD"/>
    <w:rsid w:val="00157ED9"/>
    <w:rsid w:val="00157F92"/>
    <w:rsid w:val="0016058A"/>
    <w:rsid w:val="001607F4"/>
    <w:rsid w:val="00160BC9"/>
    <w:rsid w:val="001611A8"/>
    <w:rsid w:val="00161235"/>
    <w:rsid w:val="001612B6"/>
    <w:rsid w:val="00161596"/>
    <w:rsid w:val="001615E0"/>
    <w:rsid w:val="00161C6E"/>
    <w:rsid w:val="00162122"/>
    <w:rsid w:val="00162148"/>
    <w:rsid w:val="0016235D"/>
    <w:rsid w:val="001626EE"/>
    <w:rsid w:val="00162B3A"/>
    <w:rsid w:val="00162DFA"/>
    <w:rsid w:val="0016302B"/>
    <w:rsid w:val="001631E6"/>
    <w:rsid w:val="00163379"/>
    <w:rsid w:val="00163390"/>
    <w:rsid w:val="00163414"/>
    <w:rsid w:val="00163574"/>
    <w:rsid w:val="0016379B"/>
    <w:rsid w:val="00163F0B"/>
    <w:rsid w:val="00164259"/>
    <w:rsid w:val="0016442A"/>
    <w:rsid w:val="001648FD"/>
    <w:rsid w:val="00164974"/>
    <w:rsid w:val="001650F9"/>
    <w:rsid w:val="001651C8"/>
    <w:rsid w:val="0016522D"/>
    <w:rsid w:val="0016529B"/>
    <w:rsid w:val="0016559E"/>
    <w:rsid w:val="0016563E"/>
    <w:rsid w:val="001656AD"/>
    <w:rsid w:val="00165874"/>
    <w:rsid w:val="00165CC6"/>
    <w:rsid w:val="00165E70"/>
    <w:rsid w:val="001660B0"/>
    <w:rsid w:val="001662A5"/>
    <w:rsid w:val="0016671A"/>
    <w:rsid w:val="001668E9"/>
    <w:rsid w:val="001669C4"/>
    <w:rsid w:val="00166B24"/>
    <w:rsid w:val="00167014"/>
    <w:rsid w:val="00167147"/>
    <w:rsid w:val="001672BC"/>
    <w:rsid w:val="0016775E"/>
    <w:rsid w:val="0016776D"/>
    <w:rsid w:val="001677B2"/>
    <w:rsid w:val="00167A41"/>
    <w:rsid w:val="00167B68"/>
    <w:rsid w:val="00170017"/>
    <w:rsid w:val="00170102"/>
    <w:rsid w:val="00170113"/>
    <w:rsid w:val="00170130"/>
    <w:rsid w:val="00170866"/>
    <w:rsid w:val="001708A2"/>
    <w:rsid w:val="00170976"/>
    <w:rsid w:val="00170B0B"/>
    <w:rsid w:val="00170CE9"/>
    <w:rsid w:val="00170E4A"/>
    <w:rsid w:val="001711C0"/>
    <w:rsid w:val="0017178B"/>
    <w:rsid w:val="00171AC0"/>
    <w:rsid w:val="00171AD4"/>
    <w:rsid w:val="00171AF4"/>
    <w:rsid w:val="00171C4D"/>
    <w:rsid w:val="00171D45"/>
    <w:rsid w:val="00171DCF"/>
    <w:rsid w:val="00171F5E"/>
    <w:rsid w:val="001721CA"/>
    <w:rsid w:val="00172208"/>
    <w:rsid w:val="00172C53"/>
    <w:rsid w:val="00172FBA"/>
    <w:rsid w:val="001731B0"/>
    <w:rsid w:val="0017328D"/>
    <w:rsid w:val="00173300"/>
    <w:rsid w:val="0017363D"/>
    <w:rsid w:val="00173B32"/>
    <w:rsid w:val="00173BC6"/>
    <w:rsid w:val="00173E65"/>
    <w:rsid w:val="00173EA7"/>
    <w:rsid w:val="00173F10"/>
    <w:rsid w:val="00173FAA"/>
    <w:rsid w:val="00174029"/>
    <w:rsid w:val="00174084"/>
    <w:rsid w:val="001746BE"/>
    <w:rsid w:val="00174EA6"/>
    <w:rsid w:val="0017509D"/>
    <w:rsid w:val="00175251"/>
    <w:rsid w:val="001752EA"/>
    <w:rsid w:val="00175344"/>
    <w:rsid w:val="00175346"/>
    <w:rsid w:val="00175648"/>
    <w:rsid w:val="00175734"/>
    <w:rsid w:val="00175A35"/>
    <w:rsid w:val="00175ECB"/>
    <w:rsid w:val="00175FDF"/>
    <w:rsid w:val="00176157"/>
    <w:rsid w:val="0017621E"/>
    <w:rsid w:val="0017641C"/>
    <w:rsid w:val="00176513"/>
    <w:rsid w:val="00176FE9"/>
    <w:rsid w:val="00177161"/>
    <w:rsid w:val="00177559"/>
    <w:rsid w:val="00177834"/>
    <w:rsid w:val="00177C76"/>
    <w:rsid w:val="00177E0E"/>
    <w:rsid w:val="00180008"/>
    <w:rsid w:val="001801BC"/>
    <w:rsid w:val="00180424"/>
    <w:rsid w:val="00180603"/>
    <w:rsid w:val="001806CA"/>
    <w:rsid w:val="00180996"/>
    <w:rsid w:val="00180A18"/>
    <w:rsid w:val="00180EAB"/>
    <w:rsid w:val="00180EAE"/>
    <w:rsid w:val="0018111A"/>
    <w:rsid w:val="001813DD"/>
    <w:rsid w:val="001814C2"/>
    <w:rsid w:val="00181719"/>
    <w:rsid w:val="001817F2"/>
    <w:rsid w:val="00181A57"/>
    <w:rsid w:val="00181A76"/>
    <w:rsid w:val="00181F2A"/>
    <w:rsid w:val="001820DE"/>
    <w:rsid w:val="001824B9"/>
    <w:rsid w:val="00182677"/>
    <w:rsid w:val="00183106"/>
    <w:rsid w:val="001831A3"/>
    <w:rsid w:val="00183356"/>
    <w:rsid w:val="00183367"/>
    <w:rsid w:val="001834BF"/>
    <w:rsid w:val="00183A1F"/>
    <w:rsid w:val="00183D31"/>
    <w:rsid w:val="00183EED"/>
    <w:rsid w:val="00184092"/>
    <w:rsid w:val="001842E8"/>
    <w:rsid w:val="001846A6"/>
    <w:rsid w:val="001848A5"/>
    <w:rsid w:val="001848FD"/>
    <w:rsid w:val="00184BAD"/>
    <w:rsid w:val="00184FF4"/>
    <w:rsid w:val="001850A6"/>
    <w:rsid w:val="00185107"/>
    <w:rsid w:val="00185294"/>
    <w:rsid w:val="001854C5"/>
    <w:rsid w:val="001854DF"/>
    <w:rsid w:val="00185957"/>
    <w:rsid w:val="00185BCF"/>
    <w:rsid w:val="00185C29"/>
    <w:rsid w:val="00185F85"/>
    <w:rsid w:val="0018665D"/>
    <w:rsid w:val="00186737"/>
    <w:rsid w:val="001867EF"/>
    <w:rsid w:val="00186B20"/>
    <w:rsid w:val="001870CF"/>
    <w:rsid w:val="001870E8"/>
    <w:rsid w:val="00187412"/>
    <w:rsid w:val="001876B8"/>
    <w:rsid w:val="001876B9"/>
    <w:rsid w:val="001876D9"/>
    <w:rsid w:val="0018789A"/>
    <w:rsid w:val="00187C75"/>
    <w:rsid w:val="00187DC6"/>
    <w:rsid w:val="00190001"/>
    <w:rsid w:val="001904CE"/>
    <w:rsid w:val="001905DC"/>
    <w:rsid w:val="00190704"/>
    <w:rsid w:val="00190A26"/>
    <w:rsid w:val="00190ADF"/>
    <w:rsid w:val="0019102F"/>
    <w:rsid w:val="001910D3"/>
    <w:rsid w:val="0019135D"/>
    <w:rsid w:val="001913AB"/>
    <w:rsid w:val="00191503"/>
    <w:rsid w:val="00191756"/>
    <w:rsid w:val="00191949"/>
    <w:rsid w:val="00191971"/>
    <w:rsid w:val="00191972"/>
    <w:rsid w:val="00191E9A"/>
    <w:rsid w:val="00191F53"/>
    <w:rsid w:val="00192404"/>
    <w:rsid w:val="00192462"/>
    <w:rsid w:val="00192896"/>
    <w:rsid w:val="001929D9"/>
    <w:rsid w:val="00192D10"/>
    <w:rsid w:val="00192EEB"/>
    <w:rsid w:val="00192F84"/>
    <w:rsid w:val="00193164"/>
    <w:rsid w:val="001933B8"/>
    <w:rsid w:val="00193449"/>
    <w:rsid w:val="0019359C"/>
    <w:rsid w:val="0019371B"/>
    <w:rsid w:val="0019394E"/>
    <w:rsid w:val="00193EA8"/>
    <w:rsid w:val="00194409"/>
    <w:rsid w:val="00194709"/>
    <w:rsid w:val="00194A46"/>
    <w:rsid w:val="00194B88"/>
    <w:rsid w:val="00194CE3"/>
    <w:rsid w:val="00194CFC"/>
    <w:rsid w:val="00194F61"/>
    <w:rsid w:val="00194F9D"/>
    <w:rsid w:val="0019503A"/>
    <w:rsid w:val="001952E0"/>
    <w:rsid w:val="00195317"/>
    <w:rsid w:val="0019538D"/>
    <w:rsid w:val="00195443"/>
    <w:rsid w:val="00195892"/>
    <w:rsid w:val="001959E6"/>
    <w:rsid w:val="00195C45"/>
    <w:rsid w:val="00195CB7"/>
    <w:rsid w:val="00195D03"/>
    <w:rsid w:val="0019604B"/>
    <w:rsid w:val="001962BD"/>
    <w:rsid w:val="001962C4"/>
    <w:rsid w:val="00196698"/>
    <w:rsid w:val="001969CE"/>
    <w:rsid w:val="00196A13"/>
    <w:rsid w:val="00196A43"/>
    <w:rsid w:val="00196C23"/>
    <w:rsid w:val="00197115"/>
    <w:rsid w:val="001973BE"/>
    <w:rsid w:val="001973FE"/>
    <w:rsid w:val="00197413"/>
    <w:rsid w:val="00197559"/>
    <w:rsid w:val="00197944"/>
    <w:rsid w:val="00197AC6"/>
    <w:rsid w:val="001A0047"/>
    <w:rsid w:val="001A05CE"/>
    <w:rsid w:val="001A0753"/>
    <w:rsid w:val="001A0F47"/>
    <w:rsid w:val="001A119A"/>
    <w:rsid w:val="001A1337"/>
    <w:rsid w:val="001A1395"/>
    <w:rsid w:val="001A13E2"/>
    <w:rsid w:val="001A14CF"/>
    <w:rsid w:val="001A16C1"/>
    <w:rsid w:val="001A1A69"/>
    <w:rsid w:val="001A1BA2"/>
    <w:rsid w:val="001A1CC9"/>
    <w:rsid w:val="001A211D"/>
    <w:rsid w:val="001A2126"/>
    <w:rsid w:val="001A21C4"/>
    <w:rsid w:val="001A223A"/>
    <w:rsid w:val="001A228F"/>
    <w:rsid w:val="001A23F1"/>
    <w:rsid w:val="001A24A2"/>
    <w:rsid w:val="001A29EF"/>
    <w:rsid w:val="001A2DF5"/>
    <w:rsid w:val="001A2E8C"/>
    <w:rsid w:val="001A2F29"/>
    <w:rsid w:val="001A31D9"/>
    <w:rsid w:val="001A32A9"/>
    <w:rsid w:val="001A344E"/>
    <w:rsid w:val="001A359A"/>
    <w:rsid w:val="001A3642"/>
    <w:rsid w:val="001A36B2"/>
    <w:rsid w:val="001A3BA5"/>
    <w:rsid w:val="001A3ECA"/>
    <w:rsid w:val="001A3EE5"/>
    <w:rsid w:val="001A3FE1"/>
    <w:rsid w:val="001A401C"/>
    <w:rsid w:val="001A42A1"/>
    <w:rsid w:val="001A4989"/>
    <w:rsid w:val="001A49C0"/>
    <w:rsid w:val="001A4A33"/>
    <w:rsid w:val="001A4A66"/>
    <w:rsid w:val="001A4C5D"/>
    <w:rsid w:val="001A4D3C"/>
    <w:rsid w:val="001A54AD"/>
    <w:rsid w:val="001A554A"/>
    <w:rsid w:val="001A5A0E"/>
    <w:rsid w:val="001A5DE6"/>
    <w:rsid w:val="001A5E23"/>
    <w:rsid w:val="001A6366"/>
    <w:rsid w:val="001A64BD"/>
    <w:rsid w:val="001A64F2"/>
    <w:rsid w:val="001A663E"/>
    <w:rsid w:val="001A6677"/>
    <w:rsid w:val="001A671F"/>
    <w:rsid w:val="001A68F2"/>
    <w:rsid w:val="001A6CF4"/>
    <w:rsid w:val="001A6D0A"/>
    <w:rsid w:val="001A705E"/>
    <w:rsid w:val="001A796E"/>
    <w:rsid w:val="001A7A3D"/>
    <w:rsid w:val="001A7A9F"/>
    <w:rsid w:val="001A7D4E"/>
    <w:rsid w:val="001A7F76"/>
    <w:rsid w:val="001B050E"/>
    <w:rsid w:val="001B059E"/>
    <w:rsid w:val="001B09AC"/>
    <w:rsid w:val="001B0A11"/>
    <w:rsid w:val="001B0A79"/>
    <w:rsid w:val="001B0E68"/>
    <w:rsid w:val="001B1044"/>
    <w:rsid w:val="001B1190"/>
    <w:rsid w:val="001B11DB"/>
    <w:rsid w:val="001B1278"/>
    <w:rsid w:val="001B12E9"/>
    <w:rsid w:val="001B15FE"/>
    <w:rsid w:val="001B1A1A"/>
    <w:rsid w:val="001B1A28"/>
    <w:rsid w:val="001B1B5E"/>
    <w:rsid w:val="001B258B"/>
    <w:rsid w:val="001B25A1"/>
    <w:rsid w:val="001B25B2"/>
    <w:rsid w:val="001B2667"/>
    <w:rsid w:val="001B27B3"/>
    <w:rsid w:val="001B3108"/>
    <w:rsid w:val="001B31E2"/>
    <w:rsid w:val="001B3AC3"/>
    <w:rsid w:val="001B3D83"/>
    <w:rsid w:val="001B423C"/>
    <w:rsid w:val="001B4327"/>
    <w:rsid w:val="001B437D"/>
    <w:rsid w:val="001B475A"/>
    <w:rsid w:val="001B4AC9"/>
    <w:rsid w:val="001B4AF5"/>
    <w:rsid w:val="001B4D07"/>
    <w:rsid w:val="001B4D3E"/>
    <w:rsid w:val="001B4D55"/>
    <w:rsid w:val="001B4D77"/>
    <w:rsid w:val="001B52AA"/>
    <w:rsid w:val="001B5556"/>
    <w:rsid w:val="001B5784"/>
    <w:rsid w:val="001B5888"/>
    <w:rsid w:val="001B5AE7"/>
    <w:rsid w:val="001B5B79"/>
    <w:rsid w:val="001B5EAE"/>
    <w:rsid w:val="001B6095"/>
    <w:rsid w:val="001B6288"/>
    <w:rsid w:val="001B63CB"/>
    <w:rsid w:val="001B648D"/>
    <w:rsid w:val="001B6551"/>
    <w:rsid w:val="001B6620"/>
    <w:rsid w:val="001B6680"/>
    <w:rsid w:val="001B6ED2"/>
    <w:rsid w:val="001B712C"/>
    <w:rsid w:val="001B7211"/>
    <w:rsid w:val="001B7346"/>
    <w:rsid w:val="001B745D"/>
    <w:rsid w:val="001B76E1"/>
    <w:rsid w:val="001B78A5"/>
    <w:rsid w:val="001B78A7"/>
    <w:rsid w:val="001B79B2"/>
    <w:rsid w:val="001B7D8A"/>
    <w:rsid w:val="001B7F5A"/>
    <w:rsid w:val="001C03C9"/>
    <w:rsid w:val="001C0C6C"/>
    <w:rsid w:val="001C127E"/>
    <w:rsid w:val="001C1463"/>
    <w:rsid w:val="001C1B95"/>
    <w:rsid w:val="001C201B"/>
    <w:rsid w:val="001C2038"/>
    <w:rsid w:val="001C2258"/>
    <w:rsid w:val="001C23CA"/>
    <w:rsid w:val="001C2410"/>
    <w:rsid w:val="001C2513"/>
    <w:rsid w:val="001C2567"/>
    <w:rsid w:val="001C2731"/>
    <w:rsid w:val="001C2C0B"/>
    <w:rsid w:val="001C2D02"/>
    <w:rsid w:val="001C30BD"/>
    <w:rsid w:val="001C3966"/>
    <w:rsid w:val="001C3AC4"/>
    <w:rsid w:val="001C3E49"/>
    <w:rsid w:val="001C3E5C"/>
    <w:rsid w:val="001C3E98"/>
    <w:rsid w:val="001C432A"/>
    <w:rsid w:val="001C4893"/>
    <w:rsid w:val="001C4900"/>
    <w:rsid w:val="001C492B"/>
    <w:rsid w:val="001C4A2E"/>
    <w:rsid w:val="001C4BB4"/>
    <w:rsid w:val="001C4D0A"/>
    <w:rsid w:val="001C4EF3"/>
    <w:rsid w:val="001C4F25"/>
    <w:rsid w:val="001C4F78"/>
    <w:rsid w:val="001C4FD0"/>
    <w:rsid w:val="001C504F"/>
    <w:rsid w:val="001C5599"/>
    <w:rsid w:val="001C5763"/>
    <w:rsid w:val="001C59FF"/>
    <w:rsid w:val="001C5A25"/>
    <w:rsid w:val="001C5B73"/>
    <w:rsid w:val="001C5BCC"/>
    <w:rsid w:val="001C62BA"/>
    <w:rsid w:val="001C6543"/>
    <w:rsid w:val="001C670F"/>
    <w:rsid w:val="001C6FEB"/>
    <w:rsid w:val="001C73F0"/>
    <w:rsid w:val="001C74A4"/>
    <w:rsid w:val="001C771F"/>
    <w:rsid w:val="001C7BD5"/>
    <w:rsid w:val="001C7DC1"/>
    <w:rsid w:val="001C7EC9"/>
    <w:rsid w:val="001C7EE1"/>
    <w:rsid w:val="001D0106"/>
    <w:rsid w:val="001D0267"/>
    <w:rsid w:val="001D0268"/>
    <w:rsid w:val="001D05CA"/>
    <w:rsid w:val="001D0807"/>
    <w:rsid w:val="001D08CA"/>
    <w:rsid w:val="001D0A64"/>
    <w:rsid w:val="001D0B55"/>
    <w:rsid w:val="001D0C4D"/>
    <w:rsid w:val="001D0F5D"/>
    <w:rsid w:val="001D0FF5"/>
    <w:rsid w:val="001D12AD"/>
    <w:rsid w:val="001D1A7E"/>
    <w:rsid w:val="001D1AF8"/>
    <w:rsid w:val="001D1B44"/>
    <w:rsid w:val="001D208C"/>
    <w:rsid w:val="001D216E"/>
    <w:rsid w:val="001D2F46"/>
    <w:rsid w:val="001D2F9F"/>
    <w:rsid w:val="001D3AE1"/>
    <w:rsid w:val="001D3D2E"/>
    <w:rsid w:val="001D3D98"/>
    <w:rsid w:val="001D3DF6"/>
    <w:rsid w:val="001D3E22"/>
    <w:rsid w:val="001D4001"/>
    <w:rsid w:val="001D40D7"/>
    <w:rsid w:val="001D4326"/>
    <w:rsid w:val="001D43DA"/>
    <w:rsid w:val="001D46D7"/>
    <w:rsid w:val="001D4708"/>
    <w:rsid w:val="001D48F2"/>
    <w:rsid w:val="001D4A61"/>
    <w:rsid w:val="001D4BDB"/>
    <w:rsid w:val="001D4C02"/>
    <w:rsid w:val="001D4C7B"/>
    <w:rsid w:val="001D4F9D"/>
    <w:rsid w:val="001D5122"/>
    <w:rsid w:val="001D536E"/>
    <w:rsid w:val="001D5600"/>
    <w:rsid w:val="001D5629"/>
    <w:rsid w:val="001D573F"/>
    <w:rsid w:val="001D58CD"/>
    <w:rsid w:val="001D5D3C"/>
    <w:rsid w:val="001D5FCA"/>
    <w:rsid w:val="001D617F"/>
    <w:rsid w:val="001D63DC"/>
    <w:rsid w:val="001D647D"/>
    <w:rsid w:val="001D6539"/>
    <w:rsid w:val="001D6794"/>
    <w:rsid w:val="001D6809"/>
    <w:rsid w:val="001D6C0B"/>
    <w:rsid w:val="001D6DC7"/>
    <w:rsid w:val="001D70C9"/>
    <w:rsid w:val="001D71D1"/>
    <w:rsid w:val="001D72E9"/>
    <w:rsid w:val="001D7514"/>
    <w:rsid w:val="001D75E7"/>
    <w:rsid w:val="001D783E"/>
    <w:rsid w:val="001D792F"/>
    <w:rsid w:val="001D7AA3"/>
    <w:rsid w:val="001D7C96"/>
    <w:rsid w:val="001D7D6D"/>
    <w:rsid w:val="001D7DB4"/>
    <w:rsid w:val="001E066F"/>
    <w:rsid w:val="001E09AD"/>
    <w:rsid w:val="001E1091"/>
    <w:rsid w:val="001E10F7"/>
    <w:rsid w:val="001E1535"/>
    <w:rsid w:val="001E16E3"/>
    <w:rsid w:val="001E1E74"/>
    <w:rsid w:val="001E2074"/>
    <w:rsid w:val="001E2107"/>
    <w:rsid w:val="001E21F0"/>
    <w:rsid w:val="001E2312"/>
    <w:rsid w:val="001E2B56"/>
    <w:rsid w:val="001E2C6D"/>
    <w:rsid w:val="001E2C6E"/>
    <w:rsid w:val="001E2E76"/>
    <w:rsid w:val="001E339C"/>
    <w:rsid w:val="001E3483"/>
    <w:rsid w:val="001E34A1"/>
    <w:rsid w:val="001E36D3"/>
    <w:rsid w:val="001E39D1"/>
    <w:rsid w:val="001E3AA3"/>
    <w:rsid w:val="001E4158"/>
    <w:rsid w:val="001E4455"/>
    <w:rsid w:val="001E48A0"/>
    <w:rsid w:val="001E4D21"/>
    <w:rsid w:val="001E50CE"/>
    <w:rsid w:val="001E5105"/>
    <w:rsid w:val="001E52B9"/>
    <w:rsid w:val="001E5470"/>
    <w:rsid w:val="001E6145"/>
    <w:rsid w:val="001E6160"/>
    <w:rsid w:val="001E629C"/>
    <w:rsid w:val="001E634A"/>
    <w:rsid w:val="001E69B7"/>
    <w:rsid w:val="001E6A99"/>
    <w:rsid w:val="001E6D7F"/>
    <w:rsid w:val="001E6D80"/>
    <w:rsid w:val="001E6E17"/>
    <w:rsid w:val="001E6F89"/>
    <w:rsid w:val="001E6FBD"/>
    <w:rsid w:val="001E713C"/>
    <w:rsid w:val="001E763A"/>
    <w:rsid w:val="001E77B6"/>
    <w:rsid w:val="001E7DFA"/>
    <w:rsid w:val="001E7E8D"/>
    <w:rsid w:val="001F03A3"/>
    <w:rsid w:val="001F04A9"/>
    <w:rsid w:val="001F0692"/>
    <w:rsid w:val="001F0B72"/>
    <w:rsid w:val="001F0CB8"/>
    <w:rsid w:val="001F0DA1"/>
    <w:rsid w:val="001F0DA7"/>
    <w:rsid w:val="001F102E"/>
    <w:rsid w:val="001F1612"/>
    <w:rsid w:val="001F1656"/>
    <w:rsid w:val="001F1C55"/>
    <w:rsid w:val="001F1D03"/>
    <w:rsid w:val="001F1D56"/>
    <w:rsid w:val="001F1D98"/>
    <w:rsid w:val="001F1EF2"/>
    <w:rsid w:val="001F235D"/>
    <w:rsid w:val="001F25D1"/>
    <w:rsid w:val="001F2908"/>
    <w:rsid w:val="001F2FC3"/>
    <w:rsid w:val="001F3150"/>
    <w:rsid w:val="001F34C0"/>
    <w:rsid w:val="001F36A9"/>
    <w:rsid w:val="001F3CB9"/>
    <w:rsid w:val="001F3D36"/>
    <w:rsid w:val="001F3D8F"/>
    <w:rsid w:val="001F3F4B"/>
    <w:rsid w:val="001F4254"/>
    <w:rsid w:val="001F489C"/>
    <w:rsid w:val="001F49F3"/>
    <w:rsid w:val="001F4A01"/>
    <w:rsid w:val="001F4C5F"/>
    <w:rsid w:val="001F4EB7"/>
    <w:rsid w:val="001F56D2"/>
    <w:rsid w:val="001F5B00"/>
    <w:rsid w:val="001F5CFC"/>
    <w:rsid w:val="001F5F41"/>
    <w:rsid w:val="001F6418"/>
    <w:rsid w:val="001F65F3"/>
    <w:rsid w:val="001F67FE"/>
    <w:rsid w:val="001F68E3"/>
    <w:rsid w:val="001F6A8B"/>
    <w:rsid w:val="001F6B7D"/>
    <w:rsid w:val="001F6C62"/>
    <w:rsid w:val="001F6D52"/>
    <w:rsid w:val="001F6EF2"/>
    <w:rsid w:val="001F7312"/>
    <w:rsid w:val="001F79BC"/>
    <w:rsid w:val="001F7B4A"/>
    <w:rsid w:val="002001DE"/>
    <w:rsid w:val="002002F3"/>
    <w:rsid w:val="0020038B"/>
    <w:rsid w:val="002006A7"/>
    <w:rsid w:val="00200711"/>
    <w:rsid w:val="00200917"/>
    <w:rsid w:val="00200961"/>
    <w:rsid w:val="00200B0B"/>
    <w:rsid w:val="00200B35"/>
    <w:rsid w:val="002013B6"/>
    <w:rsid w:val="00201440"/>
    <w:rsid w:val="0020152E"/>
    <w:rsid w:val="00201736"/>
    <w:rsid w:val="00201A82"/>
    <w:rsid w:val="00201BCE"/>
    <w:rsid w:val="00201BF9"/>
    <w:rsid w:val="00201D0D"/>
    <w:rsid w:val="00201E40"/>
    <w:rsid w:val="00201F4D"/>
    <w:rsid w:val="002022C6"/>
    <w:rsid w:val="002023A9"/>
    <w:rsid w:val="002023BE"/>
    <w:rsid w:val="0020248C"/>
    <w:rsid w:val="00202576"/>
    <w:rsid w:val="00202636"/>
    <w:rsid w:val="00202940"/>
    <w:rsid w:val="00202DCB"/>
    <w:rsid w:val="00202F13"/>
    <w:rsid w:val="00203065"/>
    <w:rsid w:val="00203841"/>
    <w:rsid w:val="00203AE9"/>
    <w:rsid w:val="00203C4F"/>
    <w:rsid w:val="00203E61"/>
    <w:rsid w:val="00203E92"/>
    <w:rsid w:val="002041FB"/>
    <w:rsid w:val="0020429A"/>
    <w:rsid w:val="00204820"/>
    <w:rsid w:val="00204A6A"/>
    <w:rsid w:val="00204A71"/>
    <w:rsid w:val="00204BCD"/>
    <w:rsid w:val="00204D4D"/>
    <w:rsid w:val="00205042"/>
    <w:rsid w:val="00205111"/>
    <w:rsid w:val="002051CE"/>
    <w:rsid w:val="00205942"/>
    <w:rsid w:val="00205ABB"/>
    <w:rsid w:val="00205AD9"/>
    <w:rsid w:val="00205F67"/>
    <w:rsid w:val="0020605D"/>
    <w:rsid w:val="002069F2"/>
    <w:rsid w:val="00206BE4"/>
    <w:rsid w:val="002072AB"/>
    <w:rsid w:val="002079CB"/>
    <w:rsid w:val="00207B82"/>
    <w:rsid w:val="00207EBF"/>
    <w:rsid w:val="00210064"/>
    <w:rsid w:val="00210087"/>
    <w:rsid w:val="0021018C"/>
    <w:rsid w:val="0021020F"/>
    <w:rsid w:val="0021045F"/>
    <w:rsid w:val="002104B5"/>
    <w:rsid w:val="002104E8"/>
    <w:rsid w:val="00210714"/>
    <w:rsid w:val="002108C0"/>
    <w:rsid w:val="00210A0E"/>
    <w:rsid w:val="00210C43"/>
    <w:rsid w:val="00210E12"/>
    <w:rsid w:val="00210F8F"/>
    <w:rsid w:val="002112E9"/>
    <w:rsid w:val="00211D7E"/>
    <w:rsid w:val="00211F6F"/>
    <w:rsid w:val="00211FCC"/>
    <w:rsid w:val="002121C3"/>
    <w:rsid w:val="00212321"/>
    <w:rsid w:val="00212337"/>
    <w:rsid w:val="002124C8"/>
    <w:rsid w:val="002126C4"/>
    <w:rsid w:val="00212D01"/>
    <w:rsid w:val="00213337"/>
    <w:rsid w:val="00213BAE"/>
    <w:rsid w:val="0021427D"/>
    <w:rsid w:val="0021440D"/>
    <w:rsid w:val="00214555"/>
    <w:rsid w:val="002145C7"/>
    <w:rsid w:val="00214647"/>
    <w:rsid w:val="00214F77"/>
    <w:rsid w:val="0021513F"/>
    <w:rsid w:val="002155AD"/>
    <w:rsid w:val="00215646"/>
    <w:rsid w:val="002157E8"/>
    <w:rsid w:val="00215C63"/>
    <w:rsid w:val="00215E36"/>
    <w:rsid w:val="002160D3"/>
    <w:rsid w:val="0021644B"/>
    <w:rsid w:val="00216517"/>
    <w:rsid w:val="002168D4"/>
    <w:rsid w:val="00216CF1"/>
    <w:rsid w:val="00216FF2"/>
    <w:rsid w:val="00217070"/>
    <w:rsid w:val="0021727B"/>
    <w:rsid w:val="00217535"/>
    <w:rsid w:val="0021768F"/>
    <w:rsid w:val="0021793B"/>
    <w:rsid w:val="00217B15"/>
    <w:rsid w:val="00217C63"/>
    <w:rsid w:val="00217CCF"/>
    <w:rsid w:val="00217E6B"/>
    <w:rsid w:val="00220029"/>
    <w:rsid w:val="00220099"/>
    <w:rsid w:val="00220180"/>
    <w:rsid w:val="002205AD"/>
    <w:rsid w:val="0022076B"/>
    <w:rsid w:val="00220892"/>
    <w:rsid w:val="00220D87"/>
    <w:rsid w:val="002210AC"/>
    <w:rsid w:val="002213B7"/>
    <w:rsid w:val="002214C4"/>
    <w:rsid w:val="0022159D"/>
    <w:rsid w:val="00221A75"/>
    <w:rsid w:val="00221B10"/>
    <w:rsid w:val="00221B5F"/>
    <w:rsid w:val="00221FA5"/>
    <w:rsid w:val="0022201B"/>
    <w:rsid w:val="00222192"/>
    <w:rsid w:val="002221B9"/>
    <w:rsid w:val="0022223B"/>
    <w:rsid w:val="0022291D"/>
    <w:rsid w:val="0022294E"/>
    <w:rsid w:val="002229B8"/>
    <w:rsid w:val="002229D3"/>
    <w:rsid w:val="00222A71"/>
    <w:rsid w:val="00222B8A"/>
    <w:rsid w:val="00222D67"/>
    <w:rsid w:val="00222E94"/>
    <w:rsid w:val="00223158"/>
    <w:rsid w:val="002232C2"/>
    <w:rsid w:val="00223453"/>
    <w:rsid w:val="00223715"/>
    <w:rsid w:val="002239D8"/>
    <w:rsid w:val="00223E63"/>
    <w:rsid w:val="00223EA7"/>
    <w:rsid w:val="00224237"/>
    <w:rsid w:val="002245ED"/>
    <w:rsid w:val="00224825"/>
    <w:rsid w:val="00224892"/>
    <w:rsid w:val="00224CDC"/>
    <w:rsid w:val="00224CF0"/>
    <w:rsid w:val="00224F96"/>
    <w:rsid w:val="0022521C"/>
    <w:rsid w:val="00225724"/>
    <w:rsid w:val="002257E6"/>
    <w:rsid w:val="00225975"/>
    <w:rsid w:val="002259F0"/>
    <w:rsid w:val="00225BC4"/>
    <w:rsid w:val="00225DE2"/>
    <w:rsid w:val="00225EF9"/>
    <w:rsid w:val="00225FC9"/>
    <w:rsid w:val="0022612B"/>
    <w:rsid w:val="0022626C"/>
    <w:rsid w:val="00226307"/>
    <w:rsid w:val="0022636F"/>
    <w:rsid w:val="00226631"/>
    <w:rsid w:val="002267E9"/>
    <w:rsid w:val="00226876"/>
    <w:rsid w:val="00226F52"/>
    <w:rsid w:val="00227025"/>
    <w:rsid w:val="0022717F"/>
    <w:rsid w:val="0022777A"/>
    <w:rsid w:val="0022792C"/>
    <w:rsid w:val="00227A9B"/>
    <w:rsid w:val="00227C17"/>
    <w:rsid w:val="00227C34"/>
    <w:rsid w:val="00227D76"/>
    <w:rsid w:val="00227EAD"/>
    <w:rsid w:val="0023014E"/>
    <w:rsid w:val="0023042E"/>
    <w:rsid w:val="00230668"/>
    <w:rsid w:val="00230967"/>
    <w:rsid w:val="00230ADA"/>
    <w:rsid w:val="00230B06"/>
    <w:rsid w:val="00230BB0"/>
    <w:rsid w:val="00230F41"/>
    <w:rsid w:val="00231323"/>
    <w:rsid w:val="00231374"/>
    <w:rsid w:val="002315F6"/>
    <w:rsid w:val="0023167E"/>
    <w:rsid w:val="00231966"/>
    <w:rsid w:val="00231EB7"/>
    <w:rsid w:val="00231F89"/>
    <w:rsid w:val="0023201F"/>
    <w:rsid w:val="00232249"/>
    <w:rsid w:val="00232745"/>
    <w:rsid w:val="00232D7C"/>
    <w:rsid w:val="00232DC2"/>
    <w:rsid w:val="00232E93"/>
    <w:rsid w:val="00232EAE"/>
    <w:rsid w:val="00232F59"/>
    <w:rsid w:val="00232FAF"/>
    <w:rsid w:val="002333BD"/>
    <w:rsid w:val="002338C3"/>
    <w:rsid w:val="00233D73"/>
    <w:rsid w:val="002341B5"/>
    <w:rsid w:val="002348A7"/>
    <w:rsid w:val="002349D7"/>
    <w:rsid w:val="00234BF0"/>
    <w:rsid w:val="00234CF7"/>
    <w:rsid w:val="00234D9D"/>
    <w:rsid w:val="00235628"/>
    <w:rsid w:val="00235C73"/>
    <w:rsid w:val="00235DF4"/>
    <w:rsid w:val="002361D8"/>
    <w:rsid w:val="00236271"/>
    <w:rsid w:val="002364E8"/>
    <w:rsid w:val="0023658A"/>
    <w:rsid w:val="002365AE"/>
    <w:rsid w:val="00236777"/>
    <w:rsid w:val="00236922"/>
    <w:rsid w:val="00236B00"/>
    <w:rsid w:val="00236FC7"/>
    <w:rsid w:val="002371A1"/>
    <w:rsid w:val="00237277"/>
    <w:rsid w:val="002374C0"/>
    <w:rsid w:val="0023786E"/>
    <w:rsid w:val="002378E9"/>
    <w:rsid w:val="00237B57"/>
    <w:rsid w:val="00237BFD"/>
    <w:rsid w:val="00237D0B"/>
    <w:rsid w:val="00240654"/>
    <w:rsid w:val="002407C8"/>
    <w:rsid w:val="00240920"/>
    <w:rsid w:val="00240A24"/>
    <w:rsid w:val="00240BE6"/>
    <w:rsid w:val="00240C35"/>
    <w:rsid w:val="00240E76"/>
    <w:rsid w:val="0024101C"/>
    <w:rsid w:val="00241030"/>
    <w:rsid w:val="0024110E"/>
    <w:rsid w:val="002412BB"/>
    <w:rsid w:val="002414EF"/>
    <w:rsid w:val="002414FE"/>
    <w:rsid w:val="002416B7"/>
    <w:rsid w:val="0024193B"/>
    <w:rsid w:val="002419E3"/>
    <w:rsid w:val="00241E3C"/>
    <w:rsid w:val="00241EB5"/>
    <w:rsid w:val="002425E3"/>
    <w:rsid w:val="002427B1"/>
    <w:rsid w:val="002427C5"/>
    <w:rsid w:val="002429CD"/>
    <w:rsid w:val="00242F0A"/>
    <w:rsid w:val="00242F56"/>
    <w:rsid w:val="00243094"/>
    <w:rsid w:val="002430D8"/>
    <w:rsid w:val="00243183"/>
    <w:rsid w:val="0024358F"/>
    <w:rsid w:val="00243651"/>
    <w:rsid w:val="00243687"/>
    <w:rsid w:val="00243ACC"/>
    <w:rsid w:val="00243B0C"/>
    <w:rsid w:val="00243BBF"/>
    <w:rsid w:val="00243FB1"/>
    <w:rsid w:val="0024430F"/>
    <w:rsid w:val="00244336"/>
    <w:rsid w:val="00244356"/>
    <w:rsid w:val="002444E4"/>
    <w:rsid w:val="0024476C"/>
    <w:rsid w:val="00244785"/>
    <w:rsid w:val="002447EF"/>
    <w:rsid w:val="00244868"/>
    <w:rsid w:val="00244923"/>
    <w:rsid w:val="00244BBF"/>
    <w:rsid w:val="00244ECD"/>
    <w:rsid w:val="0024526D"/>
    <w:rsid w:val="002452D1"/>
    <w:rsid w:val="002453B0"/>
    <w:rsid w:val="00245A35"/>
    <w:rsid w:val="00245B3E"/>
    <w:rsid w:val="00245B6B"/>
    <w:rsid w:val="00245D76"/>
    <w:rsid w:val="002465A7"/>
    <w:rsid w:val="00246728"/>
    <w:rsid w:val="00246C11"/>
    <w:rsid w:val="00246CB1"/>
    <w:rsid w:val="00246DDA"/>
    <w:rsid w:val="00246F00"/>
    <w:rsid w:val="00246FCE"/>
    <w:rsid w:val="0024768E"/>
    <w:rsid w:val="0024771E"/>
    <w:rsid w:val="00247D64"/>
    <w:rsid w:val="00247F54"/>
    <w:rsid w:val="0025002A"/>
    <w:rsid w:val="00250184"/>
    <w:rsid w:val="002502B1"/>
    <w:rsid w:val="00250537"/>
    <w:rsid w:val="0025067F"/>
    <w:rsid w:val="00250698"/>
    <w:rsid w:val="002506D8"/>
    <w:rsid w:val="002507A1"/>
    <w:rsid w:val="00250E40"/>
    <w:rsid w:val="00251242"/>
    <w:rsid w:val="00251245"/>
    <w:rsid w:val="00251279"/>
    <w:rsid w:val="002512C4"/>
    <w:rsid w:val="002518AA"/>
    <w:rsid w:val="00251B11"/>
    <w:rsid w:val="00251E1F"/>
    <w:rsid w:val="002526D0"/>
    <w:rsid w:val="00252914"/>
    <w:rsid w:val="002529BB"/>
    <w:rsid w:val="00252BA0"/>
    <w:rsid w:val="00252FFD"/>
    <w:rsid w:val="002533C6"/>
    <w:rsid w:val="002533E3"/>
    <w:rsid w:val="00253435"/>
    <w:rsid w:val="0025374B"/>
    <w:rsid w:val="002541D4"/>
    <w:rsid w:val="00254313"/>
    <w:rsid w:val="00254499"/>
    <w:rsid w:val="0025473A"/>
    <w:rsid w:val="00254AB9"/>
    <w:rsid w:val="00254B63"/>
    <w:rsid w:val="00254B91"/>
    <w:rsid w:val="00254CBC"/>
    <w:rsid w:val="00254F8F"/>
    <w:rsid w:val="0025550C"/>
    <w:rsid w:val="002555B1"/>
    <w:rsid w:val="002556BA"/>
    <w:rsid w:val="00255FF2"/>
    <w:rsid w:val="00256199"/>
    <w:rsid w:val="00256507"/>
    <w:rsid w:val="00256C78"/>
    <w:rsid w:val="00256CEC"/>
    <w:rsid w:val="0025715E"/>
    <w:rsid w:val="002574D0"/>
    <w:rsid w:val="00257725"/>
    <w:rsid w:val="00257728"/>
    <w:rsid w:val="00257945"/>
    <w:rsid w:val="0025794D"/>
    <w:rsid w:val="00257DFD"/>
    <w:rsid w:val="00257EBC"/>
    <w:rsid w:val="002601E7"/>
    <w:rsid w:val="0026085E"/>
    <w:rsid w:val="0026090F"/>
    <w:rsid w:val="00260C5C"/>
    <w:rsid w:val="00260E71"/>
    <w:rsid w:val="00261177"/>
    <w:rsid w:val="002612C7"/>
    <w:rsid w:val="00261379"/>
    <w:rsid w:val="00261ABE"/>
    <w:rsid w:val="00261B46"/>
    <w:rsid w:val="00261D2D"/>
    <w:rsid w:val="002620FD"/>
    <w:rsid w:val="002621C3"/>
    <w:rsid w:val="002622AF"/>
    <w:rsid w:val="002624DF"/>
    <w:rsid w:val="002624FC"/>
    <w:rsid w:val="002628A1"/>
    <w:rsid w:val="00262952"/>
    <w:rsid w:val="002629FB"/>
    <w:rsid w:val="00262AA8"/>
    <w:rsid w:val="00262B7F"/>
    <w:rsid w:val="00262D44"/>
    <w:rsid w:val="00262DF8"/>
    <w:rsid w:val="00263953"/>
    <w:rsid w:val="00263C5A"/>
    <w:rsid w:val="00263FB4"/>
    <w:rsid w:val="0026441B"/>
    <w:rsid w:val="0026445C"/>
    <w:rsid w:val="00264988"/>
    <w:rsid w:val="00264AC0"/>
    <w:rsid w:val="00264B9F"/>
    <w:rsid w:val="00264CE1"/>
    <w:rsid w:val="00264EE1"/>
    <w:rsid w:val="00264F49"/>
    <w:rsid w:val="00264F8F"/>
    <w:rsid w:val="002650B1"/>
    <w:rsid w:val="00265189"/>
    <w:rsid w:val="00265390"/>
    <w:rsid w:val="002655FB"/>
    <w:rsid w:val="00265629"/>
    <w:rsid w:val="002657D5"/>
    <w:rsid w:val="002658A1"/>
    <w:rsid w:val="0026591B"/>
    <w:rsid w:val="00265E59"/>
    <w:rsid w:val="00265E95"/>
    <w:rsid w:val="00266053"/>
    <w:rsid w:val="002660D5"/>
    <w:rsid w:val="002661B3"/>
    <w:rsid w:val="0026682C"/>
    <w:rsid w:val="00266871"/>
    <w:rsid w:val="00266D66"/>
    <w:rsid w:val="00266D86"/>
    <w:rsid w:val="00266DF5"/>
    <w:rsid w:val="00266E33"/>
    <w:rsid w:val="00266FE8"/>
    <w:rsid w:val="00267104"/>
    <w:rsid w:val="00267244"/>
    <w:rsid w:val="00267674"/>
    <w:rsid w:val="002676B2"/>
    <w:rsid w:val="00267883"/>
    <w:rsid w:val="0026795B"/>
    <w:rsid w:val="0026797B"/>
    <w:rsid w:val="00267EE7"/>
    <w:rsid w:val="00270002"/>
    <w:rsid w:val="0027023D"/>
    <w:rsid w:val="002702E4"/>
    <w:rsid w:val="002704E9"/>
    <w:rsid w:val="00270510"/>
    <w:rsid w:val="00270717"/>
    <w:rsid w:val="002709F9"/>
    <w:rsid w:val="00270A51"/>
    <w:rsid w:val="00270B7D"/>
    <w:rsid w:val="00270C9D"/>
    <w:rsid w:val="00270DCB"/>
    <w:rsid w:val="00270E83"/>
    <w:rsid w:val="00270F6D"/>
    <w:rsid w:val="002710E9"/>
    <w:rsid w:val="00271442"/>
    <w:rsid w:val="002714AE"/>
    <w:rsid w:val="002715B1"/>
    <w:rsid w:val="00271C7A"/>
    <w:rsid w:val="00271E21"/>
    <w:rsid w:val="0027200B"/>
    <w:rsid w:val="00272271"/>
    <w:rsid w:val="0027230B"/>
    <w:rsid w:val="00272468"/>
    <w:rsid w:val="00272AB8"/>
    <w:rsid w:val="00272D00"/>
    <w:rsid w:val="00272D58"/>
    <w:rsid w:val="00272DB7"/>
    <w:rsid w:val="00273081"/>
    <w:rsid w:val="0027323B"/>
    <w:rsid w:val="002738DA"/>
    <w:rsid w:val="002738ED"/>
    <w:rsid w:val="00273997"/>
    <w:rsid w:val="00273BFF"/>
    <w:rsid w:val="00273DA1"/>
    <w:rsid w:val="00273EF8"/>
    <w:rsid w:val="00274051"/>
    <w:rsid w:val="00274140"/>
    <w:rsid w:val="00274BE0"/>
    <w:rsid w:val="00274F0C"/>
    <w:rsid w:val="00275909"/>
    <w:rsid w:val="002759AB"/>
    <w:rsid w:val="00275BA2"/>
    <w:rsid w:val="00275BC6"/>
    <w:rsid w:val="00275C6A"/>
    <w:rsid w:val="00275D05"/>
    <w:rsid w:val="00275DB7"/>
    <w:rsid w:val="00275F55"/>
    <w:rsid w:val="00276487"/>
    <w:rsid w:val="00276497"/>
    <w:rsid w:val="00276560"/>
    <w:rsid w:val="002765D2"/>
    <w:rsid w:val="002768A3"/>
    <w:rsid w:val="00276C9C"/>
    <w:rsid w:val="002771BA"/>
    <w:rsid w:val="0027738C"/>
    <w:rsid w:val="002777D5"/>
    <w:rsid w:val="00277923"/>
    <w:rsid w:val="002779EC"/>
    <w:rsid w:val="00277A8A"/>
    <w:rsid w:val="00277D4F"/>
    <w:rsid w:val="00280193"/>
    <w:rsid w:val="002801D2"/>
    <w:rsid w:val="00280EFB"/>
    <w:rsid w:val="00281251"/>
    <w:rsid w:val="00281311"/>
    <w:rsid w:val="00281394"/>
    <w:rsid w:val="00281647"/>
    <w:rsid w:val="00281663"/>
    <w:rsid w:val="00281C89"/>
    <w:rsid w:val="00281E8F"/>
    <w:rsid w:val="00282502"/>
    <w:rsid w:val="002825EA"/>
    <w:rsid w:val="00282672"/>
    <w:rsid w:val="002828CB"/>
    <w:rsid w:val="00283103"/>
    <w:rsid w:val="00283131"/>
    <w:rsid w:val="00283347"/>
    <w:rsid w:val="00283437"/>
    <w:rsid w:val="0028357F"/>
    <w:rsid w:val="00283672"/>
    <w:rsid w:val="00283970"/>
    <w:rsid w:val="00283A32"/>
    <w:rsid w:val="00283A90"/>
    <w:rsid w:val="00283AA2"/>
    <w:rsid w:val="00283C09"/>
    <w:rsid w:val="00283E74"/>
    <w:rsid w:val="00284075"/>
    <w:rsid w:val="00284366"/>
    <w:rsid w:val="00284734"/>
    <w:rsid w:val="00284978"/>
    <w:rsid w:val="00284A03"/>
    <w:rsid w:val="00284BDE"/>
    <w:rsid w:val="00284CC9"/>
    <w:rsid w:val="00284D8C"/>
    <w:rsid w:val="00284F95"/>
    <w:rsid w:val="00285039"/>
    <w:rsid w:val="00285103"/>
    <w:rsid w:val="002851E3"/>
    <w:rsid w:val="002853F3"/>
    <w:rsid w:val="00285429"/>
    <w:rsid w:val="00285552"/>
    <w:rsid w:val="0028566B"/>
    <w:rsid w:val="002857A1"/>
    <w:rsid w:val="00285B55"/>
    <w:rsid w:val="00285C5A"/>
    <w:rsid w:val="00285CD2"/>
    <w:rsid w:val="00285E11"/>
    <w:rsid w:val="00286034"/>
    <w:rsid w:val="002860E7"/>
    <w:rsid w:val="00286634"/>
    <w:rsid w:val="0028676A"/>
    <w:rsid w:val="00286959"/>
    <w:rsid w:val="00286D25"/>
    <w:rsid w:val="00286DF6"/>
    <w:rsid w:val="00286F77"/>
    <w:rsid w:val="0028708D"/>
    <w:rsid w:val="00287437"/>
    <w:rsid w:val="00287594"/>
    <w:rsid w:val="0028780F"/>
    <w:rsid w:val="00290435"/>
    <w:rsid w:val="00290439"/>
    <w:rsid w:val="0029072F"/>
    <w:rsid w:val="00290855"/>
    <w:rsid w:val="0029091D"/>
    <w:rsid w:val="00290B0E"/>
    <w:rsid w:val="00290D7C"/>
    <w:rsid w:val="00290F58"/>
    <w:rsid w:val="00290F93"/>
    <w:rsid w:val="002910C4"/>
    <w:rsid w:val="0029174F"/>
    <w:rsid w:val="00291D27"/>
    <w:rsid w:val="00292263"/>
    <w:rsid w:val="002922B0"/>
    <w:rsid w:val="002925E3"/>
    <w:rsid w:val="00292CB3"/>
    <w:rsid w:val="00292FF8"/>
    <w:rsid w:val="002934E5"/>
    <w:rsid w:val="00293764"/>
    <w:rsid w:val="00293DA2"/>
    <w:rsid w:val="00293E1A"/>
    <w:rsid w:val="00293FAA"/>
    <w:rsid w:val="00294035"/>
    <w:rsid w:val="00294496"/>
    <w:rsid w:val="0029450C"/>
    <w:rsid w:val="00294549"/>
    <w:rsid w:val="00294644"/>
    <w:rsid w:val="00294666"/>
    <w:rsid w:val="00294781"/>
    <w:rsid w:val="0029482C"/>
    <w:rsid w:val="00294A98"/>
    <w:rsid w:val="00294C74"/>
    <w:rsid w:val="00294CEB"/>
    <w:rsid w:val="00294D2C"/>
    <w:rsid w:val="00295034"/>
    <w:rsid w:val="0029508D"/>
    <w:rsid w:val="00295099"/>
    <w:rsid w:val="002953E9"/>
    <w:rsid w:val="0029543C"/>
    <w:rsid w:val="00295863"/>
    <w:rsid w:val="002959B1"/>
    <w:rsid w:val="00295B58"/>
    <w:rsid w:val="00295C91"/>
    <w:rsid w:val="00295E9C"/>
    <w:rsid w:val="00295EFC"/>
    <w:rsid w:val="002963DA"/>
    <w:rsid w:val="00296406"/>
    <w:rsid w:val="002967F0"/>
    <w:rsid w:val="00296AB4"/>
    <w:rsid w:val="00297064"/>
    <w:rsid w:val="0029718A"/>
    <w:rsid w:val="0029723E"/>
    <w:rsid w:val="00297261"/>
    <w:rsid w:val="0029745A"/>
    <w:rsid w:val="002974BD"/>
    <w:rsid w:val="00297569"/>
    <w:rsid w:val="0029768D"/>
    <w:rsid w:val="00297B47"/>
    <w:rsid w:val="002A010F"/>
    <w:rsid w:val="002A0119"/>
    <w:rsid w:val="002A05E4"/>
    <w:rsid w:val="002A0825"/>
    <w:rsid w:val="002A0A52"/>
    <w:rsid w:val="002A0AED"/>
    <w:rsid w:val="002A0DD0"/>
    <w:rsid w:val="002A0ED7"/>
    <w:rsid w:val="002A118D"/>
    <w:rsid w:val="002A1293"/>
    <w:rsid w:val="002A172A"/>
    <w:rsid w:val="002A1AEF"/>
    <w:rsid w:val="002A2025"/>
    <w:rsid w:val="002A20D4"/>
    <w:rsid w:val="002A2127"/>
    <w:rsid w:val="002A231F"/>
    <w:rsid w:val="002A2455"/>
    <w:rsid w:val="002A2570"/>
    <w:rsid w:val="002A2779"/>
    <w:rsid w:val="002A2811"/>
    <w:rsid w:val="002A29F4"/>
    <w:rsid w:val="002A2BF6"/>
    <w:rsid w:val="002A2FA6"/>
    <w:rsid w:val="002A2FA7"/>
    <w:rsid w:val="002A3146"/>
    <w:rsid w:val="002A3409"/>
    <w:rsid w:val="002A34CE"/>
    <w:rsid w:val="002A34EB"/>
    <w:rsid w:val="002A35D5"/>
    <w:rsid w:val="002A3819"/>
    <w:rsid w:val="002A3B90"/>
    <w:rsid w:val="002A3D23"/>
    <w:rsid w:val="002A3DD6"/>
    <w:rsid w:val="002A3FB6"/>
    <w:rsid w:val="002A421A"/>
    <w:rsid w:val="002A4321"/>
    <w:rsid w:val="002A4448"/>
    <w:rsid w:val="002A455E"/>
    <w:rsid w:val="002A48CF"/>
    <w:rsid w:val="002A4A62"/>
    <w:rsid w:val="002A4B63"/>
    <w:rsid w:val="002A4D82"/>
    <w:rsid w:val="002A4E1A"/>
    <w:rsid w:val="002A5416"/>
    <w:rsid w:val="002A5478"/>
    <w:rsid w:val="002A584D"/>
    <w:rsid w:val="002A59AE"/>
    <w:rsid w:val="002A5C48"/>
    <w:rsid w:val="002A601E"/>
    <w:rsid w:val="002A6115"/>
    <w:rsid w:val="002A61C7"/>
    <w:rsid w:val="002A622B"/>
    <w:rsid w:val="002A6876"/>
    <w:rsid w:val="002A6930"/>
    <w:rsid w:val="002A6B70"/>
    <w:rsid w:val="002A6C20"/>
    <w:rsid w:val="002A6CAF"/>
    <w:rsid w:val="002A72A9"/>
    <w:rsid w:val="002A7407"/>
    <w:rsid w:val="002A7416"/>
    <w:rsid w:val="002A75B2"/>
    <w:rsid w:val="002A777D"/>
    <w:rsid w:val="002A7CDB"/>
    <w:rsid w:val="002A7DCB"/>
    <w:rsid w:val="002B01F9"/>
    <w:rsid w:val="002B03E8"/>
    <w:rsid w:val="002B0777"/>
    <w:rsid w:val="002B08AE"/>
    <w:rsid w:val="002B0A7A"/>
    <w:rsid w:val="002B11E7"/>
    <w:rsid w:val="002B1268"/>
    <w:rsid w:val="002B198C"/>
    <w:rsid w:val="002B1AF6"/>
    <w:rsid w:val="002B1CC6"/>
    <w:rsid w:val="002B1CE8"/>
    <w:rsid w:val="002B1EE2"/>
    <w:rsid w:val="002B1F70"/>
    <w:rsid w:val="002B2179"/>
    <w:rsid w:val="002B22C6"/>
    <w:rsid w:val="002B2321"/>
    <w:rsid w:val="002B274B"/>
    <w:rsid w:val="002B28A2"/>
    <w:rsid w:val="002B3204"/>
    <w:rsid w:val="002B38FE"/>
    <w:rsid w:val="002B3E31"/>
    <w:rsid w:val="002B3F59"/>
    <w:rsid w:val="002B4250"/>
    <w:rsid w:val="002B42C7"/>
    <w:rsid w:val="002B457C"/>
    <w:rsid w:val="002B47DA"/>
    <w:rsid w:val="002B557A"/>
    <w:rsid w:val="002B55B7"/>
    <w:rsid w:val="002B587A"/>
    <w:rsid w:val="002B697E"/>
    <w:rsid w:val="002B6A6C"/>
    <w:rsid w:val="002B6BC7"/>
    <w:rsid w:val="002B6E62"/>
    <w:rsid w:val="002B6E9F"/>
    <w:rsid w:val="002B7020"/>
    <w:rsid w:val="002B71A6"/>
    <w:rsid w:val="002B731A"/>
    <w:rsid w:val="002B746A"/>
    <w:rsid w:val="002B74B3"/>
    <w:rsid w:val="002B7594"/>
    <w:rsid w:val="002B772E"/>
    <w:rsid w:val="002B7808"/>
    <w:rsid w:val="002B7D8A"/>
    <w:rsid w:val="002B7DBE"/>
    <w:rsid w:val="002B7E11"/>
    <w:rsid w:val="002B7EEE"/>
    <w:rsid w:val="002B7F7C"/>
    <w:rsid w:val="002B7FAF"/>
    <w:rsid w:val="002B7FFB"/>
    <w:rsid w:val="002C025C"/>
    <w:rsid w:val="002C03CF"/>
    <w:rsid w:val="002C053E"/>
    <w:rsid w:val="002C071A"/>
    <w:rsid w:val="002C072A"/>
    <w:rsid w:val="002C0730"/>
    <w:rsid w:val="002C078B"/>
    <w:rsid w:val="002C0F41"/>
    <w:rsid w:val="002C107A"/>
    <w:rsid w:val="002C109F"/>
    <w:rsid w:val="002C1509"/>
    <w:rsid w:val="002C1587"/>
    <w:rsid w:val="002C1732"/>
    <w:rsid w:val="002C1C0E"/>
    <w:rsid w:val="002C1F8A"/>
    <w:rsid w:val="002C22E3"/>
    <w:rsid w:val="002C2A91"/>
    <w:rsid w:val="002C2AD6"/>
    <w:rsid w:val="002C2B1A"/>
    <w:rsid w:val="002C2B93"/>
    <w:rsid w:val="002C2C8E"/>
    <w:rsid w:val="002C2DEC"/>
    <w:rsid w:val="002C2E8D"/>
    <w:rsid w:val="002C3143"/>
    <w:rsid w:val="002C324F"/>
    <w:rsid w:val="002C32C3"/>
    <w:rsid w:val="002C348D"/>
    <w:rsid w:val="002C3559"/>
    <w:rsid w:val="002C35AF"/>
    <w:rsid w:val="002C393A"/>
    <w:rsid w:val="002C3C36"/>
    <w:rsid w:val="002C3FCF"/>
    <w:rsid w:val="002C41BD"/>
    <w:rsid w:val="002C430B"/>
    <w:rsid w:val="002C4575"/>
    <w:rsid w:val="002C4583"/>
    <w:rsid w:val="002C473A"/>
    <w:rsid w:val="002C47E6"/>
    <w:rsid w:val="002C49F8"/>
    <w:rsid w:val="002C4B27"/>
    <w:rsid w:val="002C4CBB"/>
    <w:rsid w:val="002C5033"/>
    <w:rsid w:val="002C507E"/>
    <w:rsid w:val="002C51D6"/>
    <w:rsid w:val="002C5358"/>
    <w:rsid w:val="002C5784"/>
    <w:rsid w:val="002C592F"/>
    <w:rsid w:val="002C5959"/>
    <w:rsid w:val="002C5A51"/>
    <w:rsid w:val="002C5EE8"/>
    <w:rsid w:val="002C6067"/>
    <w:rsid w:val="002C6075"/>
    <w:rsid w:val="002C60A4"/>
    <w:rsid w:val="002C6230"/>
    <w:rsid w:val="002C643D"/>
    <w:rsid w:val="002C6909"/>
    <w:rsid w:val="002C710A"/>
    <w:rsid w:val="002C724A"/>
    <w:rsid w:val="002C74DC"/>
    <w:rsid w:val="002C7DBD"/>
    <w:rsid w:val="002D000B"/>
    <w:rsid w:val="002D001C"/>
    <w:rsid w:val="002D01B4"/>
    <w:rsid w:val="002D076C"/>
    <w:rsid w:val="002D08FC"/>
    <w:rsid w:val="002D0CD9"/>
    <w:rsid w:val="002D14A5"/>
    <w:rsid w:val="002D1674"/>
    <w:rsid w:val="002D170E"/>
    <w:rsid w:val="002D1742"/>
    <w:rsid w:val="002D17F8"/>
    <w:rsid w:val="002D1B23"/>
    <w:rsid w:val="002D1C68"/>
    <w:rsid w:val="002D1FE4"/>
    <w:rsid w:val="002D217B"/>
    <w:rsid w:val="002D251C"/>
    <w:rsid w:val="002D2618"/>
    <w:rsid w:val="002D2C0F"/>
    <w:rsid w:val="002D2CDC"/>
    <w:rsid w:val="002D2DFB"/>
    <w:rsid w:val="002D2E86"/>
    <w:rsid w:val="002D2F16"/>
    <w:rsid w:val="002D35EC"/>
    <w:rsid w:val="002D36E0"/>
    <w:rsid w:val="002D36EB"/>
    <w:rsid w:val="002D39BF"/>
    <w:rsid w:val="002D3AE6"/>
    <w:rsid w:val="002D3AEF"/>
    <w:rsid w:val="002D3E9D"/>
    <w:rsid w:val="002D3EDD"/>
    <w:rsid w:val="002D4024"/>
    <w:rsid w:val="002D42E5"/>
    <w:rsid w:val="002D42EB"/>
    <w:rsid w:val="002D4462"/>
    <w:rsid w:val="002D456E"/>
    <w:rsid w:val="002D493D"/>
    <w:rsid w:val="002D4B93"/>
    <w:rsid w:val="002D4DC8"/>
    <w:rsid w:val="002D508A"/>
    <w:rsid w:val="002D525E"/>
    <w:rsid w:val="002D5920"/>
    <w:rsid w:val="002D5D5B"/>
    <w:rsid w:val="002D624D"/>
    <w:rsid w:val="002D638C"/>
    <w:rsid w:val="002D6704"/>
    <w:rsid w:val="002D6793"/>
    <w:rsid w:val="002D67E4"/>
    <w:rsid w:val="002D696D"/>
    <w:rsid w:val="002D6A8C"/>
    <w:rsid w:val="002D71E5"/>
    <w:rsid w:val="002D7396"/>
    <w:rsid w:val="002D7470"/>
    <w:rsid w:val="002D764D"/>
    <w:rsid w:val="002D7893"/>
    <w:rsid w:val="002D78B3"/>
    <w:rsid w:val="002D7C49"/>
    <w:rsid w:val="002D7C90"/>
    <w:rsid w:val="002E0245"/>
    <w:rsid w:val="002E02F5"/>
    <w:rsid w:val="002E03ED"/>
    <w:rsid w:val="002E07C1"/>
    <w:rsid w:val="002E0818"/>
    <w:rsid w:val="002E0A6D"/>
    <w:rsid w:val="002E0AF1"/>
    <w:rsid w:val="002E0B61"/>
    <w:rsid w:val="002E0C52"/>
    <w:rsid w:val="002E0DCF"/>
    <w:rsid w:val="002E0F02"/>
    <w:rsid w:val="002E12C3"/>
    <w:rsid w:val="002E158A"/>
    <w:rsid w:val="002E1692"/>
    <w:rsid w:val="002E1724"/>
    <w:rsid w:val="002E178B"/>
    <w:rsid w:val="002E1D3A"/>
    <w:rsid w:val="002E1D88"/>
    <w:rsid w:val="002E20B2"/>
    <w:rsid w:val="002E215C"/>
    <w:rsid w:val="002E23B2"/>
    <w:rsid w:val="002E2650"/>
    <w:rsid w:val="002E2AE6"/>
    <w:rsid w:val="002E2C6D"/>
    <w:rsid w:val="002E2EF0"/>
    <w:rsid w:val="002E2FB0"/>
    <w:rsid w:val="002E2FB5"/>
    <w:rsid w:val="002E349F"/>
    <w:rsid w:val="002E37C5"/>
    <w:rsid w:val="002E4590"/>
    <w:rsid w:val="002E483D"/>
    <w:rsid w:val="002E4C60"/>
    <w:rsid w:val="002E529A"/>
    <w:rsid w:val="002E545E"/>
    <w:rsid w:val="002E55A3"/>
    <w:rsid w:val="002E56A8"/>
    <w:rsid w:val="002E58B0"/>
    <w:rsid w:val="002E5DA5"/>
    <w:rsid w:val="002E5E5A"/>
    <w:rsid w:val="002E5ED7"/>
    <w:rsid w:val="002E684C"/>
    <w:rsid w:val="002E6907"/>
    <w:rsid w:val="002E6A38"/>
    <w:rsid w:val="002E71D3"/>
    <w:rsid w:val="002E71E7"/>
    <w:rsid w:val="002E7603"/>
    <w:rsid w:val="002E7670"/>
    <w:rsid w:val="002E7823"/>
    <w:rsid w:val="002E784E"/>
    <w:rsid w:val="002E7BF9"/>
    <w:rsid w:val="002E7CAF"/>
    <w:rsid w:val="002E7DEF"/>
    <w:rsid w:val="002E7FB9"/>
    <w:rsid w:val="002F025D"/>
    <w:rsid w:val="002F0349"/>
    <w:rsid w:val="002F045A"/>
    <w:rsid w:val="002F0718"/>
    <w:rsid w:val="002F0869"/>
    <w:rsid w:val="002F09BE"/>
    <w:rsid w:val="002F0A9E"/>
    <w:rsid w:val="002F0D3F"/>
    <w:rsid w:val="002F12CB"/>
    <w:rsid w:val="002F1639"/>
    <w:rsid w:val="002F1761"/>
    <w:rsid w:val="002F207B"/>
    <w:rsid w:val="002F249C"/>
    <w:rsid w:val="002F24BE"/>
    <w:rsid w:val="002F24BF"/>
    <w:rsid w:val="002F26A5"/>
    <w:rsid w:val="002F29A4"/>
    <w:rsid w:val="002F2A9F"/>
    <w:rsid w:val="002F2CA7"/>
    <w:rsid w:val="002F2EAE"/>
    <w:rsid w:val="002F2F60"/>
    <w:rsid w:val="002F3042"/>
    <w:rsid w:val="002F31D6"/>
    <w:rsid w:val="002F338C"/>
    <w:rsid w:val="002F362E"/>
    <w:rsid w:val="002F3994"/>
    <w:rsid w:val="002F39F4"/>
    <w:rsid w:val="002F3A86"/>
    <w:rsid w:val="002F3F19"/>
    <w:rsid w:val="002F3F38"/>
    <w:rsid w:val="002F402A"/>
    <w:rsid w:val="002F4133"/>
    <w:rsid w:val="002F41AA"/>
    <w:rsid w:val="002F42F0"/>
    <w:rsid w:val="002F431B"/>
    <w:rsid w:val="002F476D"/>
    <w:rsid w:val="002F4AB4"/>
    <w:rsid w:val="002F4BE6"/>
    <w:rsid w:val="002F4F04"/>
    <w:rsid w:val="002F522A"/>
    <w:rsid w:val="002F5719"/>
    <w:rsid w:val="002F5B80"/>
    <w:rsid w:val="002F5D4C"/>
    <w:rsid w:val="002F5D70"/>
    <w:rsid w:val="002F5EEA"/>
    <w:rsid w:val="002F5FF4"/>
    <w:rsid w:val="002F64D3"/>
    <w:rsid w:val="002F652E"/>
    <w:rsid w:val="002F6694"/>
    <w:rsid w:val="002F68C0"/>
    <w:rsid w:val="002F6E54"/>
    <w:rsid w:val="002F7184"/>
    <w:rsid w:val="002F79EF"/>
    <w:rsid w:val="002F7B9E"/>
    <w:rsid w:val="002F7DCD"/>
    <w:rsid w:val="00300215"/>
    <w:rsid w:val="003006A8"/>
    <w:rsid w:val="0030075A"/>
    <w:rsid w:val="00300BCB"/>
    <w:rsid w:val="00300E4A"/>
    <w:rsid w:val="0030105A"/>
    <w:rsid w:val="00301215"/>
    <w:rsid w:val="00301581"/>
    <w:rsid w:val="00301834"/>
    <w:rsid w:val="00301AAF"/>
    <w:rsid w:val="00301C95"/>
    <w:rsid w:val="00301CAB"/>
    <w:rsid w:val="003024C6"/>
    <w:rsid w:val="0030269B"/>
    <w:rsid w:val="003027F9"/>
    <w:rsid w:val="00302976"/>
    <w:rsid w:val="00302BCB"/>
    <w:rsid w:val="00302C8D"/>
    <w:rsid w:val="00302C91"/>
    <w:rsid w:val="00302CB8"/>
    <w:rsid w:val="00302D6D"/>
    <w:rsid w:val="00302DFE"/>
    <w:rsid w:val="00302F14"/>
    <w:rsid w:val="0030327C"/>
    <w:rsid w:val="0030330A"/>
    <w:rsid w:val="003033AB"/>
    <w:rsid w:val="003035B5"/>
    <w:rsid w:val="003035B7"/>
    <w:rsid w:val="003036C4"/>
    <w:rsid w:val="003039A8"/>
    <w:rsid w:val="00303A5E"/>
    <w:rsid w:val="00303B4C"/>
    <w:rsid w:val="00303C51"/>
    <w:rsid w:val="00303C6B"/>
    <w:rsid w:val="00303DDE"/>
    <w:rsid w:val="00304501"/>
    <w:rsid w:val="0030452D"/>
    <w:rsid w:val="00304651"/>
    <w:rsid w:val="00304E5B"/>
    <w:rsid w:val="00304E7D"/>
    <w:rsid w:val="003050A8"/>
    <w:rsid w:val="003051DB"/>
    <w:rsid w:val="0030577C"/>
    <w:rsid w:val="003060D8"/>
    <w:rsid w:val="003061F1"/>
    <w:rsid w:val="003062A5"/>
    <w:rsid w:val="00306AFE"/>
    <w:rsid w:val="00306BF7"/>
    <w:rsid w:val="00306C31"/>
    <w:rsid w:val="00306F3E"/>
    <w:rsid w:val="00306F5A"/>
    <w:rsid w:val="003072A1"/>
    <w:rsid w:val="00307405"/>
    <w:rsid w:val="0030748D"/>
    <w:rsid w:val="00307766"/>
    <w:rsid w:val="00307ACC"/>
    <w:rsid w:val="00307CC4"/>
    <w:rsid w:val="00307D00"/>
    <w:rsid w:val="00307E0A"/>
    <w:rsid w:val="00307FB5"/>
    <w:rsid w:val="003100C0"/>
    <w:rsid w:val="00310153"/>
    <w:rsid w:val="0031025C"/>
    <w:rsid w:val="003104FC"/>
    <w:rsid w:val="003108D5"/>
    <w:rsid w:val="00310ACC"/>
    <w:rsid w:val="00310D67"/>
    <w:rsid w:val="003110C3"/>
    <w:rsid w:val="0031119E"/>
    <w:rsid w:val="0031127D"/>
    <w:rsid w:val="003112B6"/>
    <w:rsid w:val="003112C0"/>
    <w:rsid w:val="003115A2"/>
    <w:rsid w:val="003115F0"/>
    <w:rsid w:val="003115FC"/>
    <w:rsid w:val="0031188C"/>
    <w:rsid w:val="00311D95"/>
    <w:rsid w:val="00311E4D"/>
    <w:rsid w:val="00311F90"/>
    <w:rsid w:val="00311FA3"/>
    <w:rsid w:val="0031210B"/>
    <w:rsid w:val="00312130"/>
    <w:rsid w:val="003121EC"/>
    <w:rsid w:val="00312309"/>
    <w:rsid w:val="00312761"/>
    <w:rsid w:val="003128AF"/>
    <w:rsid w:val="003129A6"/>
    <w:rsid w:val="00312B7C"/>
    <w:rsid w:val="00312D12"/>
    <w:rsid w:val="00312F67"/>
    <w:rsid w:val="003130C7"/>
    <w:rsid w:val="003132DC"/>
    <w:rsid w:val="00313576"/>
    <w:rsid w:val="0031389C"/>
    <w:rsid w:val="00313A16"/>
    <w:rsid w:val="00314156"/>
    <w:rsid w:val="0031432F"/>
    <w:rsid w:val="003143F6"/>
    <w:rsid w:val="003146FC"/>
    <w:rsid w:val="003147AA"/>
    <w:rsid w:val="003147BA"/>
    <w:rsid w:val="00314A01"/>
    <w:rsid w:val="00314C48"/>
    <w:rsid w:val="00314E5E"/>
    <w:rsid w:val="00314F93"/>
    <w:rsid w:val="00314FBE"/>
    <w:rsid w:val="00315042"/>
    <w:rsid w:val="0031532E"/>
    <w:rsid w:val="00315395"/>
    <w:rsid w:val="003153AB"/>
    <w:rsid w:val="00315485"/>
    <w:rsid w:val="00315609"/>
    <w:rsid w:val="00315746"/>
    <w:rsid w:val="003157F4"/>
    <w:rsid w:val="00315AE6"/>
    <w:rsid w:val="00315D54"/>
    <w:rsid w:val="00316046"/>
    <w:rsid w:val="0031614E"/>
    <w:rsid w:val="00316567"/>
    <w:rsid w:val="0031656E"/>
    <w:rsid w:val="00316738"/>
    <w:rsid w:val="0031678F"/>
    <w:rsid w:val="0031694F"/>
    <w:rsid w:val="00316A34"/>
    <w:rsid w:val="00316C09"/>
    <w:rsid w:val="00316EA7"/>
    <w:rsid w:val="00316F51"/>
    <w:rsid w:val="003173A4"/>
    <w:rsid w:val="00317642"/>
    <w:rsid w:val="00317E49"/>
    <w:rsid w:val="00317F6E"/>
    <w:rsid w:val="00320048"/>
    <w:rsid w:val="0032021D"/>
    <w:rsid w:val="003203CD"/>
    <w:rsid w:val="003204F4"/>
    <w:rsid w:val="00320579"/>
    <w:rsid w:val="003205AB"/>
    <w:rsid w:val="003206AC"/>
    <w:rsid w:val="00320709"/>
    <w:rsid w:val="00320AEF"/>
    <w:rsid w:val="00320E45"/>
    <w:rsid w:val="003211E9"/>
    <w:rsid w:val="00321283"/>
    <w:rsid w:val="003216A1"/>
    <w:rsid w:val="003218AC"/>
    <w:rsid w:val="00321D9C"/>
    <w:rsid w:val="00321F6C"/>
    <w:rsid w:val="0032217F"/>
    <w:rsid w:val="003222B7"/>
    <w:rsid w:val="0032270F"/>
    <w:rsid w:val="00322831"/>
    <w:rsid w:val="0032293C"/>
    <w:rsid w:val="00322B2E"/>
    <w:rsid w:val="00322C34"/>
    <w:rsid w:val="00322DE1"/>
    <w:rsid w:val="00322E17"/>
    <w:rsid w:val="00322EC1"/>
    <w:rsid w:val="003230EB"/>
    <w:rsid w:val="003230F8"/>
    <w:rsid w:val="00323365"/>
    <w:rsid w:val="00323388"/>
    <w:rsid w:val="003234DC"/>
    <w:rsid w:val="0032378E"/>
    <w:rsid w:val="003237E3"/>
    <w:rsid w:val="00323813"/>
    <w:rsid w:val="00323E7E"/>
    <w:rsid w:val="00323FFA"/>
    <w:rsid w:val="00324273"/>
    <w:rsid w:val="00324307"/>
    <w:rsid w:val="00324421"/>
    <w:rsid w:val="003244DA"/>
    <w:rsid w:val="003246F4"/>
    <w:rsid w:val="00324927"/>
    <w:rsid w:val="00324A27"/>
    <w:rsid w:val="0032539C"/>
    <w:rsid w:val="003253F2"/>
    <w:rsid w:val="0032561E"/>
    <w:rsid w:val="003257BC"/>
    <w:rsid w:val="00325B77"/>
    <w:rsid w:val="003262D0"/>
    <w:rsid w:val="00326371"/>
    <w:rsid w:val="003267E1"/>
    <w:rsid w:val="00326853"/>
    <w:rsid w:val="003269A0"/>
    <w:rsid w:val="00326C76"/>
    <w:rsid w:val="00326E82"/>
    <w:rsid w:val="0032725A"/>
    <w:rsid w:val="003275BF"/>
    <w:rsid w:val="00327650"/>
    <w:rsid w:val="00327652"/>
    <w:rsid w:val="00327705"/>
    <w:rsid w:val="0032799E"/>
    <w:rsid w:val="00327DEB"/>
    <w:rsid w:val="00327ED0"/>
    <w:rsid w:val="00327FA4"/>
    <w:rsid w:val="003300B8"/>
    <w:rsid w:val="00330218"/>
    <w:rsid w:val="00330236"/>
    <w:rsid w:val="003305E1"/>
    <w:rsid w:val="0033062C"/>
    <w:rsid w:val="0033093E"/>
    <w:rsid w:val="00330A4D"/>
    <w:rsid w:val="00330B4D"/>
    <w:rsid w:val="00330C1E"/>
    <w:rsid w:val="0033114B"/>
    <w:rsid w:val="00331377"/>
    <w:rsid w:val="0033145F"/>
    <w:rsid w:val="00331A7D"/>
    <w:rsid w:val="00331B2C"/>
    <w:rsid w:val="00331FF5"/>
    <w:rsid w:val="00332150"/>
    <w:rsid w:val="00332349"/>
    <w:rsid w:val="00332389"/>
    <w:rsid w:val="00332435"/>
    <w:rsid w:val="00332700"/>
    <w:rsid w:val="0033288A"/>
    <w:rsid w:val="00332A70"/>
    <w:rsid w:val="00332B01"/>
    <w:rsid w:val="00332BE8"/>
    <w:rsid w:val="00332F6D"/>
    <w:rsid w:val="00333769"/>
    <w:rsid w:val="00333AA1"/>
    <w:rsid w:val="00333B20"/>
    <w:rsid w:val="00333C9F"/>
    <w:rsid w:val="00333FA5"/>
    <w:rsid w:val="00334037"/>
    <w:rsid w:val="003345AE"/>
    <w:rsid w:val="00334612"/>
    <w:rsid w:val="00334670"/>
    <w:rsid w:val="00334B26"/>
    <w:rsid w:val="00334BF2"/>
    <w:rsid w:val="00335056"/>
    <w:rsid w:val="00335198"/>
    <w:rsid w:val="003351FE"/>
    <w:rsid w:val="00335271"/>
    <w:rsid w:val="003352CA"/>
    <w:rsid w:val="003358A1"/>
    <w:rsid w:val="003359A3"/>
    <w:rsid w:val="00335AEA"/>
    <w:rsid w:val="00335B82"/>
    <w:rsid w:val="00335BF9"/>
    <w:rsid w:val="00335CE1"/>
    <w:rsid w:val="00335DE6"/>
    <w:rsid w:val="003363AC"/>
    <w:rsid w:val="003364DE"/>
    <w:rsid w:val="00336803"/>
    <w:rsid w:val="0033682A"/>
    <w:rsid w:val="00336AC9"/>
    <w:rsid w:val="00336DC2"/>
    <w:rsid w:val="0033720F"/>
    <w:rsid w:val="0033724E"/>
    <w:rsid w:val="0033727D"/>
    <w:rsid w:val="00337304"/>
    <w:rsid w:val="00337331"/>
    <w:rsid w:val="003377D7"/>
    <w:rsid w:val="00337AD8"/>
    <w:rsid w:val="00337DA5"/>
    <w:rsid w:val="0034019F"/>
    <w:rsid w:val="003401A0"/>
    <w:rsid w:val="00340320"/>
    <w:rsid w:val="003404E7"/>
    <w:rsid w:val="003405FF"/>
    <w:rsid w:val="00340639"/>
    <w:rsid w:val="003408C6"/>
    <w:rsid w:val="0034097B"/>
    <w:rsid w:val="00340B77"/>
    <w:rsid w:val="00340BCE"/>
    <w:rsid w:val="00340C00"/>
    <w:rsid w:val="00340C3F"/>
    <w:rsid w:val="00340C72"/>
    <w:rsid w:val="00340DCF"/>
    <w:rsid w:val="00340DDB"/>
    <w:rsid w:val="00340EE2"/>
    <w:rsid w:val="00340FE1"/>
    <w:rsid w:val="00341796"/>
    <w:rsid w:val="003417F9"/>
    <w:rsid w:val="00341A40"/>
    <w:rsid w:val="00341CE1"/>
    <w:rsid w:val="00341F65"/>
    <w:rsid w:val="00342116"/>
    <w:rsid w:val="00342190"/>
    <w:rsid w:val="0034219C"/>
    <w:rsid w:val="00342284"/>
    <w:rsid w:val="003422E7"/>
    <w:rsid w:val="00342414"/>
    <w:rsid w:val="0034291E"/>
    <w:rsid w:val="003429C4"/>
    <w:rsid w:val="00342AC8"/>
    <w:rsid w:val="00342B8F"/>
    <w:rsid w:val="00342CD6"/>
    <w:rsid w:val="00342D2B"/>
    <w:rsid w:val="00342EFF"/>
    <w:rsid w:val="00343279"/>
    <w:rsid w:val="00343581"/>
    <w:rsid w:val="003436E0"/>
    <w:rsid w:val="00343814"/>
    <w:rsid w:val="00343C1C"/>
    <w:rsid w:val="00343DD9"/>
    <w:rsid w:val="0034411F"/>
    <w:rsid w:val="003443C9"/>
    <w:rsid w:val="003447BE"/>
    <w:rsid w:val="003449B0"/>
    <w:rsid w:val="00344BC0"/>
    <w:rsid w:val="00344CAD"/>
    <w:rsid w:val="00344EAB"/>
    <w:rsid w:val="00344FDB"/>
    <w:rsid w:val="00344FE3"/>
    <w:rsid w:val="0034501E"/>
    <w:rsid w:val="0034507F"/>
    <w:rsid w:val="003450AE"/>
    <w:rsid w:val="00345666"/>
    <w:rsid w:val="003456FF"/>
    <w:rsid w:val="00345B8E"/>
    <w:rsid w:val="00345CA6"/>
    <w:rsid w:val="00345D95"/>
    <w:rsid w:val="00345DFF"/>
    <w:rsid w:val="00345FF7"/>
    <w:rsid w:val="003466DA"/>
    <w:rsid w:val="003467AF"/>
    <w:rsid w:val="003468A6"/>
    <w:rsid w:val="00346EFE"/>
    <w:rsid w:val="0034715C"/>
    <w:rsid w:val="0034729B"/>
    <w:rsid w:val="0034764F"/>
    <w:rsid w:val="00347672"/>
    <w:rsid w:val="003476FC"/>
    <w:rsid w:val="003478DE"/>
    <w:rsid w:val="00347C3B"/>
    <w:rsid w:val="00347F1A"/>
    <w:rsid w:val="00347F82"/>
    <w:rsid w:val="0035008A"/>
    <w:rsid w:val="0035045A"/>
    <w:rsid w:val="0035047F"/>
    <w:rsid w:val="003504BD"/>
    <w:rsid w:val="00350668"/>
    <w:rsid w:val="0035090E"/>
    <w:rsid w:val="00350AB0"/>
    <w:rsid w:val="00350B84"/>
    <w:rsid w:val="00350C93"/>
    <w:rsid w:val="00350DC2"/>
    <w:rsid w:val="00350E1F"/>
    <w:rsid w:val="00350F35"/>
    <w:rsid w:val="0035171D"/>
    <w:rsid w:val="00351838"/>
    <w:rsid w:val="00351908"/>
    <w:rsid w:val="00351B4A"/>
    <w:rsid w:val="00351C59"/>
    <w:rsid w:val="00351F42"/>
    <w:rsid w:val="00351FDA"/>
    <w:rsid w:val="003520CA"/>
    <w:rsid w:val="00352334"/>
    <w:rsid w:val="0035245C"/>
    <w:rsid w:val="003525AF"/>
    <w:rsid w:val="00352A60"/>
    <w:rsid w:val="00352C17"/>
    <w:rsid w:val="00352C94"/>
    <w:rsid w:val="00352FCC"/>
    <w:rsid w:val="00353035"/>
    <w:rsid w:val="003530E3"/>
    <w:rsid w:val="003531CD"/>
    <w:rsid w:val="003533B3"/>
    <w:rsid w:val="003535A8"/>
    <w:rsid w:val="00353653"/>
    <w:rsid w:val="0035380C"/>
    <w:rsid w:val="0035394A"/>
    <w:rsid w:val="00353A29"/>
    <w:rsid w:val="00353B58"/>
    <w:rsid w:val="00353C28"/>
    <w:rsid w:val="00353CDA"/>
    <w:rsid w:val="00353E4F"/>
    <w:rsid w:val="00353FE2"/>
    <w:rsid w:val="003540D7"/>
    <w:rsid w:val="003542D0"/>
    <w:rsid w:val="00354316"/>
    <w:rsid w:val="003548AB"/>
    <w:rsid w:val="00354AA9"/>
    <w:rsid w:val="00354ACA"/>
    <w:rsid w:val="0035527A"/>
    <w:rsid w:val="0035560B"/>
    <w:rsid w:val="00355696"/>
    <w:rsid w:val="0035598F"/>
    <w:rsid w:val="00355B17"/>
    <w:rsid w:val="00355B85"/>
    <w:rsid w:val="00355CA2"/>
    <w:rsid w:val="00355DFF"/>
    <w:rsid w:val="00355FC5"/>
    <w:rsid w:val="00356039"/>
    <w:rsid w:val="0035605E"/>
    <w:rsid w:val="0035647D"/>
    <w:rsid w:val="0035655C"/>
    <w:rsid w:val="00356628"/>
    <w:rsid w:val="00356666"/>
    <w:rsid w:val="003568C5"/>
    <w:rsid w:val="00356D59"/>
    <w:rsid w:val="00356DE9"/>
    <w:rsid w:val="003571EA"/>
    <w:rsid w:val="0035720B"/>
    <w:rsid w:val="00357AC1"/>
    <w:rsid w:val="00357D15"/>
    <w:rsid w:val="00357F68"/>
    <w:rsid w:val="00357FA0"/>
    <w:rsid w:val="00360597"/>
    <w:rsid w:val="003605E9"/>
    <w:rsid w:val="00360847"/>
    <w:rsid w:val="00360BEF"/>
    <w:rsid w:val="00360DAE"/>
    <w:rsid w:val="00360E30"/>
    <w:rsid w:val="00360FE3"/>
    <w:rsid w:val="00361064"/>
    <w:rsid w:val="003611E0"/>
    <w:rsid w:val="0036154C"/>
    <w:rsid w:val="0036156D"/>
    <w:rsid w:val="0036156E"/>
    <w:rsid w:val="003618E0"/>
    <w:rsid w:val="00361934"/>
    <w:rsid w:val="00361A0F"/>
    <w:rsid w:val="00361CC5"/>
    <w:rsid w:val="00361E9B"/>
    <w:rsid w:val="00361EF4"/>
    <w:rsid w:val="00361FA2"/>
    <w:rsid w:val="003620E5"/>
    <w:rsid w:val="00362433"/>
    <w:rsid w:val="0036266F"/>
    <w:rsid w:val="00362B2A"/>
    <w:rsid w:val="00362C06"/>
    <w:rsid w:val="00362D01"/>
    <w:rsid w:val="00362DDA"/>
    <w:rsid w:val="00362FEE"/>
    <w:rsid w:val="00363274"/>
    <w:rsid w:val="00363554"/>
    <w:rsid w:val="00363665"/>
    <w:rsid w:val="003636E3"/>
    <w:rsid w:val="003639B1"/>
    <w:rsid w:val="00363C62"/>
    <w:rsid w:val="00363DA7"/>
    <w:rsid w:val="00363DA9"/>
    <w:rsid w:val="0036482A"/>
    <w:rsid w:val="0036498F"/>
    <w:rsid w:val="00364A75"/>
    <w:rsid w:val="00364B4E"/>
    <w:rsid w:val="00364C35"/>
    <w:rsid w:val="00364FAD"/>
    <w:rsid w:val="00364FDD"/>
    <w:rsid w:val="0036564C"/>
    <w:rsid w:val="00365689"/>
    <w:rsid w:val="00365A4F"/>
    <w:rsid w:val="003662F3"/>
    <w:rsid w:val="0036632A"/>
    <w:rsid w:val="0036635C"/>
    <w:rsid w:val="0036639D"/>
    <w:rsid w:val="00366411"/>
    <w:rsid w:val="003665F5"/>
    <w:rsid w:val="00366730"/>
    <w:rsid w:val="00366940"/>
    <w:rsid w:val="00366A38"/>
    <w:rsid w:val="00366AA0"/>
    <w:rsid w:val="00367093"/>
    <w:rsid w:val="00367246"/>
    <w:rsid w:val="003672AA"/>
    <w:rsid w:val="00367354"/>
    <w:rsid w:val="00367477"/>
    <w:rsid w:val="00367846"/>
    <w:rsid w:val="00367CAB"/>
    <w:rsid w:val="00367EE6"/>
    <w:rsid w:val="00367F6A"/>
    <w:rsid w:val="00370318"/>
    <w:rsid w:val="00370415"/>
    <w:rsid w:val="00370525"/>
    <w:rsid w:val="00370531"/>
    <w:rsid w:val="00370879"/>
    <w:rsid w:val="00370AA1"/>
    <w:rsid w:val="00370D00"/>
    <w:rsid w:val="00370D52"/>
    <w:rsid w:val="00370FB6"/>
    <w:rsid w:val="00370FD4"/>
    <w:rsid w:val="0037106A"/>
    <w:rsid w:val="00371280"/>
    <w:rsid w:val="0037146C"/>
    <w:rsid w:val="003714B5"/>
    <w:rsid w:val="00371749"/>
    <w:rsid w:val="00371863"/>
    <w:rsid w:val="0037192A"/>
    <w:rsid w:val="00371D8D"/>
    <w:rsid w:val="00371E9E"/>
    <w:rsid w:val="00371F01"/>
    <w:rsid w:val="00372109"/>
    <w:rsid w:val="00372199"/>
    <w:rsid w:val="0037227C"/>
    <w:rsid w:val="003723D6"/>
    <w:rsid w:val="003725F7"/>
    <w:rsid w:val="003727EE"/>
    <w:rsid w:val="0037280F"/>
    <w:rsid w:val="003728E1"/>
    <w:rsid w:val="00373027"/>
    <w:rsid w:val="00373034"/>
    <w:rsid w:val="003731C6"/>
    <w:rsid w:val="003731F8"/>
    <w:rsid w:val="003736F1"/>
    <w:rsid w:val="00373709"/>
    <w:rsid w:val="0037374E"/>
    <w:rsid w:val="00373808"/>
    <w:rsid w:val="00373B1B"/>
    <w:rsid w:val="00373F36"/>
    <w:rsid w:val="003742B8"/>
    <w:rsid w:val="0037432A"/>
    <w:rsid w:val="003743F9"/>
    <w:rsid w:val="003743FA"/>
    <w:rsid w:val="00374676"/>
    <w:rsid w:val="00374894"/>
    <w:rsid w:val="00374ACA"/>
    <w:rsid w:val="00374D36"/>
    <w:rsid w:val="003751AE"/>
    <w:rsid w:val="0037558D"/>
    <w:rsid w:val="003755F8"/>
    <w:rsid w:val="003756FD"/>
    <w:rsid w:val="00375750"/>
    <w:rsid w:val="0037575E"/>
    <w:rsid w:val="00375818"/>
    <w:rsid w:val="00375B16"/>
    <w:rsid w:val="00375D0A"/>
    <w:rsid w:val="00375F26"/>
    <w:rsid w:val="00376130"/>
    <w:rsid w:val="0037617F"/>
    <w:rsid w:val="003761C9"/>
    <w:rsid w:val="0037634B"/>
    <w:rsid w:val="003766FE"/>
    <w:rsid w:val="00376942"/>
    <w:rsid w:val="00376ABB"/>
    <w:rsid w:val="00376AE7"/>
    <w:rsid w:val="00376AEC"/>
    <w:rsid w:val="00376B57"/>
    <w:rsid w:val="00377513"/>
    <w:rsid w:val="00377585"/>
    <w:rsid w:val="00377605"/>
    <w:rsid w:val="00377625"/>
    <w:rsid w:val="00377AC2"/>
    <w:rsid w:val="00377AE5"/>
    <w:rsid w:val="00377B1F"/>
    <w:rsid w:val="00377F14"/>
    <w:rsid w:val="0038040B"/>
    <w:rsid w:val="0038059B"/>
    <w:rsid w:val="00380659"/>
    <w:rsid w:val="00380B51"/>
    <w:rsid w:val="00380DD1"/>
    <w:rsid w:val="003810EF"/>
    <w:rsid w:val="00381389"/>
    <w:rsid w:val="00381464"/>
    <w:rsid w:val="00381702"/>
    <w:rsid w:val="00381981"/>
    <w:rsid w:val="00381983"/>
    <w:rsid w:val="00381A71"/>
    <w:rsid w:val="00381B87"/>
    <w:rsid w:val="003824AA"/>
    <w:rsid w:val="00382A3F"/>
    <w:rsid w:val="00382A85"/>
    <w:rsid w:val="00382AFB"/>
    <w:rsid w:val="00382BE4"/>
    <w:rsid w:val="0038311F"/>
    <w:rsid w:val="0038318B"/>
    <w:rsid w:val="003831CB"/>
    <w:rsid w:val="00383282"/>
    <w:rsid w:val="00383515"/>
    <w:rsid w:val="003835C8"/>
    <w:rsid w:val="00383BF8"/>
    <w:rsid w:val="003842EA"/>
    <w:rsid w:val="003846DB"/>
    <w:rsid w:val="00384726"/>
    <w:rsid w:val="00384817"/>
    <w:rsid w:val="003849E3"/>
    <w:rsid w:val="00384C87"/>
    <w:rsid w:val="00384D2C"/>
    <w:rsid w:val="00385050"/>
    <w:rsid w:val="003852EB"/>
    <w:rsid w:val="0038536B"/>
    <w:rsid w:val="003853FF"/>
    <w:rsid w:val="00385470"/>
    <w:rsid w:val="003854DC"/>
    <w:rsid w:val="0038572E"/>
    <w:rsid w:val="00385891"/>
    <w:rsid w:val="003859D1"/>
    <w:rsid w:val="00385A5A"/>
    <w:rsid w:val="00385A96"/>
    <w:rsid w:val="00385E8C"/>
    <w:rsid w:val="00385FB6"/>
    <w:rsid w:val="0038610C"/>
    <w:rsid w:val="00386563"/>
    <w:rsid w:val="003869BF"/>
    <w:rsid w:val="00386B62"/>
    <w:rsid w:val="00386C15"/>
    <w:rsid w:val="00387756"/>
    <w:rsid w:val="003878F6"/>
    <w:rsid w:val="003900E4"/>
    <w:rsid w:val="00390182"/>
    <w:rsid w:val="003906F9"/>
    <w:rsid w:val="003908AF"/>
    <w:rsid w:val="00390A6F"/>
    <w:rsid w:val="00390E65"/>
    <w:rsid w:val="00390EEA"/>
    <w:rsid w:val="00390FCA"/>
    <w:rsid w:val="0039105E"/>
    <w:rsid w:val="0039109A"/>
    <w:rsid w:val="003910D7"/>
    <w:rsid w:val="00391140"/>
    <w:rsid w:val="003912A9"/>
    <w:rsid w:val="003912F6"/>
    <w:rsid w:val="003915E8"/>
    <w:rsid w:val="00391989"/>
    <w:rsid w:val="00391A01"/>
    <w:rsid w:val="00391E7B"/>
    <w:rsid w:val="003920F8"/>
    <w:rsid w:val="00392106"/>
    <w:rsid w:val="0039214F"/>
    <w:rsid w:val="0039224B"/>
    <w:rsid w:val="003922BF"/>
    <w:rsid w:val="00392503"/>
    <w:rsid w:val="00392758"/>
    <w:rsid w:val="00392F39"/>
    <w:rsid w:val="003932CC"/>
    <w:rsid w:val="0039352F"/>
    <w:rsid w:val="003935ED"/>
    <w:rsid w:val="0039363A"/>
    <w:rsid w:val="003936C4"/>
    <w:rsid w:val="003936EE"/>
    <w:rsid w:val="00393739"/>
    <w:rsid w:val="0039382C"/>
    <w:rsid w:val="0039386C"/>
    <w:rsid w:val="00393870"/>
    <w:rsid w:val="00393C9B"/>
    <w:rsid w:val="00393EDB"/>
    <w:rsid w:val="003940F8"/>
    <w:rsid w:val="00394130"/>
    <w:rsid w:val="00394220"/>
    <w:rsid w:val="0039494E"/>
    <w:rsid w:val="00395229"/>
    <w:rsid w:val="0039548D"/>
    <w:rsid w:val="00395638"/>
    <w:rsid w:val="003958EC"/>
    <w:rsid w:val="00395EBB"/>
    <w:rsid w:val="00395EEF"/>
    <w:rsid w:val="00395EF1"/>
    <w:rsid w:val="0039633B"/>
    <w:rsid w:val="003965C3"/>
    <w:rsid w:val="00396971"/>
    <w:rsid w:val="00396AA4"/>
    <w:rsid w:val="00396DDA"/>
    <w:rsid w:val="00396F76"/>
    <w:rsid w:val="00397287"/>
    <w:rsid w:val="0039728A"/>
    <w:rsid w:val="003972B1"/>
    <w:rsid w:val="00397688"/>
    <w:rsid w:val="003976A2"/>
    <w:rsid w:val="00397780"/>
    <w:rsid w:val="003978D5"/>
    <w:rsid w:val="00397B66"/>
    <w:rsid w:val="00397BE8"/>
    <w:rsid w:val="00397C00"/>
    <w:rsid w:val="00397C3F"/>
    <w:rsid w:val="003A02BC"/>
    <w:rsid w:val="003A0582"/>
    <w:rsid w:val="003A05BA"/>
    <w:rsid w:val="003A067C"/>
    <w:rsid w:val="003A06C9"/>
    <w:rsid w:val="003A0892"/>
    <w:rsid w:val="003A0A17"/>
    <w:rsid w:val="003A0BF6"/>
    <w:rsid w:val="003A0D2C"/>
    <w:rsid w:val="003A0EFA"/>
    <w:rsid w:val="003A107E"/>
    <w:rsid w:val="003A10D2"/>
    <w:rsid w:val="003A16B6"/>
    <w:rsid w:val="003A16E2"/>
    <w:rsid w:val="003A17C4"/>
    <w:rsid w:val="003A1B35"/>
    <w:rsid w:val="003A1E42"/>
    <w:rsid w:val="003A1FDD"/>
    <w:rsid w:val="003A2005"/>
    <w:rsid w:val="003A2425"/>
    <w:rsid w:val="003A2504"/>
    <w:rsid w:val="003A2508"/>
    <w:rsid w:val="003A2732"/>
    <w:rsid w:val="003A294D"/>
    <w:rsid w:val="003A2B5E"/>
    <w:rsid w:val="003A2D0F"/>
    <w:rsid w:val="003A2F37"/>
    <w:rsid w:val="003A2F71"/>
    <w:rsid w:val="003A33CC"/>
    <w:rsid w:val="003A3608"/>
    <w:rsid w:val="003A3791"/>
    <w:rsid w:val="003A384F"/>
    <w:rsid w:val="003A3883"/>
    <w:rsid w:val="003A3D16"/>
    <w:rsid w:val="003A42C8"/>
    <w:rsid w:val="003A495D"/>
    <w:rsid w:val="003A49FE"/>
    <w:rsid w:val="003A4A9B"/>
    <w:rsid w:val="003A4B0E"/>
    <w:rsid w:val="003A4DB5"/>
    <w:rsid w:val="003A518B"/>
    <w:rsid w:val="003A520C"/>
    <w:rsid w:val="003A529A"/>
    <w:rsid w:val="003A52E6"/>
    <w:rsid w:val="003A5669"/>
    <w:rsid w:val="003A5933"/>
    <w:rsid w:val="003A5B5E"/>
    <w:rsid w:val="003A5DF0"/>
    <w:rsid w:val="003A61C1"/>
    <w:rsid w:val="003A633D"/>
    <w:rsid w:val="003A683C"/>
    <w:rsid w:val="003A6876"/>
    <w:rsid w:val="003A6B01"/>
    <w:rsid w:val="003A6C1D"/>
    <w:rsid w:val="003A6E5E"/>
    <w:rsid w:val="003A6EE9"/>
    <w:rsid w:val="003A6F1F"/>
    <w:rsid w:val="003A74DD"/>
    <w:rsid w:val="003A7AAD"/>
    <w:rsid w:val="003A7E5B"/>
    <w:rsid w:val="003B0202"/>
    <w:rsid w:val="003B0294"/>
    <w:rsid w:val="003B035E"/>
    <w:rsid w:val="003B040E"/>
    <w:rsid w:val="003B08E3"/>
    <w:rsid w:val="003B0AE4"/>
    <w:rsid w:val="003B0EE2"/>
    <w:rsid w:val="003B0F06"/>
    <w:rsid w:val="003B1117"/>
    <w:rsid w:val="003B12E1"/>
    <w:rsid w:val="003B12FC"/>
    <w:rsid w:val="003B19A1"/>
    <w:rsid w:val="003B1B3A"/>
    <w:rsid w:val="003B1BFD"/>
    <w:rsid w:val="003B1D84"/>
    <w:rsid w:val="003B20D4"/>
    <w:rsid w:val="003B259D"/>
    <w:rsid w:val="003B27E8"/>
    <w:rsid w:val="003B28D0"/>
    <w:rsid w:val="003B2A5B"/>
    <w:rsid w:val="003B2C4C"/>
    <w:rsid w:val="003B2D76"/>
    <w:rsid w:val="003B2FC9"/>
    <w:rsid w:val="003B319F"/>
    <w:rsid w:val="003B31C6"/>
    <w:rsid w:val="003B347E"/>
    <w:rsid w:val="003B35CF"/>
    <w:rsid w:val="003B35EC"/>
    <w:rsid w:val="003B3643"/>
    <w:rsid w:val="003B371C"/>
    <w:rsid w:val="003B374F"/>
    <w:rsid w:val="003B3904"/>
    <w:rsid w:val="003B3BED"/>
    <w:rsid w:val="003B4018"/>
    <w:rsid w:val="003B4520"/>
    <w:rsid w:val="003B49AC"/>
    <w:rsid w:val="003B4BFC"/>
    <w:rsid w:val="003B4D23"/>
    <w:rsid w:val="003B5313"/>
    <w:rsid w:val="003B5439"/>
    <w:rsid w:val="003B5801"/>
    <w:rsid w:val="003B5F80"/>
    <w:rsid w:val="003B602F"/>
    <w:rsid w:val="003B60AD"/>
    <w:rsid w:val="003B6122"/>
    <w:rsid w:val="003B6350"/>
    <w:rsid w:val="003B6657"/>
    <w:rsid w:val="003B66DE"/>
    <w:rsid w:val="003B6B4D"/>
    <w:rsid w:val="003B6BEB"/>
    <w:rsid w:val="003B6E41"/>
    <w:rsid w:val="003B7095"/>
    <w:rsid w:val="003B72D4"/>
    <w:rsid w:val="003B73BF"/>
    <w:rsid w:val="003B75CF"/>
    <w:rsid w:val="003B7C3B"/>
    <w:rsid w:val="003B7E2B"/>
    <w:rsid w:val="003C0133"/>
    <w:rsid w:val="003C07E7"/>
    <w:rsid w:val="003C0A57"/>
    <w:rsid w:val="003C117C"/>
    <w:rsid w:val="003C1248"/>
    <w:rsid w:val="003C13FC"/>
    <w:rsid w:val="003C1502"/>
    <w:rsid w:val="003C184A"/>
    <w:rsid w:val="003C191C"/>
    <w:rsid w:val="003C1BAB"/>
    <w:rsid w:val="003C1DDD"/>
    <w:rsid w:val="003C1E5D"/>
    <w:rsid w:val="003C1F46"/>
    <w:rsid w:val="003C2166"/>
    <w:rsid w:val="003C2193"/>
    <w:rsid w:val="003C21CE"/>
    <w:rsid w:val="003C2209"/>
    <w:rsid w:val="003C2438"/>
    <w:rsid w:val="003C2499"/>
    <w:rsid w:val="003C28FE"/>
    <w:rsid w:val="003C2E53"/>
    <w:rsid w:val="003C366B"/>
    <w:rsid w:val="003C3724"/>
    <w:rsid w:val="003C3F2D"/>
    <w:rsid w:val="003C40D2"/>
    <w:rsid w:val="003C4114"/>
    <w:rsid w:val="003C41D2"/>
    <w:rsid w:val="003C426F"/>
    <w:rsid w:val="003C437B"/>
    <w:rsid w:val="003C4E05"/>
    <w:rsid w:val="003C4F37"/>
    <w:rsid w:val="003C4FCE"/>
    <w:rsid w:val="003C5216"/>
    <w:rsid w:val="003C5ADD"/>
    <w:rsid w:val="003C5E27"/>
    <w:rsid w:val="003C6170"/>
    <w:rsid w:val="003C6A1D"/>
    <w:rsid w:val="003C6CDC"/>
    <w:rsid w:val="003C70F4"/>
    <w:rsid w:val="003C7102"/>
    <w:rsid w:val="003C7534"/>
    <w:rsid w:val="003C763C"/>
    <w:rsid w:val="003C77DE"/>
    <w:rsid w:val="003C7D74"/>
    <w:rsid w:val="003C7D7C"/>
    <w:rsid w:val="003C7DDD"/>
    <w:rsid w:val="003D0285"/>
    <w:rsid w:val="003D08F8"/>
    <w:rsid w:val="003D09DF"/>
    <w:rsid w:val="003D0ADA"/>
    <w:rsid w:val="003D0AEB"/>
    <w:rsid w:val="003D1028"/>
    <w:rsid w:val="003D122D"/>
    <w:rsid w:val="003D1281"/>
    <w:rsid w:val="003D160F"/>
    <w:rsid w:val="003D1BE8"/>
    <w:rsid w:val="003D1E0D"/>
    <w:rsid w:val="003D23A3"/>
    <w:rsid w:val="003D25F8"/>
    <w:rsid w:val="003D28B5"/>
    <w:rsid w:val="003D3009"/>
    <w:rsid w:val="003D33EA"/>
    <w:rsid w:val="003D37E9"/>
    <w:rsid w:val="003D3889"/>
    <w:rsid w:val="003D4736"/>
    <w:rsid w:val="003D4965"/>
    <w:rsid w:val="003D4A30"/>
    <w:rsid w:val="003D4C9A"/>
    <w:rsid w:val="003D4D94"/>
    <w:rsid w:val="003D50F9"/>
    <w:rsid w:val="003D5215"/>
    <w:rsid w:val="003D5594"/>
    <w:rsid w:val="003D56EC"/>
    <w:rsid w:val="003D5752"/>
    <w:rsid w:val="003D5A3E"/>
    <w:rsid w:val="003D5BF6"/>
    <w:rsid w:val="003D5CE3"/>
    <w:rsid w:val="003D5D30"/>
    <w:rsid w:val="003D5FC4"/>
    <w:rsid w:val="003D60CA"/>
    <w:rsid w:val="003D67A4"/>
    <w:rsid w:val="003D692B"/>
    <w:rsid w:val="003D697C"/>
    <w:rsid w:val="003D69AB"/>
    <w:rsid w:val="003D6BF9"/>
    <w:rsid w:val="003D6E61"/>
    <w:rsid w:val="003D6F49"/>
    <w:rsid w:val="003D70E3"/>
    <w:rsid w:val="003D710C"/>
    <w:rsid w:val="003D7126"/>
    <w:rsid w:val="003D77BB"/>
    <w:rsid w:val="003D79D9"/>
    <w:rsid w:val="003D7AD2"/>
    <w:rsid w:val="003D7D29"/>
    <w:rsid w:val="003E031A"/>
    <w:rsid w:val="003E049A"/>
    <w:rsid w:val="003E0671"/>
    <w:rsid w:val="003E06ED"/>
    <w:rsid w:val="003E07FF"/>
    <w:rsid w:val="003E0836"/>
    <w:rsid w:val="003E08B2"/>
    <w:rsid w:val="003E0A26"/>
    <w:rsid w:val="003E0D68"/>
    <w:rsid w:val="003E0E62"/>
    <w:rsid w:val="003E0E79"/>
    <w:rsid w:val="003E0F4E"/>
    <w:rsid w:val="003E11F7"/>
    <w:rsid w:val="003E12F1"/>
    <w:rsid w:val="003E1461"/>
    <w:rsid w:val="003E16C4"/>
    <w:rsid w:val="003E1938"/>
    <w:rsid w:val="003E1B45"/>
    <w:rsid w:val="003E1E5D"/>
    <w:rsid w:val="003E21CE"/>
    <w:rsid w:val="003E256D"/>
    <w:rsid w:val="003E2629"/>
    <w:rsid w:val="003E2C3E"/>
    <w:rsid w:val="003E2EF5"/>
    <w:rsid w:val="003E333F"/>
    <w:rsid w:val="003E34D8"/>
    <w:rsid w:val="003E364B"/>
    <w:rsid w:val="003E3C5B"/>
    <w:rsid w:val="003E3DA6"/>
    <w:rsid w:val="003E3ECB"/>
    <w:rsid w:val="003E3F9F"/>
    <w:rsid w:val="003E4151"/>
    <w:rsid w:val="003E4511"/>
    <w:rsid w:val="003E46B6"/>
    <w:rsid w:val="003E480F"/>
    <w:rsid w:val="003E4884"/>
    <w:rsid w:val="003E51DB"/>
    <w:rsid w:val="003E524A"/>
    <w:rsid w:val="003E5803"/>
    <w:rsid w:val="003E6295"/>
    <w:rsid w:val="003E6754"/>
    <w:rsid w:val="003E68A7"/>
    <w:rsid w:val="003E6997"/>
    <w:rsid w:val="003E69F9"/>
    <w:rsid w:val="003E6A2A"/>
    <w:rsid w:val="003E6A5E"/>
    <w:rsid w:val="003E6DDC"/>
    <w:rsid w:val="003E711E"/>
    <w:rsid w:val="003E761E"/>
    <w:rsid w:val="003E780F"/>
    <w:rsid w:val="003E786E"/>
    <w:rsid w:val="003E78F8"/>
    <w:rsid w:val="003E7ADD"/>
    <w:rsid w:val="003E7DE3"/>
    <w:rsid w:val="003E7E91"/>
    <w:rsid w:val="003E7FB8"/>
    <w:rsid w:val="003F0017"/>
    <w:rsid w:val="003F00FB"/>
    <w:rsid w:val="003F01CC"/>
    <w:rsid w:val="003F02BF"/>
    <w:rsid w:val="003F0676"/>
    <w:rsid w:val="003F06B9"/>
    <w:rsid w:val="003F0878"/>
    <w:rsid w:val="003F0D32"/>
    <w:rsid w:val="003F0DDA"/>
    <w:rsid w:val="003F0FAC"/>
    <w:rsid w:val="003F1166"/>
    <w:rsid w:val="003F17A2"/>
    <w:rsid w:val="003F1D30"/>
    <w:rsid w:val="003F1EFF"/>
    <w:rsid w:val="003F1FDE"/>
    <w:rsid w:val="003F2000"/>
    <w:rsid w:val="003F22E7"/>
    <w:rsid w:val="003F239E"/>
    <w:rsid w:val="003F247D"/>
    <w:rsid w:val="003F27F9"/>
    <w:rsid w:val="003F298B"/>
    <w:rsid w:val="003F29A3"/>
    <w:rsid w:val="003F2C0B"/>
    <w:rsid w:val="003F2E71"/>
    <w:rsid w:val="003F3210"/>
    <w:rsid w:val="003F3389"/>
    <w:rsid w:val="003F37B8"/>
    <w:rsid w:val="003F3AB1"/>
    <w:rsid w:val="003F3B11"/>
    <w:rsid w:val="003F3BA8"/>
    <w:rsid w:val="003F3DFD"/>
    <w:rsid w:val="003F411C"/>
    <w:rsid w:val="003F41CE"/>
    <w:rsid w:val="003F423F"/>
    <w:rsid w:val="003F45A7"/>
    <w:rsid w:val="003F4738"/>
    <w:rsid w:val="003F4E51"/>
    <w:rsid w:val="003F5093"/>
    <w:rsid w:val="003F5435"/>
    <w:rsid w:val="003F5467"/>
    <w:rsid w:val="003F56A7"/>
    <w:rsid w:val="003F571C"/>
    <w:rsid w:val="003F58A6"/>
    <w:rsid w:val="003F59B7"/>
    <w:rsid w:val="003F5C13"/>
    <w:rsid w:val="003F5F2F"/>
    <w:rsid w:val="003F623A"/>
    <w:rsid w:val="003F65DE"/>
    <w:rsid w:val="003F6859"/>
    <w:rsid w:val="003F696A"/>
    <w:rsid w:val="003F6A7A"/>
    <w:rsid w:val="003F6A7C"/>
    <w:rsid w:val="003F6E87"/>
    <w:rsid w:val="003F6F7B"/>
    <w:rsid w:val="003F7320"/>
    <w:rsid w:val="003F760E"/>
    <w:rsid w:val="003F76A2"/>
    <w:rsid w:val="003F7A8F"/>
    <w:rsid w:val="003F7AAA"/>
    <w:rsid w:val="003F7B51"/>
    <w:rsid w:val="0040000A"/>
    <w:rsid w:val="00400079"/>
    <w:rsid w:val="00400171"/>
    <w:rsid w:val="004007D8"/>
    <w:rsid w:val="00400A37"/>
    <w:rsid w:val="00400AA4"/>
    <w:rsid w:val="00400DDB"/>
    <w:rsid w:val="00400E65"/>
    <w:rsid w:val="0040134F"/>
    <w:rsid w:val="0040162C"/>
    <w:rsid w:val="00401778"/>
    <w:rsid w:val="00401941"/>
    <w:rsid w:val="00401A70"/>
    <w:rsid w:val="00401AAE"/>
    <w:rsid w:val="00401AE6"/>
    <w:rsid w:val="00401F96"/>
    <w:rsid w:val="00402425"/>
    <w:rsid w:val="00402A5C"/>
    <w:rsid w:val="00402C0E"/>
    <w:rsid w:val="00402DDC"/>
    <w:rsid w:val="00402E29"/>
    <w:rsid w:val="00403029"/>
    <w:rsid w:val="00403525"/>
    <w:rsid w:val="00403A85"/>
    <w:rsid w:val="00403C25"/>
    <w:rsid w:val="00403E85"/>
    <w:rsid w:val="00404977"/>
    <w:rsid w:val="004049A0"/>
    <w:rsid w:val="00404B0C"/>
    <w:rsid w:val="00404D22"/>
    <w:rsid w:val="00404F56"/>
    <w:rsid w:val="00405139"/>
    <w:rsid w:val="004051C4"/>
    <w:rsid w:val="00405252"/>
    <w:rsid w:val="004052F8"/>
    <w:rsid w:val="00405876"/>
    <w:rsid w:val="00405CCE"/>
    <w:rsid w:val="00405EED"/>
    <w:rsid w:val="00406066"/>
    <w:rsid w:val="0040606C"/>
    <w:rsid w:val="004060BB"/>
    <w:rsid w:val="00406117"/>
    <w:rsid w:val="0040615D"/>
    <w:rsid w:val="004068F5"/>
    <w:rsid w:val="00406B3D"/>
    <w:rsid w:val="00406DBC"/>
    <w:rsid w:val="00406E87"/>
    <w:rsid w:val="00406F1C"/>
    <w:rsid w:val="00407009"/>
    <w:rsid w:val="00407296"/>
    <w:rsid w:val="0040735E"/>
    <w:rsid w:val="00407380"/>
    <w:rsid w:val="0040751A"/>
    <w:rsid w:val="00407633"/>
    <w:rsid w:val="0040776F"/>
    <w:rsid w:val="004078BD"/>
    <w:rsid w:val="00407A22"/>
    <w:rsid w:val="00407AEB"/>
    <w:rsid w:val="00407B5A"/>
    <w:rsid w:val="00407B83"/>
    <w:rsid w:val="00407C64"/>
    <w:rsid w:val="00407F20"/>
    <w:rsid w:val="00410453"/>
    <w:rsid w:val="0041051C"/>
    <w:rsid w:val="00410531"/>
    <w:rsid w:val="00410878"/>
    <w:rsid w:val="00410A52"/>
    <w:rsid w:val="00410BD8"/>
    <w:rsid w:val="00410D84"/>
    <w:rsid w:val="00410DFD"/>
    <w:rsid w:val="0041103C"/>
    <w:rsid w:val="00411144"/>
    <w:rsid w:val="00411174"/>
    <w:rsid w:val="004111CD"/>
    <w:rsid w:val="0041137F"/>
    <w:rsid w:val="00411518"/>
    <w:rsid w:val="00411709"/>
    <w:rsid w:val="00411B5E"/>
    <w:rsid w:val="00411BC4"/>
    <w:rsid w:val="00411D70"/>
    <w:rsid w:val="00411DDF"/>
    <w:rsid w:val="00411E22"/>
    <w:rsid w:val="004120B2"/>
    <w:rsid w:val="00412318"/>
    <w:rsid w:val="00412567"/>
    <w:rsid w:val="004126EF"/>
    <w:rsid w:val="00412805"/>
    <w:rsid w:val="0041285C"/>
    <w:rsid w:val="00412C2F"/>
    <w:rsid w:val="00412CC8"/>
    <w:rsid w:val="00412F80"/>
    <w:rsid w:val="0041378A"/>
    <w:rsid w:val="004137A8"/>
    <w:rsid w:val="00413B63"/>
    <w:rsid w:val="00413C4A"/>
    <w:rsid w:val="00413CE4"/>
    <w:rsid w:val="00414186"/>
    <w:rsid w:val="004142B2"/>
    <w:rsid w:val="004143E9"/>
    <w:rsid w:val="004146E3"/>
    <w:rsid w:val="0041496C"/>
    <w:rsid w:val="00414CDC"/>
    <w:rsid w:val="00414E13"/>
    <w:rsid w:val="00415340"/>
    <w:rsid w:val="004158E8"/>
    <w:rsid w:val="00415926"/>
    <w:rsid w:val="00415A97"/>
    <w:rsid w:val="00415F9B"/>
    <w:rsid w:val="00416093"/>
    <w:rsid w:val="00416695"/>
    <w:rsid w:val="00416859"/>
    <w:rsid w:val="004169AC"/>
    <w:rsid w:val="00416B76"/>
    <w:rsid w:val="00416F7A"/>
    <w:rsid w:val="00417119"/>
    <w:rsid w:val="0041744D"/>
    <w:rsid w:val="00417497"/>
    <w:rsid w:val="0041750A"/>
    <w:rsid w:val="00417632"/>
    <w:rsid w:val="00417C37"/>
    <w:rsid w:val="00417CA0"/>
    <w:rsid w:val="00417D9E"/>
    <w:rsid w:val="00417E8C"/>
    <w:rsid w:val="004206E8"/>
    <w:rsid w:val="00420840"/>
    <w:rsid w:val="00420896"/>
    <w:rsid w:val="00420D85"/>
    <w:rsid w:val="00420DE0"/>
    <w:rsid w:val="004211B4"/>
    <w:rsid w:val="004213AF"/>
    <w:rsid w:val="00421411"/>
    <w:rsid w:val="0042170D"/>
    <w:rsid w:val="00421A69"/>
    <w:rsid w:val="00421AD1"/>
    <w:rsid w:val="00421BCE"/>
    <w:rsid w:val="00421C07"/>
    <w:rsid w:val="00421C93"/>
    <w:rsid w:val="00421DE0"/>
    <w:rsid w:val="0042200E"/>
    <w:rsid w:val="00422421"/>
    <w:rsid w:val="0042265E"/>
    <w:rsid w:val="00422A1E"/>
    <w:rsid w:val="00422A94"/>
    <w:rsid w:val="00422C9E"/>
    <w:rsid w:val="00422EB0"/>
    <w:rsid w:val="00423271"/>
    <w:rsid w:val="004232AD"/>
    <w:rsid w:val="004232F6"/>
    <w:rsid w:val="0042332B"/>
    <w:rsid w:val="004233B1"/>
    <w:rsid w:val="004233C0"/>
    <w:rsid w:val="004234F5"/>
    <w:rsid w:val="00423AFA"/>
    <w:rsid w:val="00423FB3"/>
    <w:rsid w:val="0042423C"/>
    <w:rsid w:val="00424341"/>
    <w:rsid w:val="00424414"/>
    <w:rsid w:val="00424440"/>
    <w:rsid w:val="004245DE"/>
    <w:rsid w:val="004246C0"/>
    <w:rsid w:val="0042470A"/>
    <w:rsid w:val="0042490F"/>
    <w:rsid w:val="0042495A"/>
    <w:rsid w:val="00424C19"/>
    <w:rsid w:val="00424DA8"/>
    <w:rsid w:val="00424E32"/>
    <w:rsid w:val="00424EAE"/>
    <w:rsid w:val="00424F13"/>
    <w:rsid w:val="00425157"/>
    <w:rsid w:val="00425428"/>
    <w:rsid w:val="00425885"/>
    <w:rsid w:val="00425BB7"/>
    <w:rsid w:val="0042635C"/>
    <w:rsid w:val="004264C6"/>
    <w:rsid w:val="00426518"/>
    <w:rsid w:val="00426829"/>
    <w:rsid w:val="00426AA3"/>
    <w:rsid w:val="00426F09"/>
    <w:rsid w:val="004270AC"/>
    <w:rsid w:val="00427298"/>
    <w:rsid w:val="004272D5"/>
    <w:rsid w:val="00427496"/>
    <w:rsid w:val="004274C2"/>
    <w:rsid w:val="0042766F"/>
    <w:rsid w:val="00427813"/>
    <w:rsid w:val="00427820"/>
    <w:rsid w:val="0042783E"/>
    <w:rsid w:val="0042789B"/>
    <w:rsid w:val="004279F5"/>
    <w:rsid w:val="00427BD3"/>
    <w:rsid w:val="00427E0C"/>
    <w:rsid w:val="00430289"/>
    <w:rsid w:val="00430C37"/>
    <w:rsid w:val="00430EF5"/>
    <w:rsid w:val="00430FD3"/>
    <w:rsid w:val="004319C0"/>
    <w:rsid w:val="00432269"/>
    <w:rsid w:val="0043252F"/>
    <w:rsid w:val="004325BB"/>
    <w:rsid w:val="0043285B"/>
    <w:rsid w:val="00432D9F"/>
    <w:rsid w:val="00432FF7"/>
    <w:rsid w:val="0043307A"/>
    <w:rsid w:val="00433099"/>
    <w:rsid w:val="0043310B"/>
    <w:rsid w:val="004331BE"/>
    <w:rsid w:val="004335A6"/>
    <w:rsid w:val="004335CA"/>
    <w:rsid w:val="00433A61"/>
    <w:rsid w:val="00433F51"/>
    <w:rsid w:val="00433FC8"/>
    <w:rsid w:val="00434220"/>
    <w:rsid w:val="00434313"/>
    <w:rsid w:val="00434355"/>
    <w:rsid w:val="00434423"/>
    <w:rsid w:val="004345CB"/>
    <w:rsid w:val="0043498B"/>
    <w:rsid w:val="00434A72"/>
    <w:rsid w:val="00434C98"/>
    <w:rsid w:val="00434D03"/>
    <w:rsid w:val="00435246"/>
    <w:rsid w:val="00435381"/>
    <w:rsid w:val="00435663"/>
    <w:rsid w:val="00436440"/>
    <w:rsid w:val="00436503"/>
    <w:rsid w:val="00436514"/>
    <w:rsid w:val="00436542"/>
    <w:rsid w:val="00436880"/>
    <w:rsid w:val="00436A9E"/>
    <w:rsid w:val="004374D3"/>
    <w:rsid w:val="004376FC"/>
    <w:rsid w:val="00437749"/>
    <w:rsid w:val="00437A90"/>
    <w:rsid w:val="00437DD3"/>
    <w:rsid w:val="00441396"/>
    <w:rsid w:val="00441613"/>
    <w:rsid w:val="00441755"/>
    <w:rsid w:val="004417F0"/>
    <w:rsid w:val="00442072"/>
    <w:rsid w:val="0044224C"/>
    <w:rsid w:val="0044246D"/>
    <w:rsid w:val="0044257B"/>
    <w:rsid w:val="004425F9"/>
    <w:rsid w:val="004426B7"/>
    <w:rsid w:val="00442825"/>
    <w:rsid w:val="00442887"/>
    <w:rsid w:val="004428B8"/>
    <w:rsid w:val="00442DC2"/>
    <w:rsid w:val="00442ED6"/>
    <w:rsid w:val="004430A1"/>
    <w:rsid w:val="004430C9"/>
    <w:rsid w:val="0044388C"/>
    <w:rsid w:val="00443A32"/>
    <w:rsid w:val="00444096"/>
    <w:rsid w:val="004441EE"/>
    <w:rsid w:val="00444704"/>
    <w:rsid w:val="00444C03"/>
    <w:rsid w:val="00444C6F"/>
    <w:rsid w:val="00444D0D"/>
    <w:rsid w:val="00444E0E"/>
    <w:rsid w:val="00444E11"/>
    <w:rsid w:val="00445124"/>
    <w:rsid w:val="00445270"/>
    <w:rsid w:val="00445569"/>
    <w:rsid w:val="00445822"/>
    <w:rsid w:val="00445B7C"/>
    <w:rsid w:val="00445EB9"/>
    <w:rsid w:val="0044624F"/>
    <w:rsid w:val="00446264"/>
    <w:rsid w:val="004462EE"/>
    <w:rsid w:val="00446673"/>
    <w:rsid w:val="00446B5D"/>
    <w:rsid w:val="00446BD2"/>
    <w:rsid w:val="00446C00"/>
    <w:rsid w:val="00446D66"/>
    <w:rsid w:val="0044700E"/>
    <w:rsid w:val="004470EE"/>
    <w:rsid w:val="0044710D"/>
    <w:rsid w:val="00447159"/>
    <w:rsid w:val="00447240"/>
    <w:rsid w:val="00447287"/>
    <w:rsid w:val="00447535"/>
    <w:rsid w:val="0044789E"/>
    <w:rsid w:val="0044790B"/>
    <w:rsid w:val="00447AA4"/>
    <w:rsid w:val="00447BAE"/>
    <w:rsid w:val="00447C48"/>
    <w:rsid w:val="00447CDD"/>
    <w:rsid w:val="00447EB4"/>
    <w:rsid w:val="00447FA1"/>
    <w:rsid w:val="0045010F"/>
    <w:rsid w:val="00450266"/>
    <w:rsid w:val="0045031C"/>
    <w:rsid w:val="00450446"/>
    <w:rsid w:val="00450CBF"/>
    <w:rsid w:val="00450D08"/>
    <w:rsid w:val="00450E21"/>
    <w:rsid w:val="00451759"/>
    <w:rsid w:val="004518B0"/>
    <w:rsid w:val="00451B69"/>
    <w:rsid w:val="00451B7C"/>
    <w:rsid w:val="00451C68"/>
    <w:rsid w:val="00451CF7"/>
    <w:rsid w:val="00451DD5"/>
    <w:rsid w:val="00452583"/>
    <w:rsid w:val="00453028"/>
    <w:rsid w:val="0045319D"/>
    <w:rsid w:val="004532C1"/>
    <w:rsid w:val="004532DD"/>
    <w:rsid w:val="00453B75"/>
    <w:rsid w:val="00453BF1"/>
    <w:rsid w:val="00453C1D"/>
    <w:rsid w:val="00453DA9"/>
    <w:rsid w:val="00453EC7"/>
    <w:rsid w:val="00453F6D"/>
    <w:rsid w:val="00454134"/>
    <w:rsid w:val="00454192"/>
    <w:rsid w:val="00454670"/>
    <w:rsid w:val="004546B2"/>
    <w:rsid w:val="004547DF"/>
    <w:rsid w:val="00454D19"/>
    <w:rsid w:val="00454F31"/>
    <w:rsid w:val="00454FA1"/>
    <w:rsid w:val="00455145"/>
    <w:rsid w:val="00455334"/>
    <w:rsid w:val="0045607B"/>
    <w:rsid w:val="0045623C"/>
    <w:rsid w:val="0045643F"/>
    <w:rsid w:val="004564F8"/>
    <w:rsid w:val="0045650E"/>
    <w:rsid w:val="00456696"/>
    <w:rsid w:val="00456A4B"/>
    <w:rsid w:val="00456EF5"/>
    <w:rsid w:val="0045747C"/>
    <w:rsid w:val="00457606"/>
    <w:rsid w:val="004576D9"/>
    <w:rsid w:val="00457A27"/>
    <w:rsid w:val="00457B57"/>
    <w:rsid w:val="00457C7F"/>
    <w:rsid w:val="00457FF4"/>
    <w:rsid w:val="004604BE"/>
    <w:rsid w:val="00460DA6"/>
    <w:rsid w:val="00460F6D"/>
    <w:rsid w:val="00461014"/>
    <w:rsid w:val="004610A5"/>
    <w:rsid w:val="00461156"/>
    <w:rsid w:val="0046117B"/>
    <w:rsid w:val="0046131D"/>
    <w:rsid w:val="00461695"/>
    <w:rsid w:val="004617EA"/>
    <w:rsid w:val="00461990"/>
    <w:rsid w:val="00461DCE"/>
    <w:rsid w:val="00462196"/>
    <w:rsid w:val="0046224A"/>
    <w:rsid w:val="004622E0"/>
    <w:rsid w:val="004623AC"/>
    <w:rsid w:val="004627C3"/>
    <w:rsid w:val="00462836"/>
    <w:rsid w:val="004628C2"/>
    <w:rsid w:val="00462B5B"/>
    <w:rsid w:val="00462B6D"/>
    <w:rsid w:val="00462CC1"/>
    <w:rsid w:val="00462FD9"/>
    <w:rsid w:val="00463118"/>
    <w:rsid w:val="004635DC"/>
    <w:rsid w:val="004637B8"/>
    <w:rsid w:val="00463CD8"/>
    <w:rsid w:val="00463FC4"/>
    <w:rsid w:val="0046440D"/>
    <w:rsid w:val="004644F6"/>
    <w:rsid w:val="004645C8"/>
    <w:rsid w:val="00464825"/>
    <w:rsid w:val="004648CC"/>
    <w:rsid w:val="00464B40"/>
    <w:rsid w:val="00464D37"/>
    <w:rsid w:val="00465108"/>
    <w:rsid w:val="00465291"/>
    <w:rsid w:val="0046534D"/>
    <w:rsid w:val="00465809"/>
    <w:rsid w:val="00465B7B"/>
    <w:rsid w:val="00465C10"/>
    <w:rsid w:val="00465C33"/>
    <w:rsid w:val="00465D78"/>
    <w:rsid w:val="00466051"/>
    <w:rsid w:val="0046625A"/>
    <w:rsid w:val="00466349"/>
    <w:rsid w:val="0046639F"/>
    <w:rsid w:val="004666BD"/>
    <w:rsid w:val="00466712"/>
    <w:rsid w:val="0046672A"/>
    <w:rsid w:val="004667D3"/>
    <w:rsid w:val="00466AC7"/>
    <w:rsid w:val="00466BD2"/>
    <w:rsid w:val="00466CE1"/>
    <w:rsid w:val="00466D47"/>
    <w:rsid w:val="00466FCF"/>
    <w:rsid w:val="00467071"/>
    <w:rsid w:val="004671C3"/>
    <w:rsid w:val="0046767F"/>
    <w:rsid w:val="004676DA"/>
    <w:rsid w:val="00467B4E"/>
    <w:rsid w:val="00467F14"/>
    <w:rsid w:val="00470072"/>
    <w:rsid w:val="00470141"/>
    <w:rsid w:val="004702B6"/>
    <w:rsid w:val="0047084E"/>
    <w:rsid w:val="00470DAE"/>
    <w:rsid w:val="0047108B"/>
    <w:rsid w:val="004712B0"/>
    <w:rsid w:val="0047132F"/>
    <w:rsid w:val="00471DDC"/>
    <w:rsid w:val="00471F9A"/>
    <w:rsid w:val="004725A3"/>
    <w:rsid w:val="004725E0"/>
    <w:rsid w:val="00472690"/>
    <w:rsid w:val="004726CA"/>
    <w:rsid w:val="004728A4"/>
    <w:rsid w:val="004729F0"/>
    <w:rsid w:val="00472AA8"/>
    <w:rsid w:val="00472B2B"/>
    <w:rsid w:val="00472E65"/>
    <w:rsid w:val="00472EA2"/>
    <w:rsid w:val="0047324D"/>
    <w:rsid w:val="004733BE"/>
    <w:rsid w:val="00473728"/>
    <w:rsid w:val="00473AD1"/>
    <w:rsid w:val="00473D35"/>
    <w:rsid w:val="00473D92"/>
    <w:rsid w:val="00473DD8"/>
    <w:rsid w:val="00473E55"/>
    <w:rsid w:val="004743AB"/>
    <w:rsid w:val="004743BB"/>
    <w:rsid w:val="004745A8"/>
    <w:rsid w:val="00474869"/>
    <w:rsid w:val="004748BD"/>
    <w:rsid w:val="004748F5"/>
    <w:rsid w:val="00474D88"/>
    <w:rsid w:val="00474E85"/>
    <w:rsid w:val="00474FAB"/>
    <w:rsid w:val="00475087"/>
    <w:rsid w:val="00475225"/>
    <w:rsid w:val="004752C5"/>
    <w:rsid w:val="00475520"/>
    <w:rsid w:val="0047555E"/>
    <w:rsid w:val="00475900"/>
    <w:rsid w:val="00475DCF"/>
    <w:rsid w:val="00475EDF"/>
    <w:rsid w:val="00475F22"/>
    <w:rsid w:val="0047672A"/>
    <w:rsid w:val="00476D34"/>
    <w:rsid w:val="00476FFE"/>
    <w:rsid w:val="00477014"/>
    <w:rsid w:val="00477240"/>
    <w:rsid w:val="0047739A"/>
    <w:rsid w:val="004774AC"/>
    <w:rsid w:val="004774B9"/>
    <w:rsid w:val="004774BC"/>
    <w:rsid w:val="0047752C"/>
    <w:rsid w:val="00477AE7"/>
    <w:rsid w:val="00477DC7"/>
    <w:rsid w:val="00480175"/>
    <w:rsid w:val="00480184"/>
    <w:rsid w:val="00480A3E"/>
    <w:rsid w:val="00480B2D"/>
    <w:rsid w:val="00480C58"/>
    <w:rsid w:val="00480C63"/>
    <w:rsid w:val="004810BB"/>
    <w:rsid w:val="0048114A"/>
    <w:rsid w:val="00481180"/>
    <w:rsid w:val="004816B2"/>
    <w:rsid w:val="004818C5"/>
    <w:rsid w:val="00481AB0"/>
    <w:rsid w:val="00481D74"/>
    <w:rsid w:val="00481E1B"/>
    <w:rsid w:val="004820C2"/>
    <w:rsid w:val="00482100"/>
    <w:rsid w:val="00482415"/>
    <w:rsid w:val="00482572"/>
    <w:rsid w:val="00482648"/>
    <w:rsid w:val="00482AB7"/>
    <w:rsid w:val="00482D38"/>
    <w:rsid w:val="00483283"/>
    <w:rsid w:val="004833A8"/>
    <w:rsid w:val="00483516"/>
    <w:rsid w:val="0048362B"/>
    <w:rsid w:val="00483669"/>
    <w:rsid w:val="00483679"/>
    <w:rsid w:val="004837E6"/>
    <w:rsid w:val="004839FF"/>
    <w:rsid w:val="00483BB1"/>
    <w:rsid w:val="00483D8D"/>
    <w:rsid w:val="00483E9E"/>
    <w:rsid w:val="004841CD"/>
    <w:rsid w:val="004841FB"/>
    <w:rsid w:val="00484708"/>
    <w:rsid w:val="0048471F"/>
    <w:rsid w:val="004847EA"/>
    <w:rsid w:val="00484D93"/>
    <w:rsid w:val="00484EE2"/>
    <w:rsid w:val="004851B5"/>
    <w:rsid w:val="004858C4"/>
    <w:rsid w:val="00485BFD"/>
    <w:rsid w:val="004863F0"/>
    <w:rsid w:val="00486556"/>
    <w:rsid w:val="004865C7"/>
    <w:rsid w:val="004867E0"/>
    <w:rsid w:val="004869EA"/>
    <w:rsid w:val="00486DAB"/>
    <w:rsid w:val="004873AC"/>
    <w:rsid w:val="00487434"/>
    <w:rsid w:val="004874AA"/>
    <w:rsid w:val="00487722"/>
    <w:rsid w:val="0048777E"/>
    <w:rsid w:val="00487901"/>
    <w:rsid w:val="004879A8"/>
    <w:rsid w:val="00487AA9"/>
    <w:rsid w:val="00487BCE"/>
    <w:rsid w:val="00487E76"/>
    <w:rsid w:val="00487F6B"/>
    <w:rsid w:val="0049020A"/>
    <w:rsid w:val="00490667"/>
    <w:rsid w:val="0049069B"/>
    <w:rsid w:val="004906CE"/>
    <w:rsid w:val="00490747"/>
    <w:rsid w:val="00490877"/>
    <w:rsid w:val="004909E2"/>
    <w:rsid w:val="00490A7D"/>
    <w:rsid w:val="00490C73"/>
    <w:rsid w:val="00490D52"/>
    <w:rsid w:val="004911DA"/>
    <w:rsid w:val="00491BE8"/>
    <w:rsid w:val="00491C2F"/>
    <w:rsid w:val="00491FA1"/>
    <w:rsid w:val="004925C2"/>
    <w:rsid w:val="004925C6"/>
    <w:rsid w:val="004928AE"/>
    <w:rsid w:val="0049293A"/>
    <w:rsid w:val="00492E3C"/>
    <w:rsid w:val="00492F07"/>
    <w:rsid w:val="004931CF"/>
    <w:rsid w:val="00493323"/>
    <w:rsid w:val="004933B5"/>
    <w:rsid w:val="004937BF"/>
    <w:rsid w:val="00493EAA"/>
    <w:rsid w:val="004942FD"/>
    <w:rsid w:val="0049466F"/>
    <w:rsid w:val="00494677"/>
    <w:rsid w:val="0049484A"/>
    <w:rsid w:val="00494A07"/>
    <w:rsid w:val="00494D52"/>
    <w:rsid w:val="00494DDD"/>
    <w:rsid w:val="00494E9C"/>
    <w:rsid w:val="00494F12"/>
    <w:rsid w:val="00494F46"/>
    <w:rsid w:val="00494F47"/>
    <w:rsid w:val="0049501E"/>
    <w:rsid w:val="0049508E"/>
    <w:rsid w:val="004951E7"/>
    <w:rsid w:val="004955BC"/>
    <w:rsid w:val="00495D9F"/>
    <w:rsid w:val="00495DF9"/>
    <w:rsid w:val="00495E23"/>
    <w:rsid w:val="0049600D"/>
    <w:rsid w:val="0049600E"/>
    <w:rsid w:val="0049610F"/>
    <w:rsid w:val="004964A4"/>
    <w:rsid w:val="00496732"/>
    <w:rsid w:val="004968C9"/>
    <w:rsid w:val="00496AAA"/>
    <w:rsid w:val="00496B58"/>
    <w:rsid w:val="00496CFD"/>
    <w:rsid w:val="0049711D"/>
    <w:rsid w:val="0049782C"/>
    <w:rsid w:val="00497895"/>
    <w:rsid w:val="00497A90"/>
    <w:rsid w:val="00497BC0"/>
    <w:rsid w:val="00497D20"/>
    <w:rsid w:val="00497D51"/>
    <w:rsid w:val="00497D52"/>
    <w:rsid w:val="00497D6E"/>
    <w:rsid w:val="00497E07"/>
    <w:rsid w:val="00497F0C"/>
    <w:rsid w:val="004A005B"/>
    <w:rsid w:val="004A0491"/>
    <w:rsid w:val="004A0514"/>
    <w:rsid w:val="004A0525"/>
    <w:rsid w:val="004A0611"/>
    <w:rsid w:val="004A0A45"/>
    <w:rsid w:val="004A0AED"/>
    <w:rsid w:val="004A0E02"/>
    <w:rsid w:val="004A0FC4"/>
    <w:rsid w:val="004A1167"/>
    <w:rsid w:val="004A16ED"/>
    <w:rsid w:val="004A1735"/>
    <w:rsid w:val="004A1C11"/>
    <w:rsid w:val="004A1CD2"/>
    <w:rsid w:val="004A1D4A"/>
    <w:rsid w:val="004A1DC8"/>
    <w:rsid w:val="004A203E"/>
    <w:rsid w:val="004A205C"/>
    <w:rsid w:val="004A23A8"/>
    <w:rsid w:val="004A273C"/>
    <w:rsid w:val="004A28FE"/>
    <w:rsid w:val="004A2A23"/>
    <w:rsid w:val="004A2B5E"/>
    <w:rsid w:val="004A2E31"/>
    <w:rsid w:val="004A3374"/>
    <w:rsid w:val="004A377C"/>
    <w:rsid w:val="004A3C52"/>
    <w:rsid w:val="004A3D66"/>
    <w:rsid w:val="004A433A"/>
    <w:rsid w:val="004A43E3"/>
    <w:rsid w:val="004A4414"/>
    <w:rsid w:val="004A4796"/>
    <w:rsid w:val="004A4896"/>
    <w:rsid w:val="004A48EC"/>
    <w:rsid w:val="004A49CD"/>
    <w:rsid w:val="004A4BED"/>
    <w:rsid w:val="004A4C98"/>
    <w:rsid w:val="004A51FB"/>
    <w:rsid w:val="004A52B2"/>
    <w:rsid w:val="004A52CF"/>
    <w:rsid w:val="004A5374"/>
    <w:rsid w:val="004A54A7"/>
    <w:rsid w:val="004A56D9"/>
    <w:rsid w:val="004A5B7F"/>
    <w:rsid w:val="004A5CD4"/>
    <w:rsid w:val="004A5D8C"/>
    <w:rsid w:val="004A6045"/>
    <w:rsid w:val="004A6301"/>
    <w:rsid w:val="004A6541"/>
    <w:rsid w:val="004A657B"/>
    <w:rsid w:val="004A664F"/>
    <w:rsid w:val="004A6843"/>
    <w:rsid w:val="004A6D27"/>
    <w:rsid w:val="004A6F03"/>
    <w:rsid w:val="004A7256"/>
    <w:rsid w:val="004A7269"/>
    <w:rsid w:val="004A74B2"/>
    <w:rsid w:val="004A78EC"/>
    <w:rsid w:val="004A7966"/>
    <w:rsid w:val="004A7CB5"/>
    <w:rsid w:val="004B0199"/>
    <w:rsid w:val="004B0293"/>
    <w:rsid w:val="004B02EC"/>
    <w:rsid w:val="004B0942"/>
    <w:rsid w:val="004B0A83"/>
    <w:rsid w:val="004B0F3B"/>
    <w:rsid w:val="004B0F86"/>
    <w:rsid w:val="004B0FEF"/>
    <w:rsid w:val="004B113C"/>
    <w:rsid w:val="004B1408"/>
    <w:rsid w:val="004B1489"/>
    <w:rsid w:val="004B175C"/>
    <w:rsid w:val="004B1BA7"/>
    <w:rsid w:val="004B1C3D"/>
    <w:rsid w:val="004B1CE3"/>
    <w:rsid w:val="004B1E6E"/>
    <w:rsid w:val="004B21C4"/>
    <w:rsid w:val="004B2707"/>
    <w:rsid w:val="004B27F6"/>
    <w:rsid w:val="004B2CD7"/>
    <w:rsid w:val="004B2CDC"/>
    <w:rsid w:val="004B2D1B"/>
    <w:rsid w:val="004B2E15"/>
    <w:rsid w:val="004B31E8"/>
    <w:rsid w:val="004B322E"/>
    <w:rsid w:val="004B3398"/>
    <w:rsid w:val="004B33F4"/>
    <w:rsid w:val="004B3A40"/>
    <w:rsid w:val="004B3AD5"/>
    <w:rsid w:val="004B3CB0"/>
    <w:rsid w:val="004B3D03"/>
    <w:rsid w:val="004B4278"/>
    <w:rsid w:val="004B4386"/>
    <w:rsid w:val="004B4773"/>
    <w:rsid w:val="004B47FB"/>
    <w:rsid w:val="004B48E6"/>
    <w:rsid w:val="004B4B58"/>
    <w:rsid w:val="004B4E3B"/>
    <w:rsid w:val="004B4EEB"/>
    <w:rsid w:val="004B4F2D"/>
    <w:rsid w:val="004B5186"/>
    <w:rsid w:val="004B51BF"/>
    <w:rsid w:val="004B5429"/>
    <w:rsid w:val="004B5501"/>
    <w:rsid w:val="004B565A"/>
    <w:rsid w:val="004B5809"/>
    <w:rsid w:val="004B5841"/>
    <w:rsid w:val="004B5A79"/>
    <w:rsid w:val="004B5BD1"/>
    <w:rsid w:val="004B5D8C"/>
    <w:rsid w:val="004B615F"/>
    <w:rsid w:val="004B61BA"/>
    <w:rsid w:val="004B6542"/>
    <w:rsid w:val="004B65B5"/>
    <w:rsid w:val="004B65BF"/>
    <w:rsid w:val="004B67F3"/>
    <w:rsid w:val="004B6C00"/>
    <w:rsid w:val="004B6E70"/>
    <w:rsid w:val="004B71AA"/>
    <w:rsid w:val="004B76B8"/>
    <w:rsid w:val="004B7F6A"/>
    <w:rsid w:val="004C0977"/>
    <w:rsid w:val="004C0D5B"/>
    <w:rsid w:val="004C0E57"/>
    <w:rsid w:val="004C0E84"/>
    <w:rsid w:val="004C1099"/>
    <w:rsid w:val="004C12BF"/>
    <w:rsid w:val="004C1B56"/>
    <w:rsid w:val="004C20C9"/>
    <w:rsid w:val="004C214B"/>
    <w:rsid w:val="004C22C4"/>
    <w:rsid w:val="004C22CD"/>
    <w:rsid w:val="004C2960"/>
    <w:rsid w:val="004C2989"/>
    <w:rsid w:val="004C2FC2"/>
    <w:rsid w:val="004C2FD8"/>
    <w:rsid w:val="004C30E2"/>
    <w:rsid w:val="004C3163"/>
    <w:rsid w:val="004C3182"/>
    <w:rsid w:val="004C37AE"/>
    <w:rsid w:val="004C39F0"/>
    <w:rsid w:val="004C3B67"/>
    <w:rsid w:val="004C3C65"/>
    <w:rsid w:val="004C3D77"/>
    <w:rsid w:val="004C3DA9"/>
    <w:rsid w:val="004C3EA4"/>
    <w:rsid w:val="004C3F47"/>
    <w:rsid w:val="004C3F78"/>
    <w:rsid w:val="004C4340"/>
    <w:rsid w:val="004C43D4"/>
    <w:rsid w:val="004C473B"/>
    <w:rsid w:val="004C484E"/>
    <w:rsid w:val="004C4AF9"/>
    <w:rsid w:val="004C4E06"/>
    <w:rsid w:val="004C5083"/>
    <w:rsid w:val="004C51FA"/>
    <w:rsid w:val="004C52AB"/>
    <w:rsid w:val="004C53EC"/>
    <w:rsid w:val="004C5818"/>
    <w:rsid w:val="004C59A2"/>
    <w:rsid w:val="004C5B0F"/>
    <w:rsid w:val="004C5CF1"/>
    <w:rsid w:val="004C5FAC"/>
    <w:rsid w:val="004C6385"/>
    <w:rsid w:val="004C65DD"/>
    <w:rsid w:val="004C6620"/>
    <w:rsid w:val="004C68C6"/>
    <w:rsid w:val="004C6A4F"/>
    <w:rsid w:val="004C6BB1"/>
    <w:rsid w:val="004C6CF3"/>
    <w:rsid w:val="004C6D09"/>
    <w:rsid w:val="004C6D87"/>
    <w:rsid w:val="004C6EE0"/>
    <w:rsid w:val="004C7337"/>
    <w:rsid w:val="004C77C9"/>
    <w:rsid w:val="004C78CD"/>
    <w:rsid w:val="004C7A23"/>
    <w:rsid w:val="004D025F"/>
    <w:rsid w:val="004D06A8"/>
    <w:rsid w:val="004D0B3A"/>
    <w:rsid w:val="004D0C6F"/>
    <w:rsid w:val="004D0F91"/>
    <w:rsid w:val="004D10C6"/>
    <w:rsid w:val="004D1206"/>
    <w:rsid w:val="004D136E"/>
    <w:rsid w:val="004D151F"/>
    <w:rsid w:val="004D166B"/>
    <w:rsid w:val="004D17CC"/>
    <w:rsid w:val="004D194E"/>
    <w:rsid w:val="004D1991"/>
    <w:rsid w:val="004D1A97"/>
    <w:rsid w:val="004D2210"/>
    <w:rsid w:val="004D2901"/>
    <w:rsid w:val="004D2C80"/>
    <w:rsid w:val="004D2E20"/>
    <w:rsid w:val="004D2F03"/>
    <w:rsid w:val="004D32AF"/>
    <w:rsid w:val="004D361F"/>
    <w:rsid w:val="004D3826"/>
    <w:rsid w:val="004D4067"/>
    <w:rsid w:val="004D45CC"/>
    <w:rsid w:val="004D478C"/>
    <w:rsid w:val="004D4A6F"/>
    <w:rsid w:val="004D4BC6"/>
    <w:rsid w:val="004D4C10"/>
    <w:rsid w:val="004D4D62"/>
    <w:rsid w:val="004D50DE"/>
    <w:rsid w:val="004D5316"/>
    <w:rsid w:val="004D57F8"/>
    <w:rsid w:val="004D588A"/>
    <w:rsid w:val="004D596D"/>
    <w:rsid w:val="004D5DC7"/>
    <w:rsid w:val="004D5EAD"/>
    <w:rsid w:val="004D6423"/>
    <w:rsid w:val="004D67D7"/>
    <w:rsid w:val="004D6875"/>
    <w:rsid w:val="004D6923"/>
    <w:rsid w:val="004D6A74"/>
    <w:rsid w:val="004D6A90"/>
    <w:rsid w:val="004D6BE5"/>
    <w:rsid w:val="004D70C5"/>
    <w:rsid w:val="004D7154"/>
    <w:rsid w:val="004D7421"/>
    <w:rsid w:val="004D7877"/>
    <w:rsid w:val="004D7DAB"/>
    <w:rsid w:val="004D7E95"/>
    <w:rsid w:val="004D7ECF"/>
    <w:rsid w:val="004D7F23"/>
    <w:rsid w:val="004D7FC7"/>
    <w:rsid w:val="004E006B"/>
    <w:rsid w:val="004E00A7"/>
    <w:rsid w:val="004E0470"/>
    <w:rsid w:val="004E093D"/>
    <w:rsid w:val="004E0A54"/>
    <w:rsid w:val="004E0B86"/>
    <w:rsid w:val="004E0B9D"/>
    <w:rsid w:val="004E129E"/>
    <w:rsid w:val="004E17B8"/>
    <w:rsid w:val="004E1AC0"/>
    <w:rsid w:val="004E1D4F"/>
    <w:rsid w:val="004E1FF8"/>
    <w:rsid w:val="004E215A"/>
    <w:rsid w:val="004E2308"/>
    <w:rsid w:val="004E23E0"/>
    <w:rsid w:val="004E2451"/>
    <w:rsid w:val="004E2915"/>
    <w:rsid w:val="004E2DAB"/>
    <w:rsid w:val="004E2EBF"/>
    <w:rsid w:val="004E30AF"/>
    <w:rsid w:val="004E30E2"/>
    <w:rsid w:val="004E3460"/>
    <w:rsid w:val="004E384B"/>
    <w:rsid w:val="004E38A7"/>
    <w:rsid w:val="004E3A5E"/>
    <w:rsid w:val="004E4039"/>
    <w:rsid w:val="004E453E"/>
    <w:rsid w:val="004E456D"/>
    <w:rsid w:val="004E45DB"/>
    <w:rsid w:val="004E4D72"/>
    <w:rsid w:val="004E4E6A"/>
    <w:rsid w:val="004E5000"/>
    <w:rsid w:val="004E508A"/>
    <w:rsid w:val="004E5483"/>
    <w:rsid w:val="004E55A5"/>
    <w:rsid w:val="004E5656"/>
    <w:rsid w:val="004E57A9"/>
    <w:rsid w:val="004E5A86"/>
    <w:rsid w:val="004E612B"/>
    <w:rsid w:val="004E6143"/>
    <w:rsid w:val="004E6773"/>
    <w:rsid w:val="004E6ED1"/>
    <w:rsid w:val="004E71AF"/>
    <w:rsid w:val="004E77E8"/>
    <w:rsid w:val="004E780A"/>
    <w:rsid w:val="004E7917"/>
    <w:rsid w:val="004E7BA5"/>
    <w:rsid w:val="004E7E40"/>
    <w:rsid w:val="004F04D4"/>
    <w:rsid w:val="004F08E4"/>
    <w:rsid w:val="004F0A2A"/>
    <w:rsid w:val="004F0CE9"/>
    <w:rsid w:val="004F0D32"/>
    <w:rsid w:val="004F0D98"/>
    <w:rsid w:val="004F196B"/>
    <w:rsid w:val="004F2235"/>
    <w:rsid w:val="004F2354"/>
    <w:rsid w:val="004F24BB"/>
    <w:rsid w:val="004F2580"/>
    <w:rsid w:val="004F270D"/>
    <w:rsid w:val="004F28CC"/>
    <w:rsid w:val="004F2B7B"/>
    <w:rsid w:val="004F3162"/>
    <w:rsid w:val="004F3176"/>
    <w:rsid w:val="004F3468"/>
    <w:rsid w:val="004F376F"/>
    <w:rsid w:val="004F38A0"/>
    <w:rsid w:val="004F3A9B"/>
    <w:rsid w:val="004F3D7D"/>
    <w:rsid w:val="004F403A"/>
    <w:rsid w:val="004F408A"/>
    <w:rsid w:val="004F4156"/>
    <w:rsid w:val="004F439F"/>
    <w:rsid w:val="004F45AC"/>
    <w:rsid w:val="004F45F0"/>
    <w:rsid w:val="004F48BB"/>
    <w:rsid w:val="004F48DC"/>
    <w:rsid w:val="004F4BE5"/>
    <w:rsid w:val="004F5057"/>
    <w:rsid w:val="004F516A"/>
    <w:rsid w:val="004F5254"/>
    <w:rsid w:val="004F5720"/>
    <w:rsid w:val="004F5751"/>
    <w:rsid w:val="004F598C"/>
    <w:rsid w:val="004F5A5F"/>
    <w:rsid w:val="004F5BC4"/>
    <w:rsid w:val="004F5BFF"/>
    <w:rsid w:val="004F5C97"/>
    <w:rsid w:val="004F5F01"/>
    <w:rsid w:val="004F6330"/>
    <w:rsid w:val="004F651E"/>
    <w:rsid w:val="004F6644"/>
    <w:rsid w:val="004F6765"/>
    <w:rsid w:val="004F6787"/>
    <w:rsid w:val="004F68F7"/>
    <w:rsid w:val="004F6CC9"/>
    <w:rsid w:val="004F6D3B"/>
    <w:rsid w:val="004F700A"/>
    <w:rsid w:val="004F7204"/>
    <w:rsid w:val="004F742A"/>
    <w:rsid w:val="004F7496"/>
    <w:rsid w:val="004F75B9"/>
    <w:rsid w:val="004F7A9F"/>
    <w:rsid w:val="004F7AC0"/>
    <w:rsid w:val="004F7C74"/>
    <w:rsid w:val="004F7D9C"/>
    <w:rsid w:val="004F7DC5"/>
    <w:rsid w:val="004F7DE8"/>
    <w:rsid w:val="004F7E4A"/>
    <w:rsid w:val="004F7FC6"/>
    <w:rsid w:val="00500077"/>
    <w:rsid w:val="0050043F"/>
    <w:rsid w:val="00500500"/>
    <w:rsid w:val="00500795"/>
    <w:rsid w:val="00500860"/>
    <w:rsid w:val="00500882"/>
    <w:rsid w:val="00500B83"/>
    <w:rsid w:val="00500CCA"/>
    <w:rsid w:val="00500F4D"/>
    <w:rsid w:val="0050100C"/>
    <w:rsid w:val="0050107A"/>
    <w:rsid w:val="00501089"/>
    <w:rsid w:val="0050129F"/>
    <w:rsid w:val="00501320"/>
    <w:rsid w:val="005018AC"/>
    <w:rsid w:val="00501BCC"/>
    <w:rsid w:val="00501CD9"/>
    <w:rsid w:val="00501DC6"/>
    <w:rsid w:val="00501E45"/>
    <w:rsid w:val="005020B1"/>
    <w:rsid w:val="0050217C"/>
    <w:rsid w:val="0050280E"/>
    <w:rsid w:val="0050294B"/>
    <w:rsid w:val="00502FF1"/>
    <w:rsid w:val="005036C5"/>
    <w:rsid w:val="005036C7"/>
    <w:rsid w:val="0050385F"/>
    <w:rsid w:val="00503E35"/>
    <w:rsid w:val="0050404B"/>
    <w:rsid w:val="0050427B"/>
    <w:rsid w:val="005044AE"/>
    <w:rsid w:val="005046AE"/>
    <w:rsid w:val="0050482F"/>
    <w:rsid w:val="005048EC"/>
    <w:rsid w:val="00504C0D"/>
    <w:rsid w:val="00504DF4"/>
    <w:rsid w:val="005052D9"/>
    <w:rsid w:val="00505403"/>
    <w:rsid w:val="0050541F"/>
    <w:rsid w:val="005054FB"/>
    <w:rsid w:val="0050572F"/>
    <w:rsid w:val="00505833"/>
    <w:rsid w:val="00505DC2"/>
    <w:rsid w:val="00505EA2"/>
    <w:rsid w:val="00505F58"/>
    <w:rsid w:val="005060F1"/>
    <w:rsid w:val="005061CF"/>
    <w:rsid w:val="005062C9"/>
    <w:rsid w:val="00506571"/>
    <w:rsid w:val="0050667B"/>
    <w:rsid w:val="00506A77"/>
    <w:rsid w:val="00506ABD"/>
    <w:rsid w:val="00506D86"/>
    <w:rsid w:val="00506F25"/>
    <w:rsid w:val="00506F41"/>
    <w:rsid w:val="00506FA0"/>
    <w:rsid w:val="00506FAF"/>
    <w:rsid w:val="00507006"/>
    <w:rsid w:val="0050722F"/>
    <w:rsid w:val="005074D6"/>
    <w:rsid w:val="00507640"/>
    <w:rsid w:val="00507CA6"/>
    <w:rsid w:val="00507DE0"/>
    <w:rsid w:val="00507F86"/>
    <w:rsid w:val="00510002"/>
    <w:rsid w:val="005101A6"/>
    <w:rsid w:val="0051025C"/>
    <w:rsid w:val="005104EC"/>
    <w:rsid w:val="0051066E"/>
    <w:rsid w:val="00510941"/>
    <w:rsid w:val="0051096B"/>
    <w:rsid w:val="00510F3B"/>
    <w:rsid w:val="005110DF"/>
    <w:rsid w:val="005111BD"/>
    <w:rsid w:val="00511328"/>
    <w:rsid w:val="00511760"/>
    <w:rsid w:val="00511B7A"/>
    <w:rsid w:val="00511EA9"/>
    <w:rsid w:val="005120D5"/>
    <w:rsid w:val="00512106"/>
    <w:rsid w:val="00512169"/>
    <w:rsid w:val="005121AB"/>
    <w:rsid w:val="00512263"/>
    <w:rsid w:val="005123B4"/>
    <w:rsid w:val="005123D8"/>
    <w:rsid w:val="0051276D"/>
    <w:rsid w:val="00512E2E"/>
    <w:rsid w:val="00512E5C"/>
    <w:rsid w:val="00512F97"/>
    <w:rsid w:val="00513437"/>
    <w:rsid w:val="0051408E"/>
    <w:rsid w:val="00514186"/>
    <w:rsid w:val="005148ED"/>
    <w:rsid w:val="00514959"/>
    <w:rsid w:val="00514BEF"/>
    <w:rsid w:val="00514C0D"/>
    <w:rsid w:val="00514D76"/>
    <w:rsid w:val="0051521A"/>
    <w:rsid w:val="00515479"/>
    <w:rsid w:val="00515535"/>
    <w:rsid w:val="005155CF"/>
    <w:rsid w:val="00515640"/>
    <w:rsid w:val="0051569E"/>
    <w:rsid w:val="00515984"/>
    <w:rsid w:val="00515AB1"/>
    <w:rsid w:val="00515CEA"/>
    <w:rsid w:val="00515EAC"/>
    <w:rsid w:val="00515F4E"/>
    <w:rsid w:val="00516335"/>
    <w:rsid w:val="005164A8"/>
    <w:rsid w:val="005167DF"/>
    <w:rsid w:val="005167F7"/>
    <w:rsid w:val="00516950"/>
    <w:rsid w:val="00516B44"/>
    <w:rsid w:val="00516D3E"/>
    <w:rsid w:val="00516E1A"/>
    <w:rsid w:val="0051758A"/>
    <w:rsid w:val="00517594"/>
    <w:rsid w:val="00517938"/>
    <w:rsid w:val="00517AFE"/>
    <w:rsid w:val="00517B70"/>
    <w:rsid w:val="00517D39"/>
    <w:rsid w:val="00517F22"/>
    <w:rsid w:val="005203EF"/>
    <w:rsid w:val="00520492"/>
    <w:rsid w:val="00520695"/>
    <w:rsid w:val="00520792"/>
    <w:rsid w:val="005211C5"/>
    <w:rsid w:val="00521292"/>
    <w:rsid w:val="00521658"/>
    <w:rsid w:val="00521660"/>
    <w:rsid w:val="00521B76"/>
    <w:rsid w:val="00521D2C"/>
    <w:rsid w:val="00521DA5"/>
    <w:rsid w:val="005220CA"/>
    <w:rsid w:val="00522196"/>
    <w:rsid w:val="00522276"/>
    <w:rsid w:val="005223C7"/>
    <w:rsid w:val="005227FB"/>
    <w:rsid w:val="0052287D"/>
    <w:rsid w:val="005229E8"/>
    <w:rsid w:val="00523308"/>
    <w:rsid w:val="005233B7"/>
    <w:rsid w:val="0052390A"/>
    <w:rsid w:val="00523957"/>
    <w:rsid w:val="00523DF9"/>
    <w:rsid w:val="00523E35"/>
    <w:rsid w:val="00523FB7"/>
    <w:rsid w:val="00523FDD"/>
    <w:rsid w:val="00524442"/>
    <w:rsid w:val="00524756"/>
    <w:rsid w:val="00524820"/>
    <w:rsid w:val="00524955"/>
    <w:rsid w:val="00524A10"/>
    <w:rsid w:val="00524C8C"/>
    <w:rsid w:val="00524CFC"/>
    <w:rsid w:val="00524E96"/>
    <w:rsid w:val="00524ED6"/>
    <w:rsid w:val="0052509B"/>
    <w:rsid w:val="0052547D"/>
    <w:rsid w:val="00525857"/>
    <w:rsid w:val="00525C07"/>
    <w:rsid w:val="00525CFE"/>
    <w:rsid w:val="00525EAC"/>
    <w:rsid w:val="00526725"/>
    <w:rsid w:val="00526783"/>
    <w:rsid w:val="005267CD"/>
    <w:rsid w:val="00526A90"/>
    <w:rsid w:val="00526ACC"/>
    <w:rsid w:val="00526C47"/>
    <w:rsid w:val="00526E04"/>
    <w:rsid w:val="00527106"/>
    <w:rsid w:val="00527312"/>
    <w:rsid w:val="005273C0"/>
    <w:rsid w:val="005277BF"/>
    <w:rsid w:val="005277D8"/>
    <w:rsid w:val="00527BFE"/>
    <w:rsid w:val="00530047"/>
    <w:rsid w:val="00530192"/>
    <w:rsid w:val="005304C1"/>
    <w:rsid w:val="00530DE4"/>
    <w:rsid w:val="00530F10"/>
    <w:rsid w:val="0053105F"/>
    <w:rsid w:val="00531125"/>
    <w:rsid w:val="00531560"/>
    <w:rsid w:val="00531E45"/>
    <w:rsid w:val="00531ED6"/>
    <w:rsid w:val="00531F53"/>
    <w:rsid w:val="00531F6A"/>
    <w:rsid w:val="00532186"/>
    <w:rsid w:val="005325ED"/>
    <w:rsid w:val="0053266D"/>
    <w:rsid w:val="00532892"/>
    <w:rsid w:val="00532B13"/>
    <w:rsid w:val="00532C0D"/>
    <w:rsid w:val="00532D17"/>
    <w:rsid w:val="00532EC0"/>
    <w:rsid w:val="00533553"/>
    <w:rsid w:val="005335AC"/>
    <w:rsid w:val="0053362B"/>
    <w:rsid w:val="00533947"/>
    <w:rsid w:val="00533996"/>
    <w:rsid w:val="00533B79"/>
    <w:rsid w:val="0053416E"/>
    <w:rsid w:val="005341AB"/>
    <w:rsid w:val="005342A1"/>
    <w:rsid w:val="005342B3"/>
    <w:rsid w:val="00534410"/>
    <w:rsid w:val="00534503"/>
    <w:rsid w:val="00534585"/>
    <w:rsid w:val="0053468B"/>
    <w:rsid w:val="00534807"/>
    <w:rsid w:val="00534CA1"/>
    <w:rsid w:val="005351D4"/>
    <w:rsid w:val="005352F9"/>
    <w:rsid w:val="0053531C"/>
    <w:rsid w:val="00535375"/>
    <w:rsid w:val="005353F2"/>
    <w:rsid w:val="005354CD"/>
    <w:rsid w:val="00535546"/>
    <w:rsid w:val="00536171"/>
    <w:rsid w:val="005363DB"/>
    <w:rsid w:val="005366D7"/>
    <w:rsid w:val="0053672D"/>
    <w:rsid w:val="00536D3A"/>
    <w:rsid w:val="00536DF5"/>
    <w:rsid w:val="005373AC"/>
    <w:rsid w:val="00537475"/>
    <w:rsid w:val="005376E0"/>
    <w:rsid w:val="00537F38"/>
    <w:rsid w:val="00540174"/>
    <w:rsid w:val="0054030A"/>
    <w:rsid w:val="00540709"/>
    <w:rsid w:val="00540899"/>
    <w:rsid w:val="0054097E"/>
    <w:rsid w:val="00540A8E"/>
    <w:rsid w:val="00540AAF"/>
    <w:rsid w:val="00540ABD"/>
    <w:rsid w:val="00540C6C"/>
    <w:rsid w:val="00540DED"/>
    <w:rsid w:val="00541147"/>
    <w:rsid w:val="00541294"/>
    <w:rsid w:val="005412C6"/>
    <w:rsid w:val="00541363"/>
    <w:rsid w:val="00541380"/>
    <w:rsid w:val="00541526"/>
    <w:rsid w:val="005416FB"/>
    <w:rsid w:val="005418D6"/>
    <w:rsid w:val="0054198E"/>
    <w:rsid w:val="00541E37"/>
    <w:rsid w:val="00542177"/>
    <w:rsid w:val="005421B1"/>
    <w:rsid w:val="005426E7"/>
    <w:rsid w:val="00543162"/>
    <w:rsid w:val="00543564"/>
    <w:rsid w:val="0054387F"/>
    <w:rsid w:val="00543AB0"/>
    <w:rsid w:val="00543CF3"/>
    <w:rsid w:val="00543D3B"/>
    <w:rsid w:val="00543D5E"/>
    <w:rsid w:val="00543D99"/>
    <w:rsid w:val="00543DE3"/>
    <w:rsid w:val="0054408A"/>
    <w:rsid w:val="005441E2"/>
    <w:rsid w:val="005443E5"/>
    <w:rsid w:val="00544542"/>
    <w:rsid w:val="00544AD6"/>
    <w:rsid w:val="0054514B"/>
    <w:rsid w:val="0054525E"/>
    <w:rsid w:val="005454DC"/>
    <w:rsid w:val="00545A65"/>
    <w:rsid w:val="00545AE1"/>
    <w:rsid w:val="00545B36"/>
    <w:rsid w:val="00545DFD"/>
    <w:rsid w:val="00545F41"/>
    <w:rsid w:val="005460E2"/>
    <w:rsid w:val="005461A0"/>
    <w:rsid w:val="005461EC"/>
    <w:rsid w:val="005464C6"/>
    <w:rsid w:val="0054653D"/>
    <w:rsid w:val="00546C1A"/>
    <w:rsid w:val="00546CEE"/>
    <w:rsid w:val="005471EF"/>
    <w:rsid w:val="005473B9"/>
    <w:rsid w:val="005473C5"/>
    <w:rsid w:val="00547434"/>
    <w:rsid w:val="0054749F"/>
    <w:rsid w:val="005475D0"/>
    <w:rsid w:val="00547642"/>
    <w:rsid w:val="0054794C"/>
    <w:rsid w:val="00547A16"/>
    <w:rsid w:val="00547ADB"/>
    <w:rsid w:val="00547CE0"/>
    <w:rsid w:val="0055008D"/>
    <w:rsid w:val="005501B6"/>
    <w:rsid w:val="0055025A"/>
    <w:rsid w:val="005504AD"/>
    <w:rsid w:val="0055088A"/>
    <w:rsid w:val="00550DC4"/>
    <w:rsid w:val="00550EE5"/>
    <w:rsid w:val="00551246"/>
    <w:rsid w:val="0055165B"/>
    <w:rsid w:val="005516BF"/>
    <w:rsid w:val="005516EE"/>
    <w:rsid w:val="005519AA"/>
    <w:rsid w:val="00551B00"/>
    <w:rsid w:val="00551F0A"/>
    <w:rsid w:val="005520B8"/>
    <w:rsid w:val="005524E9"/>
    <w:rsid w:val="005526B6"/>
    <w:rsid w:val="00552BD1"/>
    <w:rsid w:val="00552D11"/>
    <w:rsid w:val="00552DC8"/>
    <w:rsid w:val="00552F38"/>
    <w:rsid w:val="0055336E"/>
    <w:rsid w:val="00553454"/>
    <w:rsid w:val="005536D6"/>
    <w:rsid w:val="005540D3"/>
    <w:rsid w:val="00554274"/>
    <w:rsid w:val="0055480C"/>
    <w:rsid w:val="00554D14"/>
    <w:rsid w:val="00554DFF"/>
    <w:rsid w:val="00554E78"/>
    <w:rsid w:val="00554ED3"/>
    <w:rsid w:val="00555AB4"/>
    <w:rsid w:val="00555D16"/>
    <w:rsid w:val="005563A7"/>
    <w:rsid w:val="005566DC"/>
    <w:rsid w:val="00557144"/>
    <w:rsid w:val="00557164"/>
    <w:rsid w:val="00557262"/>
    <w:rsid w:val="0055734D"/>
    <w:rsid w:val="005574EA"/>
    <w:rsid w:val="00557A11"/>
    <w:rsid w:val="00557E68"/>
    <w:rsid w:val="00557E78"/>
    <w:rsid w:val="00557FCD"/>
    <w:rsid w:val="00560090"/>
    <w:rsid w:val="0056026E"/>
    <w:rsid w:val="005604E5"/>
    <w:rsid w:val="00561036"/>
    <w:rsid w:val="0056132E"/>
    <w:rsid w:val="005614F8"/>
    <w:rsid w:val="00561807"/>
    <w:rsid w:val="00561820"/>
    <w:rsid w:val="00561D73"/>
    <w:rsid w:val="00562000"/>
    <w:rsid w:val="005620C1"/>
    <w:rsid w:val="0056233C"/>
    <w:rsid w:val="005624B9"/>
    <w:rsid w:val="00563408"/>
    <w:rsid w:val="00563477"/>
    <w:rsid w:val="00563657"/>
    <w:rsid w:val="00563C48"/>
    <w:rsid w:val="00563D99"/>
    <w:rsid w:val="00563EC6"/>
    <w:rsid w:val="00564288"/>
    <w:rsid w:val="0056430D"/>
    <w:rsid w:val="005647C5"/>
    <w:rsid w:val="00564871"/>
    <w:rsid w:val="00564A2F"/>
    <w:rsid w:val="00564E46"/>
    <w:rsid w:val="00564E81"/>
    <w:rsid w:val="00564F9F"/>
    <w:rsid w:val="00564FD8"/>
    <w:rsid w:val="00565785"/>
    <w:rsid w:val="00565BC7"/>
    <w:rsid w:val="0056639A"/>
    <w:rsid w:val="005663B5"/>
    <w:rsid w:val="00566D20"/>
    <w:rsid w:val="0056734C"/>
    <w:rsid w:val="0056762E"/>
    <w:rsid w:val="005676C2"/>
    <w:rsid w:val="0056775A"/>
    <w:rsid w:val="005677EC"/>
    <w:rsid w:val="00567945"/>
    <w:rsid w:val="00567C80"/>
    <w:rsid w:val="00567D5E"/>
    <w:rsid w:val="00567ECF"/>
    <w:rsid w:val="00567F47"/>
    <w:rsid w:val="0057030D"/>
    <w:rsid w:val="0057032B"/>
    <w:rsid w:val="00570603"/>
    <w:rsid w:val="0057065E"/>
    <w:rsid w:val="0057096F"/>
    <w:rsid w:val="00570CEE"/>
    <w:rsid w:val="00570DE4"/>
    <w:rsid w:val="00570E92"/>
    <w:rsid w:val="00570F36"/>
    <w:rsid w:val="005710B0"/>
    <w:rsid w:val="005710F8"/>
    <w:rsid w:val="005712CE"/>
    <w:rsid w:val="00571368"/>
    <w:rsid w:val="005713C3"/>
    <w:rsid w:val="005713E0"/>
    <w:rsid w:val="00571430"/>
    <w:rsid w:val="005714EB"/>
    <w:rsid w:val="00571912"/>
    <w:rsid w:val="00571BCF"/>
    <w:rsid w:val="00571FCD"/>
    <w:rsid w:val="0057206E"/>
    <w:rsid w:val="005726C7"/>
    <w:rsid w:val="005726F9"/>
    <w:rsid w:val="005726FE"/>
    <w:rsid w:val="0057282F"/>
    <w:rsid w:val="00572A0A"/>
    <w:rsid w:val="00572D78"/>
    <w:rsid w:val="00572E54"/>
    <w:rsid w:val="00572EA1"/>
    <w:rsid w:val="0057301C"/>
    <w:rsid w:val="00573705"/>
    <w:rsid w:val="00573808"/>
    <w:rsid w:val="00573B55"/>
    <w:rsid w:val="0057408E"/>
    <w:rsid w:val="0057434A"/>
    <w:rsid w:val="0057438D"/>
    <w:rsid w:val="00574451"/>
    <w:rsid w:val="005744CD"/>
    <w:rsid w:val="00574AD5"/>
    <w:rsid w:val="00574B27"/>
    <w:rsid w:val="00574F7E"/>
    <w:rsid w:val="00575010"/>
    <w:rsid w:val="00575232"/>
    <w:rsid w:val="00575250"/>
    <w:rsid w:val="0057538D"/>
    <w:rsid w:val="005753AC"/>
    <w:rsid w:val="005755AF"/>
    <w:rsid w:val="005756B4"/>
    <w:rsid w:val="005757FE"/>
    <w:rsid w:val="0057594E"/>
    <w:rsid w:val="00575B57"/>
    <w:rsid w:val="00575BE6"/>
    <w:rsid w:val="00575E4E"/>
    <w:rsid w:val="00575FAF"/>
    <w:rsid w:val="00576739"/>
    <w:rsid w:val="005768CB"/>
    <w:rsid w:val="00576906"/>
    <w:rsid w:val="00576BCF"/>
    <w:rsid w:val="00576C91"/>
    <w:rsid w:val="00576CDD"/>
    <w:rsid w:val="00576E95"/>
    <w:rsid w:val="00577105"/>
    <w:rsid w:val="005775F5"/>
    <w:rsid w:val="005778BF"/>
    <w:rsid w:val="0057798B"/>
    <w:rsid w:val="00577BE1"/>
    <w:rsid w:val="00577F88"/>
    <w:rsid w:val="00580177"/>
    <w:rsid w:val="0058023E"/>
    <w:rsid w:val="00580373"/>
    <w:rsid w:val="005803A5"/>
    <w:rsid w:val="00580431"/>
    <w:rsid w:val="00580610"/>
    <w:rsid w:val="005807F6"/>
    <w:rsid w:val="00580916"/>
    <w:rsid w:val="00580ACB"/>
    <w:rsid w:val="00580C0A"/>
    <w:rsid w:val="00580E45"/>
    <w:rsid w:val="00581063"/>
    <w:rsid w:val="0058108A"/>
    <w:rsid w:val="0058111D"/>
    <w:rsid w:val="0058111E"/>
    <w:rsid w:val="0058164B"/>
    <w:rsid w:val="0058170D"/>
    <w:rsid w:val="00581EE7"/>
    <w:rsid w:val="00581FFB"/>
    <w:rsid w:val="0058226A"/>
    <w:rsid w:val="005823FC"/>
    <w:rsid w:val="00582460"/>
    <w:rsid w:val="005825AA"/>
    <w:rsid w:val="00582650"/>
    <w:rsid w:val="00582E27"/>
    <w:rsid w:val="00582E70"/>
    <w:rsid w:val="00582EBB"/>
    <w:rsid w:val="00582EC9"/>
    <w:rsid w:val="005831E8"/>
    <w:rsid w:val="00583351"/>
    <w:rsid w:val="00583415"/>
    <w:rsid w:val="0058361A"/>
    <w:rsid w:val="0058363C"/>
    <w:rsid w:val="0058365E"/>
    <w:rsid w:val="0058392C"/>
    <w:rsid w:val="005839A6"/>
    <w:rsid w:val="00583C87"/>
    <w:rsid w:val="005842D7"/>
    <w:rsid w:val="005845C4"/>
    <w:rsid w:val="00584941"/>
    <w:rsid w:val="005849F9"/>
    <w:rsid w:val="00584C81"/>
    <w:rsid w:val="00584E06"/>
    <w:rsid w:val="00585140"/>
    <w:rsid w:val="00585382"/>
    <w:rsid w:val="005853CD"/>
    <w:rsid w:val="00585447"/>
    <w:rsid w:val="0058553B"/>
    <w:rsid w:val="005855A3"/>
    <w:rsid w:val="00585799"/>
    <w:rsid w:val="0058593C"/>
    <w:rsid w:val="00585C43"/>
    <w:rsid w:val="00585D4B"/>
    <w:rsid w:val="00586190"/>
    <w:rsid w:val="005862B5"/>
    <w:rsid w:val="00586302"/>
    <w:rsid w:val="00586614"/>
    <w:rsid w:val="0058663F"/>
    <w:rsid w:val="005866F2"/>
    <w:rsid w:val="00586745"/>
    <w:rsid w:val="005867A4"/>
    <w:rsid w:val="005867DC"/>
    <w:rsid w:val="005869AA"/>
    <w:rsid w:val="00586E2F"/>
    <w:rsid w:val="00586EA7"/>
    <w:rsid w:val="00586F6C"/>
    <w:rsid w:val="00587797"/>
    <w:rsid w:val="00587A59"/>
    <w:rsid w:val="0059003A"/>
    <w:rsid w:val="00590154"/>
    <w:rsid w:val="0059021C"/>
    <w:rsid w:val="005902AD"/>
    <w:rsid w:val="0059055E"/>
    <w:rsid w:val="00590BAE"/>
    <w:rsid w:val="00590DFF"/>
    <w:rsid w:val="00590FCA"/>
    <w:rsid w:val="005911C4"/>
    <w:rsid w:val="005912AA"/>
    <w:rsid w:val="005912F0"/>
    <w:rsid w:val="00591321"/>
    <w:rsid w:val="00591346"/>
    <w:rsid w:val="00591467"/>
    <w:rsid w:val="005914D5"/>
    <w:rsid w:val="00591DF4"/>
    <w:rsid w:val="00592011"/>
    <w:rsid w:val="00592183"/>
    <w:rsid w:val="0059230A"/>
    <w:rsid w:val="0059241F"/>
    <w:rsid w:val="0059294A"/>
    <w:rsid w:val="00592B19"/>
    <w:rsid w:val="00592EA1"/>
    <w:rsid w:val="005933F2"/>
    <w:rsid w:val="00593597"/>
    <w:rsid w:val="0059364C"/>
    <w:rsid w:val="00593AA9"/>
    <w:rsid w:val="00594041"/>
    <w:rsid w:val="00594424"/>
    <w:rsid w:val="00594A9D"/>
    <w:rsid w:val="00594E2D"/>
    <w:rsid w:val="00595334"/>
    <w:rsid w:val="00595387"/>
    <w:rsid w:val="0059546F"/>
    <w:rsid w:val="00595CA0"/>
    <w:rsid w:val="00595D0F"/>
    <w:rsid w:val="00595DEA"/>
    <w:rsid w:val="00595E3A"/>
    <w:rsid w:val="00595F7B"/>
    <w:rsid w:val="00595F7D"/>
    <w:rsid w:val="00595FC2"/>
    <w:rsid w:val="0059625E"/>
    <w:rsid w:val="005963B1"/>
    <w:rsid w:val="005963B4"/>
    <w:rsid w:val="00596456"/>
    <w:rsid w:val="00596751"/>
    <w:rsid w:val="005968FE"/>
    <w:rsid w:val="005969EE"/>
    <w:rsid w:val="00596A30"/>
    <w:rsid w:val="00596DF2"/>
    <w:rsid w:val="00596FD1"/>
    <w:rsid w:val="005971FA"/>
    <w:rsid w:val="0059730D"/>
    <w:rsid w:val="005973F1"/>
    <w:rsid w:val="00597817"/>
    <w:rsid w:val="00597AB7"/>
    <w:rsid w:val="00597CB8"/>
    <w:rsid w:val="00597DF9"/>
    <w:rsid w:val="005A0152"/>
    <w:rsid w:val="005A051D"/>
    <w:rsid w:val="005A0679"/>
    <w:rsid w:val="005A082C"/>
    <w:rsid w:val="005A0CA6"/>
    <w:rsid w:val="005A124D"/>
    <w:rsid w:val="005A137B"/>
    <w:rsid w:val="005A1641"/>
    <w:rsid w:val="005A171B"/>
    <w:rsid w:val="005A1DF2"/>
    <w:rsid w:val="005A1FDD"/>
    <w:rsid w:val="005A20E9"/>
    <w:rsid w:val="005A21A5"/>
    <w:rsid w:val="005A2269"/>
    <w:rsid w:val="005A2432"/>
    <w:rsid w:val="005A24CE"/>
    <w:rsid w:val="005A2772"/>
    <w:rsid w:val="005A2776"/>
    <w:rsid w:val="005A2AA2"/>
    <w:rsid w:val="005A2C75"/>
    <w:rsid w:val="005A2EC9"/>
    <w:rsid w:val="005A2FF5"/>
    <w:rsid w:val="005A30E2"/>
    <w:rsid w:val="005A3110"/>
    <w:rsid w:val="005A34B1"/>
    <w:rsid w:val="005A3510"/>
    <w:rsid w:val="005A35E1"/>
    <w:rsid w:val="005A3BE2"/>
    <w:rsid w:val="005A4011"/>
    <w:rsid w:val="005A4329"/>
    <w:rsid w:val="005A4503"/>
    <w:rsid w:val="005A473C"/>
    <w:rsid w:val="005A4890"/>
    <w:rsid w:val="005A4B04"/>
    <w:rsid w:val="005A4BFA"/>
    <w:rsid w:val="005A4D94"/>
    <w:rsid w:val="005A4E3D"/>
    <w:rsid w:val="005A51F9"/>
    <w:rsid w:val="005A52F9"/>
    <w:rsid w:val="005A537E"/>
    <w:rsid w:val="005A5552"/>
    <w:rsid w:val="005A55BB"/>
    <w:rsid w:val="005A5662"/>
    <w:rsid w:val="005A5664"/>
    <w:rsid w:val="005A5A23"/>
    <w:rsid w:val="005A5BF3"/>
    <w:rsid w:val="005A616E"/>
    <w:rsid w:val="005A625C"/>
    <w:rsid w:val="005A6516"/>
    <w:rsid w:val="005A693D"/>
    <w:rsid w:val="005A6DA4"/>
    <w:rsid w:val="005A70F6"/>
    <w:rsid w:val="005A7225"/>
    <w:rsid w:val="005A7233"/>
    <w:rsid w:val="005A7516"/>
    <w:rsid w:val="005A7835"/>
    <w:rsid w:val="005A792E"/>
    <w:rsid w:val="005A7931"/>
    <w:rsid w:val="005A79AC"/>
    <w:rsid w:val="005A7B36"/>
    <w:rsid w:val="005A7FC3"/>
    <w:rsid w:val="005B003D"/>
    <w:rsid w:val="005B0259"/>
    <w:rsid w:val="005B07A8"/>
    <w:rsid w:val="005B0D07"/>
    <w:rsid w:val="005B1030"/>
    <w:rsid w:val="005B1072"/>
    <w:rsid w:val="005B1337"/>
    <w:rsid w:val="005B1516"/>
    <w:rsid w:val="005B1713"/>
    <w:rsid w:val="005B18C1"/>
    <w:rsid w:val="005B19C8"/>
    <w:rsid w:val="005B1A31"/>
    <w:rsid w:val="005B2354"/>
    <w:rsid w:val="005B258E"/>
    <w:rsid w:val="005B262B"/>
    <w:rsid w:val="005B28EC"/>
    <w:rsid w:val="005B2D43"/>
    <w:rsid w:val="005B2DA1"/>
    <w:rsid w:val="005B2E3D"/>
    <w:rsid w:val="005B2EDE"/>
    <w:rsid w:val="005B2F0B"/>
    <w:rsid w:val="005B3110"/>
    <w:rsid w:val="005B3348"/>
    <w:rsid w:val="005B3515"/>
    <w:rsid w:val="005B3726"/>
    <w:rsid w:val="005B3A79"/>
    <w:rsid w:val="005B3BAC"/>
    <w:rsid w:val="005B3FB2"/>
    <w:rsid w:val="005B4377"/>
    <w:rsid w:val="005B4452"/>
    <w:rsid w:val="005B4454"/>
    <w:rsid w:val="005B4531"/>
    <w:rsid w:val="005B4557"/>
    <w:rsid w:val="005B4603"/>
    <w:rsid w:val="005B47D5"/>
    <w:rsid w:val="005B4AB9"/>
    <w:rsid w:val="005B4C7C"/>
    <w:rsid w:val="005B4E76"/>
    <w:rsid w:val="005B4F11"/>
    <w:rsid w:val="005B4F48"/>
    <w:rsid w:val="005B502A"/>
    <w:rsid w:val="005B518D"/>
    <w:rsid w:val="005B53A7"/>
    <w:rsid w:val="005B53B8"/>
    <w:rsid w:val="005B53E8"/>
    <w:rsid w:val="005B5542"/>
    <w:rsid w:val="005B5C3A"/>
    <w:rsid w:val="005B5E0D"/>
    <w:rsid w:val="005B5F1B"/>
    <w:rsid w:val="005B61E5"/>
    <w:rsid w:val="005B62A2"/>
    <w:rsid w:val="005B6789"/>
    <w:rsid w:val="005B6814"/>
    <w:rsid w:val="005B6E9B"/>
    <w:rsid w:val="005B71DA"/>
    <w:rsid w:val="005B7324"/>
    <w:rsid w:val="005B7555"/>
    <w:rsid w:val="005B75EB"/>
    <w:rsid w:val="005B77A2"/>
    <w:rsid w:val="005B7A92"/>
    <w:rsid w:val="005B7BC4"/>
    <w:rsid w:val="005B7ED7"/>
    <w:rsid w:val="005B7FD2"/>
    <w:rsid w:val="005C0475"/>
    <w:rsid w:val="005C0AD8"/>
    <w:rsid w:val="005C0ADF"/>
    <w:rsid w:val="005C0D38"/>
    <w:rsid w:val="005C1388"/>
    <w:rsid w:val="005C1396"/>
    <w:rsid w:val="005C1766"/>
    <w:rsid w:val="005C191C"/>
    <w:rsid w:val="005C19DE"/>
    <w:rsid w:val="005C1B66"/>
    <w:rsid w:val="005C1C76"/>
    <w:rsid w:val="005C1E4A"/>
    <w:rsid w:val="005C1E89"/>
    <w:rsid w:val="005C2743"/>
    <w:rsid w:val="005C2BDD"/>
    <w:rsid w:val="005C2D8B"/>
    <w:rsid w:val="005C3D7D"/>
    <w:rsid w:val="005C42BA"/>
    <w:rsid w:val="005C44F0"/>
    <w:rsid w:val="005C464D"/>
    <w:rsid w:val="005C4A40"/>
    <w:rsid w:val="005C4BBE"/>
    <w:rsid w:val="005C4C50"/>
    <w:rsid w:val="005C4F5B"/>
    <w:rsid w:val="005C502B"/>
    <w:rsid w:val="005C50D2"/>
    <w:rsid w:val="005C51DB"/>
    <w:rsid w:val="005C5265"/>
    <w:rsid w:val="005C5285"/>
    <w:rsid w:val="005C52E3"/>
    <w:rsid w:val="005C564E"/>
    <w:rsid w:val="005C570C"/>
    <w:rsid w:val="005C5729"/>
    <w:rsid w:val="005C5A7E"/>
    <w:rsid w:val="005C5AD7"/>
    <w:rsid w:val="005C6027"/>
    <w:rsid w:val="005C63EB"/>
    <w:rsid w:val="005C6521"/>
    <w:rsid w:val="005C65F5"/>
    <w:rsid w:val="005C6AA5"/>
    <w:rsid w:val="005C6FE6"/>
    <w:rsid w:val="005C722B"/>
    <w:rsid w:val="005C7471"/>
    <w:rsid w:val="005C750F"/>
    <w:rsid w:val="005C7763"/>
    <w:rsid w:val="005C783F"/>
    <w:rsid w:val="005C7AEE"/>
    <w:rsid w:val="005C7B16"/>
    <w:rsid w:val="005D0182"/>
    <w:rsid w:val="005D01A1"/>
    <w:rsid w:val="005D032F"/>
    <w:rsid w:val="005D0D1A"/>
    <w:rsid w:val="005D0DA1"/>
    <w:rsid w:val="005D10E0"/>
    <w:rsid w:val="005D12E3"/>
    <w:rsid w:val="005D1346"/>
    <w:rsid w:val="005D18FE"/>
    <w:rsid w:val="005D1AA8"/>
    <w:rsid w:val="005D1E95"/>
    <w:rsid w:val="005D1EE3"/>
    <w:rsid w:val="005D1F64"/>
    <w:rsid w:val="005D25C0"/>
    <w:rsid w:val="005D2B02"/>
    <w:rsid w:val="005D2BAA"/>
    <w:rsid w:val="005D2D56"/>
    <w:rsid w:val="005D2DAA"/>
    <w:rsid w:val="005D2F79"/>
    <w:rsid w:val="005D2F87"/>
    <w:rsid w:val="005D3121"/>
    <w:rsid w:val="005D31BF"/>
    <w:rsid w:val="005D31C9"/>
    <w:rsid w:val="005D3427"/>
    <w:rsid w:val="005D3599"/>
    <w:rsid w:val="005D35E5"/>
    <w:rsid w:val="005D36D6"/>
    <w:rsid w:val="005D3814"/>
    <w:rsid w:val="005D3961"/>
    <w:rsid w:val="005D397B"/>
    <w:rsid w:val="005D3B11"/>
    <w:rsid w:val="005D48E9"/>
    <w:rsid w:val="005D4B7D"/>
    <w:rsid w:val="005D4DA0"/>
    <w:rsid w:val="005D4E44"/>
    <w:rsid w:val="005D5145"/>
    <w:rsid w:val="005D51CD"/>
    <w:rsid w:val="005D534B"/>
    <w:rsid w:val="005D55A8"/>
    <w:rsid w:val="005D55F3"/>
    <w:rsid w:val="005D5B00"/>
    <w:rsid w:val="005D5CE8"/>
    <w:rsid w:val="005D5E15"/>
    <w:rsid w:val="005D5F5E"/>
    <w:rsid w:val="005D61CD"/>
    <w:rsid w:val="005D6551"/>
    <w:rsid w:val="005D66A7"/>
    <w:rsid w:val="005D7393"/>
    <w:rsid w:val="005D73C8"/>
    <w:rsid w:val="005D740B"/>
    <w:rsid w:val="005D76EE"/>
    <w:rsid w:val="005D78E5"/>
    <w:rsid w:val="005D7AEF"/>
    <w:rsid w:val="005D7C48"/>
    <w:rsid w:val="005D7C84"/>
    <w:rsid w:val="005D7E3D"/>
    <w:rsid w:val="005E0033"/>
    <w:rsid w:val="005E00A9"/>
    <w:rsid w:val="005E0564"/>
    <w:rsid w:val="005E06F7"/>
    <w:rsid w:val="005E07E6"/>
    <w:rsid w:val="005E08B4"/>
    <w:rsid w:val="005E0C87"/>
    <w:rsid w:val="005E0D75"/>
    <w:rsid w:val="005E0D8E"/>
    <w:rsid w:val="005E0EB4"/>
    <w:rsid w:val="005E10A2"/>
    <w:rsid w:val="005E11E4"/>
    <w:rsid w:val="005E11E8"/>
    <w:rsid w:val="005E1413"/>
    <w:rsid w:val="005E18CF"/>
    <w:rsid w:val="005E1931"/>
    <w:rsid w:val="005E19B4"/>
    <w:rsid w:val="005E1AB3"/>
    <w:rsid w:val="005E216C"/>
    <w:rsid w:val="005E2307"/>
    <w:rsid w:val="005E247A"/>
    <w:rsid w:val="005E2804"/>
    <w:rsid w:val="005E28BF"/>
    <w:rsid w:val="005E293F"/>
    <w:rsid w:val="005E2CC6"/>
    <w:rsid w:val="005E2CCB"/>
    <w:rsid w:val="005E30CC"/>
    <w:rsid w:val="005E31DF"/>
    <w:rsid w:val="005E3251"/>
    <w:rsid w:val="005E3583"/>
    <w:rsid w:val="005E38E6"/>
    <w:rsid w:val="005E3AAC"/>
    <w:rsid w:val="005E3ABE"/>
    <w:rsid w:val="005E3DC8"/>
    <w:rsid w:val="005E3DEA"/>
    <w:rsid w:val="005E3F99"/>
    <w:rsid w:val="005E4619"/>
    <w:rsid w:val="005E4788"/>
    <w:rsid w:val="005E4892"/>
    <w:rsid w:val="005E4B5A"/>
    <w:rsid w:val="005E4DD4"/>
    <w:rsid w:val="005E4E7A"/>
    <w:rsid w:val="005E4EEB"/>
    <w:rsid w:val="005E535C"/>
    <w:rsid w:val="005E5491"/>
    <w:rsid w:val="005E54CC"/>
    <w:rsid w:val="005E5769"/>
    <w:rsid w:val="005E5D31"/>
    <w:rsid w:val="005E5E9E"/>
    <w:rsid w:val="005E5FF7"/>
    <w:rsid w:val="005E623C"/>
    <w:rsid w:val="005E689F"/>
    <w:rsid w:val="005E69D4"/>
    <w:rsid w:val="005E6CBA"/>
    <w:rsid w:val="005E6DA4"/>
    <w:rsid w:val="005E6F6A"/>
    <w:rsid w:val="005E6FD5"/>
    <w:rsid w:val="005E700E"/>
    <w:rsid w:val="005E7308"/>
    <w:rsid w:val="005E734F"/>
    <w:rsid w:val="005E7536"/>
    <w:rsid w:val="005E7670"/>
    <w:rsid w:val="005E78A8"/>
    <w:rsid w:val="005E7A67"/>
    <w:rsid w:val="005E7DB1"/>
    <w:rsid w:val="005E7F68"/>
    <w:rsid w:val="005F0015"/>
    <w:rsid w:val="005F0157"/>
    <w:rsid w:val="005F0209"/>
    <w:rsid w:val="005F034A"/>
    <w:rsid w:val="005F036F"/>
    <w:rsid w:val="005F0376"/>
    <w:rsid w:val="005F0378"/>
    <w:rsid w:val="005F045C"/>
    <w:rsid w:val="005F0515"/>
    <w:rsid w:val="005F08B5"/>
    <w:rsid w:val="005F0957"/>
    <w:rsid w:val="005F09B9"/>
    <w:rsid w:val="005F0B85"/>
    <w:rsid w:val="005F0BFD"/>
    <w:rsid w:val="005F0D80"/>
    <w:rsid w:val="005F11AB"/>
    <w:rsid w:val="005F152A"/>
    <w:rsid w:val="005F16DB"/>
    <w:rsid w:val="005F1902"/>
    <w:rsid w:val="005F1D8C"/>
    <w:rsid w:val="005F201C"/>
    <w:rsid w:val="005F20CF"/>
    <w:rsid w:val="005F22CA"/>
    <w:rsid w:val="005F22F8"/>
    <w:rsid w:val="005F2339"/>
    <w:rsid w:val="005F24D5"/>
    <w:rsid w:val="005F2D9E"/>
    <w:rsid w:val="005F2DAA"/>
    <w:rsid w:val="005F2E10"/>
    <w:rsid w:val="005F2F49"/>
    <w:rsid w:val="005F2F52"/>
    <w:rsid w:val="005F30A9"/>
    <w:rsid w:val="005F350E"/>
    <w:rsid w:val="005F35C6"/>
    <w:rsid w:val="005F3B32"/>
    <w:rsid w:val="005F3EBB"/>
    <w:rsid w:val="005F3EE7"/>
    <w:rsid w:val="005F4730"/>
    <w:rsid w:val="005F4813"/>
    <w:rsid w:val="005F52FD"/>
    <w:rsid w:val="005F5300"/>
    <w:rsid w:val="005F5429"/>
    <w:rsid w:val="005F5467"/>
    <w:rsid w:val="005F56C6"/>
    <w:rsid w:val="005F597F"/>
    <w:rsid w:val="005F5A93"/>
    <w:rsid w:val="005F5BFB"/>
    <w:rsid w:val="005F5E05"/>
    <w:rsid w:val="005F60B3"/>
    <w:rsid w:val="005F657E"/>
    <w:rsid w:val="005F6944"/>
    <w:rsid w:val="005F6AB7"/>
    <w:rsid w:val="005F6E41"/>
    <w:rsid w:val="005F6FC3"/>
    <w:rsid w:val="005F7193"/>
    <w:rsid w:val="005F71BF"/>
    <w:rsid w:val="005F7707"/>
    <w:rsid w:val="005F779B"/>
    <w:rsid w:val="005F7876"/>
    <w:rsid w:val="005F79AE"/>
    <w:rsid w:val="005F7A0F"/>
    <w:rsid w:val="005F7A2E"/>
    <w:rsid w:val="005F7BDA"/>
    <w:rsid w:val="005F7EFB"/>
    <w:rsid w:val="006003C8"/>
    <w:rsid w:val="00600619"/>
    <w:rsid w:val="00600841"/>
    <w:rsid w:val="00600888"/>
    <w:rsid w:val="006008B8"/>
    <w:rsid w:val="00600FDD"/>
    <w:rsid w:val="0060166D"/>
    <w:rsid w:val="006016ED"/>
    <w:rsid w:val="00601A7E"/>
    <w:rsid w:val="00601BF1"/>
    <w:rsid w:val="00601D98"/>
    <w:rsid w:val="00601E7E"/>
    <w:rsid w:val="00602047"/>
    <w:rsid w:val="006021B0"/>
    <w:rsid w:val="0060224E"/>
    <w:rsid w:val="006023AF"/>
    <w:rsid w:val="006027A6"/>
    <w:rsid w:val="00602CEA"/>
    <w:rsid w:val="00602D59"/>
    <w:rsid w:val="00602D92"/>
    <w:rsid w:val="00602FC7"/>
    <w:rsid w:val="0060326C"/>
    <w:rsid w:val="0060353C"/>
    <w:rsid w:val="00603544"/>
    <w:rsid w:val="00603B81"/>
    <w:rsid w:val="006040F6"/>
    <w:rsid w:val="0060410A"/>
    <w:rsid w:val="006047CD"/>
    <w:rsid w:val="006047ED"/>
    <w:rsid w:val="006048A1"/>
    <w:rsid w:val="0060497A"/>
    <w:rsid w:val="00604A30"/>
    <w:rsid w:val="00604B92"/>
    <w:rsid w:val="00604DF4"/>
    <w:rsid w:val="00604EF7"/>
    <w:rsid w:val="006050D5"/>
    <w:rsid w:val="006053EB"/>
    <w:rsid w:val="006058B2"/>
    <w:rsid w:val="00605A61"/>
    <w:rsid w:val="00605D44"/>
    <w:rsid w:val="006061FA"/>
    <w:rsid w:val="0060643C"/>
    <w:rsid w:val="00606D97"/>
    <w:rsid w:val="00606DBD"/>
    <w:rsid w:val="00606E08"/>
    <w:rsid w:val="00606ED4"/>
    <w:rsid w:val="00606F7E"/>
    <w:rsid w:val="00606F9A"/>
    <w:rsid w:val="00607198"/>
    <w:rsid w:val="00607240"/>
    <w:rsid w:val="0060747A"/>
    <w:rsid w:val="00607595"/>
    <w:rsid w:val="006075FF"/>
    <w:rsid w:val="00607801"/>
    <w:rsid w:val="00607969"/>
    <w:rsid w:val="00607B01"/>
    <w:rsid w:val="00607DE7"/>
    <w:rsid w:val="00610197"/>
    <w:rsid w:val="00610258"/>
    <w:rsid w:val="00610774"/>
    <w:rsid w:val="00610A63"/>
    <w:rsid w:val="00610BCF"/>
    <w:rsid w:val="00610CC8"/>
    <w:rsid w:val="006112D5"/>
    <w:rsid w:val="0061136B"/>
    <w:rsid w:val="00611603"/>
    <w:rsid w:val="00611A77"/>
    <w:rsid w:val="00611C53"/>
    <w:rsid w:val="00611D5C"/>
    <w:rsid w:val="006124CE"/>
    <w:rsid w:val="00612646"/>
    <w:rsid w:val="00612B9D"/>
    <w:rsid w:val="006130E5"/>
    <w:rsid w:val="00613350"/>
    <w:rsid w:val="00613583"/>
    <w:rsid w:val="00613742"/>
    <w:rsid w:val="006137A9"/>
    <w:rsid w:val="00613B48"/>
    <w:rsid w:val="00613C3E"/>
    <w:rsid w:val="00613DD4"/>
    <w:rsid w:val="006140A2"/>
    <w:rsid w:val="00614BFD"/>
    <w:rsid w:val="00614DC0"/>
    <w:rsid w:val="00614E29"/>
    <w:rsid w:val="006151E0"/>
    <w:rsid w:val="00615329"/>
    <w:rsid w:val="00615444"/>
    <w:rsid w:val="006155BD"/>
    <w:rsid w:val="006156C1"/>
    <w:rsid w:val="00615BB5"/>
    <w:rsid w:val="00615EDF"/>
    <w:rsid w:val="006161D6"/>
    <w:rsid w:val="006163B7"/>
    <w:rsid w:val="00616538"/>
    <w:rsid w:val="00616625"/>
    <w:rsid w:val="00616F4C"/>
    <w:rsid w:val="00617102"/>
    <w:rsid w:val="006171B2"/>
    <w:rsid w:val="006174AB"/>
    <w:rsid w:val="006176D7"/>
    <w:rsid w:val="006178CD"/>
    <w:rsid w:val="00617957"/>
    <w:rsid w:val="00617CA6"/>
    <w:rsid w:val="00617E32"/>
    <w:rsid w:val="006200D2"/>
    <w:rsid w:val="0062012C"/>
    <w:rsid w:val="00620512"/>
    <w:rsid w:val="00620725"/>
    <w:rsid w:val="00620BEE"/>
    <w:rsid w:val="006211E7"/>
    <w:rsid w:val="006214B3"/>
    <w:rsid w:val="0062169B"/>
    <w:rsid w:val="0062180B"/>
    <w:rsid w:val="0062189D"/>
    <w:rsid w:val="00621D52"/>
    <w:rsid w:val="00621E7C"/>
    <w:rsid w:val="00621EE3"/>
    <w:rsid w:val="00622294"/>
    <w:rsid w:val="00622398"/>
    <w:rsid w:val="006223D4"/>
    <w:rsid w:val="006224F4"/>
    <w:rsid w:val="00622588"/>
    <w:rsid w:val="0062272B"/>
    <w:rsid w:val="00622839"/>
    <w:rsid w:val="00622AAA"/>
    <w:rsid w:val="00622B37"/>
    <w:rsid w:val="00622C41"/>
    <w:rsid w:val="00622E77"/>
    <w:rsid w:val="00622F43"/>
    <w:rsid w:val="0062319A"/>
    <w:rsid w:val="006232D7"/>
    <w:rsid w:val="006232F3"/>
    <w:rsid w:val="00623710"/>
    <w:rsid w:val="00623BED"/>
    <w:rsid w:val="00623C36"/>
    <w:rsid w:val="00623DBD"/>
    <w:rsid w:val="00623E03"/>
    <w:rsid w:val="00623E4C"/>
    <w:rsid w:val="00623F1B"/>
    <w:rsid w:val="006241E2"/>
    <w:rsid w:val="00624534"/>
    <w:rsid w:val="0062499B"/>
    <w:rsid w:val="00624B65"/>
    <w:rsid w:val="00624CA8"/>
    <w:rsid w:val="006251BD"/>
    <w:rsid w:val="006253CF"/>
    <w:rsid w:val="00625401"/>
    <w:rsid w:val="0062558F"/>
    <w:rsid w:val="0062567A"/>
    <w:rsid w:val="006258C0"/>
    <w:rsid w:val="00625930"/>
    <w:rsid w:val="006259A7"/>
    <w:rsid w:val="006259B3"/>
    <w:rsid w:val="00625C09"/>
    <w:rsid w:val="00625D58"/>
    <w:rsid w:val="00626288"/>
    <w:rsid w:val="00626854"/>
    <w:rsid w:val="00626B73"/>
    <w:rsid w:val="0062735C"/>
    <w:rsid w:val="00627A00"/>
    <w:rsid w:val="00627A6B"/>
    <w:rsid w:val="00627E72"/>
    <w:rsid w:val="00630045"/>
    <w:rsid w:val="0063011A"/>
    <w:rsid w:val="0063041D"/>
    <w:rsid w:val="00630852"/>
    <w:rsid w:val="0063096C"/>
    <w:rsid w:val="00630BA1"/>
    <w:rsid w:val="00630D56"/>
    <w:rsid w:val="00630E93"/>
    <w:rsid w:val="0063130A"/>
    <w:rsid w:val="0063143E"/>
    <w:rsid w:val="006314D6"/>
    <w:rsid w:val="00631AF2"/>
    <w:rsid w:val="006322B5"/>
    <w:rsid w:val="0063269B"/>
    <w:rsid w:val="006329A7"/>
    <w:rsid w:val="00632B49"/>
    <w:rsid w:val="00632C09"/>
    <w:rsid w:val="00632D3F"/>
    <w:rsid w:val="00633095"/>
    <w:rsid w:val="006334CA"/>
    <w:rsid w:val="0063399A"/>
    <w:rsid w:val="006339C4"/>
    <w:rsid w:val="006339EF"/>
    <w:rsid w:val="00633A57"/>
    <w:rsid w:val="00633BEA"/>
    <w:rsid w:val="00633C91"/>
    <w:rsid w:val="0063406C"/>
    <w:rsid w:val="00634072"/>
    <w:rsid w:val="006343F1"/>
    <w:rsid w:val="00634598"/>
    <w:rsid w:val="00634779"/>
    <w:rsid w:val="006347D4"/>
    <w:rsid w:val="00634CC0"/>
    <w:rsid w:val="0063512B"/>
    <w:rsid w:val="00635465"/>
    <w:rsid w:val="00635603"/>
    <w:rsid w:val="00635696"/>
    <w:rsid w:val="00635743"/>
    <w:rsid w:val="00635906"/>
    <w:rsid w:val="00635C6E"/>
    <w:rsid w:val="00635CDE"/>
    <w:rsid w:val="00635D92"/>
    <w:rsid w:val="00635E3A"/>
    <w:rsid w:val="006360B4"/>
    <w:rsid w:val="006360D8"/>
    <w:rsid w:val="00636423"/>
    <w:rsid w:val="006365F5"/>
    <w:rsid w:val="00636A3B"/>
    <w:rsid w:val="00636FF9"/>
    <w:rsid w:val="00637156"/>
    <w:rsid w:val="006371A6"/>
    <w:rsid w:val="00637273"/>
    <w:rsid w:val="006375C7"/>
    <w:rsid w:val="0063775A"/>
    <w:rsid w:val="00637875"/>
    <w:rsid w:val="00637B70"/>
    <w:rsid w:val="00637E7C"/>
    <w:rsid w:val="0064032B"/>
    <w:rsid w:val="00640563"/>
    <w:rsid w:val="00640878"/>
    <w:rsid w:val="00640C07"/>
    <w:rsid w:val="00640DF1"/>
    <w:rsid w:val="00640F8B"/>
    <w:rsid w:val="00641316"/>
    <w:rsid w:val="006416A5"/>
    <w:rsid w:val="00641724"/>
    <w:rsid w:val="0064187F"/>
    <w:rsid w:val="00641EC9"/>
    <w:rsid w:val="00641FA9"/>
    <w:rsid w:val="006424E5"/>
    <w:rsid w:val="00642732"/>
    <w:rsid w:val="00642A4A"/>
    <w:rsid w:val="00642B14"/>
    <w:rsid w:val="00642E45"/>
    <w:rsid w:val="00642E74"/>
    <w:rsid w:val="0064331A"/>
    <w:rsid w:val="00643780"/>
    <w:rsid w:val="00643833"/>
    <w:rsid w:val="00643B9A"/>
    <w:rsid w:val="00644018"/>
    <w:rsid w:val="0064408D"/>
    <w:rsid w:val="00644561"/>
    <w:rsid w:val="00644566"/>
    <w:rsid w:val="006447C1"/>
    <w:rsid w:val="006448B8"/>
    <w:rsid w:val="00644A7B"/>
    <w:rsid w:val="00644C63"/>
    <w:rsid w:val="00644D5F"/>
    <w:rsid w:val="00644EAC"/>
    <w:rsid w:val="00645051"/>
    <w:rsid w:val="00645993"/>
    <w:rsid w:val="00645C67"/>
    <w:rsid w:val="00645DAB"/>
    <w:rsid w:val="00645F72"/>
    <w:rsid w:val="0064602C"/>
    <w:rsid w:val="00646156"/>
    <w:rsid w:val="00646371"/>
    <w:rsid w:val="0064675B"/>
    <w:rsid w:val="0064680D"/>
    <w:rsid w:val="00646B60"/>
    <w:rsid w:val="00646D92"/>
    <w:rsid w:val="00646D9B"/>
    <w:rsid w:val="006471BA"/>
    <w:rsid w:val="006471F1"/>
    <w:rsid w:val="00647350"/>
    <w:rsid w:val="006476F0"/>
    <w:rsid w:val="00647711"/>
    <w:rsid w:val="0064781D"/>
    <w:rsid w:val="00647827"/>
    <w:rsid w:val="006479FB"/>
    <w:rsid w:val="00647C1F"/>
    <w:rsid w:val="00647D25"/>
    <w:rsid w:val="00647EC8"/>
    <w:rsid w:val="00650121"/>
    <w:rsid w:val="006501DD"/>
    <w:rsid w:val="006504B1"/>
    <w:rsid w:val="006505F3"/>
    <w:rsid w:val="006509E6"/>
    <w:rsid w:val="00650A17"/>
    <w:rsid w:val="00650ADA"/>
    <w:rsid w:val="00650C7B"/>
    <w:rsid w:val="006511A2"/>
    <w:rsid w:val="006511FB"/>
    <w:rsid w:val="006513F1"/>
    <w:rsid w:val="0065162C"/>
    <w:rsid w:val="00651671"/>
    <w:rsid w:val="00651A62"/>
    <w:rsid w:val="00652320"/>
    <w:rsid w:val="006524BE"/>
    <w:rsid w:val="00652665"/>
    <w:rsid w:val="006526D9"/>
    <w:rsid w:val="00652A5A"/>
    <w:rsid w:val="00652BD3"/>
    <w:rsid w:val="00653084"/>
    <w:rsid w:val="00653108"/>
    <w:rsid w:val="00653867"/>
    <w:rsid w:val="00653897"/>
    <w:rsid w:val="00653A41"/>
    <w:rsid w:val="00654017"/>
    <w:rsid w:val="00654058"/>
    <w:rsid w:val="006542EE"/>
    <w:rsid w:val="0065431E"/>
    <w:rsid w:val="00654679"/>
    <w:rsid w:val="00654747"/>
    <w:rsid w:val="00654A6F"/>
    <w:rsid w:val="00654B81"/>
    <w:rsid w:val="00654C82"/>
    <w:rsid w:val="00655151"/>
    <w:rsid w:val="006553C1"/>
    <w:rsid w:val="006555E5"/>
    <w:rsid w:val="00655618"/>
    <w:rsid w:val="00655676"/>
    <w:rsid w:val="00655682"/>
    <w:rsid w:val="006558DC"/>
    <w:rsid w:val="00655AE3"/>
    <w:rsid w:val="00655D28"/>
    <w:rsid w:val="00655DE2"/>
    <w:rsid w:val="00655FD4"/>
    <w:rsid w:val="00655FDF"/>
    <w:rsid w:val="00656543"/>
    <w:rsid w:val="006567AF"/>
    <w:rsid w:val="006567D6"/>
    <w:rsid w:val="00656A93"/>
    <w:rsid w:val="00656C03"/>
    <w:rsid w:val="00656C74"/>
    <w:rsid w:val="00657096"/>
    <w:rsid w:val="006572AF"/>
    <w:rsid w:val="00657B22"/>
    <w:rsid w:val="00657EBD"/>
    <w:rsid w:val="00660068"/>
    <w:rsid w:val="00660096"/>
    <w:rsid w:val="00660683"/>
    <w:rsid w:val="0066086D"/>
    <w:rsid w:val="006609B1"/>
    <w:rsid w:val="00660C6A"/>
    <w:rsid w:val="00660E2F"/>
    <w:rsid w:val="00660EE1"/>
    <w:rsid w:val="006610FE"/>
    <w:rsid w:val="006612E6"/>
    <w:rsid w:val="00661645"/>
    <w:rsid w:val="00661860"/>
    <w:rsid w:val="00661B09"/>
    <w:rsid w:val="00661C1F"/>
    <w:rsid w:val="00661D3B"/>
    <w:rsid w:val="00661F77"/>
    <w:rsid w:val="0066264F"/>
    <w:rsid w:val="006626F8"/>
    <w:rsid w:val="00662B19"/>
    <w:rsid w:val="00662BA7"/>
    <w:rsid w:val="00662DD8"/>
    <w:rsid w:val="00662E37"/>
    <w:rsid w:val="00662F18"/>
    <w:rsid w:val="00663417"/>
    <w:rsid w:val="00663462"/>
    <w:rsid w:val="0066354F"/>
    <w:rsid w:val="00663B58"/>
    <w:rsid w:val="00663B6F"/>
    <w:rsid w:val="00663BCF"/>
    <w:rsid w:val="00663F54"/>
    <w:rsid w:val="006647EE"/>
    <w:rsid w:val="006649CD"/>
    <w:rsid w:val="00664A06"/>
    <w:rsid w:val="00664A19"/>
    <w:rsid w:val="00664A80"/>
    <w:rsid w:val="00664A84"/>
    <w:rsid w:val="00664E3C"/>
    <w:rsid w:val="0066515D"/>
    <w:rsid w:val="0066519B"/>
    <w:rsid w:val="006651E4"/>
    <w:rsid w:val="006651FB"/>
    <w:rsid w:val="0066556B"/>
    <w:rsid w:val="00665706"/>
    <w:rsid w:val="006658A1"/>
    <w:rsid w:val="00665936"/>
    <w:rsid w:val="00665C4D"/>
    <w:rsid w:val="00665ED4"/>
    <w:rsid w:val="006660C9"/>
    <w:rsid w:val="0066653A"/>
    <w:rsid w:val="006666BE"/>
    <w:rsid w:val="00666C18"/>
    <w:rsid w:val="00667597"/>
    <w:rsid w:val="00667959"/>
    <w:rsid w:val="006679C1"/>
    <w:rsid w:val="00667ADD"/>
    <w:rsid w:val="00670573"/>
    <w:rsid w:val="006705C6"/>
    <w:rsid w:val="00670C8B"/>
    <w:rsid w:val="00671141"/>
    <w:rsid w:val="006711EB"/>
    <w:rsid w:val="006711FD"/>
    <w:rsid w:val="00671604"/>
    <w:rsid w:val="006719D0"/>
    <w:rsid w:val="00671E64"/>
    <w:rsid w:val="0067294B"/>
    <w:rsid w:val="006729C5"/>
    <w:rsid w:val="00672D43"/>
    <w:rsid w:val="006732CD"/>
    <w:rsid w:val="0067346D"/>
    <w:rsid w:val="00673618"/>
    <w:rsid w:val="00673BED"/>
    <w:rsid w:val="0067420C"/>
    <w:rsid w:val="006742C3"/>
    <w:rsid w:val="006745A8"/>
    <w:rsid w:val="0067460C"/>
    <w:rsid w:val="00674624"/>
    <w:rsid w:val="0067472D"/>
    <w:rsid w:val="00674ACD"/>
    <w:rsid w:val="00674D96"/>
    <w:rsid w:val="00674F72"/>
    <w:rsid w:val="0067509B"/>
    <w:rsid w:val="00675346"/>
    <w:rsid w:val="00675C03"/>
    <w:rsid w:val="00675C0A"/>
    <w:rsid w:val="00675F33"/>
    <w:rsid w:val="0067631A"/>
    <w:rsid w:val="0067642E"/>
    <w:rsid w:val="00676452"/>
    <w:rsid w:val="0067646D"/>
    <w:rsid w:val="0067646E"/>
    <w:rsid w:val="0067682A"/>
    <w:rsid w:val="00676AF9"/>
    <w:rsid w:val="00676BF6"/>
    <w:rsid w:val="00676C72"/>
    <w:rsid w:val="00677101"/>
    <w:rsid w:val="006773E2"/>
    <w:rsid w:val="00677903"/>
    <w:rsid w:val="00677A0C"/>
    <w:rsid w:val="00677D5F"/>
    <w:rsid w:val="00677EE3"/>
    <w:rsid w:val="00677F45"/>
    <w:rsid w:val="00680236"/>
    <w:rsid w:val="00680444"/>
    <w:rsid w:val="006806BD"/>
    <w:rsid w:val="00680A1F"/>
    <w:rsid w:val="00680C87"/>
    <w:rsid w:val="00680E32"/>
    <w:rsid w:val="00680EA6"/>
    <w:rsid w:val="0068132C"/>
    <w:rsid w:val="00681A94"/>
    <w:rsid w:val="00682125"/>
    <w:rsid w:val="00682266"/>
    <w:rsid w:val="00682706"/>
    <w:rsid w:val="00682A34"/>
    <w:rsid w:val="00682C5A"/>
    <w:rsid w:val="00682D72"/>
    <w:rsid w:val="0068313C"/>
    <w:rsid w:val="006832C5"/>
    <w:rsid w:val="006832FB"/>
    <w:rsid w:val="00683434"/>
    <w:rsid w:val="00683615"/>
    <w:rsid w:val="00683733"/>
    <w:rsid w:val="006838F9"/>
    <w:rsid w:val="00683981"/>
    <w:rsid w:val="00683B4F"/>
    <w:rsid w:val="00683B6D"/>
    <w:rsid w:val="00683DD0"/>
    <w:rsid w:val="00683E10"/>
    <w:rsid w:val="0068420E"/>
    <w:rsid w:val="00684359"/>
    <w:rsid w:val="0068445D"/>
    <w:rsid w:val="006844C7"/>
    <w:rsid w:val="00684873"/>
    <w:rsid w:val="00684E1A"/>
    <w:rsid w:val="00684F31"/>
    <w:rsid w:val="006852EB"/>
    <w:rsid w:val="006856D7"/>
    <w:rsid w:val="006857FF"/>
    <w:rsid w:val="0068582E"/>
    <w:rsid w:val="006858BA"/>
    <w:rsid w:val="006859B5"/>
    <w:rsid w:val="00685BD6"/>
    <w:rsid w:val="00685E7D"/>
    <w:rsid w:val="00686051"/>
    <w:rsid w:val="006860E3"/>
    <w:rsid w:val="00686407"/>
    <w:rsid w:val="00686996"/>
    <w:rsid w:val="00686E1C"/>
    <w:rsid w:val="00686EEB"/>
    <w:rsid w:val="0068712D"/>
    <w:rsid w:val="006875E6"/>
    <w:rsid w:val="00687646"/>
    <w:rsid w:val="006876D1"/>
    <w:rsid w:val="00687FD0"/>
    <w:rsid w:val="00690195"/>
    <w:rsid w:val="00690560"/>
    <w:rsid w:val="0069077C"/>
    <w:rsid w:val="006909A1"/>
    <w:rsid w:val="00690A11"/>
    <w:rsid w:val="00690D68"/>
    <w:rsid w:val="00691059"/>
    <w:rsid w:val="006910C5"/>
    <w:rsid w:val="006913B9"/>
    <w:rsid w:val="0069148E"/>
    <w:rsid w:val="00691542"/>
    <w:rsid w:val="00691577"/>
    <w:rsid w:val="006915FB"/>
    <w:rsid w:val="0069177A"/>
    <w:rsid w:val="00691CAD"/>
    <w:rsid w:val="00691D17"/>
    <w:rsid w:val="00691FB8"/>
    <w:rsid w:val="00692030"/>
    <w:rsid w:val="00692419"/>
    <w:rsid w:val="00692421"/>
    <w:rsid w:val="0069274A"/>
    <w:rsid w:val="00692A62"/>
    <w:rsid w:val="00692D37"/>
    <w:rsid w:val="00692DA0"/>
    <w:rsid w:val="00692F23"/>
    <w:rsid w:val="00692FFA"/>
    <w:rsid w:val="006930F6"/>
    <w:rsid w:val="00693214"/>
    <w:rsid w:val="006932CE"/>
    <w:rsid w:val="006933F2"/>
    <w:rsid w:val="006935C3"/>
    <w:rsid w:val="00693A62"/>
    <w:rsid w:val="00693D8B"/>
    <w:rsid w:val="00693E34"/>
    <w:rsid w:val="0069427B"/>
    <w:rsid w:val="006942E5"/>
    <w:rsid w:val="0069447B"/>
    <w:rsid w:val="0069498E"/>
    <w:rsid w:val="00694E83"/>
    <w:rsid w:val="00695019"/>
    <w:rsid w:val="0069528C"/>
    <w:rsid w:val="00695B50"/>
    <w:rsid w:val="00696083"/>
    <w:rsid w:val="00696906"/>
    <w:rsid w:val="0069690A"/>
    <w:rsid w:val="0069692C"/>
    <w:rsid w:val="00696A90"/>
    <w:rsid w:val="00696DB1"/>
    <w:rsid w:val="00696E66"/>
    <w:rsid w:val="00696E67"/>
    <w:rsid w:val="00697080"/>
    <w:rsid w:val="006970F3"/>
    <w:rsid w:val="006970FB"/>
    <w:rsid w:val="0069734C"/>
    <w:rsid w:val="00697448"/>
    <w:rsid w:val="0069768E"/>
    <w:rsid w:val="00697704"/>
    <w:rsid w:val="006977F8"/>
    <w:rsid w:val="00697CB3"/>
    <w:rsid w:val="00697CC0"/>
    <w:rsid w:val="00697D39"/>
    <w:rsid w:val="00697FFC"/>
    <w:rsid w:val="006A028C"/>
    <w:rsid w:val="006A0346"/>
    <w:rsid w:val="006A03AE"/>
    <w:rsid w:val="006A0656"/>
    <w:rsid w:val="006A09C4"/>
    <w:rsid w:val="006A09FD"/>
    <w:rsid w:val="006A0C88"/>
    <w:rsid w:val="006A10F4"/>
    <w:rsid w:val="006A14DA"/>
    <w:rsid w:val="006A1A38"/>
    <w:rsid w:val="006A1BA7"/>
    <w:rsid w:val="006A1FB6"/>
    <w:rsid w:val="006A1FFD"/>
    <w:rsid w:val="006A2232"/>
    <w:rsid w:val="006A2241"/>
    <w:rsid w:val="006A2300"/>
    <w:rsid w:val="006A2369"/>
    <w:rsid w:val="006A2483"/>
    <w:rsid w:val="006A24BD"/>
    <w:rsid w:val="006A24F8"/>
    <w:rsid w:val="006A2B80"/>
    <w:rsid w:val="006A2E88"/>
    <w:rsid w:val="006A32EF"/>
    <w:rsid w:val="006A35A9"/>
    <w:rsid w:val="006A372D"/>
    <w:rsid w:val="006A3DED"/>
    <w:rsid w:val="006A3E9B"/>
    <w:rsid w:val="006A3F5C"/>
    <w:rsid w:val="006A3F74"/>
    <w:rsid w:val="006A4395"/>
    <w:rsid w:val="006A455F"/>
    <w:rsid w:val="006A461E"/>
    <w:rsid w:val="006A487E"/>
    <w:rsid w:val="006A4CD4"/>
    <w:rsid w:val="006A4E0B"/>
    <w:rsid w:val="006A5069"/>
    <w:rsid w:val="006A52D2"/>
    <w:rsid w:val="006A5566"/>
    <w:rsid w:val="006A5A28"/>
    <w:rsid w:val="006A5C96"/>
    <w:rsid w:val="006A5E45"/>
    <w:rsid w:val="006A6074"/>
    <w:rsid w:val="006A64CF"/>
    <w:rsid w:val="006A657A"/>
    <w:rsid w:val="006A6634"/>
    <w:rsid w:val="006A698D"/>
    <w:rsid w:val="006A6A7C"/>
    <w:rsid w:val="006A6EE6"/>
    <w:rsid w:val="006A7038"/>
    <w:rsid w:val="006A7101"/>
    <w:rsid w:val="006A71A7"/>
    <w:rsid w:val="006A724B"/>
    <w:rsid w:val="006A73BF"/>
    <w:rsid w:val="006A7494"/>
    <w:rsid w:val="006A7713"/>
    <w:rsid w:val="006A79CF"/>
    <w:rsid w:val="006A7DFD"/>
    <w:rsid w:val="006B0053"/>
    <w:rsid w:val="006B01DB"/>
    <w:rsid w:val="006B0260"/>
    <w:rsid w:val="006B033C"/>
    <w:rsid w:val="006B0593"/>
    <w:rsid w:val="006B0761"/>
    <w:rsid w:val="006B0E90"/>
    <w:rsid w:val="006B112C"/>
    <w:rsid w:val="006B14A7"/>
    <w:rsid w:val="006B1726"/>
    <w:rsid w:val="006B1885"/>
    <w:rsid w:val="006B1985"/>
    <w:rsid w:val="006B20A5"/>
    <w:rsid w:val="006B20D8"/>
    <w:rsid w:val="006B2302"/>
    <w:rsid w:val="006B23EA"/>
    <w:rsid w:val="006B23F6"/>
    <w:rsid w:val="006B26E1"/>
    <w:rsid w:val="006B28F0"/>
    <w:rsid w:val="006B29FA"/>
    <w:rsid w:val="006B2C60"/>
    <w:rsid w:val="006B2DD1"/>
    <w:rsid w:val="006B2DEE"/>
    <w:rsid w:val="006B3472"/>
    <w:rsid w:val="006B3655"/>
    <w:rsid w:val="006B38F2"/>
    <w:rsid w:val="006B39DB"/>
    <w:rsid w:val="006B3D5C"/>
    <w:rsid w:val="006B3ED2"/>
    <w:rsid w:val="006B41B1"/>
    <w:rsid w:val="006B478F"/>
    <w:rsid w:val="006B4981"/>
    <w:rsid w:val="006B49EC"/>
    <w:rsid w:val="006B4AEB"/>
    <w:rsid w:val="006B4B98"/>
    <w:rsid w:val="006B4C8A"/>
    <w:rsid w:val="006B4CE7"/>
    <w:rsid w:val="006B53A9"/>
    <w:rsid w:val="006B55A5"/>
    <w:rsid w:val="006B5E03"/>
    <w:rsid w:val="006B5E9E"/>
    <w:rsid w:val="006B5F13"/>
    <w:rsid w:val="006B60E6"/>
    <w:rsid w:val="006B653A"/>
    <w:rsid w:val="006B6667"/>
    <w:rsid w:val="006B6C69"/>
    <w:rsid w:val="006B6D95"/>
    <w:rsid w:val="006B7085"/>
    <w:rsid w:val="006B7A49"/>
    <w:rsid w:val="006B7C04"/>
    <w:rsid w:val="006C0111"/>
    <w:rsid w:val="006C046E"/>
    <w:rsid w:val="006C07B8"/>
    <w:rsid w:val="006C09A4"/>
    <w:rsid w:val="006C0D4A"/>
    <w:rsid w:val="006C0E16"/>
    <w:rsid w:val="006C0E76"/>
    <w:rsid w:val="006C1275"/>
    <w:rsid w:val="006C1535"/>
    <w:rsid w:val="006C15EF"/>
    <w:rsid w:val="006C16BC"/>
    <w:rsid w:val="006C193A"/>
    <w:rsid w:val="006C19DA"/>
    <w:rsid w:val="006C1CFF"/>
    <w:rsid w:val="006C1F93"/>
    <w:rsid w:val="006C1FD7"/>
    <w:rsid w:val="006C2658"/>
    <w:rsid w:val="006C295C"/>
    <w:rsid w:val="006C29E6"/>
    <w:rsid w:val="006C2D99"/>
    <w:rsid w:val="006C30FD"/>
    <w:rsid w:val="006C33A0"/>
    <w:rsid w:val="006C34EC"/>
    <w:rsid w:val="006C37EE"/>
    <w:rsid w:val="006C38B2"/>
    <w:rsid w:val="006C38F5"/>
    <w:rsid w:val="006C3A76"/>
    <w:rsid w:val="006C4046"/>
    <w:rsid w:val="006C40D6"/>
    <w:rsid w:val="006C436E"/>
    <w:rsid w:val="006C4586"/>
    <w:rsid w:val="006C47D7"/>
    <w:rsid w:val="006C4C5C"/>
    <w:rsid w:val="006C4CC1"/>
    <w:rsid w:val="006C4D99"/>
    <w:rsid w:val="006C4F8E"/>
    <w:rsid w:val="006C5091"/>
    <w:rsid w:val="006C532E"/>
    <w:rsid w:val="006C54D6"/>
    <w:rsid w:val="006C56BF"/>
    <w:rsid w:val="006C598C"/>
    <w:rsid w:val="006C5A2F"/>
    <w:rsid w:val="006C5A4E"/>
    <w:rsid w:val="006C5B74"/>
    <w:rsid w:val="006C5CD6"/>
    <w:rsid w:val="006C6020"/>
    <w:rsid w:val="006C61C9"/>
    <w:rsid w:val="006C6243"/>
    <w:rsid w:val="006C639F"/>
    <w:rsid w:val="006C6499"/>
    <w:rsid w:val="006C6872"/>
    <w:rsid w:val="006C69B5"/>
    <w:rsid w:val="006C6E85"/>
    <w:rsid w:val="006C7267"/>
    <w:rsid w:val="006C733B"/>
    <w:rsid w:val="006C73EC"/>
    <w:rsid w:val="006C7442"/>
    <w:rsid w:val="006C751F"/>
    <w:rsid w:val="006C75F7"/>
    <w:rsid w:val="006C762E"/>
    <w:rsid w:val="006C7A01"/>
    <w:rsid w:val="006C7B30"/>
    <w:rsid w:val="006C7C04"/>
    <w:rsid w:val="006C7C17"/>
    <w:rsid w:val="006D001C"/>
    <w:rsid w:val="006D0090"/>
    <w:rsid w:val="006D0495"/>
    <w:rsid w:val="006D051A"/>
    <w:rsid w:val="006D06A1"/>
    <w:rsid w:val="006D0738"/>
    <w:rsid w:val="006D092A"/>
    <w:rsid w:val="006D0952"/>
    <w:rsid w:val="006D0AF5"/>
    <w:rsid w:val="006D0BBA"/>
    <w:rsid w:val="006D0C2A"/>
    <w:rsid w:val="006D1216"/>
    <w:rsid w:val="006D128C"/>
    <w:rsid w:val="006D156C"/>
    <w:rsid w:val="006D170B"/>
    <w:rsid w:val="006D1833"/>
    <w:rsid w:val="006D19B2"/>
    <w:rsid w:val="006D1B67"/>
    <w:rsid w:val="006D1E42"/>
    <w:rsid w:val="006D1E5F"/>
    <w:rsid w:val="006D23AF"/>
    <w:rsid w:val="006D23FE"/>
    <w:rsid w:val="006D2733"/>
    <w:rsid w:val="006D29FE"/>
    <w:rsid w:val="006D2BAF"/>
    <w:rsid w:val="006D2EAC"/>
    <w:rsid w:val="006D2FF5"/>
    <w:rsid w:val="006D3067"/>
    <w:rsid w:val="006D30BF"/>
    <w:rsid w:val="006D3407"/>
    <w:rsid w:val="006D374E"/>
    <w:rsid w:val="006D3A08"/>
    <w:rsid w:val="006D3C3E"/>
    <w:rsid w:val="006D3DCE"/>
    <w:rsid w:val="006D3EF4"/>
    <w:rsid w:val="006D42DC"/>
    <w:rsid w:val="006D42FC"/>
    <w:rsid w:val="006D4376"/>
    <w:rsid w:val="006D44E0"/>
    <w:rsid w:val="006D4549"/>
    <w:rsid w:val="006D4820"/>
    <w:rsid w:val="006D4BA4"/>
    <w:rsid w:val="006D4C6B"/>
    <w:rsid w:val="006D4EA1"/>
    <w:rsid w:val="006D4EC9"/>
    <w:rsid w:val="006D4EF6"/>
    <w:rsid w:val="006D4FEF"/>
    <w:rsid w:val="006D503B"/>
    <w:rsid w:val="006D565C"/>
    <w:rsid w:val="006D56C1"/>
    <w:rsid w:val="006D5906"/>
    <w:rsid w:val="006D59B6"/>
    <w:rsid w:val="006D5B8C"/>
    <w:rsid w:val="006D6081"/>
    <w:rsid w:val="006D6163"/>
    <w:rsid w:val="006D619F"/>
    <w:rsid w:val="006D6350"/>
    <w:rsid w:val="006D665E"/>
    <w:rsid w:val="006D6C66"/>
    <w:rsid w:val="006D6D71"/>
    <w:rsid w:val="006D6E6C"/>
    <w:rsid w:val="006D6F87"/>
    <w:rsid w:val="006D71C4"/>
    <w:rsid w:val="006D7204"/>
    <w:rsid w:val="006D7280"/>
    <w:rsid w:val="006D75B3"/>
    <w:rsid w:val="006D7716"/>
    <w:rsid w:val="006D78D5"/>
    <w:rsid w:val="006D79CB"/>
    <w:rsid w:val="006D7B06"/>
    <w:rsid w:val="006D7C4A"/>
    <w:rsid w:val="006E0006"/>
    <w:rsid w:val="006E000D"/>
    <w:rsid w:val="006E00D2"/>
    <w:rsid w:val="006E0122"/>
    <w:rsid w:val="006E013C"/>
    <w:rsid w:val="006E026C"/>
    <w:rsid w:val="006E0404"/>
    <w:rsid w:val="006E08C3"/>
    <w:rsid w:val="006E0965"/>
    <w:rsid w:val="006E11AF"/>
    <w:rsid w:val="006E1206"/>
    <w:rsid w:val="006E1310"/>
    <w:rsid w:val="006E13DD"/>
    <w:rsid w:val="006E1409"/>
    <w:rsid w:val="006E146A"/>
    <w:rsid w:val="006E1AA7"/>
    <w:rsid w:val="006E1DD4"/>
    <w:rsid w:val="006E1F63"/>
    <w:rsid w:val="006E208B"/>
    <w:rsid w:val="006E220A"/>
    <w:rsid w:val="006E2272"/>
    <w:rsid w:val="006E2282"/>
    <w:rsid w:val="006E2476"/>
    <w:rsid w:val="006E27B3"/>
    <w:rsid w:val="006E2BD5"/>
    <w:rsid w:val="006E2D6E"/>
    <w:rsid w:val="006E2EC2"/>
    <w:rsid w:val="006E341E"/>
    <w:rsid w:val="006E3610"/>
    <w:rsid w:val="006E375A"/>
    <w:rsid w:val="006E38B8"/>
    <w:rsid w:val="006E38B9"/>
    <w:rsid w:val="006E3E95"/>
    <w:rsid w:val="006E3EF1"/>
    <w:rsid w:val="006E3FDB"/>
    <w:rsid w:val="006E42C7"/>
    <w:rsid w:val="006E465D"/>
    <w:rsid w:val="006E47A0"/>
    <w:rsid w:val="006E4934"/>
    <w:rsid w:val="006E4E57"/>
    <w:rsid w:val="006E4F5A"/>
    <w:rsid w:val="006E5147"/>
    <w:rsid w:val="006E52D7"/>
    <w:rsid w:val="006E57A1"/>
    <w:rsid w:val="006E5831"/>
    <w:rsid w:val="006E5A6A"/>
    <w:rsid w:val="006E5BE1"/>
    <w:rsid w:val="006E5BEF"/>
    <w:rsid w:val="006E5E7A"/>
    <w:rsid w:val="006E5E7C"/>
    <w:rsid w:val="006E5F91"/>
    <w:rsid w:val="006E5FA7"/>
    <w:rsid w:val="006E6121"/>
    <w:rsid w:val="006E61AB"/>
    <w:rsid w:val="006E61F0"/>
    <w:rsid w:val="006E629E"/>
    <w:rsid w:val="006E62D8"/>
    <w:rsid w:val="006E62EE"/>
    <w:rsid w:val="006E63BE"/>
    <w:rsid w:val="006E6599"/>
    <w:rsid w:val="006E66A0"/>
    <w:rsid w:val="006E68B3"/>
    <w:rsid w:val="006E6A3A"/>
    <w:rsid w:val="006E6BCD"/>
    <w:rsid w:val="006E6F23"/>
    <w:rsid w:val="006E7850"/>
    <w:rsid w:val="006E78AB"/>
    <w:rsid w:val="006E7A6F"/>
    <w:rsid w:val="006F0188"/>
    <w:rsid w:val="006F065E"/>
    <w:rsid w:val="006F075B"/>
    <w:rsid w:val="006F07BD"/>
    <w:rsid w:val="006F0DF5"/>
    <w:rsid w:val="006F0F0E"/>
    <w:rsid w:val="006F0FEA"/>
    <w:rsid w:val="006F1060"/>
    <w:rsid w:val="006F1168"/>
    <w:rsid w:val="006F11F5"/>
    <w:rsid w:val="006F14FD"/>
    <w:rsid w:val="006F1A3E"/>
    <w:rsid w:val="006F1C31"/>
    <w:rsid w:val="006F1C3F"/>
    <w:rsid w:val="006F1E5B"/>
    <w:rsid w:val="006F240E"/>
    <w:rsid w:val="006F26D0"/>
    <w:rsid w:val="006F2818"/>
    <w:rsid w:val="006F2892"/>
    <w:rsid w:val="006F2B8E"/>
    <w:rsid w:val="006F2BBF"/>
    <w:rsid w:val="006F2C6E"/>
    <w:rsid w:val="006F2D5F"/>
    <w:rsid w:val="006F3283"/>
    <w:rsid w:val="006F34F6"/>
    <w:rsid w:val="006F389E"/>
    <w:rsid w:val="006F38DF"/>
    <w:rsid w:val="006F38F8"/>
    <w:rsid w:val="006F3B77"/>
    <w:rsid w:val="006F3F34"/>
    <w:rsid w:val="006F3F52"/>
    <w:rsid w:val="006F408C"/>
    <w:rsid w:val="006F4288"/>
    <w:rsid w:val="006F4328"/>
    <w:rsid w:val="006F4360"/>
    <w:rsid w:val="006F453C"/>
    <w:rsid w:val="006F4659"/>
    <w:rsid w:val="006F47E7"/>
    <w:rsid w:val="006F48BD"/>
    <w:rsid w:val="006F4C2B"/>
    <w:rsid w:val="006F4D9F"/>
    <w:rsid w:val="006F4ECF"/>
    <w:rsid w:val="006F4F83"/>
    <w:rsid w:val="006F5097"/>
    <w:rsid w:val="006F589E"/>
    <w:rsid w:val="006F58E4"/>
    <w:rsid w:val="006F59C5"/>
    <w:rsid w:val="006F64C9"/>
    <w:rsid w:val="006F6809"/>
    <w:rsid w:val="006F68E6"/>
    <w:rsid w:val="006F6922"/>
    <w:rsid w:val="006F6ABB"/>
    <w:rsid w:val="006F6C69"/>
    <w:rsid w:val="006F6DF1"/>
    <w:rsid w:val="006F6E03"/>
    <w:rsid w:val="006F6F9D"/>
    <w:rsid w:val="006F76C3"/>
    <w:rsid w:val="006F7A72"/>
    <w:rsid w:val="006F7B33"/>
    <w:rsid w:val="006F7C7A"/>
    <w:rsid w:val="007000E6"/>
    <w:rsid w:val="0070019F"/>
    <w:rsid w:val="007004A3"/>
    <w:rsid w:val="00700512"/>
    <w:rsid w:val="00700615"/>
    <w:rsid w:val="0070068D"/>
    <w:rsid w:val="00700B7B"/>
    <w:rsid w:val="00700D9A"/>
    <w:rsid w:val="00700DBC"/>
    <w:rsid w:val="007014F3"/>
    <w:rsid w:val="00701564"/>
    <w:rsid w:val="0070174E"/>
    <w:rsid w:val="00701779"/>
    <w:rsid w:val="00701A15"/>
    <w:rsid w:val="00701AA2"/>
    <w:rsid w:val="00701DA5"/>
    <w:rsid w:val="00701E43"/>
    <w:rsid w:val="00701F91"/>
    <w:rsid w:val="007020D9"/>
    <w:rsid w:val="0070280C"/>
    <w:rsid w:val="007028BF"/>
    <w:rsid w:val="00702942"/>
    <w:rsid w:val="00702ADD"/>
    <w:rsid w:val="00702B81"/>
    <w:rsid w:val="00702C82"/>
    <w:rsid w:val="00702F61"/>
    <w:rsid w:val="00703740"/>
    <w:rsid w:val="007037EA"/>
    <w:rsid w:val="00703980"/>
    <w:rsid w:val="00703AAE"/>
    <w:rsid w:val="00703CC5"/>
    <w:rsid w:val="007040FD"/>
    <w:rsid w:val="007041F1"/>
    <w:rsid w:val="007043DB"/>
    <w:rsid w:val="00704406"/>
    <w:rsid w:val="007046F2"/>
    <w:rsid w:val="00704BB5"/>
    <w:rsid w:val="00704D1A"/>
    <w:rsid w:val="00704EEC"/>
    <w:rsid w:val="007052BB"/>
    <w:rsid w:val="00705454"/>
    <w:rsid w:val="00705641"/>
    <w:rsid w:val="00705E33"/>
    <w:rsid w:val="00705E85"/>
    <w:rsid w:val="00705E8A"/>
    <w:rsid w:val="007067A3"/>
    <w:rsid w:val="00706865"/>
    <w:rsid w:val="00706C13"/>
    <w:rsid w:val="007070CF"/>
    <w:rsid w:val="00707301"/>
    <w:rsid w:val="00707830"/>
    <w:rsid w:val="00707A1B"/>
    <w:rsid w:val="00707B10"/>
    <w:rsid w:val="00707DE6"/>
    <w:rsid w:val="00707F3F"/>
    <w:rsid w:val="00707F6F"/>
    <w:rsid w:val="00710052"/>
    <w:rsid w:val="0071028B"/>
    <w:rsid w:val="007102D3"/>
    <w:rsid w:val="00710343"/>
    <w:rsid w:val="00710593"/>
    <w:rsid w:val="00710614"/>
    <w:rsid w:val="0071116C"/>
    <w:rsid w:val="00711552"/>
    <w:rsid w:val="00711562"/>
    <w:rsid w:val="00711575"/>
    <w:rsid w:val="00711F27"/>
    <w:rsid w:val="0071228C"/>
    <w:rsid w:val="007124F7"/>
    <w:rsid w:val="0071252F"/>
    <w:rsid w:val="0071274C"/>
    <w:rsid w:val="00712B80"/>
    <w:rsid w:val="00712BAD"/>
    <w:rsid w:val="00712C8D"/>
    <w:rsid w:val="00712EDC"/>
    <w:rsid w:val="00712FF6"/>
    <w:rsid w:val="007130D4"/>
    <w:rsid w:val="0071347D"/>
    <w:rsid w:val="007134A0"/>
    <w:rsid w:val="007136B3"/>
    <w:rsid w:val="00713917"/>
    <w:rsid w:val="00713F1A"/>
    <w:rsid w:val="00714042"/>
    <w:rsid w:val="0071472F"/>
    <w:rsid w:val="00714905"/>
    <w:rsid w:val="00714D29"/>
    <w:rsid w:val="0071530E"/>
    <w:rsid w:val="00715356"/>
    <w:rsid w:val="00715408"/>
    <w:rsid w:val="007155AD"/>
    <w:rsid w:val="00715855"/>
    <w:rsid w:val="00715EBE"/>
    <w:rsid w:val="00715EEF"/>
    <w:rsid w:val="00715F3D"/>
    <w:rsid w:val="00715F55"/>
    <w:rsid w:val="00716292"/>
    <w:rsid w:val="00716348"/>
    <w:rsid w:val="007164CC"/>
    <w:rsid w:val="007165C5"/>
    <w:rsid w:val="0071660B"/>
    <w:rsid w:val="00716623"/>
    <w:rsid w:val="00716762"/>
    <w:rsid w:val="00716A4E"/>
    <w:rsid w:val="00716C19"/>
    <w:rsid w:val="00716C49"/>
    <w:rsid w:val="00716DFF"/>
    <w:rsid w:val="0071722E"/>
    <w:rsid w:val="0071732F"/>
    <w:rsid w:val="007173ED"/>
    <w:rsid w:val="00717432"/>
    <w:rsid w:val="0071749B"/>
    <w:rsid w:val="00717BF6"/>
    <w:rsid w:val="00720346"/>
    <w:rsid w:val="007204F2"/>
    <w:rsid w:val="00720699"/>
    <w:rsid w:val="0072071C"/>
    <w:rsid w:val="00720AF2"/>
    <w:rsid w:val="00720B03"/>
    <w:rsid w:val="00720D89"/>
    <w:rsid w:val="00720EA3"/>
    <w:rsid w:val="00720F37"/>
    <w:rsid w:val="007210C8"/>
    <w:rsid w:val="007216F5"/>
    <w:rsid w:val="0072177E"/>
    <w:rsid w:val="00721794"/>
    <w:rsid w:val="007218C5"/>
    <w:rsid w:val="00721971"/>
    <w:rsid w:val="007220D4"/>
    <w:rsid w:val="00722193"/>
    <w:rsid w:val="00722532"/>
    <w:rsid w:val="00722556"/>
    <w:rsid w:val="00722714"/>
    <w:rsid w:val="00722817"/>
    <w:rsid w:val="00722A54"/>
    <w:rsid w:val="00722AB2"/>
    <w:rsid w:val="00722D6B"/>
    <w:rsid w:val="00722FC0"/>
    <w:rsid w:val="00723305"/>
    <w:rsid w:val="007233D4"/>
    <w:rsid w:val="007233DC"/>
    <w:rsid w:val="00723534"/>
    <w:rsid w:val="00723960"/>
    <w:rsid w:val="0072399D"/>
    <w:rsid w:val="00723B4A"/>
    <w:rsid w:val="00723B88"/>
    <w:rsid w:val="00723BEB"/>
    <w:rsid w:val="00723F1A"/>
    <w:rsid w:val="0072427C"/>
    <w:rsid w:val="0072445A"/>
    <w:rsid w:val="007244E6"/>
    <w:rsid w:val="007246FE"/>
    <w:rsid w:val="0072480D"/>
    <w:rsid w:val="00724A25"/>
    <w:rsid w:val="0072595A"/>
    <w:rsid w:val="00725B88"/>
    <w:rsid w:val="00725EF3"/>
    <w:rsid w:val="007261E7"/>
    <w:rsid w:val="00726247"/>
    <w:rsid w:val="007265B3"/>
    <w:rsid w:val="00726A2B"/>
    <w:rsid w:val="00726AF6"/>
    <w:rsid w:val="00726CEE"/>
    <w:rsid w:val="00726D65"/>
    <w:rsid w:val="007271D3"/>
    <w:rsid w:val="007275F7"/>
    <w:rsid w:val="00727727"/>
    <w:rsid w:val="0072785D"/>
    <w:rsid w:val="00727DBD"/>
    <w:rsid w:val="0073012A"/>
    <w:rsid w:val="00730354"/>
    <w:rsid w:val="0073036D"/>
    <w:rsid w:val="0073044E"/>
    <w:rsid w:val="0073084D"/>
    <w:rsid w:val="00730855"/>
    <w:rsid w:val="00730C2A"/>
    <w:rsid w:val="00730DC9"/>
    <w:rsid w:val="00730EDE"/>
    <w:rsid w:val="007310D0"/>
    <w:rsid w:val="007311AB"/>
    <w:rsid w:val="007315CB"/>
    <w:rsid w:val="00731AC1"/>
    <w:rsid w:val="00731F28"/>
    <w:rsid w:val="00731FAA"/>
    <w:rsid w:val="007323CF"/>
    <w:rsid w:val="00732821"/>
    <w:rsid w:val="0073294C"/>
    <w:rsid w:val="00732F34"/>
    <w:rsid w:val="00732F6E"/>
    <w:rsid w:val="007334B1"/>
    <w:rsid w:val="0073394B"/>
    <w:rsid w:val="00733FC1"/>
    <w:rsid w:val="0073416F"/>
    <w:rsid w:val="0073421E"/>
    <w:rsid w:val="00734779"/>
    <w:rsid w:val="00734E99"/>
    <w:rsid w:val="007353D4"/>
    <w:rsid w:val="00735C54"/>
    <w:rsid w:val="00735C6C"/>
    <w:rsid w:val="00735CE1"/>
    <w:rsid w:val="00735D6F"/>
    <w:rsid w:val="00735FEA"/>
    <w:rsid w:val="007362C7"/>
    <w:rsid w:val="007364C1"/>
    <w:rsid w:val="0073658E"/>
    <w:rsid w:val="00736975"/>
    <w:rsid w:val="00736D95"/>
    <w:rsid w:val="00736DE0"/>
    <w:rsid w:val="00736F26"/>
    <w:rsid w:val="007370A2"/>
    <w:rsid w:val="007372DA"/>
    <w:rsid w:val="007373F8"/>
    <w:rsid w:val="007374D3"/>
    <w:rsid w:val="00737523"/>
    <w:rsid w:val="0073767A"/>
    <w:rsid w:val="007377CC"/>
    <w:rsid w:val="00737958"/>
    <w:rsid w:val="00737A58"/>
    <w:rsid w:val="00737A6F"/>
    <w:rsid w:val="00737B56"/>
    <w:rsid w:val="00737CD8"/>
    <w:rsid w:val="007401FB"/>
    <w:rsid w:val="00740283"/>
    <w:rsid w:val="007403D1"/>
    <w:rsid w:val="00740656"/>
    <w:rsid w:val="007408F3"/>
    <w:rsid w:val="007408F9"/>
    <w:rsid w:val="00740EAC"/>
    <w:rsid w:val="007410FE"/>
    <w:rsid w:val="007414DA"/>
    <w:rsid w:val="007415F5"/>
    <w:rsid w:val="00741960"/>
    <w:rsid w:val="00741ED6"/>
    <w:rsid w:val="007423A9"/>
    <w:rsid w:val="007423B9"/>
    <w:rsid w:val="00742686"/>
    <w:rsid w:val="00742A0B"/>
    <w:rsid w:val="00742B2A"/>
    <w:rsid w:val="00742C64"/>
    <w:rsid w:val="00742FFF"/>
    <w:rsid w:val="00743044"/>
    <w:rsid w:val="00743141"/>
    <w:rsid w:val="007434F0"/>
    <w:rsid w:val="00743B37"/>
    <w:rsid w:val="00743DEF"/>
    <w:rsid w:val="007441CC"/>
    <w:rsid w:val="00744454"/>
    <w:rsid w:val="00744B01"/>
    <w:rsid w:val="00744B49"/>
    <w:rsid w:val="00744F31"/>
    <w:rsid w:val="007451F0"/>
    <w:rsid w:val="0074569C"/>
    <w:rsid w:val="00745938"/>
    <w:rsid w:val="0074594F"/>
    <w:rsid w:val="00745A18"/>
    <w:rsid w:val="00745C40"/>
    <w:rsid w:val="00745CEF"/>
    <w:rsid w:val="00745DCA"/>
    <w:rsid w:val="00745F0A"/>
    <w:rsid w:val="00745FA4"/>
    <w:rsid w:val="007461D7"/>
    <w:rsid w:val="00746678"/>
    <w:rsid w:val="007469A8"/>
    <w:rsid w:val="00746BA6"/>
    <w:rsid w:val="00747401"/>
    <w:rsid w:val="00747445"/>
    <w:rsid w:val="0074758B"/>
    <w:rsid w:val="0074764A"/>
    <w:rsid w:val="007476C4"/>
    <w:rsid w:val="0074773C"/>
    <w:rsid w:val="00747867"/>
    <w:rsid w:val="0075025C"/>
    <w:rsid w:val="0075026E"/>
    <w:rsid w:val="0075057D"/>
    <w:rsid w:val="00750870"/>
    <w:rsid w:val="007508B1"/>
    <w:rsid w:val="007509C8"/>
    <w:rsid w:val="007509E1"/>
    <w:rsid w:val="00750B25"/>
    <w:rsid w:val="00750C21"/>
    <w:rsid w:val="00750F39"/>
    <w:rsid w:val="00751143"/>
    <w:rsid w:val="0075114E"/>
    <w:rsid w:val="007514EB"/>
    <w:rsid w:val="0075151A"/>
    <w:rsid w:val="007515B6"/>
    <w:rsid w:val="007518D1"/>
    <w:rsid w:val="00751B64"/>
    <w:rsid w:val="00751B8D"/>
    <w:rsid w:val="00751CF6"/>
    <w:rsid w:val="00751DBD"/>
    <w:rsid w:val="00751DCD"/>
    <w:rsid w:val="00751EE4"/>
    <w:rsid w:val="00751F96"/>
    <w:rsid w:val="00752105"/>
    <w:rsid w:val="00752241"/>
    <w:rsid w:val="007524E7"/>
    <w:rsid w:val="00752885"/>
    <w:rsid w:val="007529CC"/>
    <w:rsid w:val="00752D38"/>
    <w:rsid w:val="00752E4A"/>
    <w:rsid w:val="00752F41"/>
    <w:rsid w:val="007532E1"/>
    <w:rsid w:val="007532EC"/>
    <w:rsid w:val="007533CF"/>
    <w:rsid w:val="00753401"/>
    <w:rsid w:val="007535DB"/>
    <w:rsid w:val="00753774"/>
    <w:rsid w:val="0075394B"/>
    <w:rsid w:val="00753AD1"/>
    <w:rsid w:val="00753D7D"/>
    <w:rsid w:val="00753EA2"/>
    <w:rsid w:val="0075401B"/>
    <w:rsid w:val="00754334"/>
    <w:rsid w:val="0075443C"/>
    <w:rsid w:val="0075468E"/>
    <w:rsid w:val="007546EF"/>
    <w:rsid w:val="00754752"/>
    <w:rsid w:val="00754974"/>
    <w:rsid w:val="00754D87"/>
    <w:rsid w:val="00754EBD"/>
    <w:rsid w:val="0075516E"/>
    <w:rsid w:val="00755210"/>
    <w:rsid w:val="007553B6"/>
    <w:rsid w:val="007557CA"/>
    <w:rsid w:val="00755C2D"/>
    <w:rsid w:val="00755ED5"/>
    <w:rsid w:val="0075622C"/>
    <w:rsid w:val="00756459"/>
    <w:rsid w:val="00756939"/>
    <w:rsid w:val="007569A5"/>
    <w:rsid w:val="00756C29"/>
    <w:rsid w:val="00756FF2"/>
    <w:rsid w:val="00757299"/>
    <w:rsid w:val="00757785"/>
    <w:rsid w:val="007579C0"/>
    <w:rsid w:val="00757BDD"/>
    <w:rsid w:val="00757F39"/>
    <w:rsid w:val="00757FE6"/>
    <w:rsid w:val="00760086"/>
    <w:rsid w:val="00760254"/>
    <w:rsid w:val="00760673"/>
    <w:rsid w:val="007606D7"/>
    <w:rsid w:val="00760A6C"/>
    <w:rsid w:val="00760ABA"/>
    <w:rsid w:val="00760E48"/>
    <w:rsid w:val="00760FD6"/>
    <w:rsid w:val="00761089"/>
    <w:rsid w:val="007610A4"/>
    <w:rsid w:val="007610EB"/>
    <w:rsid w:val="00761342"/>
    <w:rsid w:val="007613F9"/>
    <w:rsid w:val="00761901"/>
    <w:rsid w:val="00761A0A"/>
    <w:rsid w:val="00761E1B"/>
    <w:rsid w:val="00762109"/>
    <w:rsid w:val="00762283"/>
    <w:rsid w:val="00762388"/>
    <w:rsid w:val="00762445"/>
    <w:rsid w:val="00762448"/>
    <w:rsid w:val="00762835"/>
    <w:rsid w:val="00762AC2"/>
    <w:rsid w:val="00762CBA"/>
    <w:rsid w:val="0076300E"/>
    <w:rsid w:val="00763368"/>
    <w:rsid w:val="007639F3"/>
    <w:rsid w:val="00763A7D"/>
    <w:rsid w:val="00763BAB"/>
    <w:rsid w:val="00763D1F"/>
    <w:rsid w:val="00763D20"/>
    <w:rsid w:val="00764100"/>
    <w:rsid w:val="00764399"/>
    <w:rsid w:val="00764557"/>
    <w:rsid w:val="00765045"/>
    <w:rsid w:val="00765639"/>
    <w:rsid w:val="00765691"/>
    <w:rsid w:val="007658D2"/>
    <w:rsid w:val="00765936"/>
    <w:rsid w:val="00765B01"/>
    <w:rsid w:val="00765B27"/>
    <w:rsid w:val="00765C64"/>
    <w:rsid w:val="00765D6B"/>
    <w:rsid w:val="0076617D"/>
    <w:rsid w:val="007662CC"/>
    <w:rsid w:val="00766361"/>
    <w:rsid w:val="007669A8"/>
    <w:rsid w:val="00766EA5"/>
    <w:rsid w:val="00766EC5"/>
    <w:rsid w:val="00766F07"/>
    <w:rsid w:val="00766F0D"/>
    <w:rsid w:val="00766F8D"/>
    <w:rsid w:val="00766FDB"/>
    <w:rsid w:val="00767039"/>
    <w:rsid w:val="0076715E"/>
    <w:rsid w:val="007672B3"/>
    <w:rsid w:val="00767411"/>
    <w:rsid w:val="0076743A"/>
    <w:rsid w:val="007674A6"/>
    <w:rsid w:val="00767789"/>
    <w:rsid w:val="0076794D"/>
    <w:rsid w:val="00767A1D"/>
    <w:rsid w:val="00767C48"/>
    <w:rsid w:val="00767EF8"/>
    <w:rsid w:val="00767F57"/>
    <w:rsid w:val="00770274"/>
    <w:rsid w:val="00770537"/>
    <w:rsid w:val="0077062F"/>
    <w:rsid w:val="00770722"/>
    <w:rsid w:val="00770A0A"/>
    <w:rsid w:val="00770BA5"/>
    <w:rsid w:val="00770C64"/>
    <w:rsid w:val="00770C9B"/>
    <w:rsid w:val="00770CA0"/>
    <w:rsid w:val="00770D39"/>
    <w:rsid w:val="0077100E"/>
    <w:rsid w:val="00771124"/>
    <w:rsid w:val="0077115F"/>
    <w:rsid w:val="0077127C"/>
    <w:rsid w:val="007713A0"/>
    <w:rsid w:val="0077159F"/>
    <w:rsid w:val="007715E1"/>
    <w:rsid w:val="0077160E"/>
    <w:rsid w:val="00771895"/>
    <w:rsid w:val="00771BD2"/>
    <w:rsid w:val="00771C0E"/>
    <w:rsid w:val="007726A7"/>
    <w:rsid w:val="00772B89"/>
    <w:rsid w:val="00772CFA"/>
    <w:rsid w:val="00772DB7"/>
    <w:rsid w:val="00772FAF"/>
    <w:rsid w:val="00773549"/>
    <w:rsid w:val="00773FFF"/>
    <w:rsid w:val="00774186"/>
    <w:rsid w:val="00774531"/>
    <w:rsid w:val="007745F5"/>
    <w:rsid w:val="00774CEC"/>
    <w:rsid w:val="00774ECE"/>
    <w:rsid w:val="00774F7B"/>
    <w:rsid w:val="00774F7C"/>
    <w:rsid w:val="0077519E"/>
    <w:rsid w:val="0077540B"/>
    <w:rsid w:val="00775F1F"/>
    <w:rsid w:val="00775F5E"/>
    <w:rsid w:val="00775FBD"/>
    <w:rsid w:val="00776118"/>
    <w:rsid w:val="00776147"/>
    <w:rsid w:val="007761E8"/>
    <w:rsid w:val="00776467"/>
    <w:rsid w:val="007765D1"/>
    <w:rsid w:val="007767D8"/>
    <w:rsid w:val="007768D0"/>
    <w:rsid w:val="00776AD8"/>
    <w:rsid w:val="00776B53"/>
    <w:rsid w:val="00776B69"/>
    <w:rsid w:val="00776BB3"/>
    <w:rsid w:val="00776C87"/>
    <w:rsid w:val="00776D35"/>
    <w:rsid w:val="0077728C"/>
    <w:rsid w:val="007772F5"/>
    <w:rsid w:val="0077740F"/>
    <w:rsid w:val="00780025"/>
    <w:rsid w:val="0078020F"/>
    <w:rsid w:val="00780249"/>
    <w:rsid w:val="00780315"/>
    <w:rsid w:val="007805CE"/>
    <w:rsid w:val="007806A3"/>
    <w:rsid w:val="00780753"/>
    <w:rsid w:val="007807F4"/>
    <w:rsid w:val="00780B85"/>
    <w:rsid w:val="00780CED"/>
    <w:rsid w:val="00781229"/>
    <w:rsid w:val="007812BB"/>
    <w:rsid w:val="00781818"/>
    <w:rsid w:val="00781981"/>
    <w:rsid w:val="00781A2F"/>
    <w:rsid w:val="00781A66"/>
    <w:rsid w:val="00781B01"/>
    <w:rsid w:val="0078241C"/>
    <w:rsid w:val="0078265B"/>
    <w:rsid w:val="0078266B"/>
    <w:rsid w:val="00782824"/>
    <w:rsid w:val="00782837"/>
    <w:rsid w:val="0078291B"/>
    <w:rsid w:val="00782C02"/>
    <w:rsid w:val="00782E84"/>
    <w:rsid w:val="00782EB8"/>
    <w:rsid w:val="0078328C"/>
    <w:rsid w:val="00783552"/>
    <w:rsid w:val="0078359A"/>
    <w:rsid w:val="007835AA"/>
    <w:rsid w:val="007835E0"/>
    <w:rsid w:val="00783630"/>
    <w:rsid w:val="007837AD"/>
    <w:rsid w:val="00783913"/>
    <w:rsid w:val="00783B70"/>
    <w:rsid w:val="00783DFD"/>
    <w:rsid w:val="00784358"/>
    <w:rsid w:val="007843B9"/>
    <w:rsid w:val="0078458E"/>
    <w:rsid w:val="00784665"/>
    <w:rsid w:val="00784858"/>
    <w:rsid w:val="007848CF"/>
    <w:rsid w:val="007848DB"/>
    <w:rsid w:val="00784D30"/>
    <w:rsid w:val="00784ED1"/>
    <w:rsid w:val="00785463"/>
    <w:rsid w:val="0078550A"/>
    <w:rsid w:val="00785520"/>
    <w:rsid w:val="0078552C"/>
    <w:rsid w:val="007859BC"/>
    <w:rsid w:val="00785A28"/>
    <w:rsid w:val="00785A2F"/>
    <w:rsid w:val="00785EB2"/>
    <w:rsid w:val="007860DB"/>
    <w:rsid w:val="007860F3"/>
    <w:rsid w:val="00786370"/>
    <w:rsid w:val="007863BC"/>
    <w:rsid w:val="00786407"/>
    <w:rsid w:val="00786B4A"/>
    <w:rsid w:val="00786C97"/>
    <w:rsid w:val="00786E71"/>
    <w:rsid w:val="00786FB2"/>
    <w:rsid w:val="007870AF"/>
    <w:rsid w:val="00787127"/>
    <w:rsid w:val="007871E8"/>
    <w:rsid w:val="007871F6"/>
    <w:rsid w:val="0078747A"/>
    <w:rsid w:val="00787486"/>
    <w:rsid w:val="00787748"/>
    <w:rsid w:val="00787809"/>
    <w:rsid w:val="00787B7A"/>
    <w:rsid w:val="00787D11"/>
    <w:rsid w:val="00787DA7"/>
    <w:rsid w:val="00787F1E"/>
    <w:rsid w:val="00790094"/>
    <w:rsid w:val="007901EE"/>
    <w:rsid w:val="00790393"/>
    <w:rsid w:val="00790C54"/>
    <w:rsid w:val="00790F3D"/>
    <w:rsid w:val="0079170B"/>
    <w:rsid w:val="0079191D"/>
    <w:rsid w:val="00791C35"/>
    <w:rsid w:val="00792123"/>
    <w:rsid w:val="0079227E"/>
    <w:rsid w:val="00792353"/>
    <w:rsid w:val="00792434"/>
    <w:rsid w:val="00792658"/>
    <w:rsid w:val="007929F5"/>
    <w:rsid w:val="007933DE"/>
    <w:rsid w:val="00793451"/>
    <w:rsid w:val="00793478"/>
    <w:rsid w:val="00793755"/>
    <w:rsid w:val="007937E5"/>
    <w:rsid w:val="00793978"/>
    <w:rsid w:val="00793B1D"/>
    <w:rsid w:val="00793B94"/>
    <w:rsid w:val="00793C72"/>
    <w:rsid w:val="00793F50"/>
    <w:rsid w:val="0079436E"/>
    <w:rsid w:val="00794496"/>
    <w:rsid w:val="00794949"/>
    <w:rsid w:val="00794B4A"/>
    <w:rsid w:val="00794BBF"/>
    <w:rsid w:val="00794D06"/>
    <w:rsid w:val="00794D69"/>
    <w:rsid w:val="00794DC1"/>
    <w:rsid w:val="00794EBF"/>
    <w:rsid w:val="0079513B"/>
    <w:rsid w:val="007952E5"/>
    <w:rsid w:val="007953E5"/>
    <w:rsid w:val="00795453"/>
    <w:rsid w:val="0079585D"/>
    <w:rsid w:val="00795C16"/>
    <w:rsid w:val="00795E1F"/>
    <w:rsid w:val="00795E32"/>
    <w:rsid w:val="00796377"/>
    <w:rsid w:val="007967E7"/>
    <w:rsid w:val="00796D13"/>
    <w:rsid w:val="00796ED4"/>
    <w:rsid w:val="00796F8F"/>
    <w:rsid w:val="007975DB"/>
    <w:rsid w:val="007976A2"/>
    <w:rsid w:val="007976BB"/>
    <w:rsid w:val="00797B3A"/>
    <w:rsid w:val="00797BD1"/>
    <w:rsid w:val="00797E3D"/>
    <w:rsid w:val="00797FD0"/>
    <w:rsid w:val="007A013A"/>
    <w:rsid w:val="007A01EF"/>
    <w:rsid w:val="007A0311"/>
    <w:rsid w:val="007A09B6"/>
    <w:rsid w:val="007A0A35"/>
    <w:rsid w:val="007A0A81"/>
    <w:rsid w:val="007A0D1A"/>
    <w:rsid w:val="007A0F18"/>
    <w:rsid w:val="007A0F58"/>
    <w:rsid w:val="007A1145"/>
    <w:rsid w:val="007A12B1"/>
    <w:rsid w:val="007A150A"/>
    <w:rsid w:val="007A1D58"/>
    <w:rsid w:val="007A1DC4"/>
    <w:rsid w:val="007A2139"/>
    <w:rsid w:val="007A2267"/>
    <w:rsid w:val="007A2552"/>
    <w:rsid w:val="007A26DF"/>
    <w:rsid w:val="007A2747"/>
    <w:rsid w:val="007A29DE"/>
    <w:rsid w:val="007A2A34"/>
    <w:rsid w:val="007A2C9F"/>
    <w:rsid w:val="007A39FF"/>
    <w:rsid w:val="007A3BE6"/>
    <w:rsid w:val="007A3BFD"/>
    <w:rsid w:val="007A3C90"/>
    <w:rsid w:val="007A3CC5"/>
    <w:rsid w:val="007A4148"/>
    <w:rsid w:val="007A44DF"/>
    <w:rsid w:val="007A4D76"/>
    <w:rsid w:val="007A4E2A"/>
    <w:rsid w:val="007A4F1A"/>
    <w:rsid w:val="007A52E2"/>
    <w:rsid w:val="007A57EA"/>
    <w:rsid w:val="007A5955"/>
    <w:rsid w:val="007A5D90"/>
    <w:rsid w:val="007A5EDB"/>
    <w:rsid w:val="007A6016"/>
    <w:rsid w:val="007A6083"/>
    <w:rsid w:val="007A62E7"/>
    <w:rsid w:val="007A67DB"/>
    <w:rsid w:val="007A68D8"/>
    <w:rsid w:val="007A68ED"/>
    <w:rsid w:val="007A69E0"/>
    <w:rsid w:val="007A6DC0"/>
    <w:rsid w:val="007A6E3C"/>
    <w:rsid w:val="007A71BE"/>
    <w:rsid w:val="007A7410"/>
    <w:rsid w:val="007A75F5"/>
    <w:rsid w:val="007A7887"/>
    <w:rsid w:val="007A796C"/>
    <w:rsid w:val="007A7AE5"/>
    <w:rsid w:val="007A7BF2"/>
    <w:rsid w:val="007B0137"/>
    <w:rsid w:val="007B0758"/>
    <w:rsid w:val="007B075D"/>
    <w:rsid w:val="007B07E9"/>
    <w:rsid w:val="007B0877"/>
    <w:rsid w:val="007B08D0"/>
    <w:rsid w:val="007B0933"/>
    <w:rsid w:val="007B0E9B"/>
    <w:rsid w:val="007B12AC"/>
    <w:rsid w:val="007B15C8"/>
    <w:rsid w:val="007B1620"/>
    <w:rsid w:val="007B16CD"/>
    <w:rsid w:val="007B1702"/>
    <w:rsid w:val="007B19A2"/>
    <w:rsid w:val="007B1AB4"/>
    <w:rsid w:val="007B1CAB"/>
    <w:rsid w:val="007B22FF"/>
    <w:rsid w:val="007B2314"/>
    <w:rsid w:val="007B29C7"/>
    <w:rsid w:val="007B2BA2"/>
    <w:rsid w:val="007B2E88"/>
    <w:rsid w:val="007B3026"/>
    <w:rsid w:val="007B3081"/>
    <w:rsid w:val="007B385E"/>
    <w:rsid w:val="007B3972"/>
    <w:rsid w:val="007B3A97"/>
    <w:rsid w:val="007B3B08"/>
    <w:rsid w:val="007B3CA9"/>
    <w:rsid w:val="007B3CE5"/>
    <w:rsid w:val="007B414C"/>
    <w:rsid w:val="007B41FE"/>
    <w:rsid w:val="007B4487"/>
    <w:rsid w:val="007B4BCE"/>
    <w:rsid w:val="007B4C02"/>
    <w:rsid w:val="007B53FD"/>
    <w:rsid w:val="007B596E"/>
    <w:rsid w:val="007B5AAB"/>
    <w:rsid w:val="007B5B69"/>
    <w:rsid w:val="007B5C27"/>
    <w:rsid w:val="007B5CFF"/>
    <w:rsid w:val="007B5D74"/>
    <w:rsid w:val="007B5F43"/>
    <w:rsid w:val="007B5F55"/>
    <w:rsid w:val="007B61FB"/>
    <w:rsid w:val="007B621D"/>
    <w:rsid w:val="007B64FB"/>
    <w:rsid w:val="007B6509"/>
    <w:rsid w:val="007B660D"/>
    <w:rsid w:val="007B66CF"/>
    <w:rsid w:val="007B6739"/>
    <w:rsid w:val="007B6847"/>
    <w:rsid w:val="007B6C2E"/>
    <w:rsid w:val="007B6D0A"/>
    <w:rsid w:val="007B6FA4"/>
    <w:rsid w:val="007B7132"/>
    <w:rsid w:val="007B744C"/>
    <w:rsid w:val="007B7474"/>
    <w:rsid w:val="007B7532"/>
    <w:rsid w:val="007B7891"/>
    <w:rsid w:val="007B7BF5"/>
    <w:rsid w:val="007B7C9F"/>
    <w:rsid w:val="007B7EC4"/>
    <w:rsid w:val="007B7F68"/>
    <w:rsid w:val="007B7FFE"/>
    <w:rsid w:val="007C01AF"/>
    <w:rsid w:val="007C05FA"/>
    <w:rsid w:val="007C07A1"/>
    <w:rsid w:val="007C0A7F"/>
    <w:rsid w:val="007C0C03"/>
    <w:rsid w:val="007C1176"/>
    <w:rsid w:val="007C1380"/>
    <w:rsid w:val="007C168E"/>
    <w:rsid w:val="007C1738"/>
    <w:rsid w:val="007C1F4E"/>
    <w:rsid w:val="007C2956"/>
    <w:rsid w:val="007C296B"/>
    <w:rsid w:val="007C29F6"/>
    <w:rsid w:val="007C2BC9"/>
    <w:rsid w:val="007C3150"/>
    <w:rsid w:val="007C31A1"/>
    <w:rsid w:val="007C32CA"/>
    <w:rsid w:val="007C3433"/>
    <w:rsid w:val="007C36D5"/>
    <w:rsid w:val="007C3B46"/>
    <w:rsid w:val="007C3CB8"/>
    <w:rsid w:val="007C3CF4"/>
    <w:rsid w:val="007C3D8C"/>
    <w:rsid w:val="007C3E72"/>
    <w:rsid w:val="007C3F49"/>
    <w:rsid w:val="007C3FED"/>
    <w:rsid w:val="007C440A"/>
    <w:rsid w:val="007C470B"/>
    <w:rsid w:val="007C4AD8"/>
    <w:rsid w:val="007C4DD2"/>
    <w:rsid w:val="007C4F40"/>
    <w:rsid w:val="007C5557"/>
    <w:rsid w:val="007C5567"/>
    <w:rsid w:val="007C5664"/>
    <w:rsid w:val="007C5A01"/>
    <w:rsid w:val="007C5C9A"/>
    <w:rsid w:val="007C5E64"/>
    <w:rsid w:val="007C5ED2"/>
    <w:rsid w:val="007C5F50"/>
    <w:rsid w:val="007C62A2"/>
    <w:rsid w:val="007C6723"/>
    <w:rsid w:val="007C6894"/>
    <w:rsid w:val="007C6B10"/>
    <w:rsid w:val="007C6E02"/>
    <w:rsid w:val="007C7123"/>
    <w:rsid w:val="007C7127"/>
    <w:rsid w:val="007C717E"/>
    <w:rsid w:val="007C761F"/>
    <w:rsid w:val="007C76C4"/>
    <w:rsid w:val="007C7942"/>
    <w:rsid w:val="007C7987"/>
    <w:rsid w:val="007C79B0"/>
    <w:rsid w:val="007C79DD"/>
    <w:rsid w:val="007C7ABD"/>
    <w:rsid w:val="007C7D71"/>
    <w:rsid w:val="007C7FF3"/>
    <w:rsid w:val="007D0046"/>
    <w:rsid w:val="007D026F"/>
    <w:rsid w:val="007D045B"/>
    <w:rsid w:val="007D06E6"/>
    <w:rsid w:val="007D09FF"/>
    <w:rsid w:val="007D0D15"/>
    <w:rsid w:val="007D0DBE"/>
    <w:rsid w:val="007D0E27"/>
    <w:rsid w:val="007D0F19"/>
    <w:rsid w:val="007D1351"/>
    <w:rsid w:val="007D154E"/>
    <w:rsid w:val="007D1977"/>
    <w:rsid w:val="007D1B17"/>
    <w:rsid w:val="007D1BE6"/>
    <w:rsid w:val="007D2059"/>
    <w:rsid w:val="007D2239"/>
    <w:rsid w:val="007D25F1"/>
    <w:rsid w:val="007D2B87"/>
    <w:rsid w:val="007D2D49"/>
    <w:rsid w:val="007D2E3A"/>
    <w:rsid w:val="007D2F76"/>
    <w:rsid w:val="007D341A"/>
    <w:rsid w:val="007D3945"/>
    <w:rsid w:val="007D3C53"/>
    <w:rsid w:val="007D45E2"/>
    <w:rsid w:val="007D479C"/>
    <w:rsid w:val="007D4823"/>
    <w:rsid w:val="007D48E0"/>
    <w:rsid w:val="007D4B11"/>
    <w:rsid w:val="007D4F4C"/>
    <w:rsid w:val="007D5302"/>
    <w:rsid w:val="007D5572"/>
    <w:rsid w:val="007D561A"/>
    <w:rsid w:val="007D595F"/>
    <w:rsid w:val="007D5FBC"/>
    <w:rsid w:val="007D6271"/>
    <w:rsid w:val="007D654E"/>
    <w:rsid w:val="007D661F"/>
    <w:rsid w:val="007D6927"/>
    <w:rsid w:val="007D6A27"/>
    <w:rsid w:val="007D6A38"/>
    <w:rsid w:val="007D6AC3"/>
    <w:rsid w:val="007D6E44"/>
    <w:rsid w:val="007D6F25"/>
    <w:rsid w:val="007D6FB4"/>
    <w:rsid w:val="007D71C1"/>
    <w:rsid w:val="007D71F3"/>
    <w:rsid w:val="007D723A"/>
    <w:rsid w:val="007D7581"/>
    <w:rsid w:val="007D7747"/>
    <w:rsid w:val="007D781B"/>
    <w:rsid w:val="007D787B"/>
    <w:rsid w:val="007D7990"/>
    <w:rsid w:val="007D7ABE"/>
    <w:rsid w:val="007D7EB8"/>
    <w:rsid w:val="007E0011"/>
    <w:rsid w:val="007E04D8"/>
    <w:rsid w:val="007E0610"/>
    <w:rsid w:val="007E0640"/>
    <w:rsid w:val="007E0AB8"/>
    <w:rsid w:val="007E0EB3"/>
    <w:rsid w:val="007E10CB"/>
    <w:rsid w:val="007E1341"/>
    <w:rsid w:val="007E1346"/>
    <w:rsid w:val="007E1457"/>
    <w:rsid w:val="007E14AB"/>
    <w:rsid w:val="007E17B3"/>
    <w:rsid w:val="007E19F7"/>
    <w:rsid w:val="007E1FB8"/>
    <w:rsid w:val="007E1FCD"/>
    <w:rsid w:val="007E2030"/>
    <w:rsid w:val="007E218E"/>
    <w:rsid w:val="007E23F3"/>
    <w:rsid w:val="007E24B3"/>
    <w:rsid w:val="007E2679"/>
    <w:rsid w:val="007E2693"/>
    <w:rsid w:val="007E2733"/>
    <w:rsid w:val="007E2745"/>
    <w:rsid w:val="007E2947"/>
    <w:rsid w:val="007E311D"/>
    <w:rsid w:val="007E3211"/>
    <w:rsid w:val="007E3450"/>
    <w:rsid w:val="007E39E1"/>
    <w:rsid w:val="007E39FD"/>
    <w:rsid w:val="007E3B59"/>
    <w:rsid w:val="007E417F"/>
    <w:rsid w:val="007E4900"/>
    <w:rsid w:val="007E4DC0"/>
    <w:rsid w:val="007E503C"/>
    <w:rsid w:val="007E504D"/>
    <w:rsid w:val="007E50A5"/>
    <w:rsid w:val="007E5115"/>
    <w:rsid w:val="007E53AB"/>
    <w:rsid w:val="007E53C5"/>
    <w:rsid w:val="007E5521"/>
    <w:rsid w:val="007E5588"/>
    <w:rsid w:val="007E5B2D"/>
    <w:rsid w:val="007E5C37"/>
    <w:rsid w:val="007E5C56"/>
    <w:rsid w:val="007E6054"/>
    <w:rsid w:val="007E6105"/>
    <w:rsid w:val="007E62AB"/>
    <w:rsid w:val="007E651A"/>
    <w:rsid w:val="007E67BA"/>
    <w:rsid w:val="007E6C9F"/>
    <w:rsid w:val="007E6D65"/>
    <w:rsid w:val="007E6D6A"/>
    <w:rsid w:val="007E6E15"/>
    <w:rsid w:val="007E7092"/>
    <w:rsid w:val="007E7183"/>
    <w:rsid w:val="007E7325"/>
    <w:rsid w:val="007E75AD"/>
    <w:rsid w:val="007E77FF"/>
    <w:rsid w:val="007E7848"/>
    <w:rsid w:val="007E7ABE"/>
    <w:rsid w:val="007E7C5E"/>
    <w:rsid w:val="007E7F9C"/>
    <w:rsid w:val="007F0064"/>
    <w:rsid w:val="007F0132"/>
    <w:rsid w:val="007F015A"/>
    <w:rsid w:val="007F07AF"/>
    <w:rsid w:val="007F0C21"/>
    <w:rsid w:val="007F0DC1"/>
    <w:rsid w:val="007F12DE"/>
    <w:rsid w:val="007F15DF"/>
    <w:rsid w:val="007F1707"/>
    <w:rsid w:val="007F19B1"/>
    <w:rsid w:val="007F1BFA"/>
    <w:rsid w:val="007F1C47"/>
    <w:rsid w:val="007F2339"/>
    <w:rsid w:val="007F2578"/>
    <w:rsid w:val="007F2EAC"/>
    <w:rsid w:val="007F2EE1"/>
    <w:rsid w:val="007F31A4"/>
    <w:rsid w:val="007F3251"/>
    <w:rsid w:val="007F3308"/>
    <w:rsid w:val="007F3379"/>
    <w:rsid w:val="007F3460"/>
    <w:rsid w:val="007F3606"/>
    <w:rsid w:val="007F379E"/>
    <w:rsid w:val="007F3C8C"/>
    <w:rsid w:val="007F41E1"/>
    <w:rsid w:val="007F41F2"/>
    <w:rsid w:val="007F4254"/>
    <w:rsid w:val="007F43C0"/>
    <w:rsid w:val="007F43EA"/>
    <w:rsid w:val="007F4479"/>
    <w:rsid w:val="007F4664"/>
    <w:rsid w:val="007F4669"/>
    <w:rsid w:val="007F46C5"/>
    <w:rsid w:val="007F488A"/>
    <w:rsid w:val="007F48AB"/>
    <w:rsid w:val="007F5157"/>
    <w:rsid w:val="007F51B1"/>
    <w:rsid w:val="007F5353"/>
    <w:rsid w:val="007F5577"/>
    <w:rsid w:val="007F599E"/>
    <w:rsid w:val="007F5DC5"/>
    <w:rsid w:val="007F5F2F"/>
    <w:rsid w:val="007F6074"/>
    <w:rsid w:val="007F607E"/>
    <w:rsid w:val="007F60C0"/>
    <w:rsid w:val="007F60EF"/>
    <w:rsid w:val="007F6161"/>
    <w:rsid w:val="007F63C7"/>
    <w:rsid w:val="007F750A"/>
    <w:rsid w:val="007F7A4C"/>
    <w:rsid w:val="007F7A53"/>
    <w:rsid w:val="007F7B00"/>
    <w:rsid w:val="00800035"/>
    <w:rsid w:val="00800071"/>
    <w:rsid w:val="00800088"/>
    <w:rsid w:val="008002BE"/>
    <w:rsid w:val="008006AA"/>
    <w:rsid w:val="008007E7"/>
    <w:rsid w:val="00800C7F"/>
    <w:rsid w:val="00800D6B"/>
    <w:rsid w:val="00801110"/>
    <w:rsid w:val="00801123"/>
    <w:rsid w:val="00801216"/>
    <w:rsid w:val="0080124E"/>
    <w:rsid w:val="00801377"/>
    <w:rsid w:val="0080178A"/>
    <w:rsid w:val="00801DCA"/>
    <w:rsid w:val="00801E3C"/>
    <w:rsid w:val="00801F01"/>
    <w:rsid w:val="00802528"/>
    <w:rsid w:val="00802839"/>
    <w:rsid w:val="00802861"/>
    <w:rsid w:val="00802969"/>
    <w:rsid w:val="00802FAC"/>
    <w:rsid w:val="008034E1"/>
    <w:rsid w:val="00803845"/>
    <w:rsid w:val="0080387D"/>
    <w:rsid w:val="00803D24"/>
    <w:rsid w:val="00803F72"/>
    <w:rsid w:val="00803FBF"/>
    <w:rsid w:val="0080415E"/>
    <w:rsid w:val="00804536"/>
    <w:rsid w:val="00804A48"/>
    <w:rsid w:val="00804DCD"/>
    <w:rsid w:val="00804F66"/>
    <w:rsid w:val="00805817"/>
    <w:rsid w:val="0080585F"/>
    <w:rsid w:val="008058FF"/>
    <w:rsid w:val="00805A54"/>
    <w:rsid w:val="00805C13"/>
    <w:rsid w:val="0080601E"/>
    <w:rsid w:val="00806097"/>
    <w:rsid w:val="00806138"/>
    <w:rsid w:val="00806171"/>
    <w:rsid w:val="008063D5"/>
    <w:rsid w:val="008064B7"/>
    <w:rsid w:val="008064FB"/>
    <w:rsid w:val="0080683E"/>
    <w:rsid w:val="008070BE"/>
    <w:rsid w:val="00807283"/>
    <w:rsid w:val="00807473"/>
    <w:rsid w:val="00807584"/>
    <w:rsid w:val="0080766E"/>
    <w:rsid w:val="00807B43"/>
    <w:rsid w:val="00807E8B"/>
    <w:rsid w:val="00807F13"/>
    <w:rsid w:val="00807F65"/>
    <w:rsid w:val="00807FCE"/>
    <w:rsid w:val="00807FD6"/>
    <w:rsid w:val="00810022"/>
    <w:rsid w:val="00810309"/>
    <w:rsid w:val="0081042E"/>
    <w:rsid w:val="00810509"/>
    <w:rsid w:val="00810547"/>
    <w:rsid w:val="00810BBC"/>
    <w:rsid w:val="00810C8D"/>
    <w:rsid w:val="00810E97"/>
    <w:rsid w:val="0081131D"/>
    <w:rsid w:val="008117C0"/>
    <w:rsid w:val="0081181C"/>
    <w:rsid w:val="0081190A"/>
    <w:rsid w:val="00811AEB"/>
    <w:rsid w:val="00811B81"/>
    <w:rsid w:val="0081251C"/>
    <w:rsid w:val="00812AD6"/>
    <w:rsid w:val="00812C8C"/>
    <w:rsid w:val="00812F9E"/>
    <w:rsid w:val="0081310C"/>
    <w:rsid w:val="008136D5"/>
    <w:rsid w:val="00813969"/>
    <w:rsid w:val="00813985"/>
    <w:rsid w:val="00813B7D"/>
    <w:rsid w:val="00814027"/>
    <w:rsid w:val="0081477F"/>
    <w:rsid w:val="00814AC2"/>
    <w:rsid w:val="00814B5E"/>
    <w:rsid w:val="00814CB4"/>
    <w:rsid w:val="00814D97"/>
    <w:rsid w:val="00814E04"/>
    <w:rsid w:val="00815410"/>
    <w:rsid w:val="00815B4A"/>
    <w:rsid w:val="00815EE6"/>
    <w:rsid w:val="00816065"/>
    <w:rsid w:val="008166E9"/>
    <w:rsid w:val="0081670A"/>
    <w:rsid w:val="0081670D"/>
    <w:rsid w:val="0081691F"/>
    <w:rsid w:val="00816934"/>
    <w:rsid w:val="008169E3"/>
    <w:rsid w:val="00816AFD"/>
    <w:rsid w:val="00816C98"/>
    <w:rsid w:val="00816FF7"/>
    <w:rsid w:val="008170C6"/>
    <w:rsid w:val="00817225"/>
    <w:rsid w:val="00817283"/>
    <w:rsid w:val="0081740D"/>
    <w:rsid w:val="00817718"/>
    <w:rsid w:val="00817A70"/>
    <w:rsid w:val="00817AE2"/>
    <w:rsid w:val="00817B29"/>
    <w:rsid w:val="00817B2B"/>
    <w:rsid w:val="00817C60"/>
    <w:rsid w:val="00817DAE"/>
    <w:rsid w:val="00817EDF"/>
    <w:rsid w:val="00817F07"/>
    <w:rsid w:val="00820389"/>
    <w:rsid w:val="0082046B"/>
    <w:rsid w:val="0082050C"/>
    <w:rsid w:val="0082051E"/>
    <w:rsid w:val="00820BE3"/>
    <w:rsid w:val="00820C47"/>
    <w:rsid w:val="00820F94"/>
    <w:rsid w:val="00821026"/>
    <w:rsid w:val="0082107A"/>
    <w:rsid w:val="008213AF"/>
    <w:rsid w:val="0082142A"/>
    <w:rsid w:val="008216E3"/>
    <w:rsid w:val="00821941"/>
    <w:rsid w:val="00821C8A"/>
    <w:rsid w:val="00822289"/>
    <w:rsid w:val="0082228E"/>
    <w:rsid w:val="0082228F"/>
    <w:rsid w:val="0082232C"/>
    <w:rsid w:val="00822651"/>
    <w:rsid w:val="00822796"/>
    <w:rsid w:val="00822A50"/>
    <w:rsid w:val="00822B50"/>
    <w:rsid w:val="00822DCF"/>
    <w:rsid w:val="00822EA1"/>
    <w:rsid w:val="00822F3A"/>
    <w:rsid w:val="008231A8"/>
    <w:rsid w:val="00823359"/>
    <w:rsid w:val="008234B0"/>
    <w:rsid w:val="0082369E"/>
    <w:rsid w:val="008239F8"/>
    <w:rsid w:val="00823A72"/>
    <w:rsid w:val="00823AAC"/>
    <w:rsid w:val="00823B4E"/>
    <w:rsid w:val="00823D8E"/>
    <w:rsid w:val="00824C48"/>
    <w:rsid w:val="00824DD8"/>
    <w:rsid w:val="00824EF8"/>
    <w:rsid w:val="00825034"/>
    <w:rsid w:val="00825041"/>
    <w:rsid w:val="0082509E"/>
    <w:rsid w:val="00825911"/>
    <w:rsid w:val="0082593B"/>
    <w:rsid w:val="00825B32"/>
    <w:rsid w:val="00825D38"/>
    <w:rsid w:val="00825E4E"/>
    <w:rsid w:val="00825FAF"/>
    <w:rsid w:val="0082600E"/>
    <w:rsid w:val="0082603F"/>
    <w:rsid w:val="008260E1"/>
    <w:rsid w:val="00826153"/>
    <w:rsid w:val="00826439"/>
    <w:rsid w:val="00826485"/>
    <w:rsid w:val="00826903"/>
    <w:rsid w:val="008269F7"/>
    <w:rsid w:val="00826A1B"/>
    <w:rsid w:val="00826EFC"/>
    <w:rsid w:val="00827007"/>
    <w:rsid w:val="00827686"/>
    <w:rsid w:val="008279EF"/>
    <w:rsid w:val="00827A61"/>
    <w:rsid w:val="00827B6C"/>
    <w:rsid w:val="00827DDC"/>
    <w:rsid w:val="00827EE7"/>
    <w:rsid w:val="00827F3D"/>
    <w:rsid w:val="008300ED"/>
    <w:rsid w:val="00830333"/>
    <w:rsid w:val="00830400"/>
    <w:rsid w:val="00830790"/>
    <w:rsid w:val="00830A60"/>
    <w:rsid w:val="00830A79"/>
    <w:rsid w:val="00830AE6"/>
    <w:rsid w:val="00830B12"/>
    <w:rsid w:val="00830DEA"/>
    <w:rsid w:val="00830E4C"/>
    <w:rsid w:val="00830F61"/>
    <w:rsid w:val="00831278"/>
    <w:rsid w:val="008312B1"/>
    <w:rsid w:val="008312FF"/>
    <w:rsid w:val="00831336"/>
    <w:rsid w:val="0083147D"/>
    <w:rsid w:val="00831A3E"/>
    <w:rsid w:val="00831BAC"/>
    <w:rsid w:val="00831C19"/>
    <w:rsid w:val="00831C94"/>
    <w:rsid w:val="00831E60"/>
    <w:rsid w:val="008321DF"/>
    <w:rsid w:val="0083244C"/>
    <w:rsid w:val="008326AF"/>
    <w:rsid w:val="00832767"/>
    <w:rsid w:val="008328F5"/>
    <w:rsid w:val="00832BFB"/>
    <w:rsid w:val="00832C32"/>
    <w:rsid w:val="00832C93"/>
    <w:rsid w:val="00833C7D"/>
    <w:rsid w:val="00833D33"/>
    <w:rsid w:val="0083427E"/>
    <w:rsid w:val="00834337"/>
    <w:rsid w:val="00834384"/>
    <w:rsid w:val="00834711"/>
    <w:rsid w:val="00834BCC"/>
    <w:rsid w:val="0083509A"/>
    <w:rsid w:val="008352CD"/>
    <w:rsid w:val="008352EA"/>
    <w:rsid w:val="008352F5"/>
    <w:rsid w:val="008353D6"/>
    <w:rsid w:val="008353DE"/>
    <w:rsid w:val="00835885"/>
    <w:rsid w:val="00835EDD"/>
    <w:rsid w:val="00836482"/>
    <w:rsid w:val="00836544"/>
    <w:rsid w:val="008365F8"/>
    <w:rsid w:val="00836712"/>
    <w:rsid w:val="00836885"/>
    <w:rsid w:val="00836B3B"/>
    <w:rsid w:val="00836C89"/>
    <w:rsid w:val="00836CF1"/>
    <w:rsid w:val="00836FBA"/>
    <w:rsid w:val="008370D6"/>
    <w:rsid w:val="008371E0"/>
    <w:rsid w:val="008371F7"/>
    <w:rsid w:val="00837539"/>
    <w:rsid w:val="00837588"/>
    <w:rsid w:val="00837762"/>
    <w:rsid w:val="00837C93"/>
    <w:rsid w:val="00837E07"/>
    <w:rsid w:val="0084030B"/>
    <w:rsid w:val="008404A3"/>
    <w:rsid w:val="008407A6"/>
    <w:rsid w:val="00840860"/>
    <w:rsid w:val="00840C87"/>
    <w:rsid w:val="00840DCD"/>
    <w:rsid w:val="00840EDF"/>
    <w:rsid w:val="00840F24"/>
    <w:rsid w:val="00841546"/>
    <w:rsid w:val="008418ED"/>
    <w:rsid w:val="00841963"/>
    <w:rsid w:val="00841BF5"/>
    <w:rsid w:val="00841C21"/>
    <w:rsid w:val="00841D3E"/>
    <w:rsid w:val="00841D7B"/>
    <w:rsid w:val="008420EF"/>
    <w:rsid w:val="0084240C"/>
    <w:rsid w:val="0084287A"/>
    <w:rsid w:val="00842B0F"/>
    <w:rsid w:val="00842D93"/>
    <w:rsid w:val="00842E89"/>
    <w:rsid w:val="0084347B"/>
    <w:rsid w:val="00843581"/>
    <w:rsid w:val="00843828"/>
    <w:rsid w:val="00843C41"/>
    <w:rsid w:val="00843E49"/>
    <w:rsid w:val="0084407E"/>
    <w:rsid w:val="008442D5"/>
    <w:rsid w:val="0084431D"/>
    <w:rsid w:val="008444CD"/>
    <w:rsid w:val="00844A26"/>
    <w:rsid w:val="00844BAB"/>
    <w:rsid w:val="00844E9B"/>
    <w:rsid w:val="0084514B"/>
    <w:rsid w:val="0084520B"/>
    <w:rsid w:val="0084533C"/>
    <w:rsid w:val="008459B6"/>
    <w:rsid w:val="00845A44"/>
    <w:rsid w:val="00845B69"/>
    <w:rsid w:val="00845BFF"/>
    <w:rsid w:val="00845F3D"/>
    <w:rsid w:val="008460F9"/>
    <w:rsid w:val="008462BE"/>
    <w:rsid w:val="00846964"/>
    <w:rsid w:val="0084696E"/>
    <w:rsid w:val="00846AEF"/>
    <w:rsid w:val="00846D79"/>
    <w:rsid w:val="00846EE0"/>
    <w:rsid w:val="00847051"/>
    <w:rsid w:val="008470C6"/>
    <w:rsid w:val="00847131"/>
    <w:rsid w:val="0084721D"/>
    <w:rsid w:val="008473DD"/>
    <w:rsid w:val="00847428"/>
    <w:rsid w:val="008476E8"/>
    <w:rsid w:val="00847887"/>
    <w:rsid w:val="00847A72"/>
    <w:rsid w:val="00847B48"/>
    <w:rsid w:val="00847BA3"/>
    <w:rsid w:val="00847BD4"/>
    <w:rsid w:val="00850126"/>
    <w:rsid w:val="0085021D"/>
    <w:rsid w:val="00850305"/>
    <w:rsid w:val="00850A39"/>
    <w:rsid w:val="00850CB4"/>
    <w:rsid w:val="00850D70"/>
    <w:rsid w:val="00850F94"/>
    <w:rsid w:val="008512FA"/>
    <w:rsid w:val="00851306"/>
    <w:rsid w:val="008515CE"/>
    <w:rsid w:val="008515E3"/>
    <w:rsid w:val="008520EA"/>
    <w:rsid w:val="00852141"/>
    <w:rsid w:val="00852292"/>
    <w:rsid w:val="0085247E"/>
    <w:rsid w:val="00852577"/>
    <w:rsid w:val="00852793"/>
    <w:rsid w:val="00852AAA"/>
    <w:rsid w:val="00852F3D"/>
    <w:rsid w:val="008533F1"/>
    <w:rsid w:val="0085395B"/>
    <w:rsid w:val="00853EA9"/>
    <w:rsid w:val="00854408"/>
    <w:rsid w:val="008544E5"/>
    <w:rsid w:val="0085476A"/>
    <w:rsid w:val="00854CFF"/>
    <w:rsid w:val="00854D31"/>
    <w:rsid w:val="00854DD7"/>
    <w:rsid w:val="00854E54"/>
    <w:rsid w:val="0085512C"/>
    <w:rsid w:val="0085519F"/>
    <w:rsid w:val="008551AF"/>
    <w:rsid w:val="00855D42"/>
    <w:rsid w:val="008560A0"/>
    <w:rsid w:val="00856610"/>
    <w:rsid w:val="008566BA"/>
    <w:rsid w:val="00856824"/>
    <w:rsid w:val="00856ABA"/>
    <w:rsid w:val="00856C15"/>
    <w:rsid w:val="00857076"/>
    <w:rsid w:val="008572A8"/>
    <w:rsid w:val="008572B0"/>
    <w:rsid w:val="008573B0"/>
    <w:rsid w:val="008573C8"/>
    <w:rsid w:val="008574A6"/>
    <w:rsid w:val="00857BAA"/>
    <w:rsid w:val="00857C29"/>
    <w:rsid w:val="00857C83"/>
    <w:rsid w:val="00857CCB"/>
    <w:rsid w:val="00857EFD"/>
    <w:rsid w:val="00857FA7"/>
    <w:rsid w:val="00860064"/>
    <w:rsid w:val="0086008A"/>
    <w:rsid w:val="0086016F"/>
    <w:rsid w:val="008601F2"/>
    <w:rsid w:val="008605F1"/>
    <w:rsid w:val="00860798"/>
    <w:rsid w:val="00860FCF"/>
    <w:rsid w:val="008611A6"/>
    <w:rsid w:val="00861392"/>
    <w:rsid w:val="00861394"/>
    <w:rsid w:val="00861536"/>
    <w:rsid w:val="00861815"/>
    <w:rsid w:val="00861929"/>
    <w:rsid w:val="00861A4C"/>
    <w:rsid w:val="00861EF9"/>
    <w:rsid w:val="00862054"/>
    <w:rsid w:val="0086205B"/>
    <w:rsid w:val="008620D7"/>
    <w:rsid w:val="0086239E"/>
    <w:rsid w:val="00862407"/>
    <w:rsid w:val="0086269C"/>
    <w:rsid w:val="00862F5D"/>
    <w:rsid w:val="00863005"/>
    <w:rsid w:val="008630C5"/>
    <w:rsid w:val="00863280"/>
    <w:rsid w:val="008632C8"/>
    <w:rsid w:val="00863372"/>
    <w:rsid w:val="008637BE"/>
    <w:rsid w:val="008638D8"/>
    <w:rsid w:val="00863A62"/>
    <w:rsid w:val="00863CCB"/>
    <w:rsid w:val="0086400A"/>
    <w:rsid w:val="008648D1"/>
    <w:rsid w:val="00864953"/>
    <w:rsid w:val="00864A38"/>
    <w:rsid w:val="00864B15"/>
    <w:rsid w:val="00864F1D"/>
    <w:rsid w:val="008650ED"/>
    <w:rsid w:val="00865220"/>
    <w:rsid w:val="00865748"/>
    <w:rsid w:val="0086592B"/>
    <w:rsid w:val="00865AB0"/>
    <w:rsid w:val="00865C52"/>
    <w:rsid w:val="00865F29"/>
    <w:rsid w:val="0086671F"/>
    <w:rsid w:val="0086673B"/>
    <w:rsid w:val="0086693B"/>
    <w:rsid w:val="00866A77"/>
    <w:rsid w:val="00866B47"/>
    <w:rsid w:val="00866DF4"/>
    <w:rsid w:val="008670AE"/>
    <w:rsid w:val="0086721B"/>
    <w:rsid w:val="008673F3"/>
    <w:rsid w:val="008674CD"/>
    <w:rsid w:val="0086757D"/>
    <w:rsid w:val="008676B1"/>
    <w:rsid w:val="0086770B"/>
    <w:rsid w:val="00867A5D"/>
    <w:rsid w:val="00867DC9"/>
    <w:rsid w:val="00867EA8"/>
    <w:rsid w:val="0087080F"/>
    <w:rsid w:val="008709A7"/>
    <w:rsid w:val="00870B9D"/>
    <w:rsid w:val="00870D72"/>
    <w:rsid w:val="008711B0"/>
    <w:rsid w:val="0087126A"/>
    <w:rsid w:val="0087144C"/>
    <w:rsid w:val="00871A23"/>
    <w:rsid w:val="00871B4E"/>
    <w:rsid w:val="00871C35"/>
    <w:rsid w:val="00871C57"/>
    <w:rsid w:val="00871D6A"/>
    <w:rsid w:val="00872453"/>
    <w:rsid w:val="0087255D"/>
    <w:rsid w:val="008725A7"/>
    <w:rsid w:val="008728AB"/>
    <w:rsid w:val="0087290F"/>
    <w:rsid w:val="008729BB"/>
    <w:rsid w:val="00872D56"/>
    <w:rsid w:val="00872ED3"/>
    <w:rsid w:val="00872FB4"/>
    <w:rsid w:val="008732D9"/>
    <w:rsid w:val="00873352"/>
    <w:rsid w:val="00873870"/>
    <w:rsid w:val="008739B4"/>
    <w:rsid w:val="00873B9D"/>
    <w:rsid w:val="00873CD9"/>
    <w:rsid w:val="00874025"/>
    <w:rsid w:val="008741D5"/>
    <w:rsid w:val="00874446"/>
    <w:rsid w:val="00874A92"/>
    <w:rsid w:val="00874AD2"/>
    <w:rsid w:val="00874DC2"/>
    <w:rsid w:val="0087513D"/>
    <w:rsid w:val="00875211"/>
    <w:rsid w:val="008752EB"/>
    <w:rsid w:val="00875516"/>
    <w:rsid w:val="00875D72"/>
    <w:rsid w:val="0087620D"/>
    <w:rsid w:val="00876443"/>
    <w:rsid w:val="00876945"/>
    <w:rsid w:val="00876ACF"/>
    <w:rsid w:val="00876B66"/>
    <w:rsid w:val="00876CAB"/>
    <w:rsid w:val="00876EA5"/>
    <w:rsid w:val="00876EF7"/>
    <w:rsid w:val="00877324"/>
    <w:rsid w:val="008775A6"/>
    <w:rsid w:val="0087785E"/>
    <w:rsid w:val="00877AA5"/>
    <w:rsid w:val="00877B21"/>
    <w:rsid w:val="00877D3E"/>
    <w:rsid w:val="008807C7"/>
    <w:rsid w:val="00880831"/>
    <w:rsid w:val="00880A3B"/>
    <w:rsid w:val="00880AEE"/>
    <w:rsid w:val="00880DC0"/>
    <w:rsid w:val="00880F2E"/>
    <w:rsid w:val="00881405"/>
    <w:rsid w:val="0088166F"/>
    <w:rsid w:val="00881871"/>
    <w:rsid w:val="008818D3"/>
    <w:rsid w:val="00881993"/>
    <w:rsid w:val="00881B0E"/>
    <w:rsid w:val="00881B25"/>
    <w:rsid w:val="00881F40"/>
    <w:rsid w:val="00882054"/>
    <w:rsid w:val="008825F6"/>
    <w:rsid w:val="008829FA"/>
    <w:rsid w:val="00882D48"/>
    <w:rsid w:val="00882EC6"/>
    <w:rsid w:val="00883094"/>
    <w:rsid w:val="00883356"/>
    <w:rsid w:val="00883663"/>
    <w:rsid w:val="00883A2E"/>
    <w:rsid w:val="00883A96"/>
    <w:rsid w:val="00883C27"/>
    <w:rsid w:val="00883E40"/>
    <w:rsid w:val="00883FA3"/>
    <w:rsid w:val="00884158"/>
    <w:rsid w:val="00884A22"/>
    <w:rsid w:val="00884D6A"/>
    <w:rsid w:val="008850B2"/>
    <w:rsid w:val="008851AE"/>
    <w:rsid w:val="00885468"/>
    <w:rsid w:val="00885631"/>
    <w:rsid w:val="008857EE"/>
    <w:rsid w:val="00885A4E"/>
    <w:rsid w:val="00885DEA"/>
    <w:rsid w:val="00885E24"/>
    <w:rsid w:val="00885F1B"/>
    <w:rsid w:val="00885F6A"/>
    <w:rsid w:val="00885FAB"/>
    <w:rsid w:val="00886076"/>
    <w:rsid w:val="008860E3"/>
    <w:rsid w:val="00886167"/>
    <w:rsid w:val="00886510"/>
    <w:rsid w:val="00886521"/>
    <w:rsid w:val="008865D2"/>
    <w:rsid w:val="00886606"/>
    <w:rsid w:val="0088670D"/>
    <w:rsid w:val="00886871"/>
    <w:rsid w:val="0088696A"/>
    <w:rsid w:val="00887129"/>
    <w:rsid w:val="0088732F"/>
    <w:rsid w:val="008873C2"/>
    <w:rsid w:val="008874F6"/>
    <w:rsid w:val="0088789F"/>
    <w:rsid w:val="00887932"/>
    <w:rsid w:val="008879DF"/>
    <w:rsid w:val="00887CE6"/>
    <w:rsid w:val="00887F7D"/>
    <w:rsid w:val="00887F84"/>
    <w:rsid w:val="008903DD"/>
    <w:rsid w:val="00890562"/>
    <w:rsid w:val="00890768"/>
    <w:rsid w:val="00890B47"/>
    <w:rsid w:val="00890DFA"/>
    <w:rsid w:val="00891177"/>
    <w:rsid w:val="0089131B"/>
    <w:rsid w:val="0089134D"/>
    <w:rsid w:val="008915D9"/>
    <w:rsid w:val="00891855"/>
    <w:rsid w:val="008918AE"/>
    <w:rsid w:val="00891AFC"/>
    <w:rsid w:val="00891E50"/>
    <w:rsid w:val="008921B2"/>
    <w:rsid w:val="0089247E"/>
    <w:rsid w:val="00892732"/>
    <w:rsid w:val="00892956"/>
    <w:rsid w:val="00892B7C"/>
    <w:rsid w:val="00892BF5"/>
    <w:rsid w:val="00892D7F"/>
    <w:rsid w:val="00892FF5"/>
    <w:rsid w:val="0089323F"/>
    <w:rsid w:val="008932BC"/>
    <w:rsid w:val="008935F2"/>
    <w:rsid w:val="008939B0"/>
    <w:rsid w:val="00894092"/>
    <w:rsid w:val="0089422A"/>
    <w:rsid w:val="00894912"/>
    <w:rsid w:val="00894AE3"/>
    <w:rsid w:val="00894AEA"/>
    <w:rsid w:val="00895012"/>
    <w:rsid w:val="008954A3"/>
    <w:rsid w:val="008956A5"/>
    <w:rsid w:val="00895EBE"/>
    <w:rsid w:val="00896007"/>
    <w:rsid w:val="00896075"/>
    <w:rsid w:val="008960A9"/>
    <w:rsid w:val="00896115"/>
    <w:rsid w:val="00896402"/>
    <w:rsid w:val="008964AE"/>
    <w:rsid w:val="00896502"/>
    <w:rsid w:val="00896AA4"/>
    <w:rsid w:val="00896B36"/>
    <w:rsid w:val="00896B7E"/>
    <w:rsid w:val="00896CB4"/>
    <w:rsid w:val="00896D5E"/>
    <w:rsid w:val="00897050"/>
    <w:rsid w:val="0089706A"/>
    <w:rsid w:val="008970C3"/>
    <w:rsid w:val="008972E7"/>
    <w:rsid w:val="008975D7"/>
    <w:rsid w:val="00897654"/>
    <w:rsid w:val="00897705"/>
    <w:rsid w:val="0089774A"/>
    <w:rsid w:val="00897AD2"/>
    <w:rsid w:val="008A0006"/>
    <w:rsid w:val="008A02AF"/>
    <w:rsid w:val="008A031B"/>
    <w:rsid w:val="008A0568"/>
    <w:rsid w:val="008A0C9E"/>
    <w:rsid w:val="008A1350"/>
    <w:rsid w:val="008A1412"/>
    <w:rsid w:val="008A1537"/>
    <w:rsid w:val="008A1749"/>
    <w:rsid w:val="008A1A84"/>
    <w:rsid w:val="008A1AAE"/>
    <w:rsid w:val="008A1CC5"/>
    <w:rsid w:val="008A1DA2"/>
    <w:rsid w:val="008A1DD3"/>
    <w:rsid w:val="008A1F96"/>
    <w:rsid w:val="008A2120"/>
    <w:rsid w:val="008A2341"/>
    <w:rsid w:val="008A278D"/>
    <w:rsid w:val="008A29EB"/>
    <w:rsid w:val="008A2CE6"/>
    <w:rsid w:val="008A31EA"/>
    <w:rsid w:val="008A324C"/>
    <w:rsid w:val="008A3634"/>
    <w:rsid w:val="008A3727"/>
    <w:rsid w:val="008A3C03"/>
    <w:rsid w:val="008A3C0C"/>
    <w:rsid w:val="008A4114"/>
    <w:rsid w:val="008A46AB"/>
    <w:rsid w:val="008A4A1C"/>
    <w:rsid w:val="008A4AF0"/>
    <w:rsid w:val="008A4D23"/>
    <w:rsid w:val="008A4DC6"/>
    <w:rsid w:val="008A510D"/>
    <w:rsid w:val="008A558C"/>
    <w:rsid w:val="008A570E"/>
    <w:rsid w:val="008A5E1C"/>
    <w:rsid w:val="008A6210"/>
    <w:rsid w:val="008A635A"/>
    <w:rsid w:val="008A646A"/>
    <w:rsid w:val="008A6979"/>
    <w:rsid w:val="008A6BEC"/>
    <w:rsid w:val="008A6E10"/>
    <w:rsid w:val="008A6E73"/>
    <w:rsid w:val="008A6ED9"/>
    <w:rsid w:val="008A72AD"/>
    <w:rsid w:val="008A75E6"/>
    <w:rsid w:val="008A791A"/>
    <w:rsid w:val="008A79C5"/>
    <w:rsid w:val="008A7A9A"/>
    <w:rsid w:val="008A7D7A"/>
    <w:rsid w:val="008A7EED"/>
    <w:rsid w:val="008A7FD3"/>
    <w:rsid w:val="008B0432"/>
    <w:rsid w:val="008B068C"/>
    <w:rsid w:val="008B0746"/>
    <w:rsid w:val="008B0788"/>
    <w:rsid w:val="008B0806"/>
    <w:rsid w:val="008B0A72"/>
    <w:rsid w:val="008B0A87"/>
    <w:rsid w:val="008B0BD3"/>
    <w:rsid w:val="008B0C4D"/>
    <w:rsid w:val="008B0DF4"/>
    <w:rsid w:val="008B14B4"/>
    <w:rsid w:val="008B19A7"/>
    <w:rsid w:val="008B20B9"/>
    <w:rsid w:val="008B2111"/>
    <w:rsid w:val="008B21A9"/>
    <w:rsid w:val="008B21FC"/>
    <w:rsid w:val="008B2206"/>
    <w:rsid w:val="008B2637"/>
    <w:rsid w:val="008B284D"/>
    <w:rsid w:val="008B29E1"/>
    <w:rsid w:val="008B2FCD"/>
    <w:rsid w:val="008B31F3"/>
    <w:rsid w:val="008B32DD"/>
    <w:rsid w:val="008B3344"/>
    <w:rsid w:val="008B3AEC"/>
    <w:rsid w:val="008B3B6F"/>
    <w:rsid w:val="008B3D3A"/>
    <w:rsid w:val="008B4060"/>
    <w:rsid w:val="008B4A48"/>
    <w:rsid w:val="008B4EB7"/>
    <w:rsid w:val="008B4FB6"/>
    <w:rsid w:val="008B505F"/>
    <w:rsid w:val="008B5080"/>
    <w:rsid w:val="008B556E"/>
    <w:rsid w:val="008B5704"/>
    <w:rsid w:val="008B5A9A"/>
    <w:rsid w:val="008B5C4E"/>
    <w:rsid w:val="008B6066"/>
    <w:rsid w:val="008B60D0"/>
    <w:rsid w:val="008B66EA"/>
    <w:rsid w:val="008B6A44"/>
    <w:rsid w:val="008B6AC9"/>
    <w:rsid w:val="008B6DDE"/>
    <w:rsid w:val="008B6F92"/>
    <w:rsid w:val="008B6FED"/>
    <w:rsid w:val="008B70FD"/>
    <w:rsid w:val="008B7152"/>
    <w:rsid w:val="008B753E"/>
    <w:rsid w:val="008B7882"/>
    <w:rsid w:val="008B7B04"/>
    <w:rsid w:val="008B7C8B"/>
    <w:rsid w:val="008C0175"/>
    <w:rsid w:val="008C019C"/>
    <w:rsid w:val="008C02BC"/>
    <w:rsid w:val="008C03E3"/>
    <w:rsid w:val="008C0421"/>
    <w:rsid w:val="008C065C"/>
    <w:rsid w:val="008C09A1"/>
    <w:rsid w:val="008C0A01"/>
    <w:rsid w:val="008C0B2F"/>
    <w:rsid w:val="008C0C0F"/>
    <w:rsid w:val="008C0D1B"/>
    <w:rsid w:val="008C0DAA"/>
    <w:rsid w:val="008C0F58"/>
    <w:rsid w:val="008C0FDC"/>
    <w:rsid w:val="008C1292"/>
    <w:rsid w:val="008C12DF"/>
    <w:rsid w:val="008C169E"/>
    <w:rsid w:val="008C18EE"/>
    <w:rsid w:val="008C19FD"/>
    <w:rsid w:val="008C1D47"/>
    <w:rsid w:val="008C207F"/>
    <w:rsid w:val="008C21E6"/>
    <w:rsid w:val="008C222C"/>
    <w:rsid w:val="008C234C"/>
    <w:rsid w:val="008C27B3"/>
    <w:rsid w:val="008C28D7"/>
    <w:rsid w:val="008C28EE"/>
    <w:rsid w:val="008C2907"/>
    <w:rsid w:val="008C2930"/>
    <w:rsid w:val="008C2C7A"/>
    <w:rsid w:val="008C2CAF"/>
    <w:rsid w:val="008C3053"/>
    <w:rsid w:val="008C3226"/>
    <w:rsid w:val="008C332A"/>
    <w:rsid w:val="008C33FE"/>
    <w:rsid w:val="008C3468"/>
    <w:rsid w:val="008C3661"/>
    <w:rsid w:val="008C3697"/>
    <w:rsid w:val="008C3718"/>
    <w:rsid w:val="008C3E43"/>
    <w:rsid w:val="008C3F35"/>
    <w:rsid w:val="008C4037"/>
    <w:rsid w:val="008C41DC"/>
    <w:rsid w:val="008C4712"/>
    <w:rsid w:val="008C481E"/>
    <w:rsid w:val="008C48D1"/>
    <w:rsid w:val="008C4C42"/>
    <w:rsid w:val="008C4E91"/>
    <w:rsid w:val="008C4ED5"/>
    <w:rsid w:val="008C4FA6"/>
    <w:rsid w:val="008C52AB"/>
    <w:rsid w:val="008C52C9"/>
    <w:rsid w:val="008C573F"/>
    <w:rsid w:val="008C5C22"/>
    <w:rsid w:val="008C5E8D"/>
    <w:rsid w:val="008C5EC3"/>
    <w:rsid w:val="008C5EE6"/>
    <w:rsid w:val="008C5EEC"/>
    <w:rsid w:val="008C6074"/>
    <w:rsid w:val="008C61C7"/>
    <w:rsid w:val="008C61E3"/>
    <w:rsid w:val="008C6221"/>
    <w:rsid w:val="008C6557"/>
    <w:rsid w:val="008C65B7"/>
    <w:rsid w:val="008C68B1"/>
    <w:rsid w:val="008C6F99"/>
    <w:rsid w:val="008C7212"/>
    <w:rsid w:val="008C7360"/>
    <w:rsid w:val="008C7729"/>
    <w:rsid w:val="008C785B"/>
    <w:rsid w:val="008C7976"/>
    <w:rsid w:val="008C79BB"/>
    <w:rsid w:val="008C7DB3"/>
    <w:rsid w:val="008D033E"/>
    <w:rsid w:val="008D069E"/>
    <w:rsid w:val="008D070D"/>
    <w:rsid w:val="008D081E"/>
    <w:rsid w:val="008D0901"/>
    <w:rsid w:val="008D0B4D"/>
    <w:rsid w:val="008D0C2B"/>
    <w:rsid w:val="008D0CCB"/>
    <w:rsid w:val="008D0F90"/>
    <w:rsid w:val="008D12D1"/>
    <w:rsid w:val="008D139D"/>
    <w:rsid w:val="008D15D2"/>
    <w:rsid w:val="008D198D"/>
    <w:rsid w:val="008D19F9"/>
    <w:rsid w:val="008D1BD9"/>
    <w:rsid w:val="008D1F24"/>
    <w:rsid w:val="008D2024"/>
    <w:rsid w:val="008D2495"/>
    <w:rsid w:val="008D2599"/>
    <w:rsid w:val="008D25C1"/>
    <w:rsid w:val="008D267B"/>
    <w:rsid w:val="008D284E"/>
    <w:rsid w:val="008D28E7"/>
    <w:rsid w:val="008D2C71"/>
    <w:rsid w:val="008D2ED2"/>
    <w:rsid w:val="008D36DC"/>
    <w:rsid w:val="008D36F1"/>
    <w:rsid w:val="008D370E"/>
    <w:rsid w:val="008D3831"/>
    <w:rsid w:val="008D3844"/>
    <w:rsid w:val="008D39DE"/>
    <w:rsid w:val="008D3FE7"/>
    <w:rsid w:val="008D4004"/>
    <w:rsid w:val="008D434E"/>
    <w:rsid w:val="008D46A1"/>
    <w:rsid w:val="008D46AA"/>
    <w:rsid w:val="008D4B58"/>
    <w:rsid w:val="008D4D51"/>
    <w:rsid w:val="008D5286"/>
    <w:rsid w:val="008D532D"/>
    <w:rsid w:val="008D5647"/>
    <w:rsid w:val="008D5A0C"/>
    <w:rsid w:val="008D5B17"/>
    <w:rsid w:val="008D5EC3"/>
    <w:rsid w:val="008D60DA"/>
    <w:rsid w:val="008D620B"/>
    <w:rsid w:val="008D62EB"/>
    <w:rsid w:val="008D6ED6"/>
    <w:rsid w:val="008D6F77"/>
    <w:rsid w:val="008D71EE"/>
    <w:rsid w:val="008D78B5"/>
    <w:rsid w:val="008D799B"/>
    <w:rsid w:val="008D7D92"/>
    <w:rsid w:val="008D7FAB"/>
    <w:rsid w:val="008D7FD7"/>
    <w:rsid w:val="008E01DD"/>
    <w:rsid w:val="008E04FA"/>
    <w:rsid w:val="008E0CF7"/>
    <w:rsid w:val="008E0EB7"/>
    <w:rsid w:val="008E1393"/>
    <w:rsid w:val="008E1493"/>
    <w:rsid w:val="008E15D1"/>
    <w:rsid w:val="008E171C"/>
    <w:rsid w:val="008E17EE"/>
    <w:rsid w:val="008E180C"/>
    <w:rsid w:val="008E18C9"/>
    <w:rsid w:val="008E197D"/>
    <w:rsid w:val="008E1A63"/>
    <w:rsid w:val="008E1B79"/>
    <w:rsid w:val="008E1BF9"/>
    <w:rsid w:val="008E1C89"/>
    <w:rsid w:val="008E1DB5"/>
    <w:rsid w:val="008E226D"/>
    <w:rsid w:val="008E25CC"/>
    <w:rsid w:val="008E282D"/>
    <w:rsid w:val="008E2954"/>
    <w:rsid w:val="008E298A"/>
    <w:rsid w:val="008E2C0E"/>
    <w:rsid w:val="008E2C33"/>
    <w:rsid w:val="008E2C50"/>
    <w:rsid w:val="008E2C85"/>
    <w:rsid w:val="008E2CD3"/>
    <w:rsid w:val="008E2EF6"/>
    <w:rsid w:val="008E2FB4"/>
    <w:rsid w:val="008E3489"/>
    <w:rsid w:val="008E35D6"/>
    <w:rsid w:val="008E368A"/>
    <w:rsid w:val="008E3717"/>
    <w:rsid w:val="008E3A7E"/>
    <w:rsid w:val="008E3F44"/>
    <w:rsid w:val="008E4422"/>
    <w:rsid w:val="008E459C"/>
    <w:rsid w:val="008E46D7"/>
    <w:rsid w:val="008E47A0"/>
    <w:rsid w:val="008E48D0"/>
    <w:rsid w:val="008E4A03"/>
    <w:rsid w:val="008E4BE7"/>
    <w:rsid w:val="008E4DED"/>
    <w:rsid w:val="008E50CA"/>
    <w:rsid w:val="008E51E9"/>
    <w:rsid w:val="008E5393"/>
    <w:rsid w:val="008E5443"/>
    <w:rsid w:val="008E55A0"/>
    <w:rsid w:val="008E562D"/>
    <w:rsid w:val="008E5799"/>
    <w:rsid w:val="008E5A84"/>
    <w:rsid w:val="008E5B10"/>
    <w:rsid w:val="008E6162"/>
    <w:rsid w:val="008E673D"/>
    <w:rsid w:val="008E67D9"/>
    <w:rsid w:val="008E67E6"/>
    <w:rsid w:val="008E7145"/>
    <w:rsid w:val="008E7151"/>
    <w:rsid w:val="008E7622"/>
    <w:rsid w:val="008E768A"/>
    <w:rsid w:val="008E7C1A"/>
    <w:rsid w:val="008E7F9D"/>
    <w:rsid w:val="008F03A4"/>
    <w:rsid w:val="008F03C8"/>
    <w:rsid w:val="008F062C"/>
    <w:rsid w:val="008F0642"/>
    <w:rsid w:val="008F08A7"/>
    <w:rsid w:val="008F0A4D"/>
    <w:rsid w:val="008F0C27"/>
    <w:rsid w:val="008F0FBF"/>
    <w:rsid w:val="008F0FC7"/>
    <w:rsid w:val="008F1080"/>
    <w:rsid w:val="008F1210"/>
    <w:rsid w:val="008F127A"/>
    <w:rsid w:val="008F16D1"/>
    <w:rsid w:val="008F1CEB"/>
    <w:rsid w:val="008F20E2"/>
    <w:rsid w:val="008F2256"/>
    <w:rsid w:val="008F22EC"/>
    <w:rsid w:val="008F243C"/>
    <w:rsid w:val="008F2EC9"/>
    <w:rsid w:val="008F2F0D"/>
    <w:rsid w:val="008F31CD"/>
    <w:rsid w:val="008F3586"/>
    <w:rsid w:val="008F3639"/>
    <w:rsid w:val="008F377C"/>
    <w:rsid w:val="008F389A"/>
    <w:rsid w:val="008F38B7"/>
    <w:rsid w:val="008F3A87"/>
    <w:rsid w:val="008F3CC9"/>
    <w:rsid w:val="008F3D14"/>
    <w:rsid w:val="008F4191"/>
    <w:rsid w:val="008F43FC"/>
    <w:rsid w:val="008F45D1"/>
    <w:rsid w:val="008F4AD2"/>
    <w:rsid w:val="008F4BB2"/>
    <w:rsid w:val="008F4C2B"/>
    <w:rsid w:val="008F4C42"/>
    <w:rsid w:val="008F4DBC"/>
    <w:rsid w:val="008F5084"/>
    <w:rsid w:val="008F5097"/>
    <w:rsid w:val="008F50AD"/>
    <w:rsid w:val="008F5995"/>
    <w:rsid w:val="008F5998"/>
    <w:rsid w:val="008F5E6B"/>
    <w:rsid w:val="008F61DF"/>
    <w:rsid w:val="008F6286"/>
    <w:rsid w:val="008F6555"/>
    <w:rsid w:val="008F677A"/>
    <w:rsid w:val="008F6A35"/>
    <w:rsid w:val="008F6DC4"/>
    <w:rsid w:val="008F6E30"/>
    <w:rsid w:val="008F71AA"/>
    <w:rsid w:val="008F7580"/>
    <w:rsid w:val="008F778F"/>
    <w:rsid w:val="008F7C0B"/>
    <w:rsid w:val="00900107"/>
    <w:rsid w:val="00900269"/>
    <w:rsid w:val="009004DA"/>
    <w:rsid w:val="009009AA"/>
    <w:rsid w:val="00900A5B"/>
    <w:rsid w:val="00900D00"/>
    <w:rsid w:val="009013DD"/>
    <w:rsid w:val="00901547"/>
    <w:rsid w:val="009015AE"/>
    <w:rsid w:val="0090178F"/>
    <w:rsid w:val="00901AC9"/>
    <w:rsid w:val="00901BAE"/>
    <w:rsid w:val="00901D3A"/>
    <w:rsid w:val="00902063"/>
    <w:rsid w:val="00902247"/>
    <w:rsid w:val="0090227B"/>
    <w:rsid w:val="00902355"/>
    <w:rsid w:val="0090287C"/>
    <w:rsid w:val="00902A84"/>
    <w:rsid w:val="00902F4A"/>
    <w:rsid w:val="009035DD"/>
    <w:rsid w:val="009035F8"/>
    <w:rsid w:val="009038C5"/>
    <w:rsid w:val="0090392B"/>
    <w:rsid w:val="00903C5A"/>
    <w:rsid w:val="00904099"/>
    <w:rsid w:val="00904134"/>
    <w:rsid w:val="00904245"/>
    <w:rsid w:val="00904298"/>
    <w:rsid w:val="009048DB"/>
    <w:rsid w:val="00904BA2"/>
    <w:rsid w:val="00904BDE"/>
    <w:rsid w:val="0090525E"/>
    <w:rsid w:val="00905419"/>
    <w:rsid w:val="00905967"/>
    <w:rsid w:val="00905BB1"/>
    <w:rsid w:val="00905DF0"/>
    <w:rsid w:val="00905F64"/>
    <w:rsid w:val="0090608A"/>
    <w:rsid w:val="009065AA"/>
    <w:rsid w:val="00906D3C"/>
    <w:rsid w:val="00906D97"/>
    <w:rsid w:val="00906E5C"/>
    <w:rsid w:val="00907235"/>
    <w:rsid w:val="009075DD"/>
    <w:rsid w:val="009076AF"/>
    <w:rsid w:val="00907780"/>
    <w:rsid w:val="009077D2"/>
    <w:rsid w:val="009079BF"/>
    <w:rsid w:val="009079DE"/>
    <w:rsid w:val="00907A2D"/>
    <w:rsid w:val="009100CB"/>
    <w:rsid w:val="0091025D"/>
    <w:rsid w:val="009103E3"/>
    <w:rsid w:val="00910439"/>
    <w:rsid w:val="00910681"/>
    <w:rsid w:val="00910706"/>
    <w:rsid w:val="0091097E"/>
    <w:rsid w:val="00910D19"/>
    <w:rsid w:val="00910D76"/>
    <w:rsid w:val="00910EDB"/>
    <w:rsid w:val="0091107F"/>
    <w:rsid w:val="009110DF"/>
    <w:rsid w:val="0091122E"/>
    <w:rsid w:val="00911234"/>
    <w:rsid w:val="00911546"/>
    <w:rsid w:val="009116D1"/>
    <w:rsid w:val="00911A27"/>
    <w:rsid w:val="00911A97"/>
    <w:rsid w:val="00911C70"/>
    <w:rsid w:val="009122CF"/>
    <w:rsid w:val="00912406"/>
    <w:rsid w:val="009125D5"/>
    <w:rsid w:val="00912894"/>
    <w:rsid w:val="00912987"/>
    <w:rsid w:val="00912C53"/>
    <w:rsid w:val="00912CB9"/>
    <w:rsid w:val="00913539"/>
    <w:rsid w:val="00913550"/>
    <w:rsid w:val="00913735"/>
    <w:rsid w:val="00913888"/>
    <w:rsid w:val="00913B78"/>
    <w:rsid w:val="00913C13"/>
    <w:rsid w:val="00913D3A"/>
    <w:rsid w:val="00913EE8"/>
    <w:rsid w:val="009140A5"/>
    <w:rsid w:val="009140F1"/>
    <w:rsid w:val="00914924"/>
    <w:rsid w:val="00914932"/>
    <w:rsid w:val="009149F7"/>
    <w:rsid w:val="00914B68"/>
    <w:rsid w:val="00914C6B"/>
    <w:rsid w:val="00914EA6"/>
    <w:rsid w:val="00915286"/>
    <w:rsid w:val="00915319"/>
    <w:rsid w:val="009155A7"/>
    <w:rsid w:val="0091566C"/>
    <w:rsid w:val="00915824"/>
    <w:rsid w:val="009159CD"/>
    <w:rsid w:val="00915B2E"/>
    <w:rsid w:val="00915C12"/>
    <w:rsid w:val="00915D2E"/>
    <w:rsid w:val="00915ED7"/>
    <w:rsid w:val="00915F5B"/>
    <w:rsid w:val="0091628F"/>
    <w:rsid w:val="00916503"/>
    <w:rsid w:val="00916735"/>
    <w:rsid w:val="009167C4"/>
    <w:rsid w:val="00916C6B"/>
    <w:rsid w:val="00916E5A"/>
    <w:rsid w:val="00916E6D"/>
    <w:rsid w:val="00917214"/>
    <w:rsid w:val="0091765D"/>
    <w:rsid w:val="009179A3"/>
    <w:rsid w:val="00917B32"/>
    <w:rsid w:val="00920208"/>
    <w:rsid w:val="00920584"/>
    <w:rsid w:val="0092090F"/>
    <w:rsid w:val="00920A96"/>
    <w:rsid w:val="00920BD3"/>
    <w:rsid w:val="00920C4B"/>
    <w:rsid w:val="00920CC1"/>
    <w:rsid w:val="00921004"/>
    <w:rsid w:val="009216CB"/>
    <w:rsid w:val="00921CC6"/>
    <w:rsid w:val="009224D2"/>
    <w:rsid w:val="009224E2"/>
    <w:rsid w:val="009224F6"/>
    <w:rsid w:val="00922853"/>
    <w:rsid w:val="0092296A"/>
    <w:rsid w:val="00922CC1"/>
    <w:rsid w:val="00922CD5"/>
    <w:rsid w:val="009230FA"/>
    <w:rsid w:val="00923358"/>
    <w:rsid w:val="0092379B"/>
    <w:rsid w:val="009237C4"/>
    <w:rsid w:val="00923808"/>
    <w:rsid w:val="009238C0"/>
    <w:rsid w:val="00923EF7"/>
    <w:rsid w:val="009240BB"/>
    <w:rsid w:val="0092416A"/>
    <w:rsid w:val="0092440A"/>
    <w:rsid w:val="009245DE"/>
    <w:rsid w:val="0092470C"/>
    <w:rsid w:val="009248DB"/>
    <w:rsid w:val="009249D1"/>
    <w:rsid w:val="00924C96"/>
    <w:rsid w:val="00924E71"/>
    <w:rsid w:val="00924EDA"/>
    <w:rsid w:val="00924FD2"/>
    <w:rsid w:val="0092502D"/>
    <w:rsid w:val="00925081"/>
    <w:rsid w:val="009251FA"/>
    <w:rsid w:val="009252D1"/>
    <w:rsid w:val="009257D5"/>
    <w:rsid w:val="00925927"/>
    <w:rsid w:val="00925A25"/>
    <w:rsid w:val="00925F0F"/>
    <w:rsid w:val="00925FBB"/>
    <w:rsid w:val="00926375"/>
    <w:rsid w:val="00926509"/>
    <w:rsid w:val="00926B80"/>
    <w:rsid w:val="00926E33"/>
    <w:rsid w:val="00926F78"/>
    <w:rsid w:val="00927043"/>
    <w:rsid w:val="00927067"/>
    <w:rsid w:val="0092737B"/>
    <w:rsid w:val="009274C3"/>
    <w:rsid w:val="009274F0"/>
    <w:rsid w:val="00927853"/>
    <w:rsid w:val="00927E93"/>
    <w:rsid w:val="0093005E"/>
    <w:rsid w:val="009302D3"/>
    <w:rsid w:val="0093030F"/>
    <w:rsid w:val="00930380"/>
    <w:rsid w:val="009304AF"/>
    <w:rsid w:val="009308EF"/>
    <w:rsid w:val="00930EE1"/>
    <w:rsid w:val="00931079"/>
    <w:rsid w:val="009310BD"/>
    <w:rsid w:val="009311B4"/>
    <w:rsid w:val="009312E9"/>
    <w:rsid w:val="009313CB"/>
    <w:rsid w:val="009314E3"/>
    <w:rsid w:val="00931869"/>
    <w:rsid w:val="0093188D"/>
    <w:rsid w:val="00931918"/>
    <w:rsid w:val="0093191E"/>
    <w:rsid w:val="00931985"/>
    <w:rsid w:val="00931AA3"/>
    <w:rsid w:val="00931C51"/>
    <w:rsid w:val="00931DB9"/>
    <w:rsid w:val="00931F73"/>
    <w:rsid w:val="009320CD"/>
    <w:rsid w:val="0093291C"/>
    <w:rsid w:val="00932DDB"/>
    <w:rsid w:val="00933399"/>
    <w:rsid w:val="009334B5"/>
    <w:rsid w:val="00933726"/>
    <w:rsid w:val="0093396B"/>
    <w:rsid w:val="00934793"/>
    <w:rsid w:val="0093483A"/>
    <w:rsid w:val="009349BC"/>
    <w:rsid w:val="00934CD5"/>
    <w:rsid w:val="0093508E"/>
    <w:rsid w:val="00935294"/>
    <w:rsid w:val="009354C9"/>
    <w:rsid w:val="009355E8"/>
    <w:rsid w:val="009356D6"/>
    <w:rsid w:val="00935836"/>
    <w:rsid w:val="00935973"/>
    <w:rsid w:val="00935BEA"/>
    <w:rsid w:val="00935D12"/>
    <w:rsid w:val="00935DAF"/>
    <w:rsid w:val="00935EB9"/>
    <w:rsid w:val="00936137"/>
    <w:rsid w:val="009362F2"/>
    <w:rsid w:val="009367CF"/>
    <w:rsid w:val="009367DC"/>
    <w:rsid w:val="00936A7E"/>
    <w:rsid w:val="00936ABC"/>
    <w:rsid w:val="00936C39"/>
    <w:rsid w:val="00936CA2"/>
    <w:rsid w:val="00936E6C"/>
    <w:rsid w:val="00937FF5"/>
    <w:rsid w:val="0094004C"/>
    <w:rsid w:val="00940195"/>
    <w:rsid w:val="0094062B"/>
    <w:rsid w:val="00940B39"/>
    <w:rsid w:val="00940D05"/>
    <w:rsid w:val="00940F52"/>
    <w:rsid w:val="0094103F"/>
    <w:rsid w:val="00941261"/>
    <w:rsid w:val="0094126E"/>
    <w:rsid w:val="009412C7"/>
    <w:rsid w:val="00941322"/>
    <w:rsid w:val="009416B0"/>
    <w:rsid w:val="0094184E"/>
    <w:rsid w:val="00941B89"/>
    <w:rsid w:val="00941D46"/>
    <w:rsid w:val="00941E78"/>
    <w:rsid w:val="00941FE9"/>
    <w:rsid w:val="00942073"/>
    <w:rsid w:val="00942243"/>
    <w:rsid w:val="0094256D"/>
    <w:rsid w:val="009425AF"/>
    <w:rsid w:val="009425BA"/>
    <w:rsid w:val="009431C1"/>
    <w:rsid w:val="009431DC"/>
    <w:rsid w:val="009433C3"/>
    <w:rsid w:val="009434EB"/>
    <w:rsid w:val="009438A1"/>
    <w:rsid w:val="0094399D"/>
    <w:rsid w:val="00943D5D"/>
    <w:rsid w:val="00943FB1"/>
    <w:rsid w:val="00944942"/>
    <w:rsid w:val="009449ED"/>
    <w:rsid w:val="00944DC2"/>
    <w:rsid w:val="00944EC3"/>
    <w:rsid w:val="00944EE7"/>
    <w:rsid w:val="00944FF7"/>
    <w:rsid w:val="00945232"/>
    <w:rsid w:val="009452C6"/>
    <w:rsid w:val="00945863"/>
    <w:rsid w:val="00945971"/>
    <w:rsid w:val="00945A18"/>
    <w:rsid w:val="00945ABF"/>
    <w:rsid w:val="00945AFE"/>
    <w:rsid w:val="00945BC5"/>
    <w:rsid w:val="00945D14"/>
    <w:rsid w:val="00946034"/>
    <w:rsid w:val="009460F7"/>
    <w:rsid w:val="009461FB"/>
    <w:rsid w:val="0094639D"/>
    <w:rsid w:val="00946563"/>
    <w:rsid w:val="00947307"/>
    <w:rsid w:val="009476A3"/>
    <w:rsid w:val="009476C9"/>
    <w:rsid w:val="00947736"/>
    <w:rsid w:val="00947981"/>
    <w:rsid w:val="00947AC7"/>
    <w:rsid w:val="00947B72"/>
    <w:rsid w:val="00950040"/>
    <w:rsid w:val="00950761"/>
    <w:rsid w:val="0095120B"/>
    <w:rsid w:val="0095126E"/>
    <w:rsid w:val="00951423"/>
    <w:rsid w:val="00951459"/>
    <w:rsid w:val="009514A8"/>
    <w:rsid w:val="009514D0"/>
    <w:rsid w:val="009517FE"/>
    <w:rsid w:val="00951840"/>
    <w:rsid w:val="0095188E"/>
    <w:rsid w:val="00951FCA"/>
    <w:rsid w:val="0095238D"/>
    <w:rsid w:val="009524C9"/>
    <w:rsid w:val="00952A85"/>
    <w:rsid w:val="00952AD6"/>
    <w:rsid w:val="00952CC3"/>
    <w:rsid w:val="00952EB4"/>
    <w:rsid w:val="009534B1"/>
    <w:rsid w:val="00953A53"/>
    <w:rsid w:val="00953D0D"/>
    <w:rsid w:val="00953D36"/>
    <w:rsid w:val="00954222"/>
    <w:rsid w:val="009545A9"/>
    <w:rsid w:val="00954965"/>
    <w:rsid w:val="00954B58"/>
    <w:rsid w:val="00954BD1"/>
    <w:rsid w:val="00954BD5"/>
    <w:rsid w:val="00954E48"/>
    <w:rsid w:val="00954E79"/>
    <w:rsid w:val="00954F32"/>
    <w:rsid w:val="00954F61"/>
    <w:rsid w:val="00955252"/>
    <w:rsid w:val="00955980"/>
    <w:rsid w:val="00955D58"/>
    <w:rsid w:val="00955D87"/>
    <w:rsid w:val="00955EB6"/>
    <w:rsid w:val="0095640A"/>
    <w:rsid w:val="0095654A"/>
    <w:rsid w:val="009565A2"/>
    <w:rsid w:val="00956653"/>
    <w:rsid w:val="00956B1C"/>
    <w:rsid w:val="00956BBD"/>
    <w:rsid w:val="00956CFD"/>
    <w:rsid w:val="0095726F"/>
    <w:rsid w:val="0095754D"/>
    <w:rsid w:val="0095764E"/>
    <w:rsid w:val="009578A0"/>
    <w:rsid w:val="00957B25"/>
    <w:rsid w:val="00957DF7"/>
    <w:rsid w:val="00957E85"/>
    <w:rsid w:val="00960695"/>
    <w:rsid w:val="009606B1"/>
    <w:rsid w:val="00960746"/>
    <w:rsid w:val="00960975"/>
    <w:rsid w:val="00960A80"/>
    <w:rsid w:val="0096108C"/>
    <w:rsid w:val="00961131"/>
    <w:rsid w:val="009615DA"/>
    <w:rsid w:val="00961C6B"/>
    <w:rsid w:val="00961F63"/>
    <w:rsid w:val="00961FD9"/>
    <w:rsid w:val="00962164"/>
    <w:rsid w:val="00962E3E"/>
    <w:rsid w:val="0096301A"/>
    <w:rsid w:val="009631E0"/>
    <w:rsid w:val="009633DD"/>
    <w:rsid w:val="009639CD"/>
    <w:rsid w:val="009639CF"/>
    <w:rsid w:val="009639D5"/>
    <w:rsid w:val="00963C8B"/>
    <w:rsid w:val="00963F17"/>
    <w:rsid w:val="00964424"/>
    <w:rsid w:val="0096448B"/>
    <w:rsid w:val="0096453A"/>
    <w:rsid w:val="009647F3"/>
    <w:rsid w:val="00964963"/>
    <w:rsid w:val="00964991"/>
    <w:rsid w:val="00964A96"/>
    <w:rsid w:val="00964C29"/>
    <w:rsid w:val="00964DEC"/>
    <w:rsid w:val="00964F1C"/>
    <w:rsid w:val="00965078"/>
    <w:rsid w:val="0096536E"/>
    <w:rsid w:val="00965492"/>
    <w:rsid w:val="00965764"/>
    <w:rsid w:val="00965787"/>
    <w:rsid w:val="009657DA"/>
    <w:rsid w:val="009658AD"/>
    <w:rsid w:val="00965A88"/>
    <w:rsid w:val="00965E6E"/>
    <w:rsid w:val="009663A2"/>
    <w:rsid w:val="009665EC"/>
    <w:rsid w:val="00966690"/>
    <w:rsid w:val="00966741"/>
    <w:rsid w:val="00966A92"/>
    <w:rsid w:val="00966AD6"/>
    <w:rsid w:val="00966B7F"/>
    <w:rsid w:val="00966D41"/>
    <w:rsid w:val="00966DA6"/>
    <w:rsid w:val="00966DA8"/>
    <w:rsid w:val="00966ED3"/>
    <w:rsid w:val="00966FF8"/>
    <w:rsid w:val="0096713B"/>
    <w:rsid w:val="009671F9"/>
    <w:rsid w:val="0096736F"/>
    <w:rsid w:val="009677C0"/>
    <w:rsid w:val="009677C8"/>
    <w:rsid w:val="009677C9"/>
    <w:rsid w:val="009677F4"/>
    <w:rsid w:val="009678CE"/>
    <w:rsid w:val="00967DBA"/>
    <w:rsid w:val="009701A2"/>
    <w:rsid w:val="009701BE"/>
    <w:rsid w:val="00970551"/>
    <w:rsid w:val="00970777"/>
    <w:rsid w:val="00970897"/>
    <w:rsid w:val="00970D01"/>
    <w:rsid w:val="00970DDE"/>
    <w:rsid w:val="00970F2F"/>
    <w:rsid w:val="009713A0"/>
    <w:rsid w:val="009713BF"/>
    <w:rsid w:val="009714D4"/>
    <w:rsid w:val="00971964"/>
    <w:rsid w:val="00971CA1"/>
    <w:rsid w:val="00971FFB"/>
    <w:rsid w:val="0097211C"/>
    <w:rsid w:val="0097217B"/>
    <w:rsid w:val="009723D5"/>
    <w:rsid w:val="00972582"/>
    <w:rsid w:val="00972663"/>
    <w:rsid w:val="00972874"/>
    <w:rsid w:val="00972C77"/>
    <w:rsid w:val="00972FC1"/>
    <w:rsid w:val="009730E0"/>
    <w:rsid w:val="0097324B"/>
    <w:rsid w:val="00973717"/>
    <w:rsid w:val="00973C08"/>
    <w:rsid w:val="00973CC2"/>
    <w:rsid w:val="00973D40"/>
    <w:rsid w:val="00973ECB"/>
    <w:rsid w:val="00973FDA"/>
    <w:rsid w:val="00974238"/>
    <w:rsid w:val="0097428C"/>
    <w:rsid w:val="009742ED"/>
    <w:rsid w:val="0097437C"/>
    <w:rsid w:val="009744B1"/>
    <w:rsid w:val="009746CB"/>
    <w:rsid w:val="009746ED"/>
    <w:rsid w:val="00974A34"/>
    <w:rsid w:val="00974A4F"/>
    <w:rsid w:val="00974AAC"/>
    <w:rsid w:val="00974C4D"/>
    <w:rsid w:val="00974D57"/>
    <w:rsid w:val="00974F5E"/>
    <w:rsid w:val="00974FA8"/>
    <w:rsid w:val="0097524F"/>
    <w:rsid w:val="00975306"/>
    <w:rsid w:val="0097538C"/>
    <w:rsid w:val="0097559B"/>
    <w:rsid w:val="00975628"/>
    <w:rsid w:val="00975EE4"/>
    <w:rsid w:val="00975F91"/>
    <w:rsid w:val="0097684B"/>
    <w:rsid w:val="00976898"/>
    <w:rsid w:val="00976961"/>
    <w:rsid w:val="00976B0C"/>
    <w:rsid w:val="00976E9A"/>
    <w:rsid w:val="00976FBD"/>
    <w:rsid w:val="00977015"/>
    <w:rsid w:val="00977832"/>
    <w:rsid w:val="00977B6E"/>
    <w:rsid w:val="00977C4F"/>
    <w:rsid w:val="00977DCD"/>
    <w:rsid w:val="00977E80"/>
    <w:rsid w:val="0098034E"/>
    <w:rsid w:val="00980622"/>
    <w:rsid w:val="00980C65"/>
    <w:rsid w:val="00980C87"/>
    <w:rsid w:val="00980D28"/>
    <w:rsid w:val="00980D52"/>
    <w:rsid w:val="00980D95"/>
    <w:rsid w:val="00980F50"/>
    <w:rsid w:val="00981115"/>
    <w:rsid w:val="00981C25"/>
    <w:rsid w:val="00981DA8"/>
    <w:rsid w:val="00981FC0"/>
    <w:rsid w:val="00982031"/>
    <w:rsid w:val="0098218C"/>
    <w:rsid w:val="009821A5"/>
    <w:rsid w:val="009821F3"/>
    <w:rsid w:val="00982412"/>
    <w:rsid w:val="00982983"/>
    <w:rsid w:val="00982FF3"/>
    <w:rsid w:val="0098300F"/>
    <w:rsid w:val="00983035"/>
    <w:rsid w:val="00983081"/>
    <w:rsid w:val="00983303"/>
    <w:rsid w:val="0098344E"/>
    <w:rsid w:val="00983491"/>
    <w:rsid w:val="00983908"/>
    <w:rsid w:val="00983CF3"/>
    <w:rsid w:val="00983F45"/>
    <w:rsid w:val="00983FF6"/>
    <w:rsid w:val="00984091"/>
    <w:rsid w:val="0098418F"/>
    <w:rsid w:val="009842CA"/>
    <w:rsid w:val="00984539"/>
    <w:rsid w:val="00984C93"/>
    <w:rsid w:val="00984EDF"/>
    <w:rsid w:val="00984EFE"/>
    <w:rsid w:val="0098525C"/>
    <w:rsid w:val="0098556E"/>
    <w:rsid w:val="00985D0F"/>
    <w:rsid w:val="00985D82"/>
    <w:rsid w:val="00985F56"/>
    <w:rsid w:val="009864C8"/>
    <w:rsid w:val="009864DA"/>
    <w:rsid w:val="0098651D"/>
    <w:rsid w:val="00986785"/>
    <w:rsid w:val="0098690C"/>
    <w:rsid w:val="00987020"/>
    <w:rsid w:val="009872E8"/>
    <w:rsid w:val="00987616"/>
    <w:rsid w:val="0098765C"/>
    <w:rsid w:val="009877C2"/>
    <w:rsid w:val="00987818"/>
    <w:rsid w:val="00987C8E"/>
    <w:rsid w:val="00987E83"/>
    <w:rsid w:val="0099013F"/>
    <w:rsid w:val="00990561"/>
    <w:rsid w:val="00990CA0"/>
    <w:rsid w:val="00990D36"/>
    <w:rsid w:val="00990DBC"/>
    <w:rsid w:val="00990DFF"/>
    <w:rsid w:val="0099152F"/>
    <w:rsid w:val="009917F5"/>
    <w:rsid w:val="0099206D"/>
    <w:rsid w:val="00992299"/>
    <w:rsid w:val="00992F07"/>
    <w:rsid w:val="0099371D"/>
    <w:rsid w:val="009939E6"/>
    <w:rsid w:val="009939F3"/>
    <w:rsid w:val="00993B3B"/>
    <w:rsid w:val="00993C84"/>
    <w:rsid w:val="00993E6D"/>
    <w:rsid w:val="00993EE7"/>
    <w:rsid w:val="009941AD"/>
    <w:rsid w:val="0099432E"/>
    <w:rsid w:val="00994649"/>
    <w:rsid w:val="009946CF"/>
    <w:rsid w:val="009948E0"/>
    <w:rsid w:val="00994B96"/>
    <w:rsid w:val="00994BC7"/>
    <w:rsid w:val="00994C8B"/>
    <w:rsid w:val="00994F4C"/>
    <w:rsid w:val="0099512F"/>
    <w:rsid w:val="009952EF"/>
    <w:rsid w:val="00995449"/>
    <w:rsid w:val="0099546E"/>
    <w:rsid w:val="009956A2"/>
    <w:rsid w:val="0099571B"/>
    <w:rsid w:val="009958A3"/>
    <w:rsid w:val="00995B0B"/>
    <w:rsid w:val="00995C65"/>
    <w:rsid w:val="00995DE4"/>
    <w:rsid w:val="00995FDA"/>
    <w:rsid w:val="00996309"/>
    <w:rsid w:val="009967A7"/>
    <w:rsid w:val="009968AE"/>
    <w:rsid w:val="00996AEC"/>
    <w:rsid w:val="00996FA9"/>
    <w:rsid w:val="009971C1"/>
    <w:rsid w:val="00997339"/>
    <w:rsid w:val="00997340"/>
    <w:rsid w:val="009979A0"/>
    <w:rsid w:val="009979DC"/>
    <w:rsid w:val="00997F76"/>
    <w:rsid w:val="009A04E4"/>
    <w:rsid w:val="009A05D0"/>
    <w:rsid w:val="009A0927"/>
    <w:rsid w:val="009A0B35"/>
    <w:rsid w:val="009A0FC7"/>
    <w:rsid w:val="009A103E"/>
    <w:rsid w:val="009A11FE"/>
    <w:rsid w:val="009A12C0"/>
    <w:rsid w:val="009A1327"/>
    <w:rsid w:val="009A1575"/>
    <w:rsid w:val="009A1596"/>
    <w:rsid w:val="009A1641"/>
    <w:rsid w:val="009A1652"/>
    <w:rsid w:val="009A17E9"/>
    <w:rsid w:val="009A1837"/>
    <w:rsid w:val="009A19BD"/>
    <w:rsid w:val="009A1ADF"/>
    <w:rsid w:val="009A1BDA"/>
    <w:rsid w:val="009A1C7F"/>
    <w:rsid w:val="009A1FA1"/>
    <w:rsid w:val="009A2161"/>
    <w:rsid w:val="009A2478"/>
    <w:rsid w:val="009A2621"/>
    <w:rsid w:val="009A29CF"/>
    <w:rsid w:val="009A2B63"/>
    <w:rsid w:val="009A2BE8"/>
    <w:rsid w:val="009A2FE7"/>
    <w:rsid w:val="009A30D4"/>
    <w:rsid w:val="009A319D"/>
    <w:rsid w:val="009A34EE"/>
    <w:rsid w:val="009A365B"/>
    <w:rsid w:val="009A3A8D"/>
    <w:rsid w:val="009A3D3A"/>
    <w:rsid w:val="009A409E"/>
    <w:rsid w:val="009A425A"/>
    <w:rsid w:val="009A46E5"/>
    <w:rsid w:val="009A4779"/>
    <w:rsid w:val="009A4867"/>
    <w:rsid w:val="009A4A5A"/>
    <w:rsid w:val="009A4B06"/>
    <w:rsid w:val="009A4C26"/>
    <w:rsid w:val="009A4E7D"/>
    <w:rsid w:val="009A4EA0"/>
    <w:rsid w:val="009A56A2"/>
    <w:rsid w:val="009A5C56"/>
    <w:rsid w:val="009A5EC0"/>
    <w:rsid w:val="009A6046"/>
    <w:rsid w:val="009A658F"/>
    <w:rsid w:val="009A6662"/>
    <w:rsid w:val="009A67B9"/>
    <w:rsid w:val="009A6841"/>
    <w:rsid w:val="009A69BB"/>
    <w:rsid w:val="009A6A3A"/>
    <w:rsid w:val="009A6DAA"/>
    <w:rsid w:val="009A708C"/>
    <w:rsid w:val="009A71B0"/>
    <w:rsid w:val="009A7488"/>
    <w:rsid w:val="009A7E8E"/>
    <w:rsid w:val="009A7EE6"/>
    <w:rsid w:val="009B0156"/>
    <w:rsid w:val="009B01EB"/>
    <w:rsid w:val="009B041E"/>
    <w:rsid w:val="009B0432"/>
    <w:rsid w:val="009B0467"/>
    <w:rsid w:val="009B04B2"/>
    <w:rsid w:val="009B062A"/>
    <w:rsid w:val="009B086E"/>
    <w:rsid w:val="009B091A"/>
    <w:rsid w:val="009B0957"/>
    <w:rsid w:val="009B0991"/>
    <w:rsid w:val="009B0B98"/>
    <w:rsid w:val="009B0E4A"/>
    <w:rsid w:val="009B0EB6"/>
    <w:rsid w:val="009B0FF7"/>
    <w:rsid w:val="009B1084"/>
    <w:rsid w:val="009B12DC"/>
    <w:rsid w:val="009B157B"/>
    <w:rsid w:val="009B16EA"/>
    <w:rsid w:val="009B181D"/>
    <w:rsid w:val="009B1A38"/>
    <w:rsid w:val="009B1BA4"/>
    <w:rsid w:val="009B1DDA"/>
    <w:rsid w:val="009B1DDC"/>
    <w:rsid w:val="009B23E7"/>
    <w:rsid w:val="009B2432"/>
    <w:rsid w:val="009B24AB"/>
    <w:rsid w:val="009B255A"/>
    <w:rsid w:val="009B2563"/>
    <w:rsid w:val="009B2927"/>
    <w:rsid w:val="009B2AE5"/>
    <w:rsid w:val="009B2AFD"/>
    <w:rsid w:val="009B2F7D"/>
    <w:rsid w:val="009B31E1"/>
    <w:rsid w:val="009B33E8"/>
    <w:rsid w:val="009B389F"/>
    <w:rsid w:val="009B38FA"/>
    <w:rsid w:val="009B3906"/>
    <w:rsid w:val="009B3AB1"/>
    <w:rsid w:val="009B3CF6"/>
    <w:rsid w:val="009B3D39"/>
    <w:rsid w:val="009B3E86"/>
    <w:rsid w:val="009B40EF"/>
    <w:rsid w:val="009B426A"/>
    <w:rsid w:val="009B4457"/>
    <w:rsid w:val="009B4560"/>
    <w:rsid w:val="009B45DB"/>
    <w:rsid w:val="009B4879"/>
    <w:rsid w:val="009B4B1E"/>
    <w:rsid w:val="009B5733"/>
    <w:rsid w:val="009B5E6C"/>
    <w:rsid w:val="009B63EE"/>
    <w:rsid w:val="009B64ED"/>
    <w:rsid w:val="009B6671"/>
    <w:rsid w:val="009B66FA"/>
    <w:rsid w:val="009B691C"/>
    <w:rsid w:val="009B6A23"/>
    <w:rsid w:val="009B6C7C"/>
    <w:rsid w:val="009B6D10"/>
    <w:rsid w:val="009B6D20"/>
    <w:rsid w:val="009B6DE8"/>
    <w:rsid w:val="009B6DF7"/>
    <w:rsid w:val="009B6F9D"/>
    <w:rsid w:val="009B7435"/>
    <w:rsid w:val="009B7457"/>
    <w:rsid w:val="009B7CAF"/>
    <w:rsid w:val="009B7EFF"/>
    <w:rsid w:val="009C01CB"/>
    <w:rsid w:val="009C022B"/>
    <w:rsid w:val="009C034F"/>
    <w:rsid w:val="009C0430"/>
    <w:rsid w:val="009C0509"/>
    <w:rsid w:val="009C0536"/>
    <w:rsid w:val="009C0709"/>
    <w:rsid w:val="009C0799"/>
    <w:rsid w:val="009C0B57"/>
    <w:rsid w:val="009C0D5B"/>
    <w:rsid w:val="009C0D9B"/>
    <w:rsid w:val="009C0DC3"/>
    <w:rsid w:val="009C11D4"/>
    <w:rsid w:val="009C13B2"/>
    <w:rsid w:val="009C14D5"/>
    <w:rsid w:val="009C1657"/>
    <w:rsid w:val="009C1733"/>
    <w:rsid w:val="009C1739"/>
    <w:rsid w:val="009C18C7"/>
    <w:rsid w:val="009C1B4D"/>
    <w:rsid w:val="009C1DB8"/>
    <w:rsid w:val="009C206F"/>
    <w:rsid w:val="009C2433"/>
    <w:rsid w:val="009C2719"/>
    <w:rsid w:val="009C2F58"/>
    <w:rsid w:val="009C30D6"/>
    <w:rsid w:val="009C3307"/>
    <w:rsid w:val="009C33F9"/>
    <w:rsid w:val="009C3811"/>
    <w:rsid w:val="009C3C8A"/>
    <w:rsid w:val="009C3CAA"/>
    <w:rsid w:val="009C3FAA"/>
    <w:rsid w:val="009C3FEE"/>
    <w:rsid w:val="009C443D"/>
    <w:rsid w:val="009C45A0"/>
    <w:rsid w:val="009C4A5C"/>
    <w:rsid w:val="009C4ACB"/>
    <w:rsid w:val="009C5953"/>
    <w:rsid w:val="009C5A65"/>
    <w:rsid w:val="009C5D7A"/>
    <w:rsid w:val="009C5DCA"/>
    <w:rsid w:val="009C6289"/>
    <w:rsid w:val="009C6632"/>
    <w:rsid w:val="009C6634"/>
    <w:rsid w:val="009C678F"/>
    <w:rsid w:val="009C6896"/>
    <w:rsid w:val="009C6BB2"/>
    <w:rsid w:val="009C6D17"/>
    <w:rsid w:val="009C7164"/>
    <w:rsid w:val="009C751D"/>
    <w:rsid w:val="009C7751"/>
    <w:rsid w:val="009C7FE5"/>
    <w:rsid w:val="009D0078"/>
    <w:rsid w:val="009D0244"/>
    <w:rsid w:val="009D0574"/>
    <w:rsid w:val="009D068E"/>
    <w:rsid w:val="009D089B"/>
    <w:rsid w:val="009D0A24"/>
    <w:rsid w:val="009D0BDF"/>
    <w:rsid w:val="009D0C5F"/>
    <w:rsid w:val="009D0C8E"/>
    <w:rsid w:val="009D0EBB"/>
    <w:rsid w:val="009D12E0"/>
    <w:rsid w:val="009D130A"/>
    <w:rsid w:val="009D165A"/>
    <w:rsid w:val="009D1717"/>
    <w:rsid w:val="009D1826"/>
    <w:rsid w:val="009D1BAD"/>
    <w:rsid w:val="009D20FE"/>
    <w:rsid w:val="009D2232"/>
    <w:rsid w:val="009D22C3"/>
    <w:rsid w:val="009D2769"/>
    <w:rsid w:val="009D2B74"/>
    <w:rsid w:val="009D2CA8"/>
    <w:rsid w:val="009D3257"/>
    <w:rsid w:val="009D33BC"/>
    <w:rsid w:val="009D34A3"/>
    <w:rsid w:val="009D35F8"/>
    <w:rsid w:val="009D3667"/>
    <w:rsid w:val="009D3799"/>
    <w:rsid w:val="009D3BAC"/>
    <w:rsid w:val="009D3F55"/>
    <w:rsid w:val="009D420F"/>
    <w:rsid w:val="009D4223"/>
    <w:rsid w:val="009D4793"/>
    <w:rsid w:val="009D4CDA"/>
    <w:rsid w:val="009D4E29"/>
    <w:rsid w:val="009D4E8E"/>
    <w:rsid w:val="009D4EAF"/>
    <w:rsid w:val="009D4F83"/>
    <w:rsid w:val="009D4FD1"/>
    <w:rsid w:val="009D4FE2"/>
    <w:rsid w:val="009D50C3"/>
    <w:rsid w:val="009D52F5"/>
    <w:rsid w:val="009D533C"/>
    <w:rsid w:val="009D5400"/>
    <w:rsid w:val="009D5810"/>
    <w:rsid w:val="009D5828"/>
    <w:rsid w:val="009D59BF"/>
    <w:rsid w:val="009D59D6"/>
    <w:rsid w:val="009D5D1D"/>
    <w:rsid w:val="009D5E13"/>
    <w:rsid w:val="009D5ED6"/>
    <w:rsid w:val="009D61E3"/>
    <w:rsid w:val="009D64DE"/>
    <w:rsid w:val="009D6B52"/>
    <w:rsid w:val="009D6D9A"/>
    <w:rsid w:val="009D6DB9"/>
    <w:rsid w:val="009D701F"/>
    <w:rsid w:val="009D72A8"/>
    <w:rsid w:val="009D7CB9"/>
    <w:rsid w:val="009D7ECA"/>
    <w:rsid w:val="009E011E"/>
    <w:rsid w:val="009E040C"/>
    <w:rsid w:val="009E088A"/>
    <w:rsid w:val="009E0BDD"/>
    <w:rsid w:val="009E0D07"/>
    <w:rsid w:val="009E1157"/>
    <w:rsid w:val="009E130F"/>
    <w:rsid w:val="009E1491"/>
    <w:rsid w:val="009E14F1"/>
    <w:rsid w:val="009E1734"/>
    <w:rsid w:val="009E1A60"/>
    <w:rsid w:val="009E1AE3"/>
    <w:rsid w:val="009E1B63"/>
    <w:rsid w:val="009E1D71"/>
    <w:rsid w:val="009E1E7B"/>
    <w:rsid w:val="009E2388"/>
    <w:rsid w:val="009E289C"/>
    <w:rsid w:val="009E2A7C"/>
    <w:rsid w:val="009E2DB9"/>
    <w:rsid w:val="009E378D"/>
    <w:rsid w:val="009E3858"/>
    <w:rsid w:val="009E38F6"/>
    <w:rsid w:val="009E394E"/>
    <w:rsid w:val="009E3B6B"/>
    <w:rsid w:val="009E4019"/>
    <w:rsid w:val="009E415B"/>
    <w:rsid w:val="009E4197"/>
    <w:rsid w:val="009E427B"/>
    <w:rsid w:val="009E4635"/>
    <w:rsid w:val="009E4854"/>
    <w:rsid w:val="009E4901"/>
    <w:rsid w:val="009E4BF3"/>
    <w:rsid w:val="009E4DE5"/>
    <w:rsid w:val="009E4ECF"/>
    <w:rsid w:val="009E5620"/>
    <w:rsid w:val="009E56B9"/>
    <w:rsid w:val="009E57C8"/>
    <w:rsid w:val="009E58D4"/>
    <w:rsid w:val="009E5C96"/>
    <w:rsid w:val="009E6043"/>
    <w:rsid w:val="009E612A"/>
    <w:rsid w:val="009E6192"/>
    <w:rsid w:val="009E6496"/>
    <w:rsid w:val="009E65AA"/>
    <w:rsid w:val="009E6631"/>
    <w:rsid w:val="009E692F"/>
    <w:rsid w:val="009E6A16"/>
    <w:rsid w:val="009E70BB"/>
    <w:rsid w:val="009E765E"/>
    <w:rsid w:val="009E773A"/>
    <w:rsid w:val="009E7A91"/>
    <w:rsid w:val="009E7CAA"/>
    <w:rsid w:val="009E7DFE"/>
    <w:rsid w:val="009E7E69"/>
    <w:rsid w:val="009F0103"/>
    <w:rsid w:val="009F099E"/>
    <w:rsid w:val="009F09DE"/>
    <w:rsid w:val="009F0DBD"/>
    <w:rsid w:val="009F0EA2"/>
    <w:rsid w:val="009F1221"/>
    <w:rsid w:val="009F1A6C"/>
    <w:rsid w:val="009F1F0B"/>
    <w:rsid w:val="009F237E"/>
    <w:rsid w:val="009F251B"/>
    <w:rsid w:val="009F25F4"/>
    <w:rsid w:val="009F2629"/>
    <w:rsid w:val="009F2630"/>
    <w:rsid w:val="009F2945"/>
    <w:rsid w:val="009F2AA4"/>
    <w:rsid w:val="009F2AFF"/>
    <w:rsid w:val="009F2D0C"/>
    <w:rsid w:val="009F2DC9"/>
    <w:rsid w:val="009F2E53"/>
    <w:rsid w:val="009F30DA"/>
    <w:rsid w:val="009F326C"/>
    <w:rsid w:val="009F3513"/>
    <w:rsid w:val="009F37C2"/>
    <w:rsid w:val="009F3806"/>
    <w:rsid w:val="009F3817"/>
    <w:rsid w:val="009F38E3"/>
    <w:rsid w:val="009F39F4"/>
    <w:rsid w:val="009F3A41"/>
    <w:rsid w:val="009F3DBE"/>
    <w:rsid w:val="009F4A76"/>
    <w:rsid w:val="009F4EEE"/>
    <w:rsid w:val="009F5297"/>
    <w:rsid w:val="009F548D"/>
    <w:rsid w:val="009F56CF"/>
    <w:rsid w:val="009F57C3"/>
    <w:rsid w:val="009F59D8"/>
    <w:rsid w:val="009F5EA4"/>
    <w:rsid w:val="009F600A"/>
    <w:rsid w:val="009F62AD"/>
    <w:rsid w:val="009F6470"/>
    <w:rsid w:val="009F6670"/>
    <w:rsid w:val="009F6DB5"/>
    <w:rsid w:val="009F7072"/>
    <w:rsid w:val="009F714F"/>
    <w:rsid w:val="009F7204"/>
    <w:rsid w:val="009F761B"/>
    <w:rsid w:val="009F766E"/>
    <w:rsid w:val="009F7817"/>
    <w:rsid w:val="00A00068"/>
    <w:rsid w:val="00A0067F"/>
    <w:rsid w:val="00A00898"/>
    <w:rsid w:val="00A008A1"/>
    <w:rsid w:val="00A008EA"/>
    <w:rsid w:val="00A009D8"/>
    <w:rsid w:val="00A00D4C"/>
    <w:rsid w:val="00A01076"/>
    <w:rsid w:val="00A011EC"/>
    <w:rsid w:val="00A015C2"/>
    <w:rsid w:val="00A01680"/>
    <w:rsid w:val="00A0200F"/>
    <w:rsid w:val="00A02137"/>
    <w:rsid w:val="00A022AF"/>
    <w:rsid w:val="00A022F4"/>
    <w:rsid w:val="00A02536"/>
    <w:rsid w:val="00A02612"/>
    <w:rsid w:val="00A02942"/>
    <w:rsid w:val="00A029E9"/>
    <w:rsid w:val="00A02AF6"/>
    <w:rsid w:val="00A02B80"/>
    <w:rsid w:val="00A02E97"/>
    <w:rsid w:val="00A02FD6"/>
    <w:rsid w:val="00A038E2"/>
    <w:rsid w:val="00A04098"/>
    <w:rsid w:val="00A040B8"/>
    <w:rsid w:val="00A044CE"/>
    <w:rsid w:val="00A046D2"/>
    <w:rsid w:val="00A0472A"/>
    <w:rsid w:val="00A04D6B"/>
    <w:rsid w:val="00A04F11"/>
    <w:rsid w:val="00A05170"/>
    <w:rsid w:val="00A0539E"/>
    <w:rsid w:val="00A053E4"/>
    <w:rsid w:val="00A0547B"/>
    <w:rsid w:val="00A054C2"/>
    <w:rsid w:val="00A05563"/>
    <w:rsid w:val="00A055CE"/>
    <w:rsid w:val="00A056B6"/>
    <w:rsid w:val="00A05826"/>
    <w:rsid w:val="00A05A44"/>
    <w:rsid w:val="00A05A88"/>
    <w:rsid w:val="00A05C4A"/>
    <w:rsid w:val="00A05F22"/>
    <w:rsid w:val="00A061BA"/>
    <w:rsid w:val="00A066B6"/>
    <w:rsid w:val="00A06731"/>
    <w:rsid w:val="00A06C0F"/>
    <w:rsid w:val="00A06C39"/>
    <w:rsid w:val="00A06DE6"/>
    <w:rsid w:val="00A07030"/>
    <w:rsid w:val="00A072F8"/>
    <w:rsid w:val="00A07419"/>
    <w:rsid w:val="00A07574"/>
    <w:rsid w:val="00A0769E"/>
    <w:rsid w:val="00A07740"/>
    <w:rsid w:val="00A07753"/>
    <w:rsid w:val="00A077B8"/>
    <w:rsid w:val="00A07A19"/>
    <w:rsid w:val="00A07C4A"/>
    <w:rsid w:val="00A07EB0"/>
    <w:rsid w:val="00A07F14"/>
    <w:rsid w:val="00A07FEE"/>
    <w:rsid w:val="00A1020D"/>
    <w:rsid w:val="00A1039B"/>
    <w:rsid w:val="00A106E0"/>
    <w:rsid w:val="00A1094E"/>
    <w:rsid w:val="00A10A52"/>
    <w:rsid w:val="00A10E48"/>
    <w:rsid w:val="00A10EEA"/>
    <w:rsid w:val="00A110AD"/>
    <w:rsid w:val="00A111E5"/>
    <w:rsid w:val="00A11598"/>
    <w:rsid w:val="00A11A6E"/>
    <w:rsid w:val="00A11AAD"/>
    <w:rsid w:val="00A12101"/>
    <w:rsid w:val="00A123D0"/>
    <w:rsid w:val="00A127C9"/>
    <w:rsid w:val="00A1281E"/>
    <w:rsid w:val="00A12831"/>
    <w:rsid w:val="00A12B7E"/>
    <w:rsid w:val="00A12BBE"/>
    <w:rsid w:val="00A12DD6"/>
    <w:rsid w:val="00A12E48"/>
    <w:rsid w:val="00A12E62"/>
    <w:rsid w:val="00A1323C"/>
    <w:rsid w:val="00A1339E"/>
    <w:rsid w:val="00A13516"/>
    <w:rsid w:val="00A1353B"/>
    <w:rsid w:val="00A1357B"/>
    <w:rsid w:val="00A135DA"/>
    <w:rsid w:val="00A13858"/>
    <w:rsid w:val="00A139D6"/>
    <w:rsid w:val="00A13A8D"/>
    <w:rsid w:val="00A13D8A"/>
    <w:rsid w:val="00A13FA2"/>
    <w:rsid w:val="00A14360"/>
    <w:rsid w:val="00A14380"/>
    <w:rsid w:val="00A147F2"/>
    <w:rsid w:val="00A14C06"/>
    <w:rsid w:val="00A14C92"/>
    <w:rsid w:val="00A1501F"/>
    <w:rsid w:val="00A15220"/>
    <w:rsid w:val="00A152AA"/>
    <w:rsid w:val="00A1595C"/>
    <w:rsid w:val="00A159D3"/>
    <w:rsid w:val="00A15C26"/>
    <w:rsid w:val="00A15D20"/>
    <w:rsid w:val="00A15D8B"/>
    <w:rsid w:val="00A15E38"/>
    <w:rsid w:val="00A15F3D"/>
    <w:rsid w:val="00A15F86"/>
    <w:rsid w:val="00A1695F"/>
    <w:rsid w:val="00A169A7"/>
    <w:rsid w:val="00A16BFC"/>
    <w:rsid w:val="00A16F00"/>
    <w:rsid w:val="00A1771D"/>
    <w:rsid w:val="00A1772B"/>
    <w:rsid w:val="00A17845"/>
    <w:rsid w:val="00A1786F"/>
    <w:rsid w:val="00A17A1D"/>
    <w:rsid w:val="00A17ADC"/>
    <w:rsid w:val="00A17C7A"/>
    <w:rsid w:val="00A17E0A"/>
    <w:rsid w:val="00A17FA2"/>
    <w:rsid w:val="00A2022A"/>
    <w:rsid w:val="00A2026D"/>
    <w:rsid w:val="00A20920"/>
    <w:rsid w:val="00A20A82"/>
    <w:rsid w:val="00A20D2D"/>
    <w:rsid w:val="00A20D3D"/>
    <w:rsid w:val="00A212C6"/>
    <w:rsid w:val="00A2133E"/>
    <w:rsid w:val="00A213C2"/>
    <w:rsid w:val="00A214C7"/>
    <w:rsid w:val="00A216FF"/>
    <w:rsid w:val="00A21852"/>
    <w:rsid w:val="00A218A2"/>
    <w:rsid w:val="00A21CA1"/>
    <w:rsid w:val="00A21CD3"/>
    <w:rsid w:val="00A21F89"/>
    <w:rsid w:val="00A21FC4"/>
    <w:rsid w:val="00A22350"/>
    <w:rsid w:val="00A22583"/>
    <w:rsid w:val="00A225C0"/>
    <w:rsid w:val="00A225DB"/>
    <w:rsid w:val="00A22613"/>
    <w:rsid w:val="00A22670"/>
    <w:rsid w:val="00A226D0"/>
    <w:rsid w:val="00A22747"/>
    <w:rsid w:val="00A229B1"/>
    <w:rsid w:val="00A22C2C"/>
    <w:rsid w:val="00A22C83"/>
    <w:rsid w:val="00A22CEC"/>
    <w:rsid w:val="00A22D2B"/>
    <w:rsid w:val="00A23644"/>
    <w:rsid w:val="00A23683"/>
    <w:rsid w:val="00A23A43"/>
    <w:rsid w:val="00A23AEF"/>
    <w:rsid w:val="00A23EC1"/>
    <w:rsid w:val="00A23F7C"/>
    <w:rsid w:val="00A24229"/>
    <w:rsid w:val="00A244E1"/>
    <w:rsid w:val="00A2463F"/>
    <w:rsid w:val="00A246C6"/>
    <w:rsid w:val="00A24896"/>
    <w:rsid w:val="00A24B27"/>
    <w:rsid w:val="00A24B69"/>
    <w:rsid w:val="00A24BE5"/>
    <w:rsid w:val="00A24E08"/>
    <w:rsid w:val="00A24ED3"/>
    <w:rsid w:val="00A24F4B"/>
    <w:rsid w:val="00A250A4"/>
    <w:rsid w:val="00A2568D"/>
    <w:rsid w:val="00A25702"/>
    <w:rsid w:val="00A25755"/>
    <w:rsid w:val="00A258B3"/>
    <w:rsid w:val="00A25E8C"/>
    <w:rsid w:val="00A25E9C"/>
    <w:rsid w:val="00A2613C"/>
    <w:rsid w:val="00A261C9"/>
    <w:rsid w:val="00A26297"/>
    <w:rsid w:val="00A262CE"/>
    <w:rsid w:val="00A26471"/>
    <w:rsid w:val="00A268C4"/>
    <w:rsid w:val="00A268FE"/>
    <w:rsid w:val="00A26B80"/>
    <w:rsid w:val="00A26BB7"/>
    <w:rsid w:val="00A26EA0"/>
    <w:rsid w:val="00A272A5"/>
    <w:rsid w:val="00A2739E"/>
    <w:rsid w:val="00A27582"/>
    <w:rsid w:val="00A2794E"/>
    <w:rsid w:val="00A27A99"/>
    <w:rsid w:val="00A27B0A"/>
    <w:rsid w:val="00A27BF8"/>
    <w:rsid w:val="00A27D8A"/>
    <w:rsid w:val="00A27DFC"/>
    <w:rsid w:val="00A302F6"/>
    <w:rsid w:val="00A30547"/>
    <w:rsid w:val="00A305DC"/>
    <w:rsid w:val="00A30CB7"/>
    <w:rsid w:val="00A311AF"/>
    <w:rsid w:val="00A312A3"/>
    <w:rsid w:val="00A314BA"/>
    <w:rsid w:val="00A316F2"/>
    <w:rsid w:val="00A317C2"/>
    <w:rsid w:val="00A31B00"/>
    <w:rsid w:val="00A31B56"/>
    <w:rsid w:val="00A31B6B"/>
    <w:rsid w:val="00A31BED"/>
    <w:rsid w:val="00A31CFF"/>
    <w:rsid w:val="00A31F47"/>
    <w:rsid w:val="00A32B45"/>
    <w:rsid w:val="00A32E34"/>
    <w:rsid w:val="00A330C6"/>
    <w:rsid w:val="00A330E3"/>
    <w:rsid w:val="00A33502"/>
    <w:rsid w:val="00A335CC"/>
    <w:rsid w:val="00A33958"/>
    <w:rsid w:val="00A33F8C"/>
    <w:rsid w:val="00A33FE0"/>
    <w:rsid w:val="00A342E4"/>
    <w:rsid w:val="00A34492"/>
    <w:rsid w:val="00A345CB"/>
    <w:rsid w:val="00A3475F"/>
    <w:rsid w:val="00A34E0A"/>
    <w:rsid w:val="00A352B0"/>
    <w:rsid w:val="00A353DA"/>
    <w:rsid w:val="00A35663"/>
    <w:rsid w:val="00A35874"/>
    <w:rsid w:val="00A35ACE"/>
    <w:rsid w:val="00A35B61"/>
    <w:rsid w:val="00A35DE5"/>
    <w:rsid w:val="00A35E20"/>
    <w:rsid w:val="00A364FD"/>
    <w:rsid w:val="00A366B6"/>
    <w:rsid w:val="00A367CD"/>
    <w:rsid w:val="00A369CD"/>
    <w:rsid w:val="00A36B7C"/>
    <w:rsid w:val="00A36F36"/>
    <w:rsid w:val="00A371FA"/>
    <w:rsid w:val="00A37328"/>
    <w:rsid w:val="00A3735B"/>
    <w:rsid w:val="00A375EE"/>
    <w:rsid w:val="00A37787"/>
    <w:rsid w:val="00A377EF"/>
    <w:rsid w:val="00A37993"/>
    <w:rsid w:val="00A37A0F"/>
    <w:rsid w:val="00A37BB9"/>
    <w:rsid w:val="00A37D51"/>
    <w:rsid w:val="00A37E3E"/>
    <w:rsid w:val="00A37F30"/>
    <w:rsid w:val="00A37FD0"/>
    <w:rsid w:val="00A4002B"/>
    <w:rsid w:val="00A40276"/>
    <w:rsid w:val="00A402CA"/>
    <w:rsid w:val="00A4033C"/>
    <w:rsid w:val="00A4063C"/>
    <w:rsid w:val="00A40A69"/>
    <w:rsid w:val="00A4107A"/>
    <w:rsid w:val="00A41124"/>
    <w:rsid w:val="00A412BA"/>
    <w:rsid w:val="00A41377"/>
    <w:rsid w:val="00A413CF"/>
    <w:rsid w:val="00A41602"/>
    <w:rsid w:val="00A41825"/>
    <w:rsid w:val="00A41826"/>
    <w:rsid w:val="00A41986"/>
    <w:rsid w:val="00A41A2A"/>
    <w:rsid w:val="00A41FA2"/>
    <w:rsid w:val="00A422B0"/>
    <w:rsid w:val="00A427D3"/>
    <w:rsid w:val="00A42B94"/>
    <w:rsid w:val="00A431F2"/>
    <w:rsid w:val="00A43470"/>
    <w:rsid w:val="00A4371D"/>
    <w:rsid w:val="00A4389D"/>
    <w:rsid w:val="00A43DFE"/>
    <w:rsid w:val="00A4424E"/>
    <w:rsid w:val="00A4442C"/>
    <w:rsid w:val="00A4498A"/>
    <w:rsid w:val="00A44BCA"/>
    <w:rsid w:val="00A44C4F"/>
    <w:rsid w:val="00A44CCB"/>
    <w:rsid w:val="00A4505B"/>
    <w:rsid w:val="00A454B5"/>
    <w:rsid w:val="00A4556D"/>
    <w:rsid w:val="00A45718"/>
    <w:rsid w:val="00A457F8"/>
    <w:rsid w:val="00A45AF6"/>
    <w:rsid w:val="00A45D42"/>
    <w:rsid w:val="00A45E5D"/>
    <w:rsid w:val="00A462A5"/>
    <w:rsid w:val="00A46494"/>
    <w:rsid w:val="00A466ED"/>
    <w:rsid w:val="00A479B7"/>
    <w:rsid w:val="00A47AC4"/>
    <w:rsid w:val="00A47B37"/>
    <w:rsid w:val="00A47BC8"/>
    <w:rsid w:val="00A47DD9"/>
    <w:rsid w:val="00A50011"/>
    <w:rsid w:val="00A5010E"/>
    <w:rsid w:val="00A502A0"/>
    <w:rsid w:val="00A50494"/>
    <w:rsid w:val="00A507A7"/>
    <w:rsid w:val="00A5090D"/>
    <w:rsid w:val="00A50C65"/>
    <w:rsid w:val="00A50E55"/>
    <w:rsid w:val="00A50ECF"/>
    <w:rsid w:val="00A51222"/>
    <w:rsid w:val="00A51424"/>
    <w:rsid w:val="00A5174C"/>
    <w:rsid w:val="00A5195E"/>
    <w:rsid w:val="00A51A43"/>
    <w:rsid w:val="00A51BA4"/>
    <w:rsid w:val="00A51BDC"/>
    <w:rsid w:val="00A51E6B"/>
    <w:rsid w:val="00A521F6"/>
    <w:rsid w:val="00A5231D"/>
    <w:rsid w:val="00A52587"/>
    <w:rsid w:val="00A52790"/>
    <w:rsid w:val="00A529E0"/>
    <w:rsid w:val="00A52BF4"/>
    <w:rsid w:val="00A52E73"/>
    <w:rsid w:val="00A52EA1"/>
    <w:rsid w:val="00A530A2"/>
    <w:rsid w:val="00A530F9"/>
    <w:rsid w:val="00A531DF"/>
    <w:rsid w:val="00A53330"/>
    <w:rsid w:val="00A534E9"/>
    <w:rsid w:val="00A535DB"/>
    <w:rsid w:val="00A537E8"/>
    <w:rsid w:val="00A53C8F"/>
    <w:rsid w:val="00A540D3"/>
    <w:rsid w:val="00A541E8"/>
    <w:rsid w:val="00A5488C"/>
    <w:rsid w:val="00A548C0"/>
    <w:rsid w:val="00A5498A"/>
    <w:rsid w:val="00A54ACD"/>
    <w:rsid w:val="00A54C79"/>
    <w:rsid w:val="00A54CF3"/>
    <w:rsid w:val="00A54E02"/>
    <w:rsid w:val="00A54EFC"/>
    <w:rsid w:val="00A55181"/>
    <w:rsid w:val="00A5530A"/>
    <w:rsid w:val="00A553BF"/>
    <w:rsid w:val="00A55933"/>
    <w:rsid w:val="00A55A01"/>
    <w:rsid w:val="00A55AD8"/>
    <w:rsid w:val="00A55E70"/>
    <w:rsid w:val="00A56217"/>
    <w:rsid w:val="00A56449"/>
    <w:rsid w:val="00A5688D"/>
    <w:rsid w:val="00A5698D"/>
    <w:rsid w:val="00A5745A"/>
    <w:rsid w:val="00A57684"/>
    <w:rsid w:val="00A57ADF"/>
    <w:rsid w:val="00A57BF1"/>
    <w:rsid w:val="00A57CE2"/>
    <w:rsid w:val="00A57ECD"/>
    <w:rsid w:val="00A602C6"/>
    <w:rsid w:val="00A60735"/>
    <w:rsid w:val="00A60739"/>
    <w:rsid w:val="00A607AD"/>
    <w:rsid w:val="00A609CD"/>
    <w:rsid w:val="00A60C3F"/>
    <w:rsid w:val="00A60DB8"/>
    <w:rsid w:val="00A6118D"/>
    <w:rsid w:val="00A611A1"/>
    <w:rsid w:val="00A61285"/>
    <w:rsid w:val="00A6137E"/>
    <w:rsid w:val="00A615C8"/>
    <w:rsid w:val="00A61627"/>
    <w:rsid w:val="00A617C2"/>
    <w:rsid w:val="00A61887"/>
    <w:rsid w:val="00A61C6D"/>
    <w:rsid w:val="00A61D43"/>
    <w:rsid w:val="00A61F8A"/>
    <w:rsid w:val="00A61FE0"/>
    <w:rsid w:val="00A62044"/>
    <w:rsid w:val="00A6204E"/>
    <w:rsid w:val="00A621C6"/>
    <w:rsid w:val="00A622EB"/>
    <w:rsid w:val="00A6273C"/>
    <w:rsid w:val="00A62A1E"/>
    <w:rsid w:val="00A62E6D"/>
    <w:rsid w:val="00A6348D"/>
    <w:rsid w:val="00A63593"/>
    <w:rsid w:val="00A638A6"/>
    <w:rsid w:val="00A638F6"/>
    <w:rsid w:val="00A6393F"/>
    <w:rsid w:val="00A63DEE"/>
    <w:rsid w:val="00A63EEF"/>
    <w:rsid w:val="00A63F18"/>
    <w:rsid w:val="00A63FB0"/>
    <w:rsid w:val="00A63FFB"/>
    <w:rsid w:val="00A64088"/>
    <w:rsid w:val="00A6430A"/>
    <w:rsid w:val="00A647C7"/>
    <w:rsid w:val="00A64A5D"/>
    <w:rsid w:val="00A64C41"/>
    <w:rsid w:val="00A64C66"/>
    <w:rsid w:val="00A64DD6"/>
    <w:rsid w:val="00A64DDD"/>
    <w:rsid w:val="00A64E2A"/>
    <w:rsid w:val="00A64FD0"/>
    <w:rsid w:val="00A65061"/>
    <w:rsid w:val="00A65142"/>
    <w:rsid w:val="00A65347"/>
    <w:rsid w:val="00A65556"/>
    <w:rsid w:val="00A6569F"/>
    <w:rsid w:val="00A656A8"/>
    <w:rsid w:val="00A6584E"/>
    <w:rsid w:val="00A65D07"/>
    <w:rsid w:val="00A65DD3"/>
    <w:rsid w:val="00A65E73"/>
    <w:rsid w:val="00A65F83"/>
    <w:rsid w:val="00A6601A"/>
    <w:rsid w:val="00A66769"/>
    <w:rsid w:val="00A6689A"/>
    <w:rsid w:val="00A66927"/>
    <w:rsid w:val="00A66A27"/>
    <w:rsid w:val="00A66C0E"/>
    <w:rsid w:val="00A66D43"/>
    <w:rsid w:val="00A67252"/>
    <w:rsid w:val="00A67273"/>
    <w:rsid w:val="00A67281"/>
    <w:rsid w:val="00A673B6"/>
    <w:rsid w:val="00A675B1"/>
    <w:rsid w:val="00A675DD"/>
    <w:rsid w:val="00A678C4"/>
    <w:rsid w:val="00A67B52"/>
    <w:rsid w:val="00A700D7"/>
    <w:rsid w:val="00A702EE"/>
    <w:rsid w:val="00A706F5"/>
    <w:rsid w:val="00A70728"/>
    <w:rsid w:val="00A70B44"/>
    <w:rsid w:val="00A70B45"/>
    <w:rsid w:val="00A70C87"/>
    <w:rsid w:val="00A70F75"/>
    <w:rsid w:val="00A711C5"/>
    <w:rsid w:val="00A711EB"/>
    <w:rsid w:val="00A714DE"/>
    <w:rsid w:val="00A71536"/>
    <w:rsid w:val="00A7186B"/>
    <w:rsid w:val="00A71B62"/>
    <w:rsid w:val="00A71BF4"/>
    <w:rsid w:val="00A71FD7"/>
    <w:rsid w:val="00A71FDE"/>
    <w:rsid w:val="00A7244D"/>
    <w:rsid w:val="00A72472"/>
    <w:rsid w:val="00A725ED"/>
    <w:rsid w:val="00A7282A"/>
    <w:rsid w:val="00A728E4"/>
    <w:rsid w:val="00A72981"/>
    <w:rsid w:val="00A72B64"/>
    <w:rsid w:val="00A72C99"/>
    <w:rsid w:val="00A72D58"/>
    <w:rsid w:val="00A73096"/>
    <w:rsid w:val="00A73133"/>
    <w:rsid w:val="00A73230"/>
    <w:rsid w:val="00A73392"/>
    <w:rsid w:val="00A7362A"/>
    <w:rsid w:val="00A736BE"/>
    <w:rsid w:val="00A73794"/>
    <w:rsid w:val="00A738C0"/>
    <w:rsid w:val="00A73A1A"/>
    <w:rsid w:val="00A73A4C"/>
    <w:rsid w:val="00A73F8B"/>
    <w:rsid w:val="00A7405D"/>
    <w:rsid w:val="00A74152"/>
    <w:rsid w:val="00A7435B"/>
    <w:rsid w:val="00A74524"/>
    <w:rsid w:val="00A74631"/>
    <w:rsid w:val="00A746AA"/>
    <w:rsid w:val="00A74794"/>
    <w:rsid w:val="00A74854"/>
    <w:rsid w:val="00A74D3C"/>
    <w:rsid w:val="00A750A0"/>
    <w:rsid w:val="00A750EA"/>
    <w:rsid w:val="00A751D7"/>
    <w:rsid w:val="00A752E4"/>
    <w:rsid w:val="00A753E3"/>
    <w:rsid w:val="00A75A42"/>
    <w:rsid w:val="00A760BA"/>
    <w:rsid w:val="00A764B4"/>
    <w:rsid w:val="00A765AF"/>
    <w:rsid w:val="00A76C83"/>
    <w:rsid w:val="00A76CA6"/>
    <w:rsid w:val="00A76DDF"/>
    <w:rsid w:val="00A771C4"/>
    <w:rsid w:val="00A77750"/>
    <w:rsid w:val="00A7779B"/>
    <w:rsid w:val="00A777F6"/>
    <w:rsid w:val="00A77A0A"/>
    <w:rsid w:val="00A77B4A"/>
    <w:rsid w:val="00A77C50"/>
    <w:rsid w:val="00A77C90"/>
    <w:rsid w:val="00A77FAE"/>
    <w:rsid w:val="00A800B2"/>
    <w:rsid w:val="00A8046F"/>
    <w:rsid w:val="00A80474"/>
    <w:rsid w:val="00A807F8"/>
    <w:rsid w:val="00A80A1F"/>
    <w:rsid w:val="00A80F50"/>
    <w:rsid w:val="00A8102B"/>
    <w:rsid w:val="00A814FC"/>
    <w:rsid w:val="00A8181D"/>
    <w:rsid w:val="00A818D4"/>
    <w:rsid w:val="00A81A9A"/>
    <w:rsid w:val="00A81AB9"/>
    <w:rsid w:val="00A81C92"/>
    <w:rsid w:val="00A81CC1"/>
    <w:rsid w:val="00A81CE1"/>
    <w:rsid w:val="00A81DD0"/>
    <w:rsid w:val="00A82349"/>
    <w:rsid w:val="00A82383"/>
    <w:rsid w:val="00A825F9"/>
    <w:rsid w:val="00A827F2"/>
    <w:rsid w:val="00A82854"/>
    <w:rsid w:val="00A82C85"/>
    <w:rsid w:val="00A82CA7"/>
    <w:rsid w:val="00A83069"/>
    <w:rsid w:val="00A8325F"/>
    <w:rsid w:val="00A83E3D"/>
    <w:rsid w:val="00A8411F"/>
    <w:rsid w:val="00A84122"/>
    <w:rsid w:val="00A84198"/>
    <w:rsid w:val="00A841BF"/>
    <w:rsid w:val="00A84658"/>
    <w:rsid w:val="00A8466A"/>
    <w:rsid w:val="00A84867"/>
    <w:rsid w:val="00A848AA"/>
    <w:rsid w:val="00A84A16"/>
    <w:rsid w:val="00A84A6F"/>
    <w:rsid w:val="00A84AB7"/>
    <w:rsid w:val="00A84C4F"/>
    <w:rsid w:val="00A84D45"/>
    <w:rsid w:val="00A84E67"/>
    <w:rsid w:val="00A84F4D"/>
    <w:rsid w:val="00A851B2"/>
    <w:rsid w:val="00A85251"/>
    <w:rsid w:val="00A8561A"/>
    <w:rsid w:val="00A85D1F"/>
    <w:rsid w:val="00A85DCF"/>
    <w:rsid w:val="00A85EB3"/>
    <w:rsid w:val="00A85FC2"/>
    <w:rsid w:val="00A862C0"/>
    <w:rsid w:val="00A863E9"/>
    <w:rsid w:val="00A86674"/>
    <w:rsid w:val="00A868A1"/>
    <w:rsid w:val="00A86BD4"/>
    <w:rsid w:val="00A86F1B"/>
    <w:rsid w:val="00A86F2A"/>
    <w:rsid w:val="00A8700D"/>
    <w:rsid w:val="00A8757B"/>
    <w:rsid w:val="00A87880"/>
    <w:rsid w:val="00A87B15"/>
    <w:rsid w:val="00A87DE7"/>
    <w:rsid w:val="00A87E59"/>
    <w:rsid w:val="00A9028E"/>
    <w:rsid w:val="00A90324"/>
    <w:rsid w:val="00A905C9"/>
    <w:rsid w:val="00A90A63"/>
    <w:rsid w:val="00A90A92"/>
    <w:rsid w:val="00A90B12"/>
    <w:rsid w:val="00A90BE3"/>
    <w:rsid w:val="00A90DB4"/>
    <w:rsid w:val="00A90F5A"/>
    <w:rsid w:val="00A91127"/>
    <w:rsid w:val="00A9122F"/>
    <w:rsid w:val="00A912F7"/>
    <w:rsid w:val="00A91715"/>
    <w:rsid w:val="00A91843"/>
    <w:rsid w:val="00A918E5"/>
    <w:rsid w:val="00A919F5"/>
    <w:rsid w:val="00A929A1"/>
    <w:rsid w:val="00A92A39"/>
    <w:rsid w:val="00A92B43"/>
    <w:rsid w:val="00A92FAD"/>
    <w:rsid w:val="00A930D4"/>
    <w:rsid w:val="00A930FE"/>
    <w:rsid w:val="00A93246"/>
    <w:rsid w:val="00A934CF"/>
    <w:rsid w:val="00A9355C"/>
    <w:rsid w:val="00A93682"/>
    <w:rsid w:val="00A937AA"/>
    <w:rsid w:val="00A9383D"/>
    <w:rsid w:val="00A93893"/>
    <w:rsid w:val="00A9392F"/>
    <w:rsid w:val="00A939BE"/>
    <w:rsid w:val="00A93A8F"/>
    <w:rsid w:val="00A93CB5"/>
    <w:rsid w:val="00A93E04"/>
    <w:rsid w:val="00A93F17"/>
    <w:rsid w:val="00A93F5E"/>
    <w:rsid w:val="00A9429A"/>
    <w:rsid w:val="00A94419"/>
    <w:rsid w:val="00A948E8"/>
    <w:rsid w:val="00A9493B"/>
    <w:rsid w:val="00A94CA6"/>
    <w:rsid w:val="00A955EB"/>
    <w:rsid w:val="00A956BF"/>
    <w:rsid w:val="00A9577A"/>
    <w:rsid w:val="00A95825"/>
    <w:rsid w:val="00A95904"/>
    <w:rsid w:val="00A95AEE"/>
    <w:rsid w:val="00A95EE7"/>
    <w:rsid w:val="00A95F87"/>
    <w:rsid w:val="00A95F8E"/>
    <w:rsid w:val="00A96334"/>
    <w:rsid w:val="00A96367"/>
    <w:rsid w:val="00A965D3"/>
    <w:rsid w:val="00A965D8"/>
    <w:rsid w:val="00A969ED"/>
    <w:rsid w:val="00A96C0D"/>
    <w:rsid w:val="00A96C10"/>
    <w:rsid w:val="00A96C70"/>
    <w:rsid w:val="00A96C95"/>
    <w:rsid w:val="00A975DE"/>
    <w:rsid w:val="00A9777E"/>
    <w:rsid w:val="00A978E1"/>
    <w:rsid w:val="00A97A73"/>
    <w:rsid w:val="00A97C02"/>
    <w:rsid w:val="00A97CF4"/>
    <w:rsid w:val="00A97F3F"/>
    <w:rsid w:val="00AA0287"/>
    <w:rsid w:val="00AA03CA"/>
    <w:rsid w:val="00AA03F6"/>
    <w:rsid w:val="00AA04BE"/>
    <w:rsid w:val="00AA0730"/>
    <w:rsid w:val="00AA0B00"/>
    <w:rsid w:val="00AA0DB3"/>
    <w:rsid w:val="00AA107E"/>
    <w:rsid w:val="00AA10EE"/>
    <w:rsid w:val="00AA15EE"/>
    <w:rsid w:val="00AA168A"/>
    <w:rsid w:val="00AA1780"/>
    <w:rsid w:val="00AA17BB"/>
    <w:rsid w:val="00AA1974"/>
    <w:rsid w:val="00AA19F2"/>
    <w:rsid w:val="00AA1E28"/>
    <w:rsid w:val="00AA1F42"/>
    <w:rsid w:val="00AA20D6"/>
    <w:rsid w:val="00AA2212"/>
    <w:rsid w:val="00AA27F9"/>
    <w:rsid w:val="00AA2AC7"/>
    <w:rsid w:val="00AA2B89"/>
    <w:rsid w:val="00AA2C3F"/>
    <w:rsid w:val="00AA2CF8"/>
    <w:rsid w:val="00AA2F04"/>
    <w:rsid w:val="00AA2F93"/>
    <w:rsid w:val="00AA334B"/>
    <w:rsid w:val="00AA3A67"/>
    <w:rsid w:val="00AA3B80"/>
    <w:rsid w:val="00AA3E6F"/>
    <w:rsid w:val="00AA3F88"/>
    <w:rsid w:val="00AA46BE"/>
    <w:rsid w:val="00AA4C88"/>
    <w:rsid w:val="00AA4E60"/>
    <w:rsid w:val="00AA4F91"/>
    <w:rsid w:val="00AA5036"/>
    <w:rsid w:val="00AA506E"/>
    <w:rsid w:val="00AA5158"/>
    <w:rsid w:val="00AA5199"/>
    <w:rsid w:val="00AA51E9"/>
    <w:rsid w:val="00AA527D"/>
    <w:rsid w:val="00AA5973"/>
    <w:rsid w:val="00AA59A6"/>
    <w:rsid w:val="00AA5D83"/>
    <w:rsid w:val="00AA5E6F"/>
    <w:rsid w:val="00AA5F23"/>
    <w:rsid w:val="00AA5FE0"/>
    <w:rsid w:val="00AA6810"/>
    <w:rsid w:val="00AA6937"/>
    <w:rsid w:val="00AA6AF6"/>
    <w:rsid w:val="00AA6F96"/>
    <w:rsid w:val="00AA72E8"/>
    <w:rsid w:val="00AA783E"/>
    <w:rsid w:val="00AA7A7A"/>
    <w:rsid w:val="00AA7CE9"/>
    <w:rsid w:val="00AB024A"/>
    <w:rsid w:val="00AB0389"/>
    <w:rsid w:val="00AB0831"/>
    <w:rsid w:val="00AB0CCD"/>
    <w:rsid w:val="00AB0DAB"/>
    <w:rsid w:val="00AB0EC3"/>
    <w:rsid w:val="00AB10CB"/>
    <w:rsid w:val="00AB135C"/>
    <w:rsid w:val="00AB13EB"/>
    <w:rsid w:val="00AB17B8"/>
    <w:rsid w:val="00AB199B"/>
    <w:rsid w:val="00AB1B87"/>
    <w:rsid w:val="00AB2099"/>
    <w:rsid w:val="00AB2387"/>
    <w:rsid w:val="00AB23CE"/>
    <w:rsid w:val="00AB24D2"/>
    <w:rsid w:val="00AB282B"/>
    <w:rsid w:val="00AB2DC6"/>
    <w:rsid w:val="00AB2F12"/>
    <w:rsid w:val="00AB2FCC"/>
    <w:rsid w:val="00AB318C"/>
    <w:rsid w:val="00AB3453"/>
    <w:rsid w:val="00AB346F"/>
    <w:rsid w:val="00AB37FE"/>
    <w:rsid w:val="00AB3909"/>
    <w:rsid w:val="00AB3DEC"/>
    <w:rsid w:val="00AB4305"/>
    <w:rsid w:val="00AB440E"/>
    <w:rsid w:val="00AB449E"/>
    <w:rsid w:val="00AB46C0"/>
    <w:rsid w:val="00AB4C31"/>
    <w:rsid w:val="00AB4FC2"/>
    <w:rsid w:val="00AB506F"/>
    <w:rsid w:val="00AB52D5"/>
    <w:rsid w:val="00AB5479"/>
    <w:rsid w:val="00AB54B3"/>
    <w:rsid w:val="00AB5807"/>
    <w:rsid w:val="00AB5BC9"/>
    <w:rsid w:val="00AB5C98"/>
    <w:rsid w:val="00AB613B"/>
    <w:rsid w:val="00AB614C"/>
    <w:rsid w:val="00AB63C5"/>
    <w:rsid w:val="00AB6469"/>
    <w:rsid w:val="00AB6502"/>
    <w:rsid w:val="00AB65C4"/>
    <w:rsid w:val="00AB665C"/>
    <w:rsid w:val="00AB6B5F"/>
    <w:rsid w:val="00AB6B82"/>
    <w:rsid w:val="00AB6BEC"/>
    <w:rsid w:val="00AB6F12"/>
    <w:rsid w:val="00AB705E"/>
    <w:rsid w:val="00AB70BA"/>
    <w:rsid w:val="00AB70C2"/>
    <w:rsid w:val="00AB71F2"/>
    <w:rsid w:val="00AB72A3"/>
    <w:rsid w:val="00AB762D"/>
    <w:rsid w:val="00AB78BD"/>
    <w:rsid w:val="00AB7AC1"/>
    <w:rsid w:val="00AB7C07"/>
    <w:rsid w:val="00AB7EF9"/>
    <w:rsid w:val="00AC0452"/>
    <w:rsid w:val="00AC0466"/>
    <w:rsid w:val="00AC0AA5"/>
    <w:rsid w:val="00AC0AF6"/>
    <w:rsid w:val="00AC1008"/>
    <w:rsid w:val="00AC141E"/>
    <w:rsid w:val="00AC1591"/>
    <w:rsid w:val="00AC187C"/>
    <w:rsid w:val="00AC1B8E"/>
    <w:rsid w:val="00AC1DE4"/>
    <w:rsid w:val="00AC1F35"/>
    <w:rsid w:val="00AC25AA"/>
    <w:rsid w:val="00AC2701"/>
    <w:rsid w:val="00AC28B5"/>
    <w:rsid w:val="00AC28F7"/>
    <w:rsid w:val="00AC29A0"/>
    <w:rsid w:val="00AC29FF"/>
    <w:rsid w:val="00AC2A2D"/>
    <w:rsid w:val="00AC2B88"/>
    <w:rsid w:val="00AC2BC9"/>
    <w:rsid w:val="00AC2E42"/>
    <w:rsid w:val="00AC36D7"/>
    <w:rsid w:val="00AC374E"/>
    <w:rsid w:val="00AC39D0"/>
    <w:rsid w:val="00AC3D7D"/>
    <w:rsid w:val="00AC40AF"/>
    <w:rsid w:val="00AC45D9"/>
    <w:rsid w:val="00AC48DB"/>
    <w:rsid w:val="00AC4DB4"/>
    <w:rsid w:val="00AC4E69"/>
    <w:rsid w:val="00AC4FCA"/>
    <w:rsid w:val="00AC5541"/>
    <w:rsid w:val="00AC5800"/>
    <w:rsid w:val="00AC58DC"/>
    <w:rsid w:val="00AC5A48"/>
    <w:rsid w:val="00AC5C2F"/>
    <w:rsid w:val="00AC5EF5"/>
    <w:rsid w:val="00AC6156"/>
    <w:rsid w:val="00AC6361"/>
    <w:rsid w:val="00AC6398"/>
    <w:rsid w:val="00AC69C0"/>
    <w:rsid w:val="00AC6A00"/>
    <w:rsid w:val="00AC6A3A"/>
    <w:rsid w:val="00AC6CD1"/>
    <w:rsid w:val="00AC702B"/>
    <w:rsid w:val="00AC75DB"/>
    <w:rsid w:val="00AC7AE3"/>
    <w:rsid w:val="00AD0297"/>
    <w:rsid w:val="00AD0354"/>
    <w:rsid w:val="00AD0649"/>
    <w:rsid w:val="00AD0813"/>
    <w:rsid w:val="00AD0BA0"/>
    <w:rsid w:val="00AD11BF"/>
    <w:rsid w:val="00AD1747"/>
    <w:rsid w:val="00AD175C"/>
    <w:rsid w:val="00AD19B8"/>
    <w:rsid w:val="00AD1B9D"/>
    <w:rsid w:val="00AD1C4D"/>
    <w:rsid w:val="00AD1FA7"/>
    <w:rsid w:val="00AD20BF"/>
    <w:rsid w:val="00AD234D"/>
    <w:rsid w:val="00AD25FC"/>
    <w:rsid w:val="00AD274F"/>
    <w:rsid w:val="00AD281C"/>
    <w:rsid w:val="00AD28C4"/>
    <w:rsid w:val="00AD29F8"/>
    <w:rsid w:val="00AD2D0B"/>
    <w:rsid w:val="00AD2DEF"/>
    <w:rsid w:val="00AD31E4"/>
    <w:rsid w:val="00AD36F4"/>
    <w:rsid w:val="00AD38C9"/>
    <w:rsid w:val="00AD3BE7"/>
    <w:rsid w:val="00AD3CEC"/>
    <w:rsid w:val="00AD3D5B"/>
    <w:rsid w:val="00AD3DCC"/>
    <w:rsid w:val="00AD3EF0"/>
    <w:rsid w:val="00AD40D8"/>
    <w:rsid w:val="00AD456F"/>
    <w:rsid w:val="00AD4916"/>
    <w:rsid w:val="00AD494B"/>
    <w:rsid w:val="00AD4973"/>
    <w:rsid w:val="00AD4DD5"/>
    <w:rsid w:val="00AD4FB8"/>
    <w:rsid w:val="00AD524D"/>
    <w:rsid w:val="00AD5250"/>
    <w:rsid w:val="00AD52EF"/>
    <w:rsid w:val="00AD5651"/>
    <w:rsid w:val="00AD5868"/>
    <w:rsid w:val="00AD5DA0"/>
    <w:rsid w:val="00AD5DB6"/>
    <w:rsid w:val="00AD5E29"/>
    <w:rsid w:val="00AD6003"/>
    <w:rsid w:val="00AD6111"/>
    <w:rsid w:val="00AD6253"/>
    <w:rsid w:val="00AD62DD"/>
    <w:rsid w:val="00AD63BA"/>
    <w:rsid w:val="00AD6C78"/>
    <w:rsid w:val="00AD6DB5"/>
    <w:rsid w:val="00AD6DF6"/>
    <w:rsid w:val="00AD6F0D"/>
    <w:rsid w:val="00AD70D2"/>
    <w:rsid w:val="00AD71E7"/>
    <w:rsid w:val="00AD7507"/>
    <w:rsid w:val="00AD7544"/>
    <w:rsid w:val="00AD7BAB"/>
    <w:rsid w:val="00AD7F30"/>
    <w:rsid w:val="00AE0359"/>
    <w:rsid w:val="00AE0438"/>
    <w:rsid w:val="00AE04C0"/>
    <w:rsid w:val="00AE0DE4"/>
    <w:rsid w:val="00AE1287"/>
    <w:rsid w:val="00AE15FB"/>
    <w:rsid w:val="00AE1875"/>
    <w:rsid w:val="00AE1977"/>
    <w:rsid w:val="00AE19CB"/>
    <w:rsid w:val="00AE1D43"/>
    <w:rsid w:val="00AE1FF0"/>
    <w:rsid w:val="00AE2566"/>
    <w:rsid w:val="00AE2581"/>
    <w:rsid w:val="00AE282F"/>
    <w:rsid w:val="00AE2944"/>
    <w:rsid w:val="00AE2989"/>
    <w:rsid w:val="00AE29A3"/>
    <w:rsid w:val="00AE2DE7"/>
    <w:rsid w:val="00AE2E2B"/>
    <w:rsid w:val="00AE3090"/>
    <w:rsid w:val="00AE3277"/>
    <w:rsid w:val="00AE32F7"/>
    <w:rsid w:val="00AE331A"/>
    <w:rsid w:val="00AE3762"/>
    <w:rsid w:val="00AE3FA5"/>
    <w:rsid w:val="00AE417C"/>
    <w:rsid w:val="00AE417E"/>
    <w:rsid w:val="00AE4213"/>
    <w:rsid w:val="00AE4409"/>
    <w:rsid w:val="00AE45D0"/>
    <w:rsid w:val="00AE4609"/>
    <w:rsid w:val="00AE478F"/>
    <w:rsid w:val="00AE4E63"/>
    <w:rsid w:val="00AE4ED4"/>
    <w:rsid w:val="00AE4F74"/>
    <w:rsid w:val="00AE50D5"/>
    <w:rsid w:val="00AE531B"/>
    <w:rsid w:val="00AE5398"/>
    <w:rsid w:val="00AE54EB"/>
    <w:rsid w:val="00AE5832"/>
    <w:rsid w:val="00AE5D1C"/>
    <w:rsid w:val="00AE5D27"/>
    <w:rsid w:val="00AE5DD3"/>
    <w:rsid w:val="00AE5DE9"/>
    <w:rsid w:val="00AE5F29"/>
    <w:rsid w:val="00AE5FAD"/>
    <w:rsid w:val="00AE6211"/>
    <w:rsid w:val="00AE64CA"/>
    <w:rsid w:val="00AE66B7"/>
    <w:rsid w:val="00AE6900"/>
    <w:rsid w:val="00AE6AD9"/>
    <w:rsid w:val="00AE6B80"/>
    <w:rsid w:val="00AE6BAE"/>
    <w:rsid w:val="00AE6D0A"/>
    <w:rsid w:val="00AE6E4F"/>
    <w:rsid w:val="00AE775D"/>
    <w:rsid w:val="00AE7CE6"/>
    <w:rsid w:val="00AE7D11"/>
    <w:rsid w:val="00AE7E1D"/>
    <w:rsid w:val="00AF0A0A"/>
    <w:rsid w:val="00AF0B1E"/>
    <w:rsid w:val="00AF0CB1"/>
    <w:rsid w:val="00AF0DED"/>
    <w:rsid w:val="00AF1380"/>
    <w:rsid w:val="00AF13C5"/>
    <w:rsid w:val="00AF164F"/>
    <w:rsid w:val="00AF1742"/>
    <w:rsid w:val="00AF1796"/>
    <w:rsid w:val="00AF18B7"/>
    <w:rsid w:val="00AF18EE"/>
    <w:rsid w:val="00AF1E67"/>
    <w:rsid w:val="00AF2115"/>
    <w:rsid w:val="00AF224C"/>
    <w:rsid w:val="00AF234B"/>
    <w:rsid w:val="00AF243A"/>
    <w:rsid w:val="00AF29A2"/>
    <w:rsid w:val="00AF29D7"/>
    <w:rsid w:val="00AF2E4B"/>
    <w:rsid w:val="00AF3077"/>
    <w:rsid w:val="00AF31A0"/>
    <w:rsid w:val="00AF31A2"/>
    <w:rsid w:val="00AF3365"/>
    <w:rsid w:val="00AF3379"/>
    <w:rsid w:val="00AF3642"/>
    <w:rsid w:val="00AF386E"/>
    <w:rsid w:val="00AF39CE"/>
    <w:rsid w:val="00AF3B0F"/>
    <w:rsid w:val="00AF3C7E"/>
    <w:rsid w:val="00AF3F2A"/>
    <w:rsid w:val="00AF3F91"/>
    <w:rsid w:val="00AF4292"/>
    <w:rsid w:val="00AF42E8"/>
    <w:rsid w:val="00AF459C"/>
    <w:rsid w:val="00AF47E0"/>
    <w:rsid w:val="00AF4B54"/>
    <w:rsid w:val="00AF4CC6"/>
    <w:rsid w:val="00AF4E60"/>
    <w:rsid w:val="00AF4ED6"/>
    <w:rsid w:val="00AF55F5"/>
    <w:rsid w:val="00AF5810"/>
    <w:rsid w:val="00AF5995"/>
    <w:rsid w:val="00AF5A1D"/>
    <w:rsid w:val="00AF5AD0"/>
    <w:rsid w:val="00AF5C86"/>
    <w:rsid w:val="00AF5E24"/>
    <w:rsid w:val="00AF5EC0"/>
    <w:rsid w:val="00AF5EFE"/>
    <w:rsid w:val="00AF5F42"/>
    <w:rsid w:val="00AF5F6D"/>
    <w:rsid w:val="00AF60D3"/>
    <w:rsid w:val="00AF6204"/>
    <w:rsid w:val="00AF62F1"/>
    <w:rsid w:val="00AF6303"/>
    <w:rsid w:val="00AF63D3"/>
    <w:rsid w:val="00AF646D"/>
    <w:rsid w:val="00AF672D"/>
    <w:rsid w:val="00AF6A32"/>
    <w:rsid w:val="00AF6D27"/>
    <w:rsid w:val="00AF6E89"/>
    <w:rsid w:val="00AF6F72"/>
    <w:rsid w:val="00AF6FD4"/>
    <w:rsid w:val="00AF7150"/>
    <w:rsid w:val="00AF758B"/>
    <w:rsid w:val="00AF7649"/>
    <w:rsid w:val="00AF7732"/>
    <w:rsid w:val="00AF79B6"/>
    <w:rsid w:val="00AF7D11"/>
    <w:rsid w:val="00AF7E2B"/>
    <w:rsid w:val="00AF7E5B"/>
    <w:rsid w:val="00B00453"/>
    <w:rsid w:val="00B00512"/>
    <w:rsid w:val="00B00585"/>
    <w:rsid w:val="00B00673"/>
    <w:rsid w:val="00B00696"/>
    <w:rsid w:val="00B0081F"/>
    <w:rsid w:val="00B009D4"/>
    <w:rsid w:val="00B00C0C"/>
    <w:rsid w:val="00B00DF5"/>
    <w:rsid w:val="00B00E1C"/>
    <w:rsid w:val="00B014D0"/>
    <w:rsid w:val="00B017BD"/>
    <w:rsid w:val="00B0193C"/>
    <w:rsid w:val="00B01983"/>
    <w:rsid w:val="00B01AE9"/>
    <w:rsid w:val="00B01C60"/>
    <w:rsid w:val="00B01F45"/>
    <w:rsid w:val="00B021D0"/>
    <w:rsid w:val="00B0239E"/>
    <w:rsid w:val="00B023CF"/>
    <w:rsid w:val="00B02462"/>
    <w:rsid w:val="00B02588"/>
    <w:rsid w:val="00B02596"/>
    <w:rsid w:val="00B0261A"/>
    <w:rsid w:val="00B02891"/>
    <w:rsid w:val="00B0291C"/>
    <w:rsid w:val="00B029A9"/>
    <w:rsid w:val="00B02B56"/>
    <w:rsid w:val="00B02C11"/>
    <w:rsid w:val="00B02DB9"/>
    <w:rsid w:val="00B02DDC"/>
    <w:rsid w:val="00B0327E"/>
    <w:rsid w:val="00B034EE"/>
    <w:rsid w:val="00B03538"/>
    <w:rsid w:val="00B03637"/>
    <w:rsid w:val="00B03777"/>
    <w:rsid w:val="00B038D1"/>
    <w:rsid w:val="00B03926"/>
    <w:rsid w:val="00B03961"/>
    <w:rsid w:val="00B03EC3"/>
    <w:rsid w:val="00B03F51"/>
    <w:rsid w:val="00B03FB6"/>
    <w:rsid w:val="00B042DE"/>
    <w:rsid w:val="00B046BE"/>
    <w:rsid w:val="00B04B5E"/>
    <w:rsid w:val="00B04BE4"/>
    <w:rsid w:val="00B04C5B"/>
    <w:rsid w:val="00B04E0C"/>
    <w:rsid w:val="00B0537F"/>
    <w:rsid w:val="00B05391"/>
    <w:rsid w:val="00B0546B"/>
    <w:rsid w:val="00B05C96"/>
    <w:rsid w:val="00B061CA"/>
    <w:rsid w:val="00B0623A"/>
    <w:rsid w:val="00B06D02"/>
    <w:rsid w:val="00B06DA4"/>
    <w:rsid w:val="00B07025"/>
    <w:rsid w:val="00B07036"/>
    <w:rsid w:val="00B07238"/>
    <w:rsid w:val="00B07307"/>
    <w:rsid w:val="00B07339"/>
    <w:rsid w:val="00B07459"/>
    <w:rsid w:val="00B075A1"/>
    <w:rsid w:val="00B078DD"/>
    <w:rsid w:val="00B07ABE"/>
    <w:rsid w:val="00B07E77"/>
    <w:rsid w:val="00B10659"/>
    <w:rsid w:val="00B106A3"/>
    <w:rsid w:val="00B109FA"/>
    <w:rsid w:val="00B10DE3"/>
    <w:rsid w:val="00B10E44"/>
    <w:rsid w:val="00B10F22"/>
    <w:rsid w:val="00B1124C"/>
    <w:rsid w:val="00B112B8"/>
    <w:rsid w:val="00B112EA"/>
    <w:rsid w:val="00B11667"/>
    <w:rsid w:val="00B11677"/>
    <w:rsid w:val="00B117E6"/>
    <w:rsid w:val="00B11C9C"/>
    <w:rsid w:val="00B12007"/>
    <w:rsid w:val="00B12870"/>
    <w:rsid w:val="00B12A93"/>
    <w:rsid w:val="00B13218"/>
    <w:rsid w:val="00B1345D"/>
    <w:rsid w:val="00B134EA"/>
    <w:rsid w:val="00B135C4"/>
    <w:rsid w:val="00B13620"/>
    <w:rsid w:val="00B13908"/>
    <w:rsid w:val="00B13979"/>
    <w:rsid w:val="00B13CEB"/>
    <w:rsid w:val="00B140EE"/>
    <w:rsid w:val="00B142CA"/>
    <w:rsid w:val="00B143F7"/>
    <w:rsid w:val="00B14A68"/>
    <w:rsid w:val="00B14CB3"/>
    <w:rsid w:val="00B14CD2"/>
    <w:rsid w:val="00B151F9"/>
    <w:rsid w:val="00B153E7"/>
    <w:rsid w:val="00B15415"/>
    <w:rsid w:val="00B15724"/>
    <w:rsid w:val="00B15B1D"/>
    <w:rsid w:val="00B15B28"/>
    <w:rsid w:val="00B15D8C"/>
    <w:rsid w:val="00B15E3A"/>
    <w:rsid w:val="00B16079"/>
    <w:rsid w:val="00B1608A"/>
    <w:rsid w:val="00B160B3"/>
    <w:rsid w:val="00B160DB"/>
    <w:rsid w:val="00B16135"/>
    <w:rsid w:val="00B164B4"/>
    <w:rsid w:val="00B16508"/>
    <w:rsid w:val="00B16784"/>
    <w:rsid w:val="00B167DE"/>
    <w:rsid w:val="00B168CE"/>
    <w:rsid w:val="00B16AFE"/>
    <w:rsid w:val="00B16C79"/>
    <w:rsid w:val="00B16F33"/>
    <w:rsid w:val="00B171FF"/>
    <w:rsid w:val="00B17272"/>
    <w:rsid w:val="00B177C6"/>
    <w:rsid w:val="00B179BE"/>
    <w:rsid w:val="00B17C8C"/>
    <w:rsid w:val="00B17DC7"/>
    <w:rsid w:val="00B17FD0"/>
    <w:rsid w:val="00B2000B"/>
    <w:rsid w:val="00B20104"/>
    <w:rsid w:val="00B2022C"/>
    <w:rsid w:val="00B2034B"/>
    <w:rsid w:val="00B2049F"/>
    <w:rsid w:val="00B204CE"/>
    <w:rsid w:val="00B20918"/>
    <w:rsid w:val="00B20AA3"/>
    <w:rsid w:val="00B20ACD"/>
    <w:rsid w:val="00B20B26"/>
    <w:rsid w:val="00B20C33"/>
    <w:rsid w:val="00B21353"/>
    <w:rsid w:val="00B2158C"/>
    <w:rsid w:val="00B216FC"/>
    <w:rsid w:val="00B21AF3"/>
    <w:rsid w:val="00B21B92"/>
    <w:rsid w:val="00B21F06"/>
    <w:rsid w:val="00B221B1"/>
    <w:rsid w:val="00B22414"/>
    <w:rsid w:val="00B22557"/>
    <w:rsid w:val="00B22864"/>
    <w:rsid w:val="00B22C70"/>
    <w:rsid w:val="00B22DCC"/>
    <w:rsid w:val="00B22EAC"/>
    <w:rsid w:val="00B2334A"/>
    <w:rsid w:val="00B23899"/>
    <w:rsid w:val="00B239C7"/>
    <w:rsid w:val="00B23A4F"/>
    <w:rsid w:val="00B23C5B"/>
    <w:rsid w:val="00B23F64"/>
    <w:rsid w:val="00B24020"/>
    <w:rsid w:val="00B240EC"/>
    <w:rsid w:val="00B2431A"/>
    <w:rsid w:val="00B24804"/>
    <w:rsid w:val="00B24982"/>
    <w:rsid w:val="00B24ACC"/>
    <w:rsid w:val="00B24DDA"/>
    <w:rsid w:val="00B2505C"/>
    <w:rsid w:val="00B251F5"/>
    <w:rsid w:val="00B2528B"/>
    <w:rsid w:val="00B2528D"/>
    <w:rsid w:val="00B254E4"/>
    <w:rsid w:val="00B2571A"/>
    <w:rsid w:val="00B25AF1"/>
    <w:rsid w:val="00B25C0C"/>
    <w:rsid w:val="00B25D3C"/>
    <w:rsid w:val="00B2637C"/>
    <w:rsid w:val="00B264ED"/>
    <w:rsid w:val="00B2650E"/>
    <w:rsid w:val="00B2658B"/>
    <w:rsid w:val="00B2658F"/>
    <w:rsid w:val="00B268D5"/>
    <w:rsid w:val="00B269EF"/>
    <w:rsid w:val="00B26E64"/>
    <w:rsid w:val="00B26EB8"/>
    <w:rsid w:val="00B26FFE"/>
    <w:rsid w:val="00B2706A"/>
    <w:rsid w:val="00B2713D"/>
    <w:rsid w:val="00B272AD"/>
    <w:rsid w:val="00B27895"/>
    <w:rsid w:val="00B27A5D"/>
    <w:rsid w:val="00B27B4C"/>
    <w:rsid w:val="00B27BBA"/>
    <w:rsid w:val="00B300D9"/>
    <w:rsid w:val="00B301B4"/>
    <w:rsid w:val="00B3068C"/>
    <w:rsid w:val="00B3074D"/>
    <w:rsid w:val="00B307FF"/>
    <w:rsid w:val="00B30B23"/>
    <w:rsid w:val="00B30E0E"/>
    <w:rsid w:val="00B30E4C"/>
    <w:rsid w:val="00B30ECC"/>
    <w:rsid w:val="00B30FAE"/>
    <w:rsid w:val="00B30FB1"/>
    <w:rsid w:val="00B30FE3"/>
    <w:rsid w:val="00B31263"/>
    <w:rsid w:val="00B312C7"/>
    <w:rsid w:val="00B31DBE"/>
    <w:rsid w:val="00B31E04"/>
    <w:rsid w:val="00B321A8"/>
    <w:rsid w:val="00B322D2"/>
    <w:rsid w:val="00B3237B"/>
    <w:rsid w:val="00B32474"/>
    <w:rsid w:val="00B32604"/>
    <w:rsid w:val="00B32838"/>
    <w:rsid w:val="00B3283A"/>
    <w:rsid w:val="00B32939"/>
    <w:rsid w:val="00B32C61"/>
    <w:rsid w:val="00B331FB"/>
    <w:rsid w:val="00B3333C"/>
    <w:rsid w:val="00B335EF"/>
    <w:rsid w:val="00B3389F"/>
    <w:rsid w:val="00B33B87"/>
    <w:rsid w:val="00B33BB2"/>
    <w:rsid w:val="00B33DE0"/>
    <w:rsid w:val="00B33FBB"/>
    <w:rsid w:val="00B34C72"/>
    <w:rsid w:val="00B34DE9"/>
    <w:rsid w:val="00B3506E"/>
    <w:rsid w:val="00B3548E"/>
    <w:rsid w:val="00B3580B"/>
    <w:rsid w:val="00B35927"/>
    <w:rsid w:val="00B35EE5"/>
    <w:rsid w:val="00B35F80"/>
    <w:rsid w:val="00B36308"/>
    <w:rsid w:val="00B3648F"/>
    <w:rsid w:val="00B36529"/>
    <w:rsid w:val="00B3697F"/>
    <w:rsid w:val="00B36A02"/>
    <w:rsid w:val="00B36A2D"/>
    <w:rsid w:val="00B36BBD"/>
    <w:rsid w:val="00B36BD8"/>
    <w:rsid w:val="00B36CD4"/>
    <w:rsid w:val="00B371CD"/>
    <w:rsid w:val="00B37364"/>
    <w:rsid w:val="00B3747B"/>
    <w:rsid w:val="00B37577"/>
    <w:rsid w:val="00B377A1"/>
    <w:rsid w:val="00B4040F"/>
    <w:rsid w:val="00B40462"/>
    <w:rsid w:val="00B407B6"/>
    <w:rsid w:val="00B408F1"/>
    <w:rsid w:val="00B40D2B"/>
    <w:rsid w:val="00B40F50"/>
    <w:rsid w:val="00B4120F"/>
    <w:rsid w:val="00B41261"/>
    <w:rsid w:val="00B41338"/>
    <w:rsid w:val="00B41594"/>
    <w:rsid w:val="00B4162F"/>
    <w:rsid w:val="00B418E0"/>
    <w:rsid w:val="00B41A9B"/>
    <w:rsid w:val="00B41B1E"/>
    <w:rsid w:val="00B41BEF"/>
    <w:rsid w:val="00B41DFF"/>
    <w:rsid w:val="00B42652"/>
    <w:rsid w:val="00B427CA"/>
    <w:rsid w:val="00B42864"/>
    <w:rsid w:val="00B428B1"/>
    <w:rsid w:val="00B42B37"/>
    <w:rsid w:val="00B43070"/>
    <w:rsid w:val="00B43073"/>
    <w:rsid w:val="00B431D9"/>
    <w:rsid w:val="00B4374A"/>
    <w:rsid w:val="00B43884"/>
    <w:rsid w:val="00B438F5"/>
    <w:rsid w:val="00B43D3B"/>
    <w:rsid w:val="00B43EDC"/>
    <w:rsid w:val="00B43F41"/>
    <w:rsid w:val="00B445C1"/>
    <w:rsid w:val="00B446B3"/>
    <w:rsid w:val="00B44B7F"/>
    <w:rsid w:val="00B44C1A"/>
    <w:rsid w:val="00B44C4D"/>
    <w:rsid w:val="00B4505B"/>
    <w:rsid w:val="00B45318"/>
    <w:rsid w:val="00B4553C"/>
    <w:rsid w:val="00B4582A"/>
    <w:rsid w:val="00B458F7"/>
    <w:rsid w:val="00B45F0B"/>
    <w:rsid w:val="00B45FAD"/>
    <w:rsid w:val="00B46400"/>
    <w:rsid w:val="00B468C7"/>
    <w:rsid w:val="00B46AD8"/>
    <w:rsid w:val="00B46B29"/>
    <w:rsid w:val="00B47151"/>
    <w:rsid w:val="00B478A3"/>
    <w:rsid w:val="00B479EA"/>
    <w:rsid w:val="00B47A2F"/>
    <w:rsid w:val="00B47ACC"/>
    <w:rsid w:val="00B47BCE"/>
    <w:rsid w:val="00B47C22"/>
    <w:rsid w:val="00B47DC0"/>
    <w:rsid w:val="00B503C4"/>
    <w:rsid w:val="00B50B7F"/>
    <w:rsid w:val="00B51197"/>
    <w:rsid w:val="00B5131C"/>
    <w:rsid w:val="00B51A3B"/>
    <w:rsid w:val="00B51C12"/>
    <w:rsid w:val="00B51C29"/>
    <w:rsid w:val="00B51F2A"/>
    <w:rsid w:val="00B52089"/>
    <w:rsid w:val="00B523EA"/>
    <w:rsid w:val="00B5247D"/>
    <w:rsid w:val="00B52BE1"/>
    <w:rsid w:val="00B52CA4"/>
    <w:rsid w:val="00B52D7F"/>
    <w:rsid w:val="00B52DA9"/>
    <w:rsid w:val="00B52EF9"/>
    <w:rsid w:val="00B53112"/>
    <w:rsid w:val="00B53277"/>
    <w:rsid w:val="00B53519"/>
    <w:rsid w:val="00B5354E"/>
    <w:rsid w:val="00B535EF"/>
    <w:rsid w:val="00B5383F"/>
    <w:rsid w:val="00B53976"/>
    <w:rsid w:val="00B53DA7"/>
    <w:rsid w:val="00B54035"/>
    <w:rsid w:val="00B540D5"/>
    <w:rsid w:val="00B541D0"/>
    <w:rsid w:val="00B543A8"/>
    <w:rsid w:val="00B54C4C"/>
    <w:rsid w:val="00B54D93"/>
    <w:rsid w:val="00B550E3"/>
    <w:rsid w:val="00B553D3"/>
    <w:rsid w:val="00B55542"/>
    <w:rsid w:val="00B5558A"/>
    <w:rsid w:val="00B556C3"/>
    <w:rsid w:val="00B5580C"/>
    <w:rsid w:val="00B5589C"/>
    <w:rsid w:val="00B55A56"/>
    <w:rsid w:val="00B55E6E"/>
    <w:rsid w:val="00B55F56"/>
    <w:rsid w:val="00B5645C"/>
    <w:rsid w:val="00B56598"/>
    <w:rsid w:val="00B567BB"/>
    <w:rsid w:val="00B56A9B"/>
    <w:rsid w:val="00B56DA9"/>
    <w:rsid w:val="00B56E8E"/>
    <w:rsid w:val="00B56F43"/>
    <w:rsid w:val="00B56FF8"/>
    <w:rsid w:val="00B575D5"/>
    <w:rsid w:val="00B579D0"/>
    <w:rsid w:val="00B57B24"/>
    <w:rsid w:val="00B57C66"/>
    <w:rsid w:val="00B6022F"/>
    <w:rsid w:val="00B60308"/>
    <w:rsid w:val="00B6039F"/>
    <w:rsid w:val="00B603E9"/>
    <w:rsid w:val="00B605E2"/>
    <w:rsid w:val="00B60983"/>
    <w:rsid w:val="00B60D70"/>
    <w:rsid w:val="00B60D82"/>
    <w:rsid w:val="00B60DFF"/>
    <w:rsid w:val="00B60EEE"/>
    <w:rsid w:val="00B61148"/>
    <w:rsid w:val="00B61791"/>
    <w:rsid w:val="00B61844"/>
    <w:rsid w:val="00B61883"/>
    <w:rsid w:val="00B61B66"/>
    <w:rsid w:val="00B61FBD"/>
    <w:rsid w:val="00B62A36"/>
    <w:rsid w:val="00B62E8D"/>
    <w:rsid w:val="00B632FA"/>
    <w:rsid w:val="00B63320"/>
    <w:rsid w:val="00B6342B"/>
    <w:rsid w:val="00B639CD"/>
    <w:rsid w:val="00B63DE0"/>
    <w:rsid w:val="00B63E8D"/>
    <w:rsid w:val="00B640A0"/>
    <w:rsid w:val="00B642C5"/>
    <w:rsid w:val="00B649E2"/>
    <w:rsid w:val="00B64C43"/>
    <w:rsid w:val="00B65087"/>
    <w:rsid w:val="00B6518D"/>
    <w:rsid w:val="00B6520B"/>
    <w:rsid w:val="00B65429"/>
    <w:rsid w:val="00B6579A"/>
    <w:rsid w:val="00B657F7"/>
    <w:rsid w:val="00B65E17"/>
    <w:rsid w:val="00B65F66"/>
    <w:rsid w:val="00B65FBE"/>
    <w:rsid w:val="00B660AE"/>
    <w:rsid w:val="00B6612C"/>
    <w:rsid w:val="00B66360"/>
    <w:rsid w:val="00B6655B"/>
    <w:rsid w:val="00B66B71"/>
    <w:rsid w:val="00B66C24"/>
    <w:rsid w:val="00B66DFD"/>
    <w:rsid w:val="00B66F2E"/>
    <w:rsid w:val="00B671D0"/>
    <w:rsid w:val="00B673B7"/>
    <w:rsid w:val="00B6745D"/>
    <w:rsid w:val="00B67579"/>
    <w:rsid w:val="00B675C6"/>
    <w:rsid w:val="00B67CD1"/>
    <w:rsid w:val="00B700AD"/>
    <w:rsid w:val="00B70356"/>
    <w:rsid w:val="00B706EF"/>
    <w:rsid w:val="00B70AE5"/>
    <w:rsid w:val="00B70B0D"/>
    <w:rsid w:val="00B70D44"/>
    <w:rsid w:val="00B70F48"/>
    <w:rsid w:val="00B71695"/>
    <w:rsid w:val="00B716E5"/>
    <w:rsid w:val="00B718AB"/>
    <w:rsid w:val="00B71CCD"/>
    <w:rsid w:val="00B71CD8"/>
    <w:rsid w:val="00B726CF"/>
    <w:rsid w:val="00B726E2"/>
    <w:rsid w:val="00B72C04"/>
    <w:rsid w:val="00B72D17"/>
    <w:rsid w:val="00B72D84"/>
    <w:rsid w:val="00B72E38"/>
    <w:rsid w:val="00B72E70"/>
    <w:rsid w:val="00B73010"/>
    <w:rsid w:val="00B730D9"/>
    <w:rsid w:val="00B7360D"/>
    <w:rsid w:val="00B73651"/>
    <w:rsid w:val="00B73721"/>
    <w:rsid w:val="00B73C6E"/>
    <w:rsid w:val="00B74020"/>
    <w:rsid w:val="00B741AE"/>
    <w:rsid w:val="00B744EF"/>
    <w:rsid w:val="00B745EB"/>
    <w:rsid w:val="00B7468C"/>
    <w:rsid w:val="00B74A75"/>
    <w:rsid w:val="00B74D0A"/>
    <w:rsid w:val="00B75166"/>
    <w:rsid w:val="00B75318"/>
    <w:rsid w:val="00B75413"/>
    <w:rsid w:val="00B75544"/>
    <w:rsid w:val="00B75649"/>
    <w:rsid w:val="00B75E89"/>
    <w:rsid w:val="00B75FD5"/>
    <w:rsid w:val="00B76380"/>
    <w:rsid w:val="00B7678D"/>
    <w:rsid w:val="00B76B6C"/>
    <w:rsid w:val="00B76B9D"/>
    <w:rsid w:val="00B76CBE"/>
    <w:rsid w:val="00B76CFF"/>
    <w:rsid w:val="00B77063"/>
    <w:rsid w:val="00B7717E"/>
    <w:rsid w:val="00B77190"/>
    <w:rsid w:val="00B772F3"/>
    <w:rsid w:val="00B773E2"/>
    <w:rsid w:val="00B77A7D"/>
    <w:rsid w:val="00B77D39"/>
    <w:rsid w:val="00B77ED5"/>
    <w:rsid w:val="00B77FD8"/>
    <w:rsid w:val="00B8027F"/>
    <w:rsid w:val="00B80AA7"/>
    <w:rsid w:val="00B80D75"/>
    <w:rsid w:val="00B80E25"/>
    <w:rsid w:val="00B80F01"/>
    <w:rsid w:val="00B8152B"/>
    <w:rsid w:val="00B818E6"/>
    <w:rsid w:val="00B81B12"/>
    <w:rsid w:val="00B81D36"/>
    <w:rsid w:val="00B81ED0"/>
    <w:rsid w:val="00B81F74"/>
    <w:rsid w:val="00B8223E"/>
    <w:rsid w:val="00B82323"/>
    <w:rsid w:val="00B8243E"/>
    <w:rsid w:val="00B8268A"/>
    <w:rsid w:val="00B827C0"/>
    <w:rsid w:val="00B828E7"/>
    <w:rsid w:val="00B82B8B"/>
    <w:rsid w:val="00B82E96"/>
    <w:rsid w:val="00B82EA4"/>
    <w:rsid w:val="00B82FE4"/>
    <w:rsid w:val="00B8305A"/>
    <w:rsid w:val="00B8309A"/>
    <w:rsid w:val="00B830E9"/>
    <w:rsid w:val="00B83212"/>
    <w:rsid w:val="00B83417"/>
    <w:rsid w:val="00B8341E"/>
    <w:rsid w:val="00B83715"/>
    <w:rsid w:val="00B83B93"/>
    <w:rsid w:val="00B83DF8"/>
    <w:rsid w:val="00B8410F"/>
    <w:rsid w:val="00B8485A"/>
    <w:rsid w:val="00B84A1D"/>
    <w:rsid w:val="00B84AB9"/>
    <w:rsid w:val="00B84F71"/>
    <w:rsid w:val="00B84FF0"/>
    <w:rsid w:val="00B852AF"/>
    <w:rsid w:val="00B852DE"/>
    <w:rsid w:val="00B854D7"/>
    <w:rsid w:val="00B858D8"/>
    <w:rsid w:val="00B859C0"/>
    <w:rsid w:val="00B859FA"/>
    <w:rsid w:val="00B85A26"/>
    <w:rsid w:val="00B85D59"/>
    <w:rsid w:val="00B861AF"/>
    <w:rsid w:val="00B8660B"/>
    <w:rsid w:val="00B8667D"/>
    <w:rsid w:val="00B866AE"/>
    <w:rsid w:val="00B866B4"/>
    <w:rsid w:val="00B8671F"/>
    <w:rsid w:val="00B867DE"/>
    <w:rsid w:val="00B8683A"/>
    <w:rsid w:val="00B86A80"/>
    <w:rsid w:val="00B86C29"/>
    <w:rsid w:val="00B86CAF"/>
    <w:rsid w:val="00B86E90"/>
    <w:rsid w:val="00B870E0"/>
    <w:rsid w:val="00B87245"/>
    <w:rsid w:val="00B87475"/>
    <w:rsid w:val="00B8797B"/>
    <w:rsid w:val="00B87A89"/>
    <w:rsid w:val="00B87B28"/>
    <w:rsid w:val="00B87BA6"/>
    <w:rsid w:val="00B87BCF"/>
    <w:rsid w:val="00B87D48"/>
    <w:rsid w:val="00B87E3D"/>
    <w:rsid w:val="00B90017"/>
    <w:rsid w:val="00B90191"/>
    <w:rsid w:val="00B903D7"/>
    <w:rsid w:val="00B9054D"/>
    <w:rsid w:val="00B905E8"/>
    <w:rsid w:val="00B90A48"/>
    <w:rsid w:val="00B90AFD"/>
    <w:rsid w:val="00B90D42"/>
    <w:rsid w:val="00B90D87"/>
    <w:rsid w:val="00B91132"/>
    <w:rsid w:val="00B91510"/>
    <w:rsid w:val="00B915FB"/>
    <w:rsid w:val="00B91872"/>
    <w:rsid w:val="00B91874"/>
    <w:rsid w:val="00B91B2D"/>
    <w:rsid w:val="00B91C9D"/>
    <w:rsid w:val="00B91D51"/>
    <w:rsid w:val="00B921F5"/>
    <w:rsid w:val="00B92218"/>
    <w:rsid w:val="00B9241D"/>
    <w:rsid w:val="00B92790"/>
    <w:rsid w:val="00B927C4"/>
    <w:rsid w:val="00B9297D"/>
    <w:rsid w:val="00B929DC"/>
    <w:rsid w:val="00B92B17"/>
    <w:rsid w:val="00B93017"/>
    <w:rsid w:val="00B9309D"/>
    <w:rsid w:val="00B932FA"/>
    <w:rsid w:val="00B93329"/>
    <w:rsid w:val="00B9349B"/>
    <w:rsid w:val="00B9360C"/>
    <w:rsid w:val="00B93B70"/>
    <w:rsid w:val="00B93D23"/>
    <w:rsid w:val="00B93E3B"/>
    <w:rsid w:val="00B93E45"/>
    <w:rsid w:val="00B93F5B"/>
    <w:rsid w:val="00B94205"/>
    <w:rsid w:val="00B9442E"/>
    <w:rsid w:val="00B944BE"/>
    <w:rsid w:val="00B94604"/>
    <w:rsid w:val="00B94982"/>
    <w:rsid w:val="00B949B2"/>
    <w:rsid w:val="00B94BCD"/>
    <w:rsid w:val="00B94DF9"/>
    <w:rsid w:val="00B94EF8"/>
    <w:rsid w:val="00B95112"/>
    <w:rsid w:val="00B95184"/>
    <w:rsid w:val="00B95233"/>
    <w:rsid w:val="00B95753"/>
    <w:rsid w:val="00B9575E"/>
    <w:rsid w:val="00B95785"/>
    <w:rsid w:val="00B9589D"/>
    <w:rsid w:val="00B95B52"/>
    <w:rsid w:val="00B95D56"/>
    <w:rsid w:val="00B95EA8"/>
    <w:rsid w:val="00B9607F"/>
    <w:rsid w:val="00B962B3"/>
    <w:rsid w:val="00B96353"/>
    <w:rsid w:val="00B963A7"/>
    <w:rsid w:val="00B9641F"/>
    <w:rsid w:val="00B96421"/>
    <w:rsid w:val="00B96535"/>
    <w:rsid w:val="00B96AA0"/>
    <w:rsid w:val="00B96C03"/>
    <w:rsid w:val="00B96DAA"/>
    <w:rsid w:val="00B96E0C"/>
    <w:rsid w:val="00B97408"/>
    <w:rsid w:val="00B974EF"/>
    <w:rsid w:val="00B97B96"/>
    <w:rsid w:val="00B97D53"/>
    <w:rsid w:val="00BA0076"/>
    <w:rsid w:val="00BA00B2"/>
    <w:rsid w:val="00BA0400"/>
    <w:rsid w:val="00BA0482"/>
    <w:rsid w:val="00BA0536"/>
    <w:rsid w:val="00BA0758"/>
    <w:rsid w:val="00BA09A8"/>
    <w:rsid w:val="00BA0E28"/>
    <w:rsid w:val="00BA0F52"/>
    <w:rsid w:val="00BA1331"/>
    <w:rsid w:val="00BA170C"/>
    <w:rsid w:val="00BA1832"/>
    <w:rsid w:val="00BA1972"/>
    <w:rsid w:val="00BA1A32"/>
    <w:rsid w:val="00BA1B38"/>
    <w:rsid w:val="00BA1BDC"/>
    <w:rsid w:val="00BA1C89"/>
    <w:rsid w:val="00BA1E6A"/>
    <w:rsid w:val="00BA1EBA"/>
    <w:rsid w:val="00BA20E8"/>
    <w:rsid w:val="00BA217B"/>
    <w:rsid w:val="00BA26CC"/>
    <w:rsid w:val="00BA2A32"/>
    <w:rsid w:val="00BA2A55"/>
    <w:rsid w:val="00BA2B34"/>
    <w:rsid w:val="00BA2C42"/>
    <w:rsid w:val="00BA2D90"/>
    <w:rsid w:val="00BA2EF7"/>
    <w:rsid w:val="00BA2F95"/>
    <w:rsid w:val="00BA303E"/>
    <w:rsid w:val="00BA3101"/>
    <w:rsid w:val="00BA31D1"/>
    <w:rsid w:val="00BA32BB"/>
    <w:rsid w:val="00BA3522"/>
    <w:rsid w:val="00BA3686"/>
    <w:rsid w:val="00BA3FE3"/>
    <w:rsid w:val="00BA43B0"/>
    <w:rsid w:val="00BA4436"/>
    <w:rsid w:val="00BA4486"/>
    <w:rsid w:val="00BA47A0"/>
    <w:rsid w:val="00BA47C1"/>
    <w:rsid w:val="00BA4ACD"/>
    <w:rsid w:val="00BA4B03"/>
    <w:rsid w:val="00BA4CA7"/>
    <w:rsid w:val="00BA51C8"/>
    <w:rsid w:val="00BA56C4"/>
    <w:rsid w:val="00BA5948"/>
    <w:rsid w:val="00BA5B91"/>
    <w:rsid w:val="00BA5D51"/>
    <w:rsid w:val="00BA5D82"/>
    <w:rsid w:val="00BA5F7E"/>
    <w:rsid w:val="00BA6297"/>
    <w:rsid w:val="00BA636C"/>
    <w:rsid w:val="00BA65EF"/>
    <w:rsid w:val="00BA695C"/>
    <w:rsid w:val="00BA6A40"/>
    <w:rsid w:val="00BA6B65"/>
    <w:rsid w:val="00BA7077"/>
    <w:rsid w:val="00BA760F"/>
    <w:rsid w:val="00BA76B6"/>
    <w:rsid w:val="00BA7829"/>
    <w:rsid w:val="00BA7AC2"/>
    <w:rsid w:val="00BA7B97"/>
    <w:rsid w:val="00BA7D28"/>
    <w:rsid w:val="00BA7E36"/>
    <w:rsid w:val="00BB00BB"/>
    <w:rsid w:val="00BB09F8"/>
    <w:rsid w:val="00BB0A72"/>
    <w:rsid w:val="00BB0B4C"/>
    <w:rsid w:val="00BB0BC8"/>
    <w:rsid w:val="00BB10C4"/>
    <w:rsid w:val="00BB1150"/>
    <w:rsid w:val="00BB1531"/>
    <w:rsid w:val="00BB1980"/>
    <w:rsid w:val="00BB198D"/>
    <w:rsid w:val="00BB1AFF"/>
    <w:rsid w:val="00BB1B44"/>
    <w:rsid w:val="00BB209F"/>
    <w:rsid w:val="00BB221F"/>
    <w:rsid w:val="00BB2492"/>
    <w:rsid w:val="00BB254A"/>
    <w:rsid w:val="00BB2A73"/>
    <w:rsid w:val="00BB2AF9"/>
    <w:rsid w:val="00BB2B5F"/>
    <w:rsid w:val="00BB2BE8"/>
    <w:rsid w:val="00BB2E1F"/>
    <w:rsid w:val="00BB2EE4"/>
    <w:rsid w:val="00BB3190"/>
    <w:rsid w:val="00BB3205"/>
    <w:rsid w:val="00BB32E8"/>
    <w:rsid w:val="00BB356C"/>
    <w:rsid w:val="00BB3AC0"/>
    <w:rsid w:val="00BB3B0B"/>
    <w:rsid w:val="00BB3EAC"/>
    <w:rsid w:val="00BB4676"/>
    <w:rsid w:val="00BB474E"/>
    <w:rsid w:val="00BB4B6C"/>
    <w:rsid w:val="00BB4B85"/>
    <w:rsid w:val="00BB4C42"/>
    <w:rsid w:val="00BB4E3A"/>
    <w:rsid w:val="00BB53D5"/>
    <w:rsid w:val="00BB546D"/>
    <w:rsid w:val="00BB5697"/>
    <w:rsid w:val="00BB59F6"/>
    <w:rsid w:val="00BB5BB3"/>
    <w:rsid w:val="00BB5E9E"/>
    <w:rsid w:val="00BB5FF1"/>
    <w:rsid w:val="00BB61C8"/>
    <w:rsid w:val="00BB6331"/>
    <w:rsid w:val="00BB6352"/>
    <w:rsid w:val="00BB6455"/>
    <w:rsid w:val="00BB6A6E"/>
    <w:rsid w:val="00BB6F24"/>
    <w:rsid w:val="00BB6F45"/>
    <w:rsid w:val="00BB7075"/>
    <w:rsid w:val="00BB70D1"/>
    <w:rsid w:val="00BB7180"/>
    <w:rsid w:val="00BB72D5"/>
    <w:rsid w:val="00BB7579"/>
    <w:rsid w:val="00BB77D8"/>
    <w:rsid w:val="00BB7891"/>
    <w:rsid w:val="00BC0013"/>
    <w:rsid w:val="00BC0625"/>
    <w:rsid w:val="00BC06DB"/>
    <w:rsid w:val="00BC07DA"/>
    <w:rsid w:val="00BC0812"/>
    <w:rsid w:val="00BC0BEB"/>
    <w:rsid w:val="00BC1011"/>
    <w:rsid w:val="00BC1113"/>
    <w:rsid w:val="00BC1CFD"/>
    <w:rsid w:val="00BC20BD"/>
    <w:rsid w:val="00BC20BE"/>
    <w:rsid w:val="00BC2331"/>
    <w:rsid w:val="00BC24D3"/>
    <w:rsid w:val="00BC26BE"/>
    <w:rsid w:val="00BC2ADF"/>
    <w:rsid w:val="00BC2B41"/>
    <w:rsid w:val="00BC2D56"/>
    <w:rsid w:val="00BC2D70"/>
    <w:rsid w:val="00BC2E56"/>
    <w:rsid w:val="00BC2EB2"/>
    <w:rsid w:val="00BC2EB5"/>
    <w:rsid w:val="00BC2ED7"/>
    <w:rsid w:val="00BC2F6B"/>
    <w:rsid w:val="00BC31C5"/>
    <w:rsid w:val="00BC3367"/>
    <w:rsid w:val="00BC3659"/>
    <w:rsid w:val="00BC3962"/>
    <w:rsid w:val="00BC39E7"/>
    <w:rsid w:val="00BC3A08"/>
    <w:rsid w:val="00BC3E4D"/>
    <w:rsid w:val="00BC44EB"/>
    <w:rsid w:val="00BC47A6"/>
    <w:rsid w:val="00BC47DC"/>
    <w:rsid w:val="00BC491C"/>
    <w:rsid w:val="00BC4A76"/>
    <w:rsid w:val="00BC4B2E"/>
    <w:rsid w:val="00BC524E"/>
    <w:rsid w:val="00BC5305"/>
    <w:rsid w:val="00BC53C2"/>
    <w:rsid w:val="00BC53F4"/>
    <w:rsid w:val="00BC551C"/>
    <w:rsid w:val="00BC59C3"/>
    <w:rsid w:val="00BC5C34"/>
    <w:rsid w:val="00BC5C50"/>
    <w:rsid w:val="00BC5E77"/>
    <w:rsid w:val="00BC6030"/>
    <w:rsid w:val="00BC635A"/>
    <w:rsid w:val="00BC6A25"/>
    <w:rsid w:val="00BC6B53"/>
    <w:rsid w:val="00BC6CB3"/>
    <w:rsid w:val="00BC6EF9"/>
    <w:rsid w:val="00BC74C7"/>
    <w:rsid w:val="00BC75DE"/>
    <w:rsid w:val="00BC7738"/>
    <w:rsid w:val="00BC7987"/>
    <w:rsid w:val="00BC7A6D"/>
    <w:rsid w:val="00BC7BC5"/>
    <w:rsid w:val="00BC7FD2"/>
    <w:rsid w:val="00BD0004"/>
    <w:rsid w:val="00BD003E"/>
    <w:rsid w:val="00BD03B2"/>
    <w:rsid w:val="00BD03EF"/>
    <w:rsid w:val="00BD07E9"/>
    <w:rsid w:val="00BD0C1A"/>
    <w:rsid w:val="00BD0E06"/>
    <w:rsid w:val="00BD0E08"/>
    <w:rsid w:val="00BD0E3F"/>
    <w:rsid w:val="00BD1140"/>
    <w:rsid w:val="00BD193E"/>
    <w:rsid w:val="00BD19FE"/>
    <w:rsid w:val="00BD1CB8"/>
    <w:rsid w:val="00BD1E7F"/>
    <w:rsid w:val="00BD1F5B"/>
    <w:rsid w:val="00BD20C4"/>
    <w:rsid w:val="00BD2418"/>
    <w:rsid w:val="00BD261E"/>
    <w:rsid w:val="00BD277B"/>
    <w:rsid w:val="00BD2964"/>
    <w:rsid w:val="00BD29F4"/>
    <w:rsid w:val="00BD2AC8"/>
    <w:rsid w:val="00BD3108"/>
    <w:rsid w:val="00BD38C8"/>
    <w:rsid w:val="00BD3B6B"/>
    <w:rsid w:val="00BD41E0"/>
    <w:rsid w:val="00BD42B0"/>
    <w:rsid w:val="00BD4656"/>
    <w:rsid w:val="00BD478B"/>
    <w:rsid w:val="00BD4C1F"/>
    <w:rsid w:val="00BD4CA7"/>
    <w:rsid w:val="00BD4E86"/>
    <w:rsid w:val="00BD509B"/>
    <w:rsid w:val="00BD52F5"/>
    <w:rsid w:val="00BD54C6"/>
    <w:rsid w:val="00BD572B"/>
    <w:rsid w:val="00BD5864"/>
    <w:rsid w:val="00BD5911"/>
    <w:rsid w:val="00BD5AD0"/>
    <w:rsid w:val="00BD5B45"/>
    <w:rsid w:val="00BD5CA9"/>
    <w:rsid w:val="00BD5CB6"/>
    <w:rsid w:val="00BD6640"/>
    <w:rsid w:val="00BD6712"/>
    <w:rsid w:val="00BD6741"/>
    <w:rsid w:val="00BD684A"/>
    <w:rsid w:val="00BD685B"/>
    <w:rsid w:val="00BD6A0C"/>
    <w:rsid w:val="00BD6D15"/>
    <w:rsid w:val="00BD7143"/>
    <w:rsid w:val="00BD7194"/>
    <w:rsid w:val="00BD763C"/>
    <w:rsid w:val="00BD772A"/>
    <w:rsid w:val="00BD794A"/>
    <w:rsid w:val="00BD7B8A"/>
    <w:rsid w:val="00BD7D03"/>
    <w:rsid w:val="00BD7E90"/>
    <w:rsid w:val="00BE000B"/>
    <w:rsid w:val="00BE0580"/>
    <w:rsid w:val="00BE062E"/>
    <w:rsid w:val="00BE0648"/>
    <w:rsid w:val="00BE06D0"/>
    <w:rsid w:val="00BE0861"/>
    <w:rsid w:val="00BE0A11"/>
    <w:rsid w:val="00BE0BFA"/>
    <w:rsid w:val="00BE0D81"/>
    <w:rsid w:val="00BE0E9C"/>
    <w:rsid w:val="00BE0FB8"/>
    <w:rsid w:val="00BE1963"/>
    <w:rsid w:val="00BE1A56"/>
    <w:rsid w:val="00BE1CB6"/>
    <w:rsid w:val="00BE1E16"/>
    <w:rsid w:val="00BE2003"/>
    <w:rsid w:val="00BE204D"/>
    <w:rsid w:val="00BE222B"/>
    <w:rsid w:val="00BE2436"/>
    <w:rsid w:val="00BE2470"/>
    <w:rsid w:val="00BE2569"/>
    <w:rsid w:val="00BE2860"/>
    <w:rsid w:val="00BE2A57"/>
    <w:rsid w:val="00BE2AB4"/>
    <w:rsid w:val="00BE2C2E"/>
    <w:rsid w:val="00BE3319"/>
    <w:rsid w:val="00BE3423"/>
    <w:rsid w:val="00BE38F8"/>
    <w:rsid w:val="00BE3A2D"/>
    <w:rsid w:val="00BE4023"/>
    <w:rsid w:val="00BE4091"/>
    <w:rsid w:val="00BE40F2"/>
    <w:rsid w:val="00BE43E6"/>
    <w:rsid w:val="00BE4434"/>
    <w:rsid w:val="00BE4479"/>
    <w:rsid w:val="00BE4879"/>
    <w:rsid w:val="00BE516A"/>
    <w:rsid w:val="00BE521C"/>
    <w:rsid w:val="00BE5314"/>
    <w:rsid w:val="00BE5416"/>
    <w:rsid w:val="00BE5751"/>
    <w:rsid w:val="00BE580E"/>
    <w:rsid w:val="00BE6086"/>
    <w:rsid w:val="00BE643B"/>
    <w:rsid w:val="00BE664B"/>
    <w:rsid w:val="00BE675E"/>
    <w:rsid w:val="00BE68A4"/>
    <w:rsid w:val="00BE68A5"/>
    <w:rsid w:val="00BE6B62"/>
    <w:rsid w:val="00BE6BBA"/>
    <w:rsid w:val="00BE6E93"/>
    <w:rsid w:val="00BE72C3"/>
    <w:rsid w:val="00BE776C"/>
    <w:rsid w:val="00BE77A6"/>
    <w:rsid w:val="00BE7921"/>
    <w:rsid w:val="00BE7F02"/>
    <w:rsid w:val="00BE7F69"/>
    <w:rsid w:val="00BE7F77"/>
    <w:rsid w:val="00BF0A59"/>
    <w:rsid w:val="00BF0B12"/>
    <w:rsid w:val="00BF10F3"/>
    <w:rsid w:val="00BF10FB"/>
    <w:rsid w:val="00BF119B"/>
    <w:rsid w:val="00BF1269"/>
    <w:rsid w:val="00BF1352"/>
    <w:rsid w:val="00BF1455"/>
    <w:rsid w:val="00BF178D"/>
    <w:rsid w:val="00BF1930"/>
    <w:rsid w:val="00BF1AE5"/>
    <w:rsid w:val="00BF1D13"/>
    <w:rsid w:val="00BF1FA8"/>
    <w:rsid w:val="00BF2474"/>
    <w:rsid w:val="00BF24BB"/>
    <w:rsid w:val="00BF2594"/>
    <w:rsid w:val="00BF2D6B"/>
    <w:rsid w:val="00BF2DD1"/>
    <w:rsid w:val="00BF309D"/>
    <w:rsid w:val="00BF30E4"/>
    <w:rsid w:val="00BF339D"/>
    <w:rsid w:val="00BF33CB"/>
    <w:rsid w:val="00BF372B"/>
    <w:rsid w:val="00BF39F7"/>
    <w:rsid w:val="00BF3A32"/>
    <w:rsid w:val="00BF3E17"/>
    <w:rsid w:val="00BF3F51"/>
    <w:rsid w:val="00BF44CD"/>
    <w:rsid w:val="00BF47E6"/>
    <w:rsid w:val="00BF4953"/>
    <w:rsid w:val="00BF4B2C"/>
    <w:rsid w:val="00BF5038"/>
    <w:rsid w:val="00BF5368"/>
    <w:rsid w:val="00BF53FA"/>
    <w:rsid w:val="00BF5463"/>
    <w:rsid w:val="00BF54B5"/>
    <w:rsid w:val="00BF54E8"/>
    <w:rsid w:val="00BF55AF"/>
    <w:rsid w:val="00BF5C6C"/>
    <w:rsid w:val="00BF5D76"/>
    <w:rsid w:val="00BF5EC3"/>
    <w:rsid w:val="00BF5F09"/>
    <w:rsid w:val="00BF6059"/>
    <w:rsid w:val="00BF622A"/>
    <w:rsid w:val="00BF6520"/>
    <w:rsid w:val="00BF6687"/>
    <w:rsid w:val="00BF679F"/>
    <w:rsid w:val="00BF6C61"/>
    <w:rsid w:val="00BF6E42"/>
    <w:rsid w:val="00BF725C"/>
    <w:rsid w:val="00BF72A4"/>
    <w:rsid w:val="00BF759D"/>
    <w:rsid w:val="00BF75AA"/>
    <w:rsid w:val="00BF7990"/>
    <w:rsid w:val="00BF7B78"/>
    <w:rsid w:val="00C0019B"/>
    <w:rsid w:val="00C002DF"/>
    <w:rsid w:val="00C00440"/>
    <w:rsid w:val="00C00622"/>
    <w:rsid w:val="00C007AB"/>
    <w:rsid w:val="00C007B6"/>
    <w:rsid w:val="00C00842"/>
    <w:rsid w:val="00C00C07"/>
    <w:rsid w:val="00C00E93"/>
    <w:rsid w:val="00C013E0"/>
    <w:rsid w:val="00C01426"/>
    <w:rsid w:val="00C01570"/>
    <w:rsid w:val="00C015F4"/>
    <w:rsid w:val="00C0168A"/>
    <w:rsid w:val="00C01886"/>
    <w:rsid w:val="00C01F97"/>
    <w:rsid w:val="00C020EB"/>
    <w:rsid w:val="00C020EE"/>
    <w:rsid w:val="00C02112"/>
    <w:rsid w:val="00C02302"/>
    <w:rsid w:val="00C02520"/>
    <w:rsid w:val="00C02635"/>
    <w:rsid w:val="00C02828"/>
    <w:rsid w:val="00C02836"/>
    <w:rsid w:val="00C02AC4"/>
    <w:rsid w:val="00C02D92"/>
    <w:rsid w:val="00C02F65"/>
    <w:rsid w:val="00C030A7"/>
    <w:rsid w:val="00C036C3"/>
    <w:rsid w:val="00C036D2"/>
    <w:rsid w:val="00C039DA"/>
    <w:rsid w:val="00C03A89"/>
    <w:rsid w:val="00C03C62"/>
    <w:rsid w:val="00C03E34"/>
    <w:rsid w:val="00C0460D"/>
    <w:rsid w:val="00C048A2"/>
    <w:rsid w:val="00C048AF"/>
    <w:rsid w:val="00C04CE0"/>
    <w:rsid w:val="00C04DCE"/>
    <w:rsid w:val="00C04E78"/>
    <w:rsid w:val="00C057F4"/>
    <w:rsid w:val="00C05C3D"/>
    <w:rsid w:val="00C05DA5"/>
    <w:rsid w:val="00C05EF2"/>
    <w:rsid w:val="00C05F4E"/>
    <w:rsid w:val="00C060D2"/>
    <w:rsid w:val="00C062B6"/>
    <w:rsid w:val="00C063B1"/>
    <w:rsid w:val="00C06734"/>
    <w:rsid w:val="00C06BCA"/>
    <w:rsid w:val="00C06D7F"/>
    <w:rsid w:val="00C075F1"/>
    <w:rsid w:val="00C079EC"/>
    <w:rsid w:val="00C07B39"/>
    <w:rsid w:val="00C07EC3"/>
    <w:rsid w:val="00C1010B"/>
    <w:rsid w:val="00C1057E"/>
    <w:rsid w:val="00C1062A"/>
    <w:rsid w:val="00C106D1"/>
    <w:rsid w:val="00C107A7"/>
    <w:rsid w:val="00C1093D"/>
    <w:rsid w:val="00C10BC6"/>
    <w:rsid w:val="00C10C24"/>
    <w:rsid w:val="00C10D87"/>
    <w:rsid w:val="00C1106C"/>
    <w:rsid w:val="00C110D0"/>
    <w:rsid w:val="00C1111F"/>
    <w:rsid w:val="00C112E6"/>
    <w:rsid w:val="00C114B7"/>
    <w:rsid w:val="00C11534"/>
    <w:rsid w:val="00C11627"/>
    <w:rsid w:val="00C11699"/>
    <w:rsid w:val="00C12122"/>
    <w:rsid w:val="00C12239"/>
    <w:rsid w:val="00C12359"/>
    <w:rsid w:val="00C12D88"/>
    <w:rsid w:val="00C133C7"/>
    <w:rsid w:val="00C13506"/>
    <w:rsid w:val="00C13978"/>
    <w:rsid w:val="00C13BB9"/>
    <w:rsid w:val="00C13C41"/>
    <w:rsid w:val="00C13D2F"/>
    <w:rsid w:val="00C13E28"/>
    <w:rsid w:val="00C141D6"/>
    <w:rsid w:val="00C144DE"/>
    <w:rsid w:val="00C14D6E"/>
    <w:rsid w:val="00C15225"/>
    <w:rsid w:val="00C152FA"/>
    <w:rsid w:val="00C1551E"/>
    <w:rsid w:val="00C15772"/>
    <w:rsid w:val="00C158D8"/>
    <w:rsid w:val="00C158E1"/>
    <w:rsid w:val="00C15D7D"/>
    <w:rsid w:val="00C16248"/>
    <w:rsid w:val="00C16337"/>
    <w:rsid w:val="00C164A6"/>
    <w:rsid w:val="00C166F1"/>
    <w:rsid w:val="00C172DA"/>
    <w:rsid w:val="00C174F5"/>
    <w:rsid w:val="00C1783D"/>
    <w:rsid w:val="00C17925"/>
    <w:rsid w:val="00C17ADF"/>
    <w:rsid w:val="00C17BA0"/>
    <w:rsid w:val="00C17BB1"/>
    <w:rsid w:val="00C17F11"/>
    <w:rsid w:val="00C20119"/>
    <w:rsid w:val="00C203F7"/>
    <w:rsid w:val="00C205C6"/>
    <w:rsid w:val="00C20694"/>
    <w:rsid w:val="00C206BB"/>
    <w:rsid w:val="00C206DA"/>
    <w:rsid w:val="00C20CA8"/>
    <w:rsid w:val="00C2120B"/>
    <w:rsid w:val="00C21432"/>
    <w:rsid w:val="00C217B3"/>
    <w:rsid w:val="00C217DE"/>
    <w:rsid w:val="00C218BB"/>
    <w:rsid w:val="00C21990"/>
    <w:rsid w:val="00C21A21"/>
    <w:rsid w:val="00C21B36"/>
    <w:rsid w:val="00C21D82"/>
    <w:rsid w:val="00C220F2"/>
    <w:rsid w:val="00C22105"/>
    <w:rsid w:val="00C2232D"/>
    <w:rsid w:val="00C2240B"/>
    <w:rsid w:val="00C22441"/>
    <w:rsid w:val="00C22A9B"/>
    <w:rsid w:val="00C22C28"/>
    <w:rsid w:val="00C22D30"/>
    <w:rsid w:val="00C22D61"/>
    <w:rsid w:val="00C23626"/>
    <w:rsid w:val="00C237D2"/>
    <w:rsid w:val="00C23B7A"/>
    <w:rsid w:val="00C243B1"/>
    <w:rsid w:val="00C24645"/>
    <w:rsid w:val="00C246E1"/>
    <w:rsid w:val="00C24854"/>
    <w:rsid w:val="00C24A1B"/>
    <w:rsid w:val="00C24A78"/>
    <w:rsid w:val="00C24B94"/>
    <w:rsid w:val="00C24C33"/>
    <w:rsid w:val="00C24C40"/>
    <w:rsid w:val="00C24DEC"/>
    <w:rsid w:val="00C24E2A"/>
    <w:rsid w:val="00C2508D"/>
    <w:rsid w:val="00C25529"/>
    <w:rsid w:val="00C255AF"/>
    <w:rsid w:val="00C256AD"/>
    <w:rsid w:val="00C25B26"/>
    <w:rsid w:val="00C25BA3"/>
    <w:rsid w:val="00C25CAE"/>
    <w:rsid w:val="00C2600F"/>
    <w:rsid w:val="00C264A4"/>
    <w:rsid w:val="00C26517"/>
    <w:rsid w:val="00C2674A"/>
    <w:rsid w:val="00C26832"/>
    <w:rsid w:val="00C26A31"/>
    <w:rsid w:val="00C26EDB"/>
    <w:rsid w:val="00C26FB1"/>
    <w:rsid w:val="00C270B6"/>
    <w:rsid w:val="00C27176"/>
    <w:rsid w:val="00C27186"/>
    <w:rsid w:val="00C27662"/>
    <w:rsid w:val="00C27AAA"/>
    <w:rsid w:val="00C27B17"/>
    <w:rsid w:val="00C27C27"/>
    <w:rsid w:val="00C27C97"/>
    <w:rsid w:val="00C27CEC"/>
    <w:rsid w:val="00C27E4F"/>
    <w:rsid w:val="00C30175"/>
    <w:rsid w:val="00C302C8"/>
    <w:rsid w:val="00C30526"/>
    <w:rsid w:val="00C30554"/>
    <w:rsid w:val="00C308E9"/>
    <w:rsid w:val="00C30914"/>
    <w:rsid w:val="00C30ACA"/>
    <w:rsid w:val="00C30D8D"/>
    <w:rsid w:val="00C31067"/>
    <w:rsid w:val="00C31085"/>
    <w:rsid w:val="00C3142A"/>
    <w:rsid w:val="00C3165F"/>
    <w:rsid w:val="00C3172A"/>
    <w:rsid w:val="00C3190A"/>
    <w:rsid w:val="00C31C0E"/>
    <w:rsid w:val="00C31DA2"/>
    <w:rsid w:val="00C31EA5"/>
    <w:rsid w:val="00C31EFA"/>
    <w:rsid w:val="00C322B8"/>
    <w:rsid w:val="00C32501"/>
    <w:rsid w:val="00C32583"/>
    <w:rsid w:val="00C326D0"/>
    <w:rsid w:val="00C32776"/>
    <w:rsid w:val="00C328BA"/>
    <w:rsid w:val="00C32ACE"/>
    <w:rsid w:val="00C32C76"/>
    <w:rsid w:val="00C32D4E"/>
    <w:rsid w:val="00C32DB1"/>
    <w:rsid w:val="00C32DDA"/>
    <w:rsid w:val="00C32E08"/>
    <w:rsid w:val="00C3301A"/>
    <w:rsid w:val="00C3313B"/>
    <w:rsid w:val="00C33426"/>
    <w:rsid w:val="00C3353D"/>
    <w:rsid w:val="00C335AF"/>
    <w:rsid w:val="00C3393B"/>
    <w:rsid w:val="00C33C45"/>
    <w:rsid w:val="00C33FDC"/>
    <w:rsid w:val="00C33FFC"/>
    <w:rsid w:val="00C345C6"/>
    <w:rsid w:val="00C34623"/>
    <w:rsid w:val="00C34682"/>
    <w:rsid w:val="00C34BBE"/>
    <w:rsid w:val="00C34C12"/>
    <w:rsid w:val="00C34FF7"/>
    <w:rsid w:val="00C3527D"/>
    <w:rsid w:val="00C35387"/>
    <w:rsid w:val="00C355AD"/>
    <w:rsid w:val="00C359FD"/>
    <w:rsid w:val="00C35B0F"/>
    <w:rsid w:val="00C35BE1"/>
    <w:rsid w:val="00C35CA6"/>
    <w:rsid w:val="00C36562"/>
    <w:rsid w:val="00C365CD"/>
    <w:rsid w:val="00C3675C"/>
    <w:rsid w:val="00C36815"/>
    <w:rsid w:val="00C36928"/>
    <w:rsid w:val="00C37026"/>
    <w:rsid w:val="00C370C9"/>
    <w:rsid w:val="00C37232"/>
    <w:rsid w:val="00C376E4"/>
    <w:rsid w:val="00C37875"/>
    <w:rsid w:val="00C3793D"/>
    <w:rsid w:val="00C37AC0"/>
    <w:rsid w:val="00C37B02"/>
    <w:rsid w:val="00C37C11"/>
    <w:rsid w:val="00C37CB4"/>
    <w:rsid w:val="00C37F17"/>
    <w:rsid w:val="00C40354"/>
    <w:rsid w:val="00C40927"/>
    <w:rsid w:val="00C40944"/>
    <w:rsid w:val="00C40AFF"/>
    <w:rsid w:val="00C40CDA"/>
    <w:rsid w:val="00C40D1E"/>
    <w:rsid w:val="00C41079"/>
    <w:rsid w:val="00C41210"/>
    <w:rsid w:val="00C41407"/>
    <w:rsid w:val="00C4148B"/>
    <w:rsid w:val="00C41507"/>
    <w:rsid w:val="00C41599"/>
    <w:rsid w:val="00C41C60"/>
    <w:rsid w:val="00C41CE1"/>
    <w:rsid w:val="00C41D30"/>
    <w:rsid w:val="00C41EE3"/>
    <w:rsid w:val="00C41F1A"/>
    <w:rsid w:val="00C41F43"/>
    <w:rsid w:val="00C420C8"/>
    <w:rsid w:val="00C42280"/>
    <w:rsid w:val="00C422D4"/>
    <w:rsid w:val="00C4256D"/>
    <w:rsid w:val="00C425E9"/>
    <w:rsid w:val="00C42687"/>
    <w:rsid w:val="00C42874"/>
    <w:rsid w:val="00C42A9A"/>
    <w:rsid w:val="00C42C48"/>
    <w:rsid w:val="00C43041"/>
    <w:rsid w:val="00C4337E"/>
    <w:rsid w:val="00C434DB"/>
    <w:rsid w:val="00C436A2"/>
    <w:rsid w:val="00C438D3"/>
    <w:rsid w:val="00C43B96"/>
    <w:rsid w:val="00C4416B"/>
    <w:rsid w:val="00C4429E"/>
    <w:rsid w:val="00C44A90"/>
    <w:rsid w:val="00C44BF8"/>
    <w:rsid w:val="00C4519D"/>
    <w:rsid w:val="00C45838"/>
    <w:rsid w:val="00C459C6"/>
    <w:rsid w:val="00C45CED"/>
    <w:rsid w:val="00C46026"/>
    <w:rsid w:val="00C46037"/>
    <w:rsid w:val="00C461DD"/>
    <w:rsid w:val="00C4641A"/>
    <w:rsid w:val="00C46624"/>
    <w:rsid w:val="00C46877"/>
    <w:rsid w:val="00C46A3A"/>
    <w:rsid w:val="00C46B29"/>
    <w:rsid w:val="00C46B85"/>
    <w:rsid w:val="00C47076"/>
    <w:rsid w:val="00C470E7"/>
    <w:rsid w:val="00C47303"/>
    <w:rsid w:val="00C47336"/>
    <w:rsid w:val="00C47990"/>
    <w:rsid w:val="00C479C0"/>
    <w:rsid w:val="00C47B63"/>
    <w:rsid w:val="00C47F24"/>
    <w:rsid w:val="00C47F76"/>
    <w:rsid w:val="00C50324"/>
    <w:rsid w:val="00C50336"/>
    <w:rsid w:val="00C509BF"/>
    <w:rsid w:val="00C50AB3"/>
    <w:rsid w:val="00C50AD0"/>
    <w:rsid w:val="00C50AF0"/>
    <w:rsid w:val="00C50B15"/>
    <w:rsid w:val="00C50B7A"/>
    <w:rsid w:val="00C50BB0"/>
    <w:rsid w:val="00C512FB"/>
    <w:rsid w:val="00C51664"/>
    <w:rsid w:val="00C5173A"/>
    <w:rsid w:val="00C51BB9"/>
    <w:rsid w:val="00C51E6B"/>
    <w:rsid w:val="00C51E7F"/>
    <w:rsid w:val="00C52012"/>
    <w:rsid w:val="00C52157"/>
    <w:rsid w:val="00C5238C"/>
    <w:rsid w:val="00C52465"/>
    <w:rsid w:val="00C526BE"/>
    <w:rsid w:val="00C52A4D"/>
    <w:rsid w:val="00C52C67"/>
    <w:rsid w:val="00C52E5B"/>
    <w:rsid w:val="00C53018"/>
    <w:rsid w:val="00C53029"/>
    <w:rsid w:val="00C53302"/>
    <w:rsid w:val="00C53725"/>
    <w:rsid w:val="00C53849"/>
    <w:rsid w:val="00C53941"/>
    <w:rsid w:val="00C53A30"/>
    <w:rsid w:val="00C53A61"/>
    <w:rsid w:val="00C53BDF"/>
    <w:rsid w:val="00C53C92"/>
    <w:rsid w:val="00C540F1"/>
    <w:rsid w:val="00C542C5"/>
    <w:rsid w:val="00C54428"/>
    <w:rsid w:val="00C545F4"/>
    <w:rsid w:val="00C546BF"/>
    <w:rsid w:val="00C549C1"/>
    <w:rsid w:val="00C54AEC"/>
    <w:rsid w:val="00C54C31"/>
    <w:rsid w:val="00C54C53"/>
    <w:rsid w:val="00C54CF3"/>
    <w:rsid w:val="00C54D08"/>
    <w:rsid w:val="00C551BB"/>
    <w:rsid w:val="00C554AB"/>
    <w:rsid w:val="00C55BDC"/>
    <w:rsid w:val="00C55D78"/>
    <w:rsid w:val="00C55E98"/>
    <w:rsid w:val="00C55F84"/>
    <w:rsid w:val="00C562F7"/>
    <w:rsid w:val="00C5647E"/>
    <w:rsid w:val="00C564C5"/>
    <w:rsid w:val="00C564E6"/>
    <w:rsid w:val="00C56898"/>
    <w:rsid w:val="00C56E6C"/>
    <w:rsid w:val="00C56F01"/>
    <w:rsid w:val="00C56FFC"/>
    <w:rsid w:val="00C574A1"/>
    <w:rsid w:val="00C577F7"/>
    <w:rsid w:val="00C578B4"/>
    <w:rsid w:val="00C578E9"/>
    <w:rsid w:val="00C57947"/>
    <w:rsid w:val="00C57A16"/>
    <w:rsid w:val="00C57A5D"/>
    <w:rsid w:val="00C60AB0"/>
    <w:rsid w:val="00C60D74"/>
    <w:rsid w:val="00C6106E"/>
    <w:rsid w:val="00C61389"/>
    <w:rsid w:val="00C6164A"/>
    <w:rsid w:val="00C61878"/>
    <w:rsid w:val="00C61ACB"/>
    <w:rsid w:val="00C61BD6"/>
    <w:rsid w:val="00C61F15"/>
    <w:rsid w:val="00C61F18"/>
    <w:rsid w:val="00C62131"/>
    <w:rsid w:val="00C622E1"/>
    <w:rsid w:val="00C62372"/>
    <w:rsid w:val="00C62589"/>
    <w:rsid w:val="00C627B1"/>
    <w:rsid w:val="00C62894"/>
    <w:rsid w:val="00C62B12"/>
    <w:rsid w:val="00C62BBC"/>
    <w:rsid w:val="00C62C00"/>
    <w:rsid w:val="00C62FCC"/>
    <w:rsid w:val="00C62FFD"/>
    <w:rsid w:val="00C63533"/>
    <w:rsid w:val="00C638C3"/>
    <w:rsid w:val="00C63D7C"/>
    <w:rsid w:val="00C63DAC"/>
    <w:rsid w:val="00C63E29"/>
    <w:rsid w:val="00C645B1"/>
    <w:rsid w:val="00C6483D"/>
    <w:rsid w:val="00C649AA"/>
    <w:rsid w:val="00C64A5C"/>
    <w:rsid w:val="00C64B09"/>
    <w:rsid w:val="00C64C17"/>
    <w:rsid w:val="00C65496"/>
    <w:rsid w:val="00C65752"/>
    <w:rsid w:val="00C6581F"/>
    <w:rsid w:val="00C6599A"/>
    <w:rsid w:val="00C659B0"/>
    <w:rsid w:val="00C65B94"/>
    <w:rsid w:val="00C65BBC"/>
    <w:rsid w:val="00C65DB6"/>
    <w:rsid w:val="00C65DBC"/>
    <w:rsid w:val="00C65EE5"/>
    <w:rsid w:val="00C6648E"/>
    <w:rsid w:val="00C6662E"/>
    <w:rsid w:val="00C6663C"/>
    <w:rsid w:val="00C66B20"/>
    <w:rsid w:val="00C66B53"/>
    <w:rsid w:val="00C66C13"/>
    <w:rsid w:val="00C66EBC"/>
    <w:rsid w:val="00C670B3"/>
    <w:rsid w:val="00C670FA"/>
    <w:rsid w:val="00C679A8"/>
    <w:rsid w:val="00C67B1F"/>
    <w:rsid w:val="00C701DE"/>
    <w:rsid w:val="00C701FE"/>
    <w:rsid w:val="00C70677"/>
    <w:rsid w:val="00C706BD"/>
    <w:rsid w:val="00C707B5"/>
    <w:rsid w:val="00C70C7A"/>
    <w:rsid w:val="00C71024"/>
    <w:rsid w:val="00C71867"/>
    <w:rsid w:val="00C71A6D"/>
    <w:rsid w:val="00C71B24"/>
    <w:rsid w:val="00C71E03"/>
    <w:rsid w:val="00C71EF7"/>
    <w:rsid w:val="00C7214C"/>
    <w:rsid w:val="00C7222E"/>
    <w:rsid w:val="00C722E8"/>
    <w:rsid w:val="00C72468"/>
    <w:rsid w:val="00C725D9"/>
    <w:rsid w:val="00C7292C"/>
    <w:rsid w:val="00C72A10"/>
    <w:rsid w:val="00C72B95"/>
    <w:rsid w:val="00C72CE7"/>
    <w:rsid w:val="00C72F93"/>
    <w:rsid w:val="00C7340E"/>
    <w:rsid w:val="00C73414"/>
    <w:rsid w:val="00C736F5"/>
    <w:rsid w:val="00C73775"/>
    <w:rsid w:val="00C73850"/>
    <w:rsid w:val="00C73894"/>
    <w:rsid w:val="00C738A0"/>
    <w:rsid w:val="00C738F7"/>
    <w:rsid w:val="00C73D04"/>
    <w:rsid w:val="00C73E27"/>
    <w:rsid w:val="00C742D4"/>
    <w:rsid w:val="00C74358"/>
    <w:rsid w:val="00C74775"/>
    <w:rsid w:val="00C7479B"/>
    <w:rsid w:val="00C74A99"/>
    <w:rsid w:val="00C74AE5"/>
    <w:rsid w:val="00C74E7B"/>
    <w:rsid w:val="00C74F11"/>
    <w:rsid w:val="00C752E8"/>
    <w:rsid w:val="00C75602"/>
    <w:rsid w:val="00C7565F"/>
    <w:rsid w:val="00C7568E"/>
    <w:rsid w:val="00C75813"/>
    <w:rsid w:val="00C7594E"/>
    <w:rsid w:val="00C75A84"/>
    <w:rsid w:val="00C75AEC"/>
    <w:rsid w:val="00C75CED"/>
    <w:rsid w:val="00C75DE9"/>
    <w:rsid w:val="00C760AA"/>
    <w:rsid w:val="00C76444"/>
    <w:rsid w:val="00C7676F"/>
    <w:rsid w:val="00C7679A"/>
    <w:rsid w:val="00C7688B"/>
    <w:rsid w:val="00C76F7D"/>
    <w:rsid w:val="00C7717C"/>
    <w:rsid w:val="00C77CCC"/>
    <w:rsid w:val="00C77F8D"/>
    <w:rsid w:val="00C80159"/>
    <w:rsid w:val="00C80286"/>
    <w:rsid w:val="00C80717"/>
    <w:rsid w:val="00C80732"/>
    <w:rsid w:val="00C80810"/>
    <w:rsid w:val="00C80A22"/>
    <w:rsid w:val="00C80A3E"/>
    <w:rsid w:val="00C80EC4"/>
    <w:rsid w:val="00C80FFA"/>
    <w:rsid w:val="00C81168"/>
    <w:rsid w:val="00C812D4"/>
    <w:rsid w:val="00C815EE"/>
    <w:rsid w:val="00C8172A"/>
    <w:rsid w:val="00C81A3B"/>
    <w:rsid w:val="00C81DA3"/>
    <w:rsid w:val="00C81F9B"/>
    <w:rsid w:val="00C81FA9"/>
    <w:rsid w:val="00C82068"/>
    <w:rsid w:val="00C82333"/>
    <w:rsid w:val="00C8270B"/>
    <w:rsid w:val="00C82BEC"/>
    <w:rsid w:val="00C82DFC"/>
    <w:rsid w:val="00C835CE"/>
    <w:rsid w:val="00C836E4"/>
    <w:rsid w:val="00C83F4C"/>
    <w:rsid w:val="00C841A4"/>
    <w:rsid w:val="00C841F8"/>
    <w:rsid w:val="00C843D0"/>
    <w:rsid w:val="00C844C1"/>
    <w:rsid w:val="00C84704"/>
    <w:rsid w:val="00C847AD"/>
    <w:rsid w:val="00C8499D"/>
    <w:rsid w:val="00C84F1B"/>
    <w:rsid w:val="00C85128"/>
    <w:rsid w:val="00C853FE"/>
    <w:rsid w:val="00C8545C"/>
    <w:rsid w:val="00C85AE8"/>
    <w:rsid w:val="00C85B0F"/>
    <w:rsid w:val="00C85FB7"/>
    <w:rsid w:val="00C86084"/>
    <w:rsid w:val="00C860D2"/>
    <w:rsid w:val="00C8633F"/>
    <w:rsid w:val="00C863CD"/>
    <w:rsid w:val="00C865D8"/>
    <w:rsid w:val="00C86783"/>
    <w:rsid w:val="00C869F2"/>
    <w:rsid w:val="00C86E67"/>
    <w:rsid w:val="00C86EFE"/>
    <w:rsid w:val="00C86F30"/>
    <w:rsid w:val="00C87000"/>
    <w:rsid w:val="00C877CA"/>
    <w:rsid w:val="00C879B8"/>
    <w:rsid w:val="00C87C05"/>
    <w:rsid w:val="00C87C44"/>
    <w:rsid w:val="00C87FC3"/>
    <w:rsid w:val="00C87FF5"/>
    <w:rsid w:val="00C90396"/>
    <w:rsid w:val="00C9061B"/>
    <w:rsid w:val="00C910AE"/>
    <w:rsid w:val="00C91105"/>
    <w:rsid w:val="00C9138C"/>
    <w:rsid w:val="00C9139B"/>
    <w:rsid w:val="00C918C0"/>
    <w:rsid w:val="00C91B76"/>
    <w:rsid w:val="00C91C6E"/>
    <w:rsid w:val="00C920F1"/>
    <w:rsid w:val="00C929AE"/>
    <w:rsid w:val="00C92A58"/>
    <w:rsid w:val="00C92D23"/>
    <w:rsid w:val="00C93C32"/>
    <w:rsid w:val="00C93C54"/>
    <w:rsid w:val="00C93D11"/>
    <w:rsid w:val="00C93D54"/>
    <w:rsid w:val="00C94012"/>
    <w:rsid w:val="00C94023"/>
    <w:rsid w:val="00C94422"/>
    <w:rsid w:val="00C94717"/>
    <w:rsid w:val="00C9475C"/>
    <w:rsid w:val="00C94B06"/>
    <w:rsid w:val="00C94BD6"/>
    <w:rsid w:val="00C94F17"/>
    <w:rsid w:val="00C94FDF"/>
    <w:rsid w:val="00C955DD"/>
    <w:rsid w:val="00C95613"/>
    <w:rsid w:val="00C956FE"/>
    <w:rsid w:val="00C95740"/>
    <w:rsid w:val="00C95BEE"/>
    <w:rsid w:val="00C96057"/>
    <w:rsid w:val="00C964DA"/>
    <w:rsid w:val="00C96541"/>
    <w:rsid w:val="00C9658D"/>
    <w:rsid w:val="00C96CEE"/>
    <w:rsid w:val="00C970F4"/>
    <w:rsid w:val="00C9744F"/>
    <w:rsid w:val="00C974DF"/>
    <w:rsid w:val="00C97521"/>
    <w:rsid w:val="00C97A7F"/>
    <w:rsid w:val="00C97BF1"/>
    <w:rsid w:val="00C97F2A"/>
    <w:rsid w:val="00CA0163"/>
    <w:rsid w:val="00CA0A49"/>
    <w:rsid w:val="00CA1230"/>
    <w:rsid w:val="00CA1512"/>
    <w:rsid w:val="00CA19E2"/>
    <w:rsid w:val="00CA1FFF"/>
    <w:rsid w:val="00CA2013"/>
    <w:rsid w:val="00CA222F"/>
    <w:rsid w:val="00CA2283"/>
    <w:rsid w:val="00CA25CD"/>
    <w:rsid w:val="00CA25EA"/>
    <w:rsid w:val="00CA2843"/>
    <w:rsid w:val="00CA2874"/>
    <w:rsid w:val="00CA28C2"/>
    <w:rsid w:val="00CA2939"/>
    <w:rsid w:val="00CA2A40"/>
    <w:rsid w:val="00CA2ADD"/>
    <w:rsid w:val="00CA2CA8"/>
    <w:rsid w:val="00CA3038"/>
    <w:rsid w:val="00CA3380"/>
    <w:rsid w:val="00CA34BE"/>
    <w:rsid w:val="00CA3BDF"/>
    <w:rsid w:val="00CA3D34"/>
    <w:rsid w:val="00CA46E5"/>
    <w:rsid w:val="00CA4C5F"/>
    <w:rsid w:val="00CA4C68"/>
    <w:rsid w:val="00CA511B"/>
    <w:rsid w:val="00CA51DA"/>
    <w:rsid w:val="00CA533E"/>
    <w:rsid w:val="00CA5690"/>
    <w:rsid w:val="00CA57D0"/>
    <w:rsid w:val="00CA58E7"/>
    <w:rsid w:val="00CA59B0"/>
    <w:rsid w:val="00CA59CA"/>
    <w:rsid w:val="00CA5C07"/>
    <w:rsid w:val="00CA5FC9"/>
    <w:rsid w:val="00CA608D"/>
    <w:rsid w:val="00CA6307"/>
    <w:rsid w:val="00CA67F4"/>
    <w:rsid w:val="00CA6A29"/>
    <w:rsid w:val="00CA6C25"/>
    <w:rsid w:val="00CA6E24"/>
    <w:rsid w:val="00CA70CB"/>
    <w:rsid w:val="00CA72F1"/>
    <w:rsid w:val="00CA7458"/>
    <w:rsid w:val="00CA7485"/>
    <w:rsid w:val="00CA7814"/>
    <w:rsid w:val="00CA7A22"/>
    <w:rsid w:val="00CA7BA4"/>
    <w:rsid w:val="00CA7BBE"/>
    <w:rsid w:val="00CA7CDE"/>
    <w:rsid w:val="00CA7EE3"/>
    <w:rsid w:val="00CB022C"/>
    <w:rsid w:val="00CB084E"/>
    <w:rsid w:val="00CB0A50"/>
    <w:rsid w:val="00CB0A5B"/>
    <w:rsid w:val="00CB0AF6"/>
    <w:rsid w:val="00CB0B54"/>
    <w:rsid w:val="00CB0B74"/>
    <w:rsid w:val="00CB0BBE"/>
    <w:rsid w:val="00CB0CA7"/>
    <w:rsid w:val="00CB1693"/>
    <w:rsid w:val="00CB19FE"/>
    <w:rsid w:val="00CB1DC9"/>
    <w:rsid w:val="00CB1E65"/>
    <w:rsid w:val="00CB20C1"/>
    <w:rsid w:val="00CB214D"/>
    <w:rsid w:val="00CB2167"/>
    <w:rsid w:val="00CB2417"/>
    <w:rsid w:val="00CB241D"/>
    <w:rsid w:val="00CB27F4"/>
    <w:rsid w:val="00CB2C75"/>
    <w:rsid w:val="00CB2DFF"/>
    <w:rsid w:val="00CB2F56"/>
    <w:rsid w:val="00CB2F9E"/>
    <w:rsid w:val="00CB2FAD"/>
    <w:rsid w:val="00CB2FB5"/>
    <w:rsid w:val="00CB352E"/>
    <w:rsid w:val="00CB3691"/>
    <w:rsid w:val="00CB3767"/>
    <w:rsid w:val="00CB39FB"/>
    <w:rsid w:val="00CB3A88"/>
    <w:rsid w:val="00CB3B0F"/>
    <w:rsid w:val="00CB3D6A"/>
    <w:rsid w:val="00CB494F"/>
    <w:rsid w:val="00CB4A9A"/>
    <w:rsid w:val="00CB505D"/>
    <w:rsid w:val="00CB5132"/>
    <w:rsid w:val="00CB5216"/>
    <w:rsid w:val="00CB5302"/>
    <w:rsid w:val="00CB545D"/>
    <w:rsid w:val="00CB569D"/>
    <w:rsid w:val="00CB5836"/>
    <w:rsid w:val="00CB5870"/>
    <w:rsid w:val="00CB59C3"/>
    <w:rsid w:val="00CB5AEF"/>
    <w:rsid w:val="00CB5DF1"/>
    <w:rsid w:val="00CB61CB"/>
    <w:rsid w:val="00CB62DC"/>
    <w:rsid w:val="00CB6801"/>
    <w:rsid w:val="00CB683D"/>
    <w:rsid w:val="00CB6920"/>
    <w:rsid w:val="00CB6A2E"/>
    <w:rsid w:val="00CB6F17"/>
    <w:rsid w:val="00CB7023"/>
    <w:rsid w:val="00CB72C3"/>
    <w:rsid w:val="00CB74E9"/>
    <w:rsid w:val="00CB7939"/>
    <w:rsid w:val="00CB7A73"/>
    <w:rsid w:val="00CB7DFD"/>
    <w:rsid w:val="00CC00A1"/>
    <w:rsid w:val="00CC0365"/>
    <w:rsid w:val="00CC04DF"/>
    <w:rsid w:val="00CC060B"/>
    <w:rsid w:val="00CC069B"/>
    <w:rsid w:val="00CC071A"/>
    <w:rsid w:val="00CC0935"/>
    <w:rsid w:val="00CC0B70"/>
    <w:rsid w:val="00CC0EB4"/>
    <w:rsid w:val="00CC1199"/>
    <w:rsid w:val="00CC11AB"/>
    <w:rsid w:val="00CC15CA"/>
    <w:rsid w:val="00CC1802"/>
    <w:rsid w:val="00CC18D0"/>
    <w:rsid w:val="00CC198E"/>
    <w:rsid w:val="00CC1EC3"/>
    <w:rsid w:val="00CC1F27"/>
    <w:rsid w:val="00CC2650"/>
    <w:rsid w:val="00CC26A3"/>
    <w:rsid w:val="00CC26B1"/>
    <w:rsid w:val="00CC26C3"/>
    <w:rsid w:val="00CC2B44"/>
    <w:rsid w:val="00CC2C73"/>
    <w:rsid w:val="00CC2E26"/>
    <w:rsid w:val="00CC311D"/>
    <w:rsid w:val="00CC3161"/>
    <w:rsid w:val="00CC32E5"/>
    <w:rsid w:val="00CC36E4"/>
    <w:rsid w:val="00CC3728"/>
    <w:rsid w:val="00CC3788"/>
    <w:rsid w:val="00CC3A1D"/>
    <w:rsid w:val="00CC3B8E"/>
    <w:rsid w:val="00CC3C2E"/>
    <w:rsid w:val="00CC3F88"/>
    <w:rsid w:val="00CC4022"/>
    <w:rsid w:val="00CC421A"/>
    <w:rsid w:val="00CC4488"/>
    <w:rsid w:val="00CC449B"/>
    <w:rsid w:val="00CC488A"/>
    <w:rsid w:val="00CC4E4E"/>
    <w:rsid w:val="00CC4E6A"/>
    <w:rsid w:val="00CC522E"/>
    <w:rsid w:val="00CC5546"/>
    <w:rsid w:val="00CC5678"/>
    <w:rsid w:val="00CC5897"/>
    <w:rsid w:val="00CC58CE"/>
    <w:rsid w:val="00CC593E"/>
    <w:rsid w:val="00CC5BE2"/>
    <w:rsid w:val="00CC5F3B"/>
    <w:rsid w:val="00CC6063"/>
    <w:rsid w:val="00CC6298"/>
    <w:rsid w:val="00CC62B2"/>
    <w:rsid w:val="00CC6920"/>
    <w:rsid w:val="00CC6A7F"/>
    <w:rsid w:val="00CC6BE3"/>
    <w:rsid w:val="00CC707B"/>
    <w:rsid w:val="00CC70DC"/>
    <w:rsid w:val="00CC7181"/>
    <w:rsid w:val="00CC7583"/>
    <w:rsid w:val="00CC7928"/>
    <w:rsid w:val="00CC79F2"/>
    <w:rsid w:val="00CC7C89"/>
    <w:rsid w:val="00CC7FA7"/>
    <w:rsid w:val="00CD02C6"/>
    <w:rsid w:val="00CD04F0"/>
    <w:rsid w:val="00CD06E6"/>
    <w:rsid w:val="00CD06E9"/>
    <w:rsid w:val="00CD0B11"/>
    <w:rsid w:val="00CD0B3C"/>
    <w:rsid w:val="00CD0EB4"/>
    <w:rsid w:val="00CD1410"/>
    <w:rsid w:val="00CD15AD"/>
    <w:rsid w:val="00CD1644"/>
    <w:rsid w:val="00CD16E6"/>
    <w:rsid w:val="00CD19CD"/>
    <w:rsid w:val="00CD1A4A"/>
    <w:rsid w:val="00CD1BEF"/>
    <w:rsid w:val="00CD1C4D"/>
    <w:rsid w:val="00CD1C60"/>
    <w:rsid w:val="00CD248E"/>
    <w:rsid w:val="00CD2611"/>
    <w:rsid w:val="00CD2AF4"/>
    <w:rsid w:val="00CD2C37"/>
    <w:rsid w:val="00CD2C73"/>
    <w:rsid w:val="00CD3096"/>
    <w:rsid w:val="00CD3AC8"/>
    <w:rsid w:val="00CD3D6A"/>
    <w:rsid w:val="00CD3E0C"/>
    <w:rsid w:val="00CD4191"/>
    <w:rsid w:val="00CD4311"/>
    <w:rsid w:val="00CD47A3"/>
    <w:rsid w:val="00CD4ADF"/>
    <w:rsid w:val="00CD518B"/>
    <w:rsid w:val="00CD566D"/>
    <w:rsid w:val="00CD5771"/>
    <w:rsid w:val="00CD59CB"/>
    <w:rsid w:val="00CD5B9C"/>
    <w:rsid w:val="00CD5D5E"/>
    <w:rsid w:val="00CD5DA1"/>
    <w:rsid w:val="00CD60CB"/>
    <w:rsid w:val="00CD627C"/>
    <w:rsid w:val="00CD66BE"/>
    <w:rsid w:val="00CD6A46"/>
    <w:rsid w:val="00CD7708"/>
    <w:rsid w:val="00CD7809"/>
    <w:rsid w:val="00CD7BE5"/>
    <w:rsid w:val="00CD7D89"/>
    <w:rsid w:val="00CD7F9B"/>
    <w:rsid w:val="00CE0039"/>
    <w:rsid w:val="00CE0378"/>
    <w:rsid w:val="00CE0A52"/>
    <w:rsid w:val="00CE0E13"/>
    <w:rsid w:val="00CE13B1"/>
    <w:rsid w:val="00CE152D"/>
    <w:rsid w:val="00CE183E"/>
    <w:rsid w:val="00CE1DF2"/>
    <w:rsid w:val="00CE20F8"/>
    <w:rsid w:val="00CE21A5"/>
    <w:rsid w:val="00CE21BC"/>
    <w:rsid w:val="00CE2209"/>
    <w:rsid w:val="00CE22C7"/>
    <w:rsid w:val="00CE23A8"/>
    <w:rsid w:val="00CE2502"/>
    <w:rsid w:val="00CE26FA"/>
    <w:rsid w:val="00CE29BC"/>
    <w:rsid w:val="00CE2BA6"/>
    <w:rsid w:val="00CE2BDC"/>
    <w:rsid w:val="00CE33BE"/>
    <w:rsid w:val="00CE371F"/>
    <w:rsid w:val="00CE3762"/>
    <w:rsid w:val="00CE3C15"/>
    <w:rsid w:val="00CE3C8E"/>
    <w:rsid w:val="00CE3E09"/>
    <w:rsid w:val="00CE3F6B"/>
    <w:rsid w:val="00CE4008"/>
    <w:rsid w:val="00CE4074"/>
    <w:rsid w:val="00CE430C"/>
    <w:rsid w:val="00CE47C7"/>
    <w:rsid w:val="00CE48E1"/>
    <w:rsid w:val="00CE4BC2"/>
    <w:rsid w:val="00CE4D3B"/>
    <w:rsid w:val="00CE4D9A"/>
    <w:rsid w:val="00CE4E4B"/>
    <w:rsid w:val="00CE4E70"/>
    <w:rsid w:val="00CE4F52"/>
    <w:rsid w:val="00CE4F83"/>
    <w:rsid w:val="00CE5319"/>
    <w:rsid w:val="00CE5592"/>
    <w:rsid w:val="00CE56E8"/>
    <w:rsid w:val="00CE5BF9"/>
    <w:rsid w:val="00CE5CD2"/>
    <w:rsid w:val="00CE5CD6"/>
    <w:rsid w:val="00CE5D05"/>
    <w:rsid w:val="00CE5D2F"/>
    <w:rsid w:val="00CE6267"/>
    <w:rsid w:val="00CE644A"/>
    <w:rsid w:val="00CE65DF"/>
    <w:rsid w:val="00CE67AE"/>
    <w:rsid w:val="00CE69E9"/>
    <w:rsid w:val="00CE6B7E"/>
    <w:rsid w:val="00CE73E4"/>
    <w:rsid w:val="00CE78D8"/>
    <w:rsid w:val="00CE7952"/>
    <w:rsid w:val="00CE7AF1"/>
    <w:rsid w:val="00CF01BF"/>
    <w:rsid w:val="00CF01EA"/>
    <w:rsid w:val="00CF0849"/>
    <w:rsid w:val="00CF0A18"/>
    <w:rsid w:val="00CF0A9F"/>
    <w:rsid w:val="00CF0BF5"/>
    <w:rsid w:val="00CF0E84"/>
    <w:rsid w:val="00CF0F8D"/>
    <w:rsid w:val="00CF1064"/>
    <w:rsid w:val="00CF1146"/>
    <w:rsid w:val="00CF127F"/>
    <w:rsid w:val="00CF14A9"/>
    <w:rsid w:val="00CF1625"/>
    <w:rsid w:val="00CF16CD"/>
    <w:rsid w:val="00CF1879"/>
    <w:rsid w:val="00CF1B60"/>
    <w:rsid w:val="00CF1EF0"/>
    <w:rsid w:val="00CF1F84"/>
    <w:rsid w:val="00CF2041"/>
    <w:rsid w:val="00CF2113"/>
    <w:rsid w:val="00CF231B"/>
    <w:rsid w:val="00CF2411"/>
    <w:rsid w:val="00CF250B"/>
    <w:rsid w:val="00CF2559"/>
    <w:rsid w:val="00CF2726"/>
    <w:rsid w:val="00CF28DD"/>
    <w:rsid w:val="00CF2A2A"/>
    <w:rsid w:val="00CF2BDA"/>
    <w:rsid w:val="00CF3219"/>
    <w:rsid w:val="00CF3337"/>
    <w:rsid w:val="00CF34F5"/>
    <w:rsid w:val="00CF34F6"/>
    <w:rsid w:val="00CF3616"/>
    <w:rsid w:val="00CF390E"/>
    <w:rsid w:val="00CF397C"/>
    <w:rsid w:val="00CF4144"/>
    <w:rsid w:val="00CF43AB"/>
    <w:rsid w:val="00CF4D66"/>
    <w:rsid w:val="00CF50CF"/>
    <w:rsid w:val="00CF5235"/>
    <w:rsid w:val="00CF5373"/>
    <w:rsid w:val="00CF5410"/>
    <w:rsid w:val="00CF54AE"/>
    <w:rsid w:val="00CF55E5"/>
    <w:rsid w:val="00CF5655"/>
    <w:rsid w:val="00CF57B1"/>
    <w:rsid w:val="00CF59E5"/>
    <w:rsid w:val="00CF5B5A"/>
    <w:rsid w:val="00CF5BD9"/>
    <w:rsid w:val="00CF5C50"/>
    <w:rsid w:val="00CF5E83"/>
    <w:rsid w:val="00CF604E"/>
    <w:rsid w:val="00CF62B0"/>
    <w:rsid w:val="00CF6484"/>
    <w:rsid w:val="00CF64DE"/>
    <w:rsid w:val="00CF660C"/>
    <w:rsid w:val="00CF6692"/>
    <w:rsid w:val="00CF6712"/>
    <w:rsid w:val="00CF67FE"/>
    <w:rsid w:val="00CF698A"/>
    <w:rsid w:val="00CF6B4C"/>
    <w:rsid w:val="00CF6D82"/>
    <w:rsid w:val="00CF70C7"/>
    <w:rsid w:val="00CF70DA"/>
    <w:rsid w:val="00CF77AB"/>
    <w:rsid w:val="00CF7903"/>
    <w:rsid w:val="00CF799D"/>
    <w:rsid w:val="00CF7E00"/>
    <w:rsid w:val="00CF7E43"/>
    <w:rsid w:val="00CF7F2E"/>
    <w:rsid w:val="00D0007E"/>
    <w:rsid w:val="00D000CF"/>
    <w:rsid w:val="00D0018D"/>
    <w:rsid w:val="00D006C2"/>
    <w:rsid w:val="00D007EA"/>
    <w:rsid w:val="00D00878"/>
    <w:rsid w:val="00D00893"/>
    <w:rsid w:val="00D00A45"/>
    <w:rsid w:val="00D00B0B"/>
    <w:rsid w:val="00D00DD4"/>
    <w:rsid w:val="00D00F7E"/>
    <w:rsid w:val="00D00FB6"/>
    <w:rsid w:val="00D01043"/>
    <w:rsid w:val="00D011BF"/>
    <w:rsid w:val="00D012BE"/>
    <w:rsid w:val="00D01450"/>
    <w:rsid w:val="00D01608"/>
    <w:rsid w:val="00D01628"/>
    <w:rsid w:val="00D0166B"/>
    <w:rsid w:val="00D016FB"/>
    <w:rsid w:val="00D01A98"/>
    <w:rsid w:val="00D01CDD"/>
    <w:rsid w:val="00D01EAC"/>
    <w:rsid w:val="00D0240E"/>
    <w:rsid w:val="00D0254B"/>
    <w:rsid w:val="00D0259A"/>
    <w:rsid w:val="00D025B6"/>
    <w:rsid w:val="00D025FA"/>
    <w:rsid w:val="00D02790"/>
    <w:rsid w:val="00D02B37"/>
    <w:rsid w:val="00D02BED"/>
    <w:rsid w:val="00D02BF1"/>
    <w:rsid w:val="00D02C23"/>
    <w:rsid w:val="00D02E94"/>
    <w:rsid w:val="00D02F69"/>
    <w:rsid w:val="00D031DF"/>
    <w:rsid w:val="00D033C7"/>
    <w:rsid w:val="00D034A6"/>
    <w:rsid w:val="00D03809"/>
    <w:rsid w:val="00D038BA"/>
    <w:rsid w:val="00D03ACE"/>
    <w:rsid w:val="00D03B18"/>
    <w:rsid w:val="00D03F8F"/>
    <w:rsid w:val="00D0430C"/>
    <w:rsid w:val="00D04536"/>
    <w:rsid w:val="00D045B0"/>
    <w:rsid w:val="00D046D1"/>
    <w:rsid w:val="00D04B00"/>
    <w:rsid w:val="00D04B7A"/>
    <w:rsid w:val="00D04F9F"/>
    <w:rsid w:val="00D05199"/>
    <w:rsid w:val="00D0534B"/>
    <w:rsid w:val="00D05479"/>
    <w:rsid w:val="00D05540"/>
    <w:rsid w:val="00D05644"/>
    <w:rsid w:val="00D0565B"/>
    <w:rsid w:val="00D05B64"/>
    <w:rsid w:val="00D06042"/>
    <w:rsid w:val="00D061B3"/>
    <w:rsid w:val="00D063BB"/>
    <w:rsid w:val="00D064BA"/>
    <w:rsid w:val="00D065DE"/>
    <w:rsid w:val="00D06AF1"/>
    <w:rsid w:val="00D06E7F"/>
    <w:rsid w:val="00D06EDE"/>
    <w:rsid w:val="00D06F60"/>
    <w:rsid w:val="00D07123"/>
    <w:rsid w:val="00D0765D"/>
    <w:rsid w:val="00D07A4E"/>
    <w:rsid w:val="00D07F45"/>
    <w:rsid w:val="00D07F82"/>
    <w:rsid w:val="00D100A5"/>
    <w:rsid w:val="00D100A6"/>
    <w:rsid w:val="00D10186"/>
    <w:rsid w:val="00D105A5"/>
    <w:rsid w:val="00D10844"/>
    <w:rsid w:val="00D108E8"/>
    <w:rsid w:val="00D10AAF"/>
    <w:rsid w:val="00D10C41"/>
    <w:rsid w:val="00D10EB6"/>
    <w:rsid w:val="00D1103C"/>
    <w:rsid w:val="00D11B26"/>
    <w:rsid w:val="00D1238C"/>
    <w:rsid w:val="00D123CE"/>
    <w:rsid w:val="00D1258F"/>
    <w:rsid w:val="00D125B4"/>
    <w:rsid w:val="00D1279E"/>
    <w:rsid w:val="00D12A5C"/>
    <w:rsid w:val="00D12BC6"/>
    <w:rsid w:val="00D12BE8"/>
    <w:rsid w:val="00D13775"/>
    <w:rsid w:val="00D137BC"/>
    <w:rsid w:val="00D1396C"/>
    <w:rsid w:val="00D13FCE"/>
    <w:rsid w:val="00D14013"/>
    <w:rsid w:val="00D14246"/>
    <w:rsid w:val="00D14599"/>
    <w:rsid w:val="00D14692"/>
    <w:rsid w:val="00D14930"/>
    <w:rsid w:val="00D14961"/>
    <w:rsid w:val="00D14E2C"/>
    <w:rsid w:val="00D14FBB"/>
    <w:rsid w:val="00D152A3"/>
    <w:rsid w:val="00D153B0"/>
    <w:rsid w:val="00D153E2"/>
    <w:rsid w:val="00D15472"/>
    <w:rsid w:val="00D156EE"/>
    <w:rsid w:val="00D15858"/>
    <w:rsid w:val="00D15B24"/>
    <w:rsid w:val="00D15B2A"/>
    <w:rsid w:val="00D15BB5"/>
    <w:rsid w:val="00D15C9F"/>
    <w:rsid w:val="00D15E15"/>
    <w:rsid w:val="00D15FD4"/>
    <w:rsid w:val="00D166BC"/>
    <w:rsid w:val="00D1697D"/>
    <w:rsid w:val="00D16A7D"/>
    <w:rsid w:val="00D16C85"/>
    <w:rsid w:val="00D16D7E"/>
    <w:rsid w:val="00D16D81"/>
    <w:rsid w:val="00D16F7A"/>
    <w:rsid w:val="00D16FF5"/>
    <w:rsid w:val="00D17008"/>
    <w:rsid w:val="00D171D4"/>
    <w:rsid w:val="00D173B1"/>
    <w:rsid w:val="00D174C8"/>
    <w:rsid w:val="00D177C3"/>
    <w:rsid w:val="00D178B2"/>
    <w:rsid w:val="00D17BEE"/>
    <w:rsid w:val="00D17C03"/>
    <w:rsid w:val="00D17C8C"/>
    <w:rsid w:val="00D204BE"/>
    <w:rsid w:val="00D20832"/>
    <w:rsid w:val="00D20F14"/>
    <w:rsid w:val="00D210BB"/>
    <w:rsid w:val="00D21222"/>
    <w:rsid w:val="00D2135E"/>
    <w:rsid w:val="00D21539"/>
    <w:rsid w:val="00D2155C"/>
    <w:rsid w:val="00D22354"/>
    <w:rsid w:val="00D22385"/>
    <w:rsid w:val="00D22402"/>
    <w:rsid w:val="00D2258E"/>
    <w:rsid w:val="00D22D52"/>
    <w:rsid w:val="00D22E37"/>
    <w:rsid w:val="00D22F3D"/>
    <w:rsid w:val="00D23070"/>
    <w:rsid w:val="00D23261"/>
    <w:rsid w:val="00D233FC"/>
    <w:rsid w:val="00D23619"/>
    <w:rsid w:val="00D23818"/>
    <w:rsid w:val="00D23D43"/>
    <w:rsid w:val="00D24478"/>
    <w:rsid w:val="00D24579"/>
    <w:rsid w:val="00D2483F"/>
    <w:rsid w:val="00D24934"/>
    <w:rsid w:val="00D24A5C"/>
    <w:rsid w:val="00D24BE2"/>
    <w:rsid w:val="00D253CA"/>
    <w:rsid w:val="00D2591F"/>
    <w:rsid w:val="00D259F0"/>
    <w:rsid w:val="00D25A12"/>
    <w:rsid w:val="00D25B9E"/>
    <w:rsid w:val="00D25BB8"/>
    <w:rsid w:val="00D25D9D"/>
    <w:rsid w:val="00D262C0"/>
    <w:rsid w:val="00D2642E"/>
    <w:rsid w:val="00D2658E"/>
    <w:rsid w:val="00D26626"/>
    <w:rsid w:val="00D268B5"/>
    <w:rsid w:val="00D268D0"/>
    <w:rsid w:val="00D26A39"/>
    <w:rsid w:val="00D2723A"/>
    <w:rsid w:val="00D27294"/>
    <w:rsid w:val="00D275EB"/>
    <w:rsid w:val="00D276C5"/>
    <w:rsid w:val="00D2794D"/>
    <w:rsid w:val="00D27AE4"/>
    <w:rsid w:val="00D27D6D"/>
    <w:rsid w:val="00D27FEF"/>
    <w:rsid w:val="00D307B9"/>
    <w:rsid w:val="00D30818"/>
    <w:rsid w:val="00D30C95"/>
    <w:rsid w:val="00D30E1F"/>
    <w:rsid w:val="00D3108B"/>
    <w:rsid w:val="00D31277"/>
    <w:rsid w:val="00D31464"/>
    <w:rsid w:val="00D3155B"/>
    <w:rsid w:val="00D31756"/>
    <w:rsid w:val="00D318A5"/>
    <w:rsid w:val="00D318FB"/>
    <w:rsid w:val="00D319AE"/>
    <w:rsid w:val="00D31A1A"/>
    <w:rsid w:val="00D31B5D"/>
    <w:rsid w:val="00D31B91"/>
    <w:rsid w:val="00D31DC6"/>
    <w:rsid w:val="00D31FF0"/>
    <w:rsid w:val="00D32154"/>
    <w:rsid w:val="00D321D0"/>
    <w:rsid w:val="00D32315"/>
    <w:rsid w:val="00D32466"/>
    <w:rsid w:val="00D32488"/>
    <w:rsid w:val="00D32579"/>
    <w:rsid w:val="00D325CF"/>
    <w:rsid w:val="00D32AEF"/>
    <w:rsid w:val="00D32BE6"/>
    <w:rsid w:val="00D32D9D"/>
    <w:rsid w:val="00D32E3D"/>
    <w:rsid w:val="00D32EA2"/>
    <w:rsid w:val="00D33B73"/>
    <w:rsid w:val="00D33BB5"/>
    <w:rsid w:val="00D33BBA"/>
    <w:rsid w:val="00D33CD8"/>
    <w:rsid w:val="00D33F4B"/>
    <w:rsid w:val="00D3447C"/>
    <w:rsid w:val="00D347FB"/>
    <w:rsid w:val="00D34BBB"/>
    <w:rsid w:val="00D34E35"/>
    <w:rsid w:val="00D34F90"/>
    <w:rsid w:val="00D353A2"/>
    <w:rsid w:val="00D356F6"/>
    <w:rsid w:val="00D35736"/>
    <w:rsid w:val="00D35784"/>
    <w:rsid w:val="00D35FE3"/>
    <w:rsid w:val="00D36B30"/>
    <w:rsid w:val="00D36E03"/>
    <w:rsid w:val="00D36E9D"/>
    <w:rsid w:val="00D371A4"/>
    <w:rsid w:val="00D37267"/>
    <w:rsid w:val="00D37296"/>
    <w:rsid w:val="00D37383"/>
    <w:rsid w:val="00D375B2"/>
    <w:rsid w:val="00D375E0"/>
    <w:rsid w:val="00D377CB"/>
    <w:rsid w:val="00D37BEB"/>
    <w:rsid w:val="00D37D0F"/>
    <w:rsid w:val="00D401DC"/>
    <w:rsid w:val="00D404A0"/>
    <w:rsid w:val="00D406F0"/>
    <w:rsid w:val="00D40BAC"/>
    <w:rsid w:val="00D40C54"/>
    <w:rsid w:val="00D40DC0"/>
    <w:rsid w:val="00D40F67"/>
    <w:rsid w:val="00D411D6"/>
    <w:rsid w:val="00D416E5"/>
    <w:rsid w:val="00D41836"/>
    <w:rsid w:val="00D42824"/>
    <w:rsid w:val="00D42E74"/>
    <w:rsid w:val="00D430DC"/>
    <w:rsid w:val="00D4319A"/>
    <w:rsid w:val="00D43486"/>
    <w:rsid w:val="00D435A9"/>
    <w:rsid w:val="00D439D7"/>
    <w:rsid w:val="00D43B4B"/>
    <w:rsid w:val="00D43B6A"/>
    <w:rsid w:val="00D43E8F"/>
    <w:rsid w:val="00D4400D"/>
    <w:rsid w:val="00D44171"/>
    <w:rsid w:val="00D4431D"/>
    <w:rsid w:val="00D4443F"/>
    <w:rsid w:val="00D444A8"/>
    <w:rsid w:val="00D444CD"/>
    <w:rsid w:val="00D4453A"/>
    <w:rsid w:val="00D44C48"/>
    <w:rsid w:val="00D44EA9"/>
    <w:rsid w:val="00D450CA"/>
    <w:rsid w:val="00D45121"/>
    <w:rsid w:val="00D4517F"/>
    <w:rsid w:val="00D45484"/>
    <w:rsid w:val="00D4550C"/>
    <w:rsid w:val="00D45778"/>
    <w:rsid w:val="00D4577B"/>
    <w:rsid w:val="00D4593E"/>
    <w:rsid w:val="00D45A61"/>
    <w:rsid w:val="00D45ADB"/>
    <w:rsid w:val="00D45D7E"/>
    <w:rsid w:val="00D45EE7"/>
    <w:rsid w:val="00D45EF2"/>
    <w:rsid w:val="00D4605A"/>
    <w:rsid w:val="00D4609E"/>
    <w:rsid w:val="00D461E4"/>
    <w:rsid w:val="00D46451"/>
    <w:rsid w:val="00D46565"/>
    <w:rsid w:val="00D46670"/>
    <w:rsid w:val="00D46723"/>
    <w:rsid w:val="00D46943"/>
    <w:rsid w:val="00D4696D"/>
    <w:rsid w:val="00D46B08"/>
    <w:rsid w:val="00D46B4E"/>
    <w:rsid w:val="00D46BD9"/>
    <w:rsid w:val="00D46C7F"/>
    <w:rsid w:val="00D46D6E"/>
    <w:rsid w:val="00D47212"/>
    <w:rsid w:val="00D47385"/>
    <w:rsid w:val="00D477DB"/>
    <w:rsid w:val="00D47800"/>
    <w:rsid w:val="00D5005D"/>
    <w:rsid w:val="00D50724"/>
    <w:rsid w:val="00D50961"/>
    <w:rsid w:val="00D50B09"/>
    <w:rsid w:val="00D50B0D"/>
    <w:rsid w:val="00D50CAA"/>
    <w:rsid w:val="00D51008"/>
    <w:rsid w:val="00D510B2"/>
    <w:rsid w:val="00D51177"/>
    <w:rsid w:val="00D512E1"/>
    <w:rsid w:val="00D51435"/>
    <w:rsid w:val="00D5187C"/>
    <w:rsid w:val="00D518E5"/>
    <w:rsid w:val="00D51B7E"/>
    <w:rsid w:val="00D51BEE"/>
    <w:rsid w:val="00D51FF5"/>
    <w:rsid w:val="00D5274A"/>
    <w:rsid w:val="00D52A05"/>
    <w:rsid w:val="00D530C8"/>
    <w:rsid w:val="00D532E5"/>
    <w:rsid w:val="00D53327"/>
    <w:rsid w:val="00D537A0"/>
    <w:rsid w:val="00D53BA9"/>
    <w:rsid w:val="00D53F89"/>
    <w:rsid w:val="00D5433D"/>
    <w:rsid w:val="00D544F7"/>
    <w:rsid w:val="00D54648"/>
    <w:rsid w:val="00D54677"/>
    <w:rsid w:val="00D54CA2"/>
    <w:rsid w:val="00D556F5"/>
    <w:rsid w:val="00D55853"/>
    <w:rsid w:val="00D55936"/>
    <w:rsid w:val="00D55B18"/>
    <w:rsid w:val="00D55B1A"/>
    <w:rsid w:val="00D55B3D"/>
    <w:rsid w:val="00D55B72"/>
    <w:rsid w:val="00D55BA3"/>
    <w:rsid w:val="00D55D74"/>
    <w:rsid w:val="00D55EA5"/>
    <w:rsid w:val="00D56539"/>
    <w:rsid w:val="00D5657B"/>
    <w:rsid w:val="00D565EF"/>
    <w:rsid w:val="00D566B2"/>
    <w:rsid w:val="00D5678E"/>
    <w:rsid w:val="00D56985"/>
    <w:rsid w:val="00D5726B"/>
    <w:rsid w:val="00D572A6"/>
    <w:rsid w:val="00D578D9"/>
    <w:rsid w:val="00D578E6"/>
    <w:rsid w:val="00D5790F"/>
    <w:rsid w:val="00D60142"/>
    <w:rsid w:val="00D60538"/>
    <w:rsid w:val="00D60780"/>
    <w:rsid w:val="00D60C80"/>
    <w:rsid w:val="00D60D21"/>
    <w:rsid w:val="00D61089"/>
    <w:rsid w:val="00D611A4"/>
    <w:rsid w:val="00D6120C"/>
    <w:rsid w:val="00D61292"/>
    <w:rsid w:val="00D612C3"/>
    <w:rsid w:val="00D6130F"/>
    <w:rsid w:val="00D613BB"/>
    <w:rsid w:val="00D614B1"/>
    <w:rsid w:val="00D61627"/>
    <w:rsid w:val="00D616A1"/>
    <w:rsid w:val="00D6172F"/>
    <w:rsid w:val="00D61AE1"/>
    <w:rsid w:val="00D61C09"/>
    <w:rsid w:val="00D61C90"/>
    <w:rsid w:val="00D61CB0"/>
    <w:rsid w:val="00D61ECF"/>
    <w:rsid w:val="00D61F97"/>
    <w:rsid w:val="00D623A7"/>
    <w:rsid w:val="00D623C2"/>
    <w:rsid w:val="00D62431"/>
    <w:rsid w:val="00D62875"/>
    <w:rsid w:val="00D628FA"/>
    <w:rsid w:val="00D63594"/>
    <w:rsid w:val="00D63659"/>
    <w:rsid w:val="00D637ED"/>
    <w:rsid w:val="00D63979"/>
    <w:rsid w:val="00D63A7C"/>
    <w:rsid w:val="00D63C0E"/>
    <w:rsid w:val="00D63C54"/>
    <w:rsid w:val="00D63F1A"/>
    <w:rsid w:val="00D6405E"/>
    <w:rsid w:val="00D6447F"/>
    <w:rsid w:val="00D644D3"/>
    <w:rsid w:val="00D6465C"/>
    <w:rsid w:val="00D646AB"/>
    <w:rsid w:val="00D64880"/>
    <w:rsid w:val="00D64E9C"/>
    <w:rsid w:val="00D65081"/>
    <w:rsid w:val="00D65090"/>
    <w:rsid w:val="00D65235"/>
    <w:rsid w:val="00D65465"/>
    <w:rsid w:val="00D6557B"/>
    <w:rsid w:val="00D65594"/>
    <w:rsid w:val="00D656DA"/>
    <w:rsid w:val="00D659F7"/>
    <w:rsid w:val="00D6658A"/>
    <w:rsid w:val="00D666E2"/>
    <w:rsid w:val="00D66D88"/>
    <w:rsid w:val="00D66DAF"/>
    <w:rsid w:val="00D66E33"/>
    <w:rsid w:val="00D66F01"/>
    <w:rsid w:val="00D6704B"/>
    <w:rsid w:val="00D673CC"/>
    <w:rsid w:val="00D6796F"/>
    <w:rsid w:val="00D67AA8"/>
    <w:rsid w:val="00D67BB2"/>
    <w:rsid w:val="00D67E9F"/>
    <w:rsid w:val="00D67F27"/>
    <w:rsid w:val="00D708EB"/>
    <w:rsid w:val="00D70B56"/>
    <w:rsid w:val="00D70C9C"/>
    <w:rsid w:val="00D70E76"/>
    <w:rsid w:val="00D70F71"/>
    <w:rsid w:val="00D71352"/>
    <w:rsid w:val="00D714F6"/>
    <w:rsid w:val="00D716C9"/>
    <w:rsid w:val="00D71798"/>
    <w:rsid w:val="00D71A52"/>
    <w:rsid w:val="00D71CA4"/>
    <w:rsid w:val="00D71EED"/>
    <w:rsid w:val="00D7236E"/>
    <w:rsid w:val="00D72446"/>
    <w:rsid w:val="00D72463"/>
    <w:rsid w:val="00D72557"/>
    <w:rsid w:val="00D72691"/>
    <w:rsid w:val="00D7269F"/>
    <w:rsid w:val="00D7298D"/>
    <w:rsid w:val="00D72AFB"/>
    <w:rsid w:val="00D72B91"/>
    <w:rsid w:val="00D72CB8"/>
    <w:rsid w:val="00D72D1E"/>
    <w:rsid w:val="00D72D7B"/>
    <w:rsid w:val="00D72DE7"/>
    <w:rsid w:val="00D72E7C"/>
    <w:rsid w:val="00D72F95"/>
    <w:rsid w:val="00D73125"/>
    <w:rsid w:val="00D731EC"/>
    <w:rsid w:val="00D732DF"/>
    <w:rsid w:val="00D736A1"/>
    <w:rsid w:val="00D73768"/>
    <w:rsid w:val="00D73ACB"/>
    <w:rsid w:val="00D73B67"/>
    <w:rsid w:val="00D73C39"/>
    <w:rsid w:val="00D73CC6"/>
    <w:rsid w:val="00D73F71"/>
    <w:rsid w:val="00D73FD8"/>
    <w:rsid w:val="00D741DE"/>
    <w:rsid w:val="00D742E2"/>
    <w:rsid w:val="00D74662"/>
    <w:rsid w:val="00D7493A"/>
    <w:rsid w:val="00D74D63"/>
    <w:rsid w:val="00D752D2"/>
    <w:rsid w:val="00D75739"/>
    <w:rsid w:val="00D75845"/>
    <w:rsid w:val="00D758CB"/>
    <w:rsid w:val="00D75975"/>
    <w:rsid w:val="00D759E4"/>
    <w:rsid w:val="00D75AA4"/>
    <w:rsid w:val="00D75CA7"/>
    <w:rsid w:val="00D75EB2"/>
    <w:rsid w:val="00D75FED"/>
    <w:rsid w:val="00D76161"/>
    <w:rsid w:val="00D7641A"/>
    <w:rsid w:val="00D76B03"/>
    <w:rsid w:val="00D76B64"/>
    <w:rsid w:val="00D76EC0"/>
    <w:rsid w:val="00D76F15"/>
    <w:rsid w:val="00D7700D"/>
    <w:rsid w:val="00D77238"/>
    <w:rsid w:val="00D774B0"/>
    <w:rsid w:val="00D7762B"/>
    <w:rsid w:val="00D777D0"/>
    <w:rsid w:val="00D77814"/>
    <w:rsid w:val="00D778AA"/>
    <w:rsid w:val="00D77C08"/>
    <w:rsid w:val="00D80015"/>
    <w:rsid w:val="00D8003E"/>
    <w:rsid w:val="00D8006C"/>
    <w:rsid w:val="00D8025D"/>
    <w:rsid w:val="00D802E5"/>
    <w:rsid w:val="00D8040D"/>
    <w:rsid w:val="00D805DB"/>
    <w:rsid w:val="00D80714"/>
    <w:rsid w:val="00D80752"/>
    <w:rsid w:val="00D8081A"/>
    <w:rsid w:val="00D80972"/>
    <w:rsid w:val="00D80ACA"/>
    <w:rsid w:val="00D81598"/>
    <w:rsid w:val="00D81764"/>
    <w:rsid w:val="00D81A62"/>
    <w:rsid w:val="00D81D27"/>
    <w:rsid w:val="00D82264"/>
    <w:rsid w:val="00D82286"/>
    <w:rsid w:val="00D82767"/>
    <w:rsid w:val="00D8293B"/>
    <w:rsid w:val="00D82B6E"/>
    <w:rsid w:val="00D82CAB"/>
    <w:rsid w:val="00D83023"/>
    <w:rsid w:val="00D83371"/>
    <w:rsid w:val="00D834CC"/>
    <w:rsid w:val="00D8371F"/>
    <w:rsid w:val="00D8394A"/>
    <w:rsid w:val="00D83980"/>
    <w:rsid w:val="00D839A6"/>
    <w:rsid w:val="00D8403A"/>
    <w:rsid w:val="00D84320"/>
    <w:rsid w:val="00D8436A"/>
    <w:rsid w:val="00D844D8"/>
    <w:rsid w:val="00D847D2"/>
    <w:rsid w:val="00D849AC"/>
    <w:rsid w:val="00D84BB1"/>
    <w:rsid w:val="00D84E2E"/>
    <w:rsid w:val="00D84E37"/>
    <w:rsid w:val="00D84F04"/>
    <w:rsid w:val="00D84F61"/>
    <w:rsid w:val="00D850DE"/>
    <w:rsid w:val="00D8511E"/>
    <w:rsid w:val="00D85619"/>
    <w:rsid w:val="00D85632"/>
    <w:rsid w:val="00D8566C"/>
    <w:rsid w:val="00D857D1"/>
    <w:rsid w:val="00D85B81"/>
    <w:rsid w:val="00D85D2E"/>
    <w:rsid w:val="00D85D73"/>
    <w:rsid w:val="00D85F04"/>
    <w:rsid w:val="00D85FEF"/>
    <w:rsid w:val="00D8618F"/>
    <w:rsid w:val="00D8621F"/>
    <w:rsid w:val="00D8643D"/>
    <w:rsid w:val="00D865A6"/>
    <w:rsid w:val="00D86AE2"/>
    <w:rsid w:val="00D86D37"/>
    <w:rsid w:val="00D86D48"/>
    <w:rsid w:val="00D873C0"/>
    <w:rsid w:val="00D87462"/>
    <w:rsid w:val="00D875A8"/>
    <w:rsid w:val="00D875FE"/>
    <w:rsid w:val="00D87638"/>
    <w:rsid w:val="00D87DBC"/>
    <w:rsid w:val="00D87E52"/>
    <w:rsid w:val="00D90001"/>
    <w:rsid w:val="00D90428"/>
    <w:rsid w:val="00D904B8"/>
    <w:rsid w:val="00D9059C"/>
    <w:rsid w:val="00D90619"/>
    <w:rsid w:val="00D90713"/>
    <w:rsid w:val="00D907D8"/>
    <w:rsid w:val="00D9085E"/>
    <w:rsid w:val="00D90A00"/>
    <w:rsid w:val="00D90B24"/>
    <w:rsid w:val="00D90B63"/>
    <w:rsid w:val="00D90C79"/>
    <w:rsid w:val="00D91D3D"/>
    <w:rsid w:val="00D91E1C"/>
    <w:rsid w:val="00D92101"/>
    <w:rsid w:val="00D921F1"/>
    <w:rsid w:val="00D9220F"/>
    <w:rsid w:val="00D9231A"/>
    <w:rsid w:val="00D92355"/>
    <w:rsid w:val="00D92A95"/>
    <w:rsid w:val="00D92BF3"/>
    <w:rsid w:val="00D92C6B"/>
    <w:rsid w:val="00D92F0F"/>
    <w:rsid w:val="00D92F21"/>
    <w:rsid w:val="00D9318B"/>
    <w:rsid w:val="00D9334E"/>
    <w:rsid w:val="00D9335D"/>
    <w:rsid w:val="00D93765"/>
    <w:rsid w:val="00D93C5E"/>
    <w:rsid w:val="00D93E54"/>
    <w:rsid w:val="00D940BD"/>
    <w:rsid w:val="00D94218"/>
    <w:rsid w:val="00D94380"/>
    <w:rsid w:val="00D94453"/>
    <w:rsid w:val="00D9468D"/>
    <w:rsid w:val="00D946B4"/>
    <w:rsid w:val="00D94B49"/>
    <w:rsid w:val="00D94DE5"/>
    <w:rsid w:val="00D94EEA"/>
    <w:rsid w:val="00D95053"/>
    <w:rsid w:val="00D95190"/>
    <w:rsid w:val="00D952D4"/>
    <w:rsid w:val="00D955D5"/>
    <w:rsid w:val="00D956A1"/>
    <w:rsid w:val="00D9587B"/>
    <w:rsid w:val="00D95A6E"/>
    <w:rsid w:val="00D95FA9"/>
    <w:rsid w:val="00D9629F"/>
    <w:rsid w:val="00D96503"/>
    <w:rsid w:val="00D96D9A"/>
    <w:rsid w:val="00D97160"/>
    <w:rsid w:val="00D972EC"/>
    <w:rsid w:val="00D9763A"/>
    <w:rsid w:val="00D976A6"/>
    <w:rsid w:val="00D977A9"/>
    <w:rsid w:val="00D9784C"/>
    <w:rsid w:val="00D97CCA"/>
    <w:rsid w:val="00D97E54"/>
    <w:rsid w:val="00DA01BF"/>
    <w:rsid w:val="00DA0371"/>
    <w:rsid w:val="00DA037C"/>
    <w:rsid w:val="00DA0429"/>
    <w:rsid w:val="00DA0699"/>
    <w:rsid w:val="00DA078D"/>
    <w:rsid w:val="00DA081D"/>
    <w:rsid w:val="00DA093D"/>
    <w:rsid w:val="00DA0AF6"/>
    <w:rsid w:val="00DA0F69"/>
    <w:rsid w:val="00DA1209"/>
    <w:rsid w:val="00DA1A54"/>
    <w:rsid w:val="00DA2744"/>
    <w:rsid w:val="00DA27F3"/>
    <w:rsid w:val="00DA2918"/>
    <w:rsid w:val="00DA32DF"/>
    <w:rsid w:val="00DA3417"/>
    <w:rsid w:val="00DA341C"/>
    <w:rsid w:val="00DA35A6"/>
    <w:rsid w:val="00DA384C"/>
    <w:rsid w:val="00DA3BE7"/>
    <w:rsid w:val="00DA3C85"/>
    <w:rsid w:val="00DA3F58"/>
    <w:rsid w:val="00DA432A"/>
    <w:rsid w:val="00DA4649"/>
    <w:rsid w:val="00DA4713"/>
    <w:rsid w:val="00DA47FA"/>
    <w:rsid w:val="00DA4873"/>
    <w:rsid w:val="00DA4A01"/>
    <w:rsid w:val="00DA4A48"/>
    <w:rsid w:val="00DA4B53"/>
    <w:rsid w:val="00DA4EF1"/>
    <w:rsid w:val="00DA4F63"/>
    <w:rsid w:val="00DA5163"/>
    <w:rsid w:val="00DA52EE"/>
    <w:rsid w:val="00DA59BF"/>
    <w:rsid w:val="00DA59F4"/>
    <w:rsid w:val="00DA5B2E"/>
    <w:rsid w:val="00DA5BB4"/>
    <w:rsid w:val="00DA6EC0"/>
    <w:rsid w:val="00DA70CB"/>
    <w:rsid w:val="00DA716B"/>
    <w:rsid w:val="00DA7513"/>
    <w:rsid w:val="00DA75F1"/>
    <w:rsid w:val="00DA7717"/>
    <w:rsid w:val="00DA78DC"/>
    <w:rsid w:val="00DA7A88"/>
    <w:rsid w:val="00DA7D36"/>
    <w:rsid w:val="00DA7E22"/>
    <w:rsid w:val="00DA7E31"/>
    <w:rsid w:val="00DA7FE1"/>
    <w:rsid w:val="00DB03FD"/>
    <w:rsid w:val="00DB0833"/>
    <w:rsid w:val="00DB0BD5"/>
    <w:rsid w:val="00DB0DCC"/>
    <w:rsid w:val="00DB1166"/>
    <w:rsid w:val="00DB11A3"/>
    <w:rsid w:val="00DB1CCB"/>
    <w:rsid w:val="00DB1E16"/>
    <w:rsid w:val="00DB2003"/>
    <w:rsid w:val="00DB2128"/>
    <w:rsid w:val="00DB219F"/>
    <w:rsid w:val="00DB249E"/>
    <w:rsid w:val="00DB2558"/>
    <w:rsid w:val="00DB2C3A"/>
    <w:rsid w:val="00DB3373"/>
    <w:rsid w:val="00DB34F1"/>
    <w:rsid w:val="00DB3529"/>
    <w:rsid w:val="00DB3979"/>
    <w:rsid w:val="00DB3EB0"/>
    <w:rsid w:val="00DB43D1"/>
    <w:rsid w:val="00DB47E2"/>
    <w:rsid w:val="00DB484B"/>
    <w:rsid w:val="00DB48B0"/>
    <w:rsid w:val="00DB48CB"/>
    <w:rsid w:val="00DB499E"/>
    <w:rsid w:val="00DB4BCB"/>
    <w:rsid w:val="00DB500D"/>
    <w:rsid w:val="00DB529E"/>
    <w:rsid w:val="00DB53CA"/>
    <w:rsid w:val="00DB574F"/>
    <w:rsid w:val="00DB57E9"/>
    <w:rsid w:val="00DB58B5"/>
    <w:rsid w:val="00DB594C"/>
    <w:rsid w:val="00DB5978"/>
    <w:rsid w:val="00DB5A74"/>
    <w:rsid w:val="00DB629A"/>
    <w:rsid w:val="00DB6309"/>
    <w:rsid w:val="00DB6433"/>
    <w:rsid w:val="00DB6862"/>
    <w:rsid w:val="00DB6872"/>
    <w:rsid w:val="00DB6999"/>
    <w:rsid w:val="00DB69CC"/>
    <w:rsid w:val="00DB6A2B"/>
    <w:rsid w:val="00DB6A86"/>
    <w:rsid w:val="00DB6AED"/>
    <w:rsid w:val="00DB6BFC"/>
    <w:rsid w:val="00DB6CFA"/>
    <w:rsid w:val="00DB6E89"/>
    <w:rsid w:val="00DB6FC4"/>
    <w:rsid w:val="00DB70CD"/>
    <w:rsid w:val="00DB7291"/>
    <w:rsid w:val="00DB7724"/>
    <w:rsid w:val="00DB7928"/>
    <w:rsid w:val="00DB793B"/>
    <w:rsid w:val="00DB7D32"/>
    <w:rsid w:val="00DB7E23"/>
    <w:rsid w:val="00DB7EAF"/>
    <w:rsid w:val="00DC008F"/>
    <w:rsid w:val="00DC02E1"/>
    <w:rsid w:val="00DC0DE9"/>
    <w:rsid w:val="00DC0F18"/>
    <w:rsid w:val="00DC10E0"/>
    <w:rsid w:val="00DC1353"/>
    <w:rsid w:val="00DC1364"/>
    <w:rsid w:val="00DC1558"/>
    <w:rsid w:val="00DC15A0"/>
    <w:rsid w:val="00DC15E1"/>
    <w:rsid w:val="00DC1896"/>
    <w:rsid w:val="00DC1BCE"/>
    <w:rsid w:val="00DC1CCA"/>
    <w:rsid w:val="00DC1E57"/>
    <w:rsid w:val="00DC2322"/>
    <w:rsid w:val="00DC24F5"/>
    <w:rsid w:val="00DC25D3"/>
    <w:rsid w:val="00DC2836"/>
    <w:rsid w:val="00DC29EB"/>
    <w:rsid w:val="00DC2B62"/>
    <w:rsid w:val="00DC2C76"/>
    <w:rsid w:val="00DC3055"/>
    <w:rsid w:val="00DC3241"/>
    <w:rsid w:val="00DC33A6"/>
    <w:rsid w:val="00DC3BB3"/>
    <w:rsid w:val="00DC3BF7"/>
    <w:rsid w:val="00DC3D1B"/>
    <w:rsid w:val="00DC3ED6"/>
    <w:rsid w:val="00DC423B"/>
    <w:rsid w:val="00DC438D"/>
    <w:rsid w:val="00DC4463"/>
    <w:rsid w:val="00DC4913"/>
    <w:rsid w:val="00DC4B36"/>
    <w:rsid w:val="00DC4E2C"/>
    <w:rsid w:val="00DC4F48"/>
    <w:rsid w:val="00DC53B6"/>
    <w:rsid w:val="00DC56CE"/>
    <w:rsid w:val="00DC5872"/>
    <w:rsid w:val="00DC589C"/>
    <w:rsid w:val="00DC58FC"/>
    <w:rsid w:val="00DC5AA0"/>
    <w:rsid w:val="00DC5B71"/>
    <w:rsid w:val="00DC5BDC"/>
    <w:rsid w:val="00DC6165"/>
    <w:rsid w:val="00DC61F6"/>
    <w:rsid w:val="00DC634D"/>
    <w:rsid w:val="00DC63CB"/>
    <w:rsid w:val="00DC6524"/>
    <w:rsid w:val="00DC654B"/>
    <w:rsid w:val="00DC6642"/>
    <w:rsid w:val="00DC69C8"/>
    <w:rsid w:val="00DC6B7A"/>
    <w:rsid w:val="00DC6E46"/>
    <w:rsid w:val="00DC6EF2"/>
    <w:rsid w:val="00DC7758"/>
    <w:rsid w:val="00DC7788"/>
    <w:rsid w:val="00DC7D14"/>
    <w:rsid w:val="00DC7E7E"/>
    <w:rsid w:val="00DC7E90"/>
    <w:rsid w:val="00DC7EC3"/>
    <w:rsid w:val="00DD00B7"/>
    <w:rsid w:val="00DD015A"/>
    <w:rsid w:val="00DD0168"/>
    <w:rsid w:val="00DD0259"/>
    <w:rsid w:val="00DD031F"/>
    <w:rsid w:val="00DD062F"/>
    <w:rsid w:val="00DD0634"/>
    <w:rsid w:val="00DD078D"/>
    <w:rsid w:val="00DD08B8"/>
    <w:rsid w:val="00DD0BD4"/>
    <w:rsid w:val="00DD0FF0"/>
    <w:rsid w:val="00DD10CD"/>
    <w:rsid w:val="00DD1244"/>
    <w:rsid w:val="00DD1332"/>
    <w:rsid w:val="00DD1576"/>
    <w:rsid w:val="00DD15AB"/>
    <w:rsid w:val="00DD18A3"/>
    <w:rsid w:val="00DD2204"/>
    <w:rsid w:val="00DD227E"/>
    <w:rsid w:val="00DD2679"/>
    <w:rsid w:val="00DD2B4A"/>
    <w:rsid w:val="00DD2DD6"/>
    <w:rsid w:val="00DD2EEF"/>
    <w:rsid w:val="00DD3038"/>
    <w:rsid w:val="00DD30E2"/>
    <w:rsid w:val="00DD3350"/>
    <w:rsid w:val="00DD3355"/>
    <w:rsid w:val="00DD33C9"/>
    <w:rsid w:val="00DD34FC"/>
    <w:rsid w:val="00DD3901"/>
    <w:rsid w:val="00DD391D"/>
    <w:rsid w:val="00DD396A"/>
    <w:rsid w:val="00DD3DE1"/>
    <w:rsid w:val="00DD3ECB"/>
    <w:rsid w:val="00DD3FB1"/>
    <w:rsid w:val="00DD3FCF"/>
    <w:rsid w:val="00DD4793"/>
    <w:rsid w:val="00DD487C"/>
    <w:rsid w:val="00DD4947"/>
    <w:rsid w:val="00DD4A6D"/>
    <w:rsid w:val="00DD4C18"/>
    <w:rsid w:val="00DD4D54"/>
    <w:rsid w:val="00DD4D6A"/>
    <w:rsid w:val="00DD4F8C"/>
    <w:rsid w:val="00DD518D"/>
    <w:rsid w:val="00DD551F"/>
    <w:rsid w:val="00DD59E8"/>
    <w:rsid w:val="00DD59FE"/>
    <w:rsid w:val="00DD5AF4"/>
    <w:rsid w:val="00DD5BB8"/>
    <w:rsid w:val="00DD5DFF"/>
    <w:rsid w:val="00DD5F77"/>
    <w:rsid w:val="00DD6046"/>
    <w:rsid w:val="00DD6B34"/>
    <w:rsid w:val="00DD6C11"/>
    <w:rsid w:val="00DD7591"/>
    <w:rsid w:val="00DD75C2"/>
    <w:rsid w:val="00DD79F3"/>
    <w:rsid w:val="00DD7A38"/>
    <w:rsid w:val="00DD7AD2"/>
    <w:rsid w:val="00DD7CA7"/>
    <w:rsid w:val="00DE01E6"/>
    <w:rsid w:val="00DE0390"/>
    <w:rsid w:val="00DE06D6"/>
    <w:rsid w:val="00DE0779"/>
    <w:rsid w:val="00DE0D79"/>
    <w:rsid w:val="00DE0DF8"/>
    <w:rsid w:val="00DE0E50"/>
    <w:rsid w:val="00DE11F2"/>
    <w:rsid w:val="00DE1302"/>
    <w:rsid w:val="00DE130E"/>
    <w:rsid w:val="00DE168A"/>
    <w:rsid w:val="00DE16DC"/>
    <w:rsid w:val="00DE18A6"/>
    <w:rsid w:val="00DE19E6"/>
    <w:rsid w:val="00DE1C03"/>
    <w:rsid w:val="00DE1D30"/>
    <w:rsid w:val="00DE1D82"/>
    <w:rsid w:val="00DE1DDD"/>
    <w:rsid w:val="00DE1FBD"/>
    <w:rsid w:val="00DE226B"/>
    <w:rsid w:val="00DE2292"/>
    <w:rsid w:val="00DE264F"/>
    <w:rsid w:val="00DE2789"/>
    <w:rsid w:val="00DE28FC"/>
    <w:rsid w:val="00DE2AD7"/>
    <w:rsid w:val="00DE2BF9"/>
    <w:rsid w:val="00DE2C4E"/>
    <w:rsid w:val="00DE2CAC"/>
    <w:rsid w:val="00DE2CCE"/>
    <w:rsid w:val="00DE2F50"/>
    <w:rsid w:val="00DE3309"/>
    <w:rsid w:val="00DE395F"/>
    <w:rsid w:val="00DE3A24"/>
    <w:rsid w:val="00DE3B33"/>
    <w:rsid w:val="00DE3BB3"/>
    <w:rsid w:val="00DE3C9B"/>
    <w:rsid w:val="00DE3EC5"/>
    <w:rsid w:val="00DE43BB"/>
    <w:rsid w:val="00DE4494"/>
    <w:rsid w:val="00DE44FC"/>
    <w:rsid w:val="00DE45FE"/>
    <w:rsid w:val="00DE4724"/>
    <w:rsid w:val="00DE51B0"/>
    <w:rsid w:val="00DE51B2"/>
    <w:rsid w:val="00DE5826"/>
    <w:rsid w:val="00DE5CE6"/>
    <w:rsid w:val="00DE64A1"/>
    <w:rsid w:val="00DE669D"/>
    <w:rsid w:val="00DE676D"/>
    <w:rsid w:val="00DE6907"/>
    <w:rsid w:val="00DE6B26"/>
    <w:rsid w:val="00DE6D7F"/>
    <w:rsid w:val="00DE6E79"/>
    <w:rsid w:val="00DE6EAD"/>
    <w:rsid w:val="00DE7562"/>
    <w:rsid w:val="00DE7863"/>
    <w:rsid w:val="00DE7CBE"/>
    <w:rsid w:val="00DF0062"/>
    <w:rsid w:val="00DF0227"/>
    <w:rsid w:val="00DF02C1"/>
    <w:rsid w:val="00DF05E1"/>
    <w:rsid w:val="00DF0612"/>
    <w:rsid w:val="00DF08BC"/>
    <w:rsid w:val="00DF08C0"/>
    <w:rsid w:val="00DF0B86"/>
    <w:rsid w:val="00DF0C1C"/>
    <w:rsid w:val="00DF0FE4"/>
    <w:rsid w:val="00DF10BA"/>
    <w:rsid w:val="00DF18D2"/>
    <w:rsid w:val="00DF1C9C"/>
    <w:rsid w:val="00DF1E6E"/>
    <w:rsid w:val="00DF22FD"/>
    <w:rsid w:val="00DF23CF"/>
    <w:rsid w:val="00DF2445"/>
    <w:rsid w:val="00DF2463"/>
    <w:rsid w:val="00DF25D3"/>
    <w:rsid w:val="00DF27D5"/>
    <w:rsid w:val="00DF2835"/>
    <w:rsid w:val="00DF2A99"/>
    <w:rsid w:val="00DF2BFA"/>
    <w:rsid w:val="00DF2EF0"/>
    <w:rsid w:val="00DF3053"/>
    <w:rsid w:val="00DF30C6"/>
    <w:rsid w:val="00DF3358"/>
    <w:rsid w:val="00DF33A7"/>
    <w:rsid w:val="00DF35AD"/>
    <w:rsid w:val="00DF37F8"/>
    <w:rsid w:val="00DF386B"/>
    <w:rsid w:val="00DF3969"/>
    <w:rsid w:val="00DF39EE"/>
    <w:rsid w:val="00DF3E74"/>
    <w:rsid w:val="00DF3FBB"/>
    <w:rsid w:val="00DF3FEF"/>
    <w:rsid w:val="00DF40E6"/>
    <w:rsid w:val="00DF412A"/>
    <w:rsid w:val="00DF4544"/>
    <w:rsid w:val="00DF4C6A"/>
    <w:rsid w:val="00DF5053"/>
    <w:rsid w:val="00DF527A"/>
    <w:rsid w:val="00DF52D9"/>
    <w:rsid w:val="00DF5438"/>
    <w:rsid w:val="00DF5467"/>
    <w:rsid w:val="00DF5832"/>
    <w:rsid w:val="00DF59A7"/>
    <w:rsid w:val="00DF59B1"/>
    <w:rsid w:val="00DF5A4B"/>
    <w:rsid w:val="00DF5D57"/>
    <w:rsid w:val="00DF6022"/>
    <w:rsid w:val="00DF63F2"/>
    <w:rsid w:val="00DF64A2"/>
    <w:rsid w:val="00DF66E0"/>
    <w:rsid w:val="00DF677C"/>
    <w:rsid w:val="00DF678E"/>
    <w:rsid w:val="00DF6886"/>
    <w:rsid w:val="00DF69BC"/>
    <w:rsid w:val="00DF6DEA"/>
    <w:rsid w:val="00DF6E2A"/>
    <w:rsid w:val="00DF6EA4"/>
    <w:rsid w:val="00DF72A5"/>
    <w:rsid w:val="00DF736D"/>
    <w:rsid w:val="00DF73D4"/>
    <w:rsid w:val="00DF761D"/>
    <w:rsid w:val="00DF763B"/>
    <w:rsid w:val="00DF774B"/>
    <w:rsid w:val="00DF79E5"/>
    <w:rsid w:val="00DF7D1B"/>
    <w:rsid w:val="00DF7E8B"/>
    <w:rsid w:val="00E00354"/>
    <w:rsid w:val="00E0067D"/>
    <w:rsid w:val="00E00942"/>
    <w:rsid w:val="00E00969"/>
    <w:rsid w:val="00E009F5"/>
    <w:rsid w:val="00E00C38"/>
    <w:rsid w:val="00E00FBC"/>
    <w:rsid w:val="00E019B3"/>
    <w:rsid w:val="00E01B80"/>
    <w:rsid w:val="00E01D81"/>
    <w:rsid w:val="00E01F4E"/>
    <w:rsid w:val="00E024C7"/>
    <w:rsid w:val="00E025EB"/>
    <w:rsid w:val="00E02B36"/>
    <w:rsid w:val="00E0317B"/>
    <w:rsid w:val="00E031CD"/>
    <w:rsid w:val="00E0327B"/>
    <w:rsid w:val="00E0367C"/>
    <w:rsid w:val="00E03989"/>
    <w:rsid w:val="00E03EB5"/>
    <w:rsid w:val="00E0445A"/>
    <w:rsid w:val="00E046E7"/>
    <w:rsid w:val="00E04725"/>
    <w:rsid w:val="00E04840"/>
    <w:rsid w:val="00E04996"/>
    <w:rsid w:val="00E04AE9"/>
    <w:rsid w:val="00E05048"/>
    <w:rsid w:val="00E05207"/>
    <w:rsid w:val="00E0523F"/>
    <w:rsid w:val="00E055B6"/>
    <w:rsid w:val="00E058D4"/>
    <w:rsid w:val="00E058F2"/>
    <w:rsid w:val="00E05A0F"/>
    <w:rsid w:val="00E05EED"/>
    <w:rsid w:val="00E06013"/>
    <w:rsid w:val="00E060AF"/>
    <w:rsid w:val="00E06137"/>
    <w:rsid w:val="00E0670C"/>
    <w:rsid w:val="00E0680D"/>
    <w:rsid w:val="00E06956"/>
    <w:rsid w:val="00E06991"/>
    <w:rsid w:val="00E06BEE"/>
    <w:rsid w:val="00E06D0F"/>
    <w:rsid w:val="00E06D17"/>
    <w:rsid w:val="00E06D60"/>
    <w:rsid w:val="00E06D6F"/>
    <w:rsid w:val="00E06E46"/>
    <w:rsid w:val="00E06F61"/>
    <w:rsid w:val="00E06F9D"/>
    <w:rsid w:val="00E0705D"/>
    <w:rsid w:val="00E07293"/>
    <w:rsid w:val="00E07350"/>
    <w:rsid w:val="00E0735E"/>
    <w:rsid w:val="00E075B4"/>
    <w:rsid w:val="00E07946"/>
    <w:rsid w:val="00E07AA6"/>
    <w:rsid w:val="00E07C52"/>
    <w:rsid w:val="00E10024"/>
    <w:rsid w:val="00E101C2"/>
    <w:rsid w:val="00E10329"/>
    <w:rsid w:val="00E10372"/>
    <w:rsid w:val="00E107AE"/>
    <w:rsid w:val="00E10806"/>
    <w:rsid w:val="00E1092B"/>
    <w:rsid w:val="00E1098A"/>
    <w:rsid w:val="00E10A32"/>
    <w:rsid w:val="00E10AFC"/>
    <w:rsid w:val="00E10D11"/>
    <w:rsid w:val="00E10D3C"/>
    <w:rsid w:val="00E1105B"/>
    <w:rsid w:val="00E11088"/>
    <w:rsid w:val="00E110D7"/>
    <w:rsid w:val="00E11604"/>
    <w:rsid w:val="00E117C0"/>
    <w:rsid w:val="00E11935"/>
    <w:rsid w:val="00E11A4C"/>
    <w:rsid w:val="00E11C03"/>
    <w:rsid w:val="00E11C47"/>
    <w:rsid w:val="00E11ED4"/>
    <w:rsid w:val="00E11F6D"/>
    <w:rsid w:val="00E11FD7"/>
    <w:rsid w:val="00E12165"/>
    <w:rsid w:val="00E12166"/>
    <w:rsid w:val="00E12598"/>
    <w:rsid w:val="00E12609"/>
    <w:rsid w:val="00E12B91"/>
    <w:rsid w:val="00E12BEF"/>
    <w:rsid w:val="00E12F81"/>
    <w:rsid w:val="00E130BF"/>
    <w:rsid w:val="00E13E65"/>
    <w:rsid w:val="00E13F57"/>
    <w:rsid w:val="00E140FD"/>
    <w:rsid w:val="00E14121"/>
    <w:rsid w:val="00E14296"/>
    <w:rsid w:val="00E143FB"/>
    <w:rsid w:val="00E14AB1"/>
    <w:rsid w:val="00E151FC"/>
    <w:rsid w:val="00E15C9C"/>
    <w:rsid w:val="00E1639B"/>
    <w:rsid w:val="00E169D9"/>
    <w:rsid w:val="00E16A76"/>
    <w:rsid w:val="00E16C13"/>
    <w:rsid w:val="00E16C98"/>
    <w:rsid w:val="00E1707C"/>
    <w:rsid w:val="00E17130"/>
    <w:rsid w:val="00E172F1"/>
    <w:rsid w:val="00E1735E"/>
    <w:rsid w:val="00E17704"/>
    <w:rsid w:val="00E1779D"/>
    <w:rsid w:val="00E17A25"/>
    <w:rsid w:val="00E17C78"/>
    <w:rsid w:val="00E200F3"/>
    <w:rsid w:val="00E204D5"/>
    <w:rsid w:val="00E20935"/>
    <w:rsid w:val="00E20A04"/>
    <w:rsid w:val="00E20DC1"/>
    <w:rsid w:val="00E2139C"/>
    <w:rsid w:val="00E21B71"/>
    <w:rsid w:val="00E21BD2"/>
    <w:rsid w:val="00E21FF6"/>
    <w:rsid w:val="00E22390"/>
    <w:rsid w:val="00E22A7E"/>
    <w:rsid w:val="00E22F00"/>
    <w:rsid w:val="00E231C5"/>
    <w:rsid w:val="00E2336B"/>
    <w:rsid w:val="00E23534"/>
    <w:rsid w:val="00E2388B"/>
    <w:rsid w:val="00E23E18"/>
    <w:rsid w:val="00E243C5"/>
    <w:rsid w:val="00E2441F"/>
    <w:rsid w:val="00E2444F"/>
    <w:rsid w:val="00E24545"/>
    <w:rsid w:val="00E24684"/>
    <w:rsid w:val="00E24A4D"/>
    <w:rsid w:val="00E24DD9"/>
    <w:rsid w:val="00E25109"/>
    <w:rsid w:val="00E251C1"/>
    <w:rsid w:val="00E25607"/>
    <w:rsid w:val="00E256E6"/>
    <w:rsid w:val="00E25CF3"/>
    <w:rsid w:val="00E25E55"/>
    <w:rsid w:val="00E25F3A"/>
    <w:rsid w:val="00E26204"/>
    <w:rsid w:val="00E2640D"/>
    <w:rsid w:val="00E26423"/>
    <w:rsid w:val="00E2649A"/>
    <w:rsid w:val="00E266BE"/>
    <w:rsid w:val="00E26747"/>
    <w:rsid w:val="00E267AB"/>
    <w:rsid w:val="00E26CBD"/>
    <w:rsid w:val="00E26EC3"/>
    <w:rsid w:val="00E2735B"/>
    <w:rsid w:val="00E2751F"/>
    <w:rsid w:val="00E276DB"/>
    <w:rsid w:val="00E276F1"/>
    <w:rsid w:val="00E2775F"/>
    <w:rsid w:val="00E27A8A"/>
    <w:rsid w:val="00E3046B"/>
    <w:rsid w:val="00E30545"/>
    <w:rsid w:val="00E3071C"/>
    <w:rsid w:val="00E30892"/>
    <w:rsid w:val="00E30938"/>
    <w:rsid w:val="00E30B6D"/>
    <w:rsid w:val="00E30E39"/>
    <w:rsid w:val="00E30F8E"/>
    <w:rsid w:val="00E31025"/>
    <w:rsid w:val="00E311C3"/>
    <w:rsid w:val="00E311E2"/>
    <w:rsid w:val="00E31282"/>
    <w:rsid w:val="00E312ED"/>
    <w:rsid w:val="00E31454"/>
    <w:rsid w:val="00E318FE"/>
    <w:rsid w:val="00E31B52"/>
    <w:rsid w:val="00E322FE"/>
    <w:rsid w:val="00E32633"/>
    <w:rsid w:val="00E328A8"/>
    <w:rsid w:val="00E32AE9"/>
    <w:rsid w:val="00E32AEE"/>
    <w:rsid w:val="00E32BFC"/>
    <w:rsid w:val="00E32E5B"/>
    <w:rsid w:val="00E32E72"/>
    <w:rsid w:val="00E33030"/>
    <w:rsid w:val="00E331C1"/>
    <w:rsid w:val="00E33721"/>
    <w:rsid w:val="00E3376F"/>
    <w:rsid w:val="00E33C0B"/>
    <w:rsid w:val="00E33CA7"/>
    <w:rsid w:val="00E33E1C"/>
    <w:rsid w:val="00E34A6A"/>
    <w:rsid w:val="00E34A87"/>
    <w:rsid w:val="00E34D0A"/>
    <w:rsid w:val="00E352D4"/>
    <w:rsid w:val="00E35312"/>
    <w:rsid w:val="00E35DC2"/>
    <w:rsid w:val="00E35FB3"/>
    <w:rsid w:val="00E360F1"/>
    <w:rsid w:val="00E363DD"/>
    <w:rsid w:val="00E36441"/>
    <w:rsid w:val="00E36650"/>
    <w:rsid w:val="00E3682C"/>
    <w:rsid w:val="00E36869"/>
    <w:rsid w:val="00E36DB5"/>
    <w:rsid w:val="00E36E85"/>
    <w:rsid w:val="00E373DC"/>
    <w:rsid w:val="00E375EC"/>
    <w:rsid w:val="00E37863"/>
    <w:rsid w:val="00E37B33"/>
    <w:rsid w:val="00E37C86"/>
    <w:rsid w:val="00E37DFD"/>
    <w:rsid w:val="00E37ECC"/>
    <w:rsid w:val="00E37F12"/>
    <w:rsid w:val="00E40072"/>
    <w:rsid w:val="00E4011D"/>
    <w:rsid w:val="00E404A1"/>
    <w:rsid w:val="00E40648"/>
    <w:rsid w:val="00E40739"/>
    <w:rsid w:val="00E407EB"/>
    <w:rsid w:val="00E40A9F"/>
    <w:rsid w:val="00E40AA3"/>
    <w:rsid w:val="00E40E9F"/>
    <w:rsid w:val="00E40F2B"/>
    <w:rsid w:val="00E41282"/>
    <w:rsid w:val="00E412C3"/>
    <w:rsid w:val="00E41418"/>
    <w:rsid w:val="00E4141D"/>
    <w:rsid w:val="00E41454"/>
    <w:rsid w:val="00E414D4"/>
    <w:rsid w:val="00E41781"/>
    <w:rsid w:val="00E41AB1"/>
    <w:rsid w:val="00E41DB0"/>
    <w:rsid w:val="00E41EC6"/>
    <w:rsid w:val="00E41FFB"/>
    <w:rsid w:val="00E42056"/>
    <w:rsid w:val="00E420E2"/>
    <w:rsid w:val="00E42390"/>
    <w:rsid w:val="00E42752"/>
    <w:rsid w:val="00E42785"/>
    <w:rsid w:val="00E42910"/>
    <w:rsid w:val="00E42C2F"/>
    <w:rsid w:val="00E4321F"/>
    <w:rsid w:val="00E43858"/>
    <w:rsid w:val="00E43B4C"/>
    <w:rsid w:val="00E43DDC"/>
    <w:rsid w:val="00E43E45"/>
    <w:rsid w:val="00E44065"/>
    <w:rsid w:val="00E44212"/>
    <w:rsid w:val="00E442E5"/>
    <w:rsid w:val="00E4431C"/>
    <w:rsid w:val="00E44381"/>
    <w:rsid w:val="00E443B7"/>
    <w:rsid w:val="00E444FE"/>
    <w:rsid w:val="00E44574"/>
    <w:rsid w:val="00E44577"/>
    <w:rsid w:val="00E448A1"/>
    <w:rsid w:val="00E44968"/>
    <w:rsid w:val="00E44AFE"/>
    <w:rsid w:val="00E44B7F"/>
    <w:rsid w:val="00E44E89"/>
    <w:rsid w:val="00E4583C"/>
    <w:rsid w:val="00E459AC"/>
    <w:rsid w:val="00E45CB8"/>
    <w:rsid w:val="00E46154"/>
    <w:rsid w:val="00E46235"/>
    <w:rsid w:val="00E4625D"/>
    <w:rsid w:val="00E464E1"/>
    <w:rsid w:val="00E46548"/>
    <w:rsid w:val="00E46742"/>
    <w:rsid w:val="00E469EF"/>
    <w:rsid w:val="00E46C90"/>
    <w:rsid w:val="00E46CE6"/>
    <w:rsid w:val="00E46D2C"/>
    <w:rsid w:val="00E47126"/>
    <w:rsid w:val="00E475D7"/>
    <w:rsid w:val="00E47CA7"/>
    <w:rsid w:val="00E47D78"/>
    <w:rsid w:val="00E47F2E"/>
    <w:rsid w:val="00E47FBE"/>
    <w:rsid w:val="00E501EF"/>
    <w:rsid w:val="00E5051B"/>
    <w:rsid w:val="00E5059F"/>
    <w:rsid w:val="00E50A7F"/>
    <w:rsid w:val="00E50E47"/>
    <w:rsid w:val="00E50ED1"/>
    <w:rsid w:val="00E5124E"/>
    <w:rsid w:val="00E5164F"/>
    <w:rsid w:val="00E516C0"/>
    <w:rsid w:val="00E517C6"/>
    <w:rsid w:val="00E518CD"/>
    <w:rsid w:val="00E51C08"/>
    <w:rsid w:val="00E51D08"/>
    <w:rsid w:val="00E51E0F"/>
    <w:rsid w:val="00E51EA0"/>
    <w:rsid w:val="00E52274"/>
    <w:rsid w:val="00E5229B"/>
    <w:rsid w:val="00E522A3"/>
    <w:rsid w:val="00E5234E"/>
    <w:rsid w:val="00E5236E"/>
    <w:rsid w:val="00E52550"/>
    <w:rsid w:val="00E52622"/>
    <w:rsid w:val="00E52631"/>
    <w:rsid w:val="00E526AB"/>
    <w:rsid w:val="00E528D5"/>
    <w:rsid w:val="00E528FB"/>
    <w:rsid w:val="00E52CCD"/>
    <w:rsid w:val="00E52E9B"/>
    <w:rsid w:val="00E530EF"/>
    <w:rsid w:val="00E53420"/>
    <w:rsid w:val="00E534E9"/>
    <w:rsid w:val="00E53584"/>
    <w:rsid w:val="00E5361E"/>
    <w:rsid w:val="00E536F3"/>
    <w:rsid w:val="00E538E2"/>
    <w:rsid w:val="00E53E15"/>
    <w:rsid w:val="00E5406C"/>
    <w:rsid w:val="00E54861"/>
    <w:rsid w:val="00E54871"/>
    <w:rsid w:val="00E549D6"/>
    <w:rsid w:val="00E54E03"/>
    <w:rsid w:val="00E54E0B"/>
    <w:rsid w:val="00E54F90"/>
    <w:rsid w:val="00E54F9E"/>
    <w:rsid w:val="00E550C0"/>
    <w:rsid w:val="00E5536F"/>
    <w:rsid w:val="00E555D2"/>
    <w:rsid w:val="00E557F1"/>
    <w:rsid w:val="00E55960"/>
    <w:rsid w:val="00E55991"/>
    <w:rsid w:val="00E5619B"/>
    <w:rsid w:val="00E56254"/>
    <w:rsid w:val="00E56316"/>
    <w:rsid w:val="00E5668D"/>
    <w:rsid w:val="00E56A63"/>
    <w:rsid w:val="00E56AB7"/>
    <w:rsid w:val="00E56C81"/>
    <w:rsid w:val="00E570DA"/>
    <w:rsid w:val="00E57571"/>
    <w:rsid w:val="00E576C5"/>
    <w:rsid w:val="00E57796"/>
    <w:rsid w:val="00E57993"/>
    <w:rsid w:val="00E57A84"/>
    <w:rsid w:val="00E57BF3"/>
    <w:rsid w:val="00E57C10"/>
    <w:rsid w:val="00E57ED6"/>
    <w:rsid w:val="00E60193"/>
    <w:rsid w:val="00E601B4"/>
    <w:rsid w:val="00E601EB"/>
    <w:rsid w:val="00E602DA"/>
    <w:rsid w:val="00E6030E"/>
    <w:rsid w:val="00E6079A"/>
    <w:rsid w:val="00E6088D"/>
    <w:rsid w:val="00E60AB7"/>
    <w:rsid w:val="00E60B71"/>
    <w:rsid w:val="00E60DFD"/>
    <w:rsid w:val="00E614A4"/>
    <w:rsid w:val="00E617B2"/>
    <w:rsid w:val="00E619ED"/>
    <w:rsid w:val="00E61C63"/>
    <w:rsid w:val="00E6203B"/>
    <w:rsid w:val="00E6222C"/>
    <w:rsid w:val="00E622A6"/>
    <w:rsid w:val="00E6230A"/>
    <w:rsid w:val="00E6272E"/>
    <w:rsid w:val="00E62839"/>
    <w:rsid w:val="00E62A09"/>
    <w:rsid w:val="00E62CC2"/>
    <w:rsid w:val="00E62E41"/>
    <w:rsid w:val="00E62E81"/>
    <w:rsid w:val="00E62EF7"/>
    <w:rsid w:val="00E630DF"/>
    <w:rsid w:val="00E6318F"/>
    <w:rsid w:val="00E63716"/>
    <w:rsid w:val="00E63734"/>
    <w:rsid w:val="00E63866"/>
    <w:rsid w:val="00E6394A"/>
    <w:rsid w:val="00E63A76"/>
    <w:rsid w:val="00E63C12"/>
    <w:rsid w:val="00E63CAC"/>
    <w:rsid w:val="00E63ED7"/>
    <w:rsid w:val="00E64228"/>
    <w:rsid w:val="00E64344"/>
    <w:rsid w:val="00E64352"/>
    <w:rsid w:val="00E643D9"/>
    <w:rsid w:val="00E644EC"/>
    <w:rsid w:val="00E64757"/>
    <w:rsid w:val="00E649F4"/>
    <w:rsid w:val="00E64F08"/>
    <w:rsid w:val="00E651F7"/>
    <w:rsid w:val="00E655C2"/>
    <w:rsid w:val="00E65A3C"/>
    <w:rsid w:val="00E65BC0"/>
    <w:rsid w:val="00E65E8F"/>
    <w:rsid w:val="00E65F09"/>
    <w:rsid w:val="00E65F91"/>
    <w:rsid w:val="00E662E0"/>
    <w:rsid w:val="00E66573"/>
    <w:rsid w:val="00E665BB"/>
    <w:rsid w:val="00E665F7"/>
    <w:rsid w:val="00E66660"/>
    <w:rsid w:val="00E667FE"/>
    <w:rsid w:val="00E66949"/>
    <w:rsid w:val="00E66A45"/>
    <w:rsid w:val="00E66A6B"/>
    <w:rsid w:val="00E66A75"/>
    <w:rsid w:val="00E66D5A"/>
    <w:rsid w:val="00E66E20"/>
    <w:rsid w:val="00E66EA2"/>
    <w:rsid w:val="00E6706E"/>
    <w:rsid w:val="00E67132"/>
    <w:rsid w:val="00E673B9"/>
    <w:rsid w:val="00E67570"/>
    <w:rsid w:val="00E675D1"/>
    <w:rsid w:val="00E678B1"/>
    <w:rsid w:val="00E6799B"/>
    <w:rsid w:val="00E70039"/>
    <w:rsid w:val="00E701B0"/>
    <w:rsid w:val="00E70699"/>
    <w:rsid w:val="00E70721"/>
    <w:rsid w:val="00E70A0B"/>
    <w:rsid w:val="00E70AE6"/>
    <w:rsid w:val="00E70BFA"/>
    <w:rsid w:val="00E70D35"/>
    <w:rsid w:val="00E70D5F"/>
    <w:rsid w:val="00E70D68"/>
    <w:rsid w:val="00E70DE7"/>
    <w:rsid w:val="00E713DE"/>
    <w:rsid w:val="00E71440"/>
    <w:rsid w:val="00E71515"/>
    <w:rsid w:val="00E7156D"/>
    <w:rsid w:val="00E7162E"/>
    <w:rsid w:val="00E71ABA"/>
    <w:rsid w:val="00E71B4D"/>
    <w:rsid w:val="00E71C53"/>
    <w:rsid w:val="00E7202D"/>
    <w:rsid w:val="00E72071"/>
    <w:rsid w:val="00E720D1"/>
    <w:rsid w:val="00E72471"/>
    <w:rsid w:val="00E7272A"/>
    <w:rsid w:val="00E72EDB"/>
    <w:rsid w:val="00E73028"/>
    <w:rsid w:val="00E73146"/>
    <w:rsid w:val="00E73573"/>
    <w:rsid w:val="00E73729"/>
    <w:rsid w:val="00E73778"/>
    <w:rsid w:val="00E738CA"/>
    <w:rsid w:val="00E73D42"/>
    <w:rsid w:val="00E73FD3"/>
    <w:rsid w:val="00E74871"/>
    <w:rsid w:val="00E74964"/>
    <w:rsid w:val="00E74C26"/>
    <w:rsid w:val="00E74E78"/>
    <w:rsid w:val="00E74EF6"/>
    <w:rsid w:val="00E7507A"/>
    <w:rsid w:val="00E750CD"/>
    <w:rsid w:val="00E75359"/>
    <w:rsid w:val="00E75612"/>
    <w:rsid w:val="00E757D9"/>
    <w:rsid w:val="00E758CB"/>
    <w:rsid w:val="00E75AFC"/>
    <w:rsid w:val="00E75DCA"/>
    <w:rsid w:val="00E75F78"/>
    <w:rsid w:val="00E7604A"/>
    <w:rsid w:val="00E76201"/>
    <w:rsid w:val="00E7644C"/>
    <w:rsid w:val="00E7652F"/>
    <w:rsid w:val="00E76721"/>
    <w:rsid w:val="00E76830"/>
    <w:rsid w:val="00E76B8A"/>
    <w:rsid w:val="00E76CF2"/>
    <w:rsid w:val="00E76DE4"/>
    <w:rsid w:val="00E76DEE"/>
    <w:rsid w:val="00E77363"/>
    <w:rsid w:val="00E7739A"/>
    <w:rsid w:val="00E773FA"/>
    <w:rsid w:val="00E77744"/>
    <w:rsid w:val="00E777AB"/>
    <w:rsid w:val="00E77874"/>
    <w:rsid w:val="00E77B3E"/>
    <w:rsid w:val="00E800A1"/>
    <w:rsid w:val="00E806F8"/>
    <w:rsid w:val="00E8073A"/>
    <w:rsid w:val="00E80ABA"/>
    <w:rsid w:val="00E80C12"/>
    <w:rsid w:val="00E80D22"/>
    <w:rsid w:val="00E80D99"/>
    <w:rsid w:val="00E80E99"/>
    <w:rsid w:val="00E80FBB"/>
    <w:rsid w:val="00E81093"/>
    <w:rsid w:val="00E81339"/>
    <w:rsid w:val="00E813EB"/>
    <w:rsid w:val="00E8169E"/>
    <w:rsid w:val="00E817A7"/>
    <w:rsid w:val="00E81DEE"/>
    <w:rsid w:val="00E81FAD"/>
    <w:rsid w:val="00E820EE"/>
    <w:rsid w:val="00E82434"/>
    <w:rsid w:val="00E825BE"/>
    <w:rsid w:val="00E827AB"/>
    <w:rsid w:val="00E82C2D"/>
    <w:rsid w:val="00E82DF0"/>
    <w:rsid w:val="00E82F82"/>
    <w:rsid w:val="00E82F95"/>
    <w:rsid w:val="00E8303B"/>
    <w:rsid w:val="00E8311D"/>
    <w:rsid w:val="00E831CE"/>
    <w:rsid w:val="00E83341"/>
    <w:rsid w:val="00E837D7"/>
    <w:rsid w:val="00E837D8"/>
    <w:rsid w:val="00E83AF7"/>
    <w:rsid w:val="00E83BB3"/>
    <w:rsid w:val="00E83CD9"/>
    <w:rsid w:val="00E83EA3"/>
    <w:rsid w:val="00E84368"/>
    <w:rsid w:val="00E848E2"/>
    <w:rsid w:val="00E84C77"/>
    <w:rsid w:val="00E84CF9"/>
    <w:rsid w:val="00E85504"/>
    <w:rsid w:val="00E8569E"/>
    <w:rsid w:val="00E857DA"/>
    <w:rsid w:val="00E85C3A"/>
    <w:rsid w:val="00E85DD7"/>
    <w:rsid w:val="00E86841"/>
    <w:rsid w:val="00E86C91"/>
    <w:rsid w:val="00E871B8"/>
    <w:rsid w:val="00E87550"/>
    <w:rsid w:val="00E875DA"/>
    <w:rsid w:val="00E87B31"/>
    <w:rsid w:val="00E87B90"/>
    <w:rsid w:val="00E87E5D"/>
    <w:rsid w:val="00E90067"/>
    <w:rsid w:val="00E90125"/>
    <w:rsid w:val="00E901CD"/>
    <w:rsid w:val="00E9032B"/>
    <w:rsid w:val="00E903CD"/>
    <w:rsid w:val="00E903E4"/>
    <w:rsid w:val="00E90737"/>
    <w:rsid w:val="00E90797"/>
    <w:rsid w:val="00E90888"/>
    <w:rsid w:val="00E90D19"/>
    <w:rsid w:val="00E90F82"/>
    <w:rsid w:val="00E90FFF"/>
    <w:rsid w:val="00E9108F"/>
    <w:rsid w:val="00E91430"/>
    <w:rsid w:val="00E9148F"/>
    <w:rsid w:val="00E9192E"/>
    <w:rsid w:val="00E9192F"/>
    <w:rsid w:val="00E91AA3"/>
    <w:rsid w:val="00E91DE2"/>
    <w:rsid w:val="00E9215A"/>
    <w:rsid w:val="00E92391"/>
    <w:rsid w:val="00E92B3E"/>
    <w:rsid w:val="00E92D7F"/>
    <w:rsid w:val="00E92EE9"/>
    <w:rsid w:val="00E92F5F"/>
    <w:rsid w:val="00E93011"/>
    <w:rsid w:val="00E93320"/>
    <w:rsid w:val="00E93515"/>
    <w:rsid w:val="00E937D9"/>
    <w:rsid w:val="00E937EC"/>
    <w:rsid w:val="00E93A69"/>
    <w:rsid w:val="00E940F8"/>
    <w:rsid w:val="00E941F1"/>
    <w:rsid w:val="00E943D2"/>
    <w:rsid w:val="00E9459F"/>
    <w:rsid w:val="00E94654"/>
    <w:rsid w:val="00E9484F"/>
    <w:rsid w:val="00E9496D"/>
    <w:rsid w:val="00E94A7E"/>
    <w:rsid w:val="00E94BD6"/>
    <w:rsid w:val="00E95160"/>
    <w:rsid w:val="00E956A9"/>
    <w:rsid w:val="00E95A66"/>
    <w:rsid w:val="00E95E30"/>
    <w:rsid w:val="00E96271"/>
    <w:rsid w:val="00E967E3"/>
    <w:rsid w:val="00E97020"/>
    <w:rsid w:val="00E9729E"/>
    <w:rsid w:val="00E97635"/>
    <w:rsid w:val="00E97CFD"/>
    <w:rsid w:val="00EA00CF"/>
    <w:rsid w:val="00EA02B8"/>
    <w:rsid w:val="00EA0B44"/>
    <w:rsid w:val="00EA0D33"/>
    <w:rsid w:val="00EA0DB4"/>
    <w:rsid w:val="00EA1361"/>
    <w:rsid w:val="00EA1440"/>
    <w:rsid w:val="00EA16FF"/>
    <w:rsid w:val="00EA176F"/>
    <w:rsid w:val="00EA17C1"/>
    <w:rsid w:val="00EA19D0"/>
    <w:rsid w:val="00EA1C11"/>
    <w:rsid w:val="00EA1C32"/>
    <w:rsid w:val="00EA1C3E"/>
    <w:rsid w:val="00EA1F6C"/>
    <w:rsid w:val="00EA1F86"/>
    <w:rsid w:val="00EA212E"/>
    <w:rsid w:val="00EA21B5"/>
    <w:rsid w:val="00EA2273"/>
    <w:rsid w:val="00EA2354"/>
    <w:rsid w:val="00EA2402"/>
    <w:rsid w:val="00EA2536"/>
    <w:rsid w:val="00EA2638"/>
    <w:rsid w:val="00EA2839"/>
    <w:rsid w:val="00EA2919"/>
    <w:rsid w:val="00EA2B04"/>
    <w:rsid w:val="00EA2CEA"/>
    <w:rsid w:val="00EA2DB4"/>
    <w:rsid w:val="00EA2DC2"/>
    <w:rsid w:val="00EA2E3F"/>
    <w:rsid w:val="00EA31BF"/>
    <w:rsid w:val="00EA33F1"/>
    <w:rsid w:val="00EA3636"/>
    <w:rsid w:val="00EA398F"/>
    <w:rsid w:val="00EA3AB3"/>
    <w:rsid w:val="00EA3AFA"/>
    <w:rsid w:val="00EA3C2E"/>
    <w:rsid w:val="00EA3CCA"/>
    <w:rsid w:val="00EA3CD8"/>
    <w:rsid w:val="00EA4071"/>
    <w:rsid w:val="00EA430C"/>
    <w:rsid w:val="00EA436B"/>
    <w:rsid w:val="00EA43E9"/>
    <w:rsid w:val="00EA472D"/>
    <w:rsid w:val="00EA47F1"/>
    <w:rsid w:val="00EA4836"/>
    <w:rsid w:val="00EA4A2D"/>
    <w:rsid w:val="00EA4AB7"/>
    <w:rsid w:val="00EA4BD1"/>
    <w:rsid w:val="00EA4C83"/>
    <w:rsid w:val="00EA50F1"/>
    <w:rsid w:val="00EA5335"/>
    <w:rsid w:val="00EA53CB"/>
    <w:rsid w:val="00EA5AC5"/>
    <w:rsid w:val="00EA5B19"/>
    <w:rsid w:val="00EA5D21"/>
    <w:rsid w:val="00EA646C"/>
    <w:rsid w:val="00EA6510"/>
    <w:rsid w:val="00EA6A12"/>
    <w:rsid w:val="00EA6CA0"/>
    <w:rsid w:val="00EA731F"/>
    <w:rsid w:val="00EA74F0"/>
    <w:rsid w:val="00EA75E8"/>
    <w:rsid w:val="00EA77FE"/>
    <w:rsid w:val="00EA7828"/>
    <w:rsid w:val="00EA7B72"/>
    <w:rsid w:val="00EA7DCC"/>
    <w:rsid w:val="00EA7F6E"/>
    <w:rsid w:val="00EB0158"/>
    <w:rsid w:val="00EB019E"/>
    <w:rsid w:val="00EB039F"/>
    <w:rsid w:val="00EB097C"/>
    <w:rsid w:val="00EB0C2D"/>
    <w:rsid w:val="00EB0D3E"/>
    <w:rsid w:val="00EB0DF8"/>
    <w:rsid w:val="00EB0E31"/>
    <w:rsid w:val="00EB1075"/>
    <w:rsid w:val="00EB10F1"/>
    <w:rsid w:val="00EB131B"/>
    <w:rsid w:val="00EB17B4"/>
    <w:rsid w:val="00EB18D6"/>
    <w:rsid w:val="00EB1A16"/>
    <w:rsid w:val="00EB1E5F"/>
    <w:rsid w:val="00EB1EB3"/>
    <w:rsid w:val="00EB28F8"/>
    <w:rsid w:val="00EB2A37"/>
    <w:rsid w:val="00EB2CAE"/>
    <w:rsid w:val="00EB2DD4"/>
    <w:rsid w:val="00EB2FCC"/>
    <w:rsid w:val="00EB2FE5"/>
    <w:rsid w:val="00EB3021"/>
    <w:rsid w:val="00EB3388"/>
    <w:rsid w:val="00EB3515"/>
    <w:rsid w:val="00EB35C8"/>
    <w:rsid w:val="00EB3A04"/>
    <w:rsid w:val="00EB3B5C"/>
    <w:rsid w:val="00EB3FB2"/>
    <w:rsid w:val="00EB3FFC"/>
    <w:rsid w:val="00EB412B"/>
    <w:rsid w:val="00EB4291"/>
    <w:rsid w:val="00EB4761"/>
    <w:rsid w:val="00EB4D77"/>
    <w:rsid w:val="00EB4F84"/>
    <w:rsid w:val="00EB5340"/>
    <w:rsid w:val="00EB54A5"/>
    <w:rsid w:val="00EB57CB"/>
    <w:rsid w:val="00EB5A24"/>
    <w:rsid w:val="00EB5D5F"/>
    <w:rsid w:val="00EB5EE2"/>
    <w:rsid w:val="00EB5F10"/>
    <w:rsid w:val="00EB6076"/>
    <w:rsid w:val="00EB60A1"/>
    <w:rsid w:val="00EB68F5"/>
    <w:rsid w:val="00EB6950"/>
    <w:rsid w:val="00EB695A"/>
    <w:rsid w:val="00EB6A66"/>
    <w:rsid w:val="00EB6CBD"/>
    <w:rsid w:val="00EB6DD9"/>
    <w:rsid w:val="00EB6F2B"/>
    <w:rsid w:val="00EB6F86"/>
    <w:rsid w:val="00EB71D0"/>
    <w:rsid w:val="00EB7346"/>
    <w:rsid w:val="00EB7484"/>
    <w:rsid w:val="00EB756C"/>
    <w:rsid w:val="00EB7608"/>
    <w:rsid w:val="00EB7A46"/>
    <w:rsid w:val="00EB7C00"/>
    <w:rsid w:val="00EB7C72"/>
    <w:rsid w:val="00EB7E8D"/>
    <w:rsid w:val="00EB7F3F"/>
    <w:rsid w:val="00EB7FF8"/>
    <w:rsid w:val="00EC001B"/>
    <w:rsid w:val="00EC0DF6"/>
    <w:rsid w:val="00EC1431"/>
    <w:rsid w:val="00EC1775"/>
    <w:rsid w:val="00EC17A4"/>
    <w:rsid w:val="00EC1EEA"/>
    <w:rsid w:val="00EC20A5"/>
    <w:rsid w:val="00EC22A9"/>
    <w:rsid w:val="00EC2534"/>
    <w:rsid w:val="00EC2805"/>
    <w:rsid w:val="00EC28BE"/>
    <w:rsid w:val="00EC29A4"/>
    <w:rsid w:val="00EC29A7"/>
    <w:rsid w:val="00EC2B08"/>
    <w:rsid w:val="00EC2B72"/>
    <w:rsid w:val="00EC2E8E"/>
    <w:rsid w:val="00EC303D"/>
    <w:rsid w:val="00EC363E"/>
    <w:rsid w:val="00EC3713"/>
    <w:rsid w:val="00EC3746"/>
    <w:rsid w:val="00EC3799"/>
    <w:rsid w:val="00EC3B20"/>
    <w:rsid w:val="00EC3B70"/>
    <w:rsid w:val="00EC3BC3"/>
    <w:rsid w:val="00EC3CA8"/>
    <w:rsid w:val="00EC3F4F"/>
    <w:rsid w:val="00EC4445"/>
    <w:rsid w:val="00EC4862"/>
    <w:rsid w:val="00EC4972"/>
    <w:rsid w:val="00EC49B9"/>
    <w:rsid w:val="00EC4A15"/>
    <w:rsid w:val="00EC4A48"/>
    <w:rsid w:val="00EC4D01"/>
    <w:rsid w:val="00EC4E3C"/>
    <w:rsid w:val="00EC5A33"/>
    <w:rsid w:val="00EC5D8C"/>
    <w:rsid w:val="00EC5E41"/>
    <w:rsid w:val="00EC617B"/>
    <w:rsid w:val="00EC621F"/>
    <w:rsid w:val="00EC67FF"/>
    <w:rsid w:val="00EC68BD"/>
    <w:rsid w:val="00EC6A03"/>
    <w:rsid w:val="00EC6B28"/>
    <w:rsid w:val="00EC7116"/>
    <w:rsid w:val="00EC72DE"/>
    <w:rsid w:val="00EC7720"/>
    <w:rsid w:val="00EC7B83"/>
    <w:rsid w:val="00EC7C11"/>
    <w:rsid w:val="00EC7CCE"/>
    <w:rsid w:val="00EC7FEB"/>
    <w:rsid w:val="00ED0051"/>
    <w:rsid w:val="00ED05D6"/>
    <w:rsid w:val="00ED0D2E"/>
    <w:rsid w:val="00ED0FC2"/>
    <w:rsid w:val="00ED1914"/>
    <w:rsid w:val="00ED1DFE"/>
    <w:rsid w:val="00ED210D"/>
    <w:rsid w:val="00ED238D"/>
    <w:rsid w:val="00ED2666"/>
    <w:rsid w:val="00ED2673"/>
    <w:rsid w:val="00ED2A07"/>
    <w:rsid w:val="00ED2AAF"/>
    <w:rsid w:val="00ED2D05"/>
    <w:rsid w:val="00ED300B"/>
    <w:rsid w:val="00ED313A"/>
    <w:rsid w:val="00ED329A"/>
    <w:rsid w:val="00ED3401"/>
    <w:rsid w:val="00ED369A"/>
    <w:rsid w:val="00ED3990"/>
    <w:rsid w:val="00ED3F5A"/>
    <w:rsid w:val="00ED409F"/>
    <w:rsid w:val="00ED4138"/>
    <w:rsid w:val="00ED43E8"/>
    <w:rsid w:val="00ED46D1"/>
    <w:rsid w:val="00ED49A8"/>
    <w:rsid w:val="00ED50F7"/>
    <w:rsid w:val="00ED5393"/>
    <w:rsid w:val="00ED53D9"/>
    <w:rsid w:val="00ED5508"/>
    <w:rsid w:val="00ED565D"/>
    <w:rsid w:val="00ED59BB"/>
    <w:rsid w:val="00ED5A14"/>
    <w:rsid w:val="00ED5BF7"/>
    <w:rsid w:val="00ED61C7"/>
    <w:rsid w:val="00ED6581"/>
    <w:rsid w:val="00ED6612"/>
    <w:rsid w:val="00ED6645"/>
    <w:rsid w:val="00ED67A7"/>
    <w:rsid w:val="00ED696A"/>
    <w:rsid w:val="00ED6AC6"/>
    <w:rsid w:val="00ED6ACD"/>
    <w:rsid w:val="00ED70CD"/>
    <w:rsid w:val="00ED71FB"/>
    <w:rsid w:val="00ED72DB"/>
    <w:rsid w:val="00ED72FC"/>
    <w:rsid w:val="00ED7B19"/>
    <w:rsid w:val="00ED7B30"/>
    <w:rsid w:val="00ED7BC0"/>
    <w:rsid w:val="00ED7D10"/>
    <w:rsid w:val="00EE00D8"/>
    <w:rsid w:val="00EE0145"/>
    <w:rsid w:val="00EE018D"/>
    <w:rsid w:val="00EE0242"/>
    <w:rsid w:val="00EE0E2D"/>
    <w:rsid w:val="00EE1066"/>
    <w:rsid w:val="00EE1368"/>
    <w:rsid w:val="00EE1371"/>
    <w:rsid w:val="00EE1562"/>
    <w:rsid w:val="00EE16C6"/>
    <w:rsid w:val="00EE1853"/>
    <w:rsid w:val="00EE1C23"/>
    <w:rsid w:val="00EE1CF0"/>
    <w:rsid w:val="00EE20ED"/>
    <w:rsid w:val="00EE216F"/>
    <w:rsid w:val="00EE23C1"/>
    <w:rsid w:val="00EE23D3"/>
    <w:rsid w:val="00EE259E"/>
    <w:rsid w:val="00EE2727"/>
    <w:rsid w:val="00EE275B"/>
    <w:rsid w:val="00EE277F"/>
    <w:rsid w:val="00EE27C5"/>
    <w:rsid w:val="00EE2867"/>
    <w:rsid w:val="00EE2BEB"/>
    <w:rsid w:val="00EE2C4E"/>
    <w:rsid w:val="00EE2F1D"/>
    <w:rsid w:val="00EE2FD9"/>
    <w:rsid w:val="00EE351D"/>
    <w:rsid w:val="00EE3939"/>
    <w:rsid w:val="00EE3ADE"/>
    <w:rsid w:val="00EE3C54"/>
    <w:rsid w:val="00EE3C95"/>
    <w:rsid w:val="00EE3D7F"/>
    <w:rsid w:val="00EE43AB"/>
    <w:rsid w:val="00EE44A2"/>
    <w:rsid w:val="00EE495D"/>
    <w:rsid w:val="00EE4A0E"/>
    <w:rsid w:val="00EE4AE8"/>
    <w:rsid w:val="00EE4B1D"/>
    <w:rsid w:val="00EE4B81"/>
    <w:rsid w:val="00EE4BCB"/>
    <w:rsid w:val="00EE4D75"/>
    <w:rsid w:val="00EE5273"/>
    <w:rsid w:val="00EE5400"/>
    <w:rsid w:val="00EE5540"/>
    <w:rsid w:val="00EE561D"/>
    <w:rsid w:val="00EE57C6"/>
    <w:rsid w:val="00EE57F7"/>
    <w:rsid w:val="00EE5E05"/>
    <w:rsid w:val="00EE5EDE"/>
    <w:rsid w:val="00EE6321"/>
    <w:rsid w:val="00EE6393"/>
    <w:rsid w:val="00EE665C"/>
    <w:rsid w:val="00EE66F3"/>
    <w:rsid w:val="00EE6870"/>
    <w:rsid w:val="00EE6CEF"/>
    <w:rsid w:val="00EE6DD3"/>
    <w:rsid w:val="00EE6EB6"/>
    <w:rsid w:val="00EE70B7"/>
    <w:rsid w:val="00EE7296"/>
    <w:rsid w:val="00EE76EB"/>
    <w:rsid w:val="00EE7833"/>
    <w:rsid w:val="00EE7860"/>
    <w:rsid w:val="00EE7973"/>
    <w:rsid w:val="00EE7ECA"/>
    <w:rsid w:val="00EF01F0"/>
    <w:rsid w:val="00EF0295"/>
    <w:rsid w:val="00EF03AA"/>
    <w:rsid w:val="00EF0816"/>
    <w:rsid w:val="00EF08BA"/>
    <w:rsid w:val="00EF10BE"/>
    <w:rsid w:val="00EF14E5"/>
    <w:rsid w:val="00EF1533"/>
    <w:rsid w:val="00EF1733"/>
    <w:rsid w:val="00EF18E1"/>
    <w:rsid w:val="00EF1B70"/>
    <w:rsid w:val="00EF1F38"/>
    <w:rsid w:val="00EF212E"/>
    <w:rsid w:val="00EF265B"/>
    <w:rsid w:val="00EF27ED"/>
    <w:rsid w:val="00EF28AB"/>
    <w:rsid w:val="00EF2C64"/>
    <w:rsid w:val="00EF2EB2"/>
    <w:rsid w:val="00EF2FA3"/>
    <w:rsid w:val="00EF2FF7"/>
    <w:rsid w:val="00EF36D5"/>
    <w:rsid w:val="00EF37BB"/>
    <w:rsid w:val="00EF391D"/>
    <w:rsid w:val="00EF39A9"/>
    <w:rsid w:val="00EF3BAA"/>
    <w:rsid w:val="00EF3D22"/>
    <w:rsid w:val="00EF3EF5"/>
    <w:rsid w:val="00EF4424"/>
    <w:rsid w:val="00EF4738"/>
    <w:rsid w:val="00EF47C0"/>
    <w:rsid w:val="00EF4C11"/>
    <w:rsid w:val="00EF4C28"/>
    <w:rsid w:val="00EF4DA8"/>
    <w:rsid w:val="00EF4DBA"/>
    <w:rsid w:val="00EF5598"/>
    <w:rsid w:val="00EF55CA"/>
    <w:rsid w:val="00EF5630"/>
    <w:rsid w:val="00EF5767"/>
    <w:rsid w:val="00EF5A3E"/>
    <w:rsid w:val="00EF5C08"/>
    <w:rsid w:val="00EF5D81"/>
    <w:rsid w:val="00EF61EF"/>
    <w:rsid w:val="00EF641F"/>
    <w:rsid w:val="00EF65A3"/>
    <w:rsid w:val="00EF662E"/>
    <w:rsid w:val="00EF6831"/>
    <w:rsid w:val="00EF6967"/>
    <w:rsid w:val="00EF6ADF"/>
    <w:rsid w:val="00EF6B7F"/>
    <w:rsid w:val="00EF6DE3"/>
    <w:rsid w:val="00EF6DE4"/>
    <w:rsid w:val="00EF6E61"/>
    <w:rsid w:val="00EF72D5"/>
    <w:rsid w:val="00EF7502"/>
    <w:rsid w:val="00EF7836"/>
    <w:rsid w:val="00EF791B"/>
    <w:rsid w:val="00EF7BF7"/>
    <w:rsid w:val="00EF7C73"/>
    <w:rsid w:val="00F0023F"/>
    <w:rsid w:val="00F0041C"/>
    <w:rsid w:val="00F00761"/>
    <w:rsid w:val="00F009C3"/>
    <w:rsid w:val="00F00AFB"/>
    <w:rsid w:val="00F00B18"/>
    <w:rsid w:val="00F00BF3"/>
    <w:rsid w:val="00F00E00"/>
    <w:rsid w:val="00F00E83"/>
    <w:rsid w:val="00F013A3"/>
    <w:rsid w:val="00F013A8"/>
    <w:rsid w:val="00F0160F"/>
    <w:rsid w:val="00F01898"/>
    <w:rsid w:val="00F01A9A"/>
    <w:rsid w:val="00F01EAE"/>
    <w:rsid w:val="00F01EEC"/>
    <w:rsid w:val="00F01F6C"/>
    <w:rsid w:val="00F02228"/>
    <w:rsid w:val="00F02317"/>
    <w:rsid w:val="00F02335"/>
    <w:rsid w:val="00F02709"/>
    <w:rsid w:val="00F027E2"/>
    <w:rsid w:val="00F02A09"/>
    <w:rsid w:val="00F02A31"/>
    <w:rsid w:val="00F02D09"/>
    <w:rsid w:val="00F02EAA"/>
    <w:rsid w:val="00F03020"/>
    <w:rsid w:val="00F032FE"/>
    <w:rsid w:val="00F039EC"/>
    <w:rsid w:val="00F03A6B"/>
    <w:rsid w:val="00F03C23"/>
    <w:rsid w:val="00F03D4B"/>
    <w:rsid w:val="00F041F4"/>
    <w:rsid w:val="00F04335"/>
    <w:rsid w:val="00F04550"/>
    <w:rsid w:val="00F04557"/>
    <w:rsid w:val="00F0487E"/>
    <w:rsid w:val="00F049A7"/>
    <w:rsid w:val="00F04CCB"/>
    <w:rsid w:val="00F04D95"/>
    <w:rsid w:val="00F0505E"/>
    <w:rsid w:val="00F05547"/>
    <w:rsid w:val="00F05592"/>
    <w:rsid w:val="00F055C3"/>
    <w:rsid w:val="00F056B5"/>
    <w:rsid w:val="00F056D2"/>
    <w:rsid w:val="00F058D3"/>
    <w:rsid w:val="00F05B77"/>
    <w:rsid w:val="00F05B95"/>
    <w:rsid w:val="00F05C17"/>
    <w:rsid w:val="00F062A6"/>
    <w:rsid w:val="00F064AF"/>
    <w:rsid w:val="00F069B6"/>
    <w:rsid w:val="00F06A19"/>
    <w:rsid w:val="00F06AC3"/>
    <w:rsid w:val="00F06AE7"/>
    <w:rsid w:val="00F06B51"/>
    <w:rsid w:val="00F06BC9"/>
    <w:rsid w:val="00F06F33"/>
    <w:rsid w:val="00F06FC7"/>
    <w:rsid w:val="00F06FDE"/>
    <w:rsid w:val="00F075D2"/>
    <w:rsid w:val="00F078C7"/>
    <w:rsid w:val="00F0793E"/>
    <w:rsid w:val="00F07CD2"/>
    <w:rsid w:val="00F100C7"/>
    <w:rsid w:val="00F10102"/>
    <w:rsid w:val="00F1037F"/>
    <w:rsid w:val="00F10554"/>
    <w:rsid w:val="00F1071D"/>
    <w:rsid w:val="00F107B3"/>
    <w:rsid w:val="00F107E2"/>
    <w:rsid w:val="00F108C1"/>
    <w:rsid w:val="00F10C5E"/>
    <w:rsid w:val="00F11045"/>
    <w:rsid w:val="00F1106E"/>
    <w:rsid w:val="00F1155F"/>
    <w:rsid w:val="00F116CF"/>
    <w:rsid w:val="00F1180A"/>
    <w:rsid w:val="00F11B38"/>
    <w:rsid w:val="00F11BF6"/>
    <w:rsid w:val="00F11C4B"/>
    <w:rsid w:val="00F11CE1"/>
    <w:rsid w:val="00F11EC5"/>
    <w:rsid w:val="00F12404"/>
    <w:rsid w:val="00F1249D"/>
    <w:rsid w:val="00F12FBD"/>
    <w:rsid w:val="00F13009"/>
    <w:rsid w:val="00F13438"/>
    <w:rsid w:val="00F134AD"/>
    <w:rsid w:val="00F134E3"/>
    <w:rsid w:val="00F135A2"/>
    <w:rsid w:val="00F138E2"/>
    <w:rsid w:val="00F1390B"/>
    <w:rsid w:val="00F13A43"/>
    <w:rsid w:val="00F13ACD"/>
    <w:rsid w:val="00F13BFE"/>
    <w:rsid w:val="00F13D02"/>
    <w:rsid w:val="00F13DDA"/>
    <w:rsid w:val="00F13ED4"/>
    <w:rsid w:val="00F146F8"/>
    <w:rsid w:val="00F1484C"/>
    <w:rsid w:val="00F1498D"/>
    <w:rsid w:val="00F149A8"/>
    <w:rsid w:val="00F14AE0"/>
    <w:rsid w:val="00F1503D"/>
    <w:rsid w:val="00F152CD"/>
    <w:rsid w:val="00F15520"/>
    <w:rsid w:val="00F15C4D"/>
    <w:rsid w:val="00F15CEE"/>
    <w:rsid w:val="00F15E2C"/>
    <w:rsid w:val="00F15F2D"/>
    <w:rsid w:val="00F16D3D"/>
    <w:rsid w:val="00F16DE8"/>
    <w:rsid w:val="00F16E2A"/>
    <w:rsid w:val="00F171C1"/>
    <w:rsid w:val="00F171D9"/>
    <w:rsid w:val="00F1760A"/>
    <w:rsid w:val="00F17AF4"/>
    <w:rsid w:val="00F17C4C"/>
    <w:rsid w:val="00F200AE"/>
    <w:rsid w:val="00F20112"/>
    <w:rsid w:val="00F201A2"/>
    <w:rsid w:val="00F20260"/>
    <w:rsid w:val="00F202AD"/>
    <w:rsid w:val="00F20301"/>
    <w:rsid w:val="00F20364"/>
    <w:rsid w:val="00F209F1"/>
    <w:rsid w:val="00F20A4B"/>
    <w:rsid w:val="00F20AA6"/>
    <w:rsid w:val="00F20D18"/>
    <w:rsid w:val="00F20E6F"/>
    <w:rsid w:val="00F20F45"/>
    <w:rsid w:val="00F2107B"/>
    <w:rsid w:val="00F2160B"/>
    <w:rsid w:val="00F219E7"/>
    <w:rsid w:val="00F21AD0"/>
    <w:rsid w:val="00F21C72"/>
    <w:rsid w:val="00F21D56"/>
    <w:rsid w:val="00F21D92"/>
    <w:rsid w:val="00F21ED3"/>
    <w:rsid w:val="00F22006"/>
    <w:rsid w:val="00F2230B"/>
    <w:rsid w:val="00F22711"/>
    <w:rsid w:val="00F2276A"/>
    <w:rsid w:val="00F22C31"/>
    <w:rsid w:val="00F22D30"/>
    <w:rsid w:val="00F22EA6"/>
    <w:rsid w:val="00F22FC5"/>
    <w:rsid w:val="00F234C9"/>
    <w:rsid w:val="00F23509"/>
    <w:rsid w:val="00F23592"/>
    <w:rsid w:val="00F23850"/>
    <w:rsid w:val="00F23AD0"/>
    <w:rsid w:val="00F23C43"/>
    <w:rsid w:val="00F23DAD"/>
    <w:rsid w:val="00F23E6B"/>
    <w:rsid w:val="00F23EC5"/>
    <w:rsid w:val="00F24052"/>
    <w:rsid w:val="00F2413F"/>
    <w:rsid w:val="00F243BF"/>
    <w:rsid w:val="00F243FB"/>
    <w:rsid w:val="00F24E32"/>
    <w:rsid w:val="00F25179"/>
    <w:rsid w:val="00F25602"/>
    <w:rsid w:val="00F257A9"/>
    <w:rsid w:val="00F25A3E"/>
    <w:rsid w:val="00F25CF3"/>
    <w:rsid w:val="00F25D58"/>
    <w:rsid w:val="00F25FB7"/>
    <w:rsid w:val="00F2615D"/>
    <w:rsid w:val="00F2629F"/>
    <w:rsid w:val="00F265BC"/>
    <w:rsid w:val="00F2661D"/>
    <w:rsid w:val="00F2663A"/>
    <w:rsid w:val="00F266B4"/>
    <w:rsid w:val="00F266DA"/>
    <w:rsid w:val="00F26796"/>
    <w:rsid w:val="00F2687A"/>
    <w:rsid w:val="00F26BC9"/>
    <w:rsid w:val="00F26D4B"/>
    <w:rsid w:val="00F26EC2"/>
    <w:rsid w:val="00F270CE"/>
    <w:rsid w:val="00F270DE"/>
    <w:rsid w:val="00F2718D"/>
    <w:rsid w:val="00F27581"/>
    <w:rsid w:val="00F27750"/>
    <w:rsid w:val="00F27820"/>
    <w:rsid w:val="00F279FD"/>
    <w:rsid w:val="00F27B74"/>
    <w:rsid w:val="00F27C02"/>
    <w:rsid w:val="00F27C96"/>
    <w:rsid w:val="00F3028E"/>
    <w:rsid w:val="00F3059B"/>
    <w:rsid w:val="00F30747"/>
    <w:rsid w:val="00F3087C"/>
    <w:rsid w:val="00F309FC"/>
    <w:rsid w:val="00F30A7E"/>
    <w:rsid w:val="00F30C83"/>
    <w:rsid w:val="00F3135A"/>
    <w:rsid w:val="00F31750"/>
    <w:rsid w:val="00F318FA"/>
    <w:rsid w:val="00F31DC1"/>
    <w:rsid w:val="00F31FF5"/>
    <w:rsid w:val="00F32044"/>
    <w:rsid w:val="00F32094"/>
    <w:rsid w:val="00F3213C"/>
    <w:rsid w:val="00F321C6"/>
    <w:rsid w:val="00F324D8"/>
    <w:rsid w:val="00F329E7"/>
    <w:rsid w:val="00F32A81"/>
    <w:rsid w:val="00F32B8E"/>
    <w:rsid w:val="00F32BEB"/>
    <w:rsid w:val="00F33154"/>
    <w:rsid w:val="00F3338C"/>
    <w:rsid w:val="00F33404"/>
    <w:rsid w:val="00F337E2"/>
    <w:rsid w:val="00F33B10"/>
    <w:rsid w:val="00F33C5B"/>
    <w:rsid w:val="00F33CD4"/>
    <w:rsid w:val="00F33D64"/>
    <w:rsid w:val="00F33EA7"/>
    <w:rsid w:val="00F3406B"/>
    <w:rsid w:val="00F341AD"/>
    <w:rsid w:val="00F348BA"/>
    <w:rsid w:val="00F34B55"/>
    <w:rsid w:val="00F34EF6"/>
    <w:rsid w:val="00F3508F"/>
    <w:rsid w:val="00F350AC"/>
    <w:rsid w:val="00F350D0"/>
    <w:rsid w:val="00F351C5"/>
    <w:rsid w:val="00F352BD"/>
    <w:rsid w:val="00F355F3"/>
    <w:rsid w:val="00F3591C"/>
    <w:rsid w:val="00F35E81"/>
    <w:rsid w:val="00F35FF5"/>
    <w:rsid w:val="00F36602"/>
    <w:rsid w:val="00F36797"/>
    <w:rsid w:val="00F36827"/>
    <w:rsid w:val="00F369F5"/>
    <w:rsid w:val="00F36C38"/>
    <w:rsid w:val="00F36E2F"/>
    <w:rsid w:val="00F36F7C"/>
    <w:rsid w:val="00F3792C"/>
    <w:rsid w:val="00F37B08"/>
    <w:rsid w:val="00F37BBD"/>
    <w:rsid w:val="00F37EC7"/>
    <w:rsid w:val="00F37FE7"/>
    <w:rsid w:val="00F40131"/>
    <w:rsid w:val="00F40153"/>
    <w:rsid w:val="00F40311"/>
    <w:rsid w:val="00F40340"/>
    <w:rsid w:val="00F405EE"/>
    <w:rsid w:val="00F40781"/>
    <w:rsid w:val="00F40B5C"/>
    <w:rsid w:val="00F40D57"/>
    <w:rsid w:val="00F41188"/>
    <w:rsid w:val="00F41745"/>
    <w:rsid w:val="00F41C02"/>
    <w:rsid w:val="00F42265"/>
    <w:rsid w:val="00F422B7"/>
    <w:rsid w:val="00F42300"/>
    <w:rsid w:val="00F425D4"/>
    <w:rsid w:val="00F426F8"/>
    <w:rsid w:val="00F42764"/>
    <w:rsid w:val="00F427AF"/>
    <w:rsid w:val="00F428A9"/>
    <w:rsid w:val="00F428FB"/>
    <w:rsid w:val="00F42BE2"/>
    <w:rsid w:val="00F42C2E"/>
    <w:rsid w:val="00F42D4C"/>
    <w:rsid w:val="00F4341B"/>
    <w:rsid w:val="00F43836"/>
    <w:rsid w:val="00F439CB"/>
    <w:rsid w:val="00F43B3F"/>
    <w:rsid w:val="00F43CB4"/>
    <w:rsid w:val="00F43E3A"/>
    <w:rsid w:val="00F43EFB"/>
    <w:rsid w:val="00F43F16"/>
    <w:rsid w:val="00F441D2"/>
    <w:rsid w:val="00F441E8"/>
    <w:rsid w:val="00F4462B"/>
    <w:rsid w:val="00F4477F"/>
    <w:rsid w:val="00F449B2"/>
    <w:rsid w:val="00F44F20"/>
    <w:rsid w:val="00F4504D"/>
    <w:rsid w:val="00F4521B"/>
    <w:rsid w:val="00F4532D"/>
    <w:rsid w:val="00F45392"/>
    <w:rsid w:val="00F4555D"/>
    <w:rsid w:val="00F457B1"/>
    <w:rsid w:val="00F45BC1"/>
    <w:rsid w:val="00F4614D"/>
    <w:rsid w:val="00F46803"/>
    <w:rsid w:val="00F4681A"/>
    <w:rsid w:val="00F46934"/>
    <w:rsid w:val="00F46A10"/>
    <w:rsid w:val="00F46F09"/>
    <w:rsid w:val="00F46FC1"/>
    <w:rsid w:val="00F47123"/>
    <w:rsid w:val="00F47130"/>
    <w:rsid w:val="00F471BE"/>
    <w:rsid w:val="00F475C9"/>
    <w:rsid w:val="00F4769C"/>
    <w:rsid w:val="00F47776"/>
    <w:rsid w:val="00F47786"/>
    <w:rsid w:val="00F477A0"/>
    <w:rsid w:val="00F478FC"/>
    <w:rsid w:val="00F479F4"/>
    <w:rsid w:val="00F47B0B"/>
    <w:rsid w:val="00F47DF0"/>
    <w:rsid w:val="00F47E3A"/>
    <w:rsid w:val="00F501A1"/>
    <w:rsid w:val="00F5032F"/>
    <w:rsid w:val="00F503FE"/>
    <w:rsid w:val="00F504E4"/>
    <w:rsid w:val="00F50829"/>
    <w:rsid w:val="00F50B61"/>
    <w:rsid w:val="00F51098"/>
    <w:rsid w:val="00F51186"/>
    <w:rsid w:val="00F51218"/>
    <w:rsid w:val="00F5121B"/>
    <w:rsid w:val="00F5156F"/>
    <w:rsid w:val="00F518C4"/>
    <w:rsid w:val="00F51940"/>
    <w:rsid w:val="00F51D23"/>
    <w:rsid w:val="00F51DEC"/>
    <w:rsid w:val="00F51FCD"/>
    <w:rsid w:val="00F52361"/>
    <w:rsid w:val="00F5271F"/>
    <w:rsid w:val="00F527A1"/>
    <w:rsid w:val="00F528C4"/>
    <w:rsid w:val="00F52B9A"/>
    <w:rsid w:val="00F52DEA"/>
    <w:rsid w:val="00F52F02"/>
    <w:rsid w:val="00F533FF"/>
    <w:rsid w:val="00F5347B"/>
    <w:rsid w:val="00F5379A"/>
    <w:rsid w:val="00F537F1"/>
    <w:rsid w:val="00F53AB3"/>
    <w:rsid w:val="00F53D64"/>
    <w:rsid w:val="00F53F5B"/>
    <w:rsid w:val="00F54245"/>
    <w:rsid w:val="00F54485"/>
    <w:rsid w:val="00F5459D"/>
    <w:rsid w:val="00F54603"/>
    <w:rsid w:val="00F5466C"/>
    <w:rsid w:val="00F54BA4"/>
    <w:rsid w:val="00F54F7B"/>
    <w:rsid w:val="00F55194"/>
    <w:rsid w:val="00F55283"/>
    <w:rsid w:val="00F553DC"/>
    <w:rsid w:val="00F554A1"/>
    <w:rsid w:val="00F55BE3"/>
    <w:rsid w:val="00F55ED8"/>
    <w:rsid w:val="00F55F64"/>
    <w:rsid w:val="00F560D5"/>
    <w:rsid w:val="00F56272"/>
    <w:rsid w:val="00F5637D"/>
    <w:rsid w:val="00F56528"/>
    <w:rsid w:val="00F5663B"/>
    <w:rsid w:val="00F569A8"/>
    <w:rsid w:val="00F56C39"/>
    <w:rsid w:val="00F56EF0"/>
    <w:rsid w:val="00F572D2"/>
    <w:rsid w:val="00F57394"/>
    <w:rsid w:val="00F576FB"/>
    <w:rsid w:val="00F5787C"/>
    <w:rsid w:val="00F60699"/>
    <w:rsid w:val="00F60C7E"/>
    <w:rsid w:val="00F60D84"/>
    <w:rsid w:val="00F60E17"/>
    <w:rsid w:val="00F60EE1"/>
    <w:rsid w:val="00F60EFB"/>
    <w:rsid w:val="00F6113D"/>
    <w:rsid w:val="00F612A0"/>
    <w:rsid w:val="00F61338"/>
    <w:rsid w:val="00F6134B"/>
    <w:rsid w:val="00F6147C"/>
    <w:rsid w:val="00F614C2"/>
    <w:rsid w:val="00F61661"/>
    <w:rsid w:val="00F61959"/>
    <w:rsid w:val="00F6197E"/>
    <w:rsid w:val="00F61A3E"/>
    <w:rsid w:val="00F61CFC"/>
    <w:rsid w:val="00F6245D"/>
    <w:rsid w:val="00F62523"/>
    <w:rsid w:val="00F628CB"/>
    <w:rsid w:val="00F62E11"/>
    <w:rsid w:val="00F62E4A"/>
    <w:rsid w:val="00F633A7"/>
    <w:rsid w:val="00F63495"/>
    <w:rsid w:val="00F63BF3"/>
    <w:rsid w:val="00F63CAF"/>
    <w:rsid w:val="00F63DA5"/>
    <w:rsid w:val="00F63DF8"/>
    <w:rsid w:val="00F63F00"/>
    <w:rsid w:val="00F63F7E"/>
    <w:rsid w:val="00F63FED"/>
    <w:rsid w:val="00F6409F"/>
    <w:rsid w:val="00F6415E"/>
    <w:rsid w:val="00F645B3"/>
    <w:rsid w:val="00F645F0"/>
    <w:rsid w:val="00F646E2"/>
    <w:rsid w:val="00F647CF"/>
    <w:rsid w:val="00F64A04"/>
    <w:rsid w:val="00F64AE6"/>
    <w:rsid w:val="00F64D0D"/>
    <w:rsid w:val="00F651DF"/>
    <w:rsid w:val="00F652F7"/>
    <w:rsid w:val="00F65362"/>
    <w:rsid w:val="00F658A1"/>
    <w:rsid w:val="00F6616B"/>
    <w:rsid w:val="00F661F1"/>
    <w:rsid w:val="00F662BF"/>
    <w:rsid w:val="00F6639F"/>
    <w:rsid w:val="00F66614"/>
    <w:rsid w:val="00F668C0"/>
    <w:rsid w:val="00F66A12"/>
    <w:rsid w:val="00F66AA5"/>
    <w:rsid w:val="00F66B2A"/>
    <w:rsid w:val="00F66CE6"/>
    <w:rsid w:val="00F66E1F"/>
    <w:rsid w:val="00F66F7A"/>
    <w:rsid w:val="00F66F92"/>
    <w:rsid w:val="00F67028"/>
    <w:rsid w:val="00F67374"/>
    <w:rsid w:val="00F67533"/>
    <w:rsid w:val="00F6777E"/>
    <w:rsid w:val="00F67EA1"/>
    <w:rsid w:val="00F702F1"/>
    <w:rsid w:val="00F70481"/>
    <w:rsid w:val="00F704C8"/>
    <w:rsid w:val="00F7052A"/>
    <w:rsid w:val="00F70584"/>
    <w:rsid w:val="00F705FD"/>
    <w:rsid w:val="00F70A24"/>
    <w:rsid w:val="00F70F81"/>
    <w:rsid w:val="00F7102B"/>
    <w:rsid w:val="00F711F4"/>
    <w:rsid w:val="00F71266"/>
    <w:rsid w:val="00F71607"/>
    <w:rsid w:val="00F7161A"/>
    <w:rsid w:val="00F71ABA"/>
    <w:rsid w:val="00F71FC4"/>
    <w:rsid w:val="00F7217A"/>
    <w:rsid w:val="00F72376"/>
    <w:rsid w:val="00F724B7"/>
    <w:rsid w:val="00F7256C"/>
    <w:rsid w:val="00F72594"/>
    <w:rsid w:val="00F729DF"/>
    <w:rsid w:val="00F72A97"/>
    <w:rsid w:val="00F72B56"/>
    <w:rsid w:val="00F72BBE"/>
    <w:rsid w:val="00F72C5F"/>
    <w:rsid w:val="00F72E99"/>
    <w:rsid w:val="00F731C3"/>
    <w:rsid w:val="00F73248"/>
    <w:rsid w:val="00F73335"/>
    <w:rsid w:val="00F73423"/>
    <w:rsid w:val="00F738B0"/>
    <w:rsid w:val="00F73971"/>
    <w:rsid w:val="00F74706"/>
    <w:rsid w:val="00F74AC6"/>
    <w:rsid w:val="00F74B35"/>
    <w:rsid w:val="00F74C70"/>
    <w:rsid w:val="00F74E7B"/>
    <w:rsid w:val="00F74F7E"/>
    <w:rsid w:val="00F75176"/>
    <w:rsid w:val="00F7518A"/>
    <w:rsid w:val="00F7535F"/>
    <w:rsid w:val="00F75EC7"/>
    <w:rsid w:val="00F75FC6"/>
    <w:rsid w:val="00F75FCF"/>
    <w:rsid w:val="00F762E1"/>
    <w:rsid w:val="00F76363"/>
    <w:rsid w:val="00F764AD"/>
    <w:rsid w:val="00F765DD"/>
    <w:rsid w:val="00F7689F"/>
    <w:rsid w:val="00F76A92"/>
    <w:rsid w:val="00F76B50"/>
    <w:rsid w:val="00F77133"/>
    <w:rsid w:val="00F772AB"/>
    <w:rsid w:val="00F774C0"/>
    <w:rsid w:val="00F7763E"/>
    <w:rsid w:val="00F77680"/>
    <w:rsid w:val="00F77686"/>
    <w:rsid w:val="00F778D9"/>
    <w:rsid w:val="00F80321"/>
    <w:rsid w:val="00F806E8"/>
    <w:rsid w:val="00F80A53"/>
    <w:rsid w:val="00F8101A"/>
    <w:rsid w:val="00F8107A"/>
    <w:rsid w:val="00F81191"/>
    <w:rsid w:val="00F81342"/>
    <w:rsid w:val="00F813B9"/>
    <w:rsid w:val="00F813F2"/>
    <w:rsid w:val="00F8145D"/>
    <w:rsid w:val="00F81740"/>
    <w:rsid w:val="00F81822"/>
    <w:rsid w:val="00F81FD4"/>
    <w:rsid w:val="00F82095"/>
    <w:rsid w:val="00F820CC"/>
    <w:rsid w:val="00F8219B"/>
    <w:rsid w:val="00F82371"/>
    <w:rsid w:val="00F8240C"/>
    <w:rsid w:val="00F82562"/>
    <w:rsid w:val="00F825A5"/>
    <w:rsid w:val="00F826A9"/>
    <w:rsid w:val="00F82B4C"/>
    <w:rsid w:val="00F82ECE"/>
    <w:rsid w:val="00F8325C"/>
    <w:rsid w:val="00F835ED"/>
    <w:rsid w:val="00F836B5"/>
    <w:rsid w:val="00F838AC"/>
    <w:rsid w:val="00F839CB"/>
    <w:rsid w:val="00F83ADC"/>
    <w:rsid w:val="00F83AFC"/>
    <w:rsid w:val="00F83D4B"/>
    <w:rsid w:val="00F83DF3"/>
    <w:rsid w:val="00F83EBE"/>
    <w:rsid w:val="00F83F4E"/>
    <w:rsid w:val="00F843D8"/>
    <w:rsid w:val="00F84484"/>
    <w:rsid w:val="00F84529"/>
    <w:rsid w:val="00F84E7B"/>
    <w:rsid w:val="00F85003"/>
    <w:rsid w:val="00F85167"/>
    <w:rsid w:val="00F8536D"/>
    <w:rsid w:val="00F85397"/>
    <w:rsid w:val="00F855AB"/>
    <w:rsid w:val="00F856F5"/>
    <w:rsid w:val="00F85934"/>
    <w:rsid w:val="00F85962"/>
    <w:rsid w:val="00F859D6"/>
    <w:rsid w:val="00F85E82"/>
    <w:rsid w:val="00F85EAA"/>
    <w:rsid w:val="00F86561"/>
    <w:rsid w:val="00F8666E"/>
    <w:rsid w:val="00F869C8"/>
    <w:rsid w:val="00F87160"/>
    <w:rsid w:val="00F8767B"/>
    <w:rsid w:val="00F87B22"/>
    <w:rsid w:val="00F87C9D"/>
    <w:rsid w:val="00F87FD8"/>
    <w:rsid w:val="00F902F7"/>
    <w:rsid w:val="00F905DC"/>
    <w:rsid w:val="00F908A7"/>
    <w:rsid w:val="00F908E9"/>
    <w:rsid w:val="00F90AE4"/>
    <w:rsid w:val="00F90B2B"/>
    <w:rsid w:val="00F90DE7"/>
    <w:rsid w:val="00F90F89"/>
    <w:rsid w:val="00F90FC1"/>
    <w:rsid w:val="00F91089"/>
    <w:rsid w:val="00F91099"/>
    <w:rsid w:val="00F91145"/>
    <w:rsid w:val="00F914F5"/>
    <w:rsid w:val="00F91782"/>
    <w:rsid w:val="00F917F3"/>
    <w:rsid w:val="00F918B3"/>
    <w:rsid w:val="00F91E32"/>
    <w:rsid w:val="00F91EE1"/>
    <w:rsid w:val="00F9203A"/>
    <w:rsid w:val="00F9218F"/>
    <w:rsid w:val="00F92352"/>
    <w:rsid w:val="00F92444"/>
    <w:rsid w:val="00F92559"/>
    <w:rsid w:val="00F92850"/>
    <w:rsid w:val="00F9285A"/>
    <w:rsid w:val="00F92AD0"/>
    <w:rsid w:val="00F92B62"/>
    <w:rsid w:val="00F92C5A"/>
    <w:rsid w:val="00F92DF7"/>
    <w:rsid w:val="00F92E45"/>
    <w:rsid w:val="00F930D4"/>
    <w:rsid w:val="00F9317F"/>
    <w:rsid w:val="00F93426"/>
    <w:rsid w:val="00F9361F"/>
    <w:rsid w:val="00F93B05"/>
    <w:rsid w:val="00F93B0C"/>
    <w:rsid w:val="00F93DF9"/>
    <w:rsid w:val="00F93F84"/>
    <w:rsid w:val="00F940AD"/>
    <w:rsid w:val="00F94138"/>
    <w:rsid w:val="00F943FC"/>
    <w:rsid w:val="00F9443C"/>
    <w:rsid w:val="00F9459E"/>
    <w:rsid w:val="00F94AA3"/>
    <w:rsid w:val="00F94E45"/>
    <w:rsid w:val="00F94FB3"/>
    <w:rsid w:val="00F9520F"/>
    <w:rsid w:val="00F955D5"/>
    <w:rsid w:val="00F9564F"/>
    <w:rsid w:val="00F956A8"/>
    <w:rsid w:val="00F956D0"/>
    <w:rsid w:val="00F956D7"/>
    <w:rsid w:val="00F95883"/>
    <w:rsid w:val="00F959E6"/>
    <w:rsid w:val="00F95D34"/>
    <w:rsid w:val="00F96291"/>
    <w:rsid w:val="00F96417"/>
    <w:rsid w:val="00F965C5"/>
    <w:rsid w:val="00F965CC"/>
    <w:rsid w:val="00F967F2"/>
    <w:rsid w:val="00F96AD6"/>
    <w:rsid w:val="00F96C4D"/>
    <w:rsid w:val="00F96E0E"/>
    <w:rsid w:val="00F96EBF"/>
    <w:rsid w:val="00F97403"/>
    <w:rsid w:val="00F9745E"/>
    <w:rsid w:val="00F97564"/>
    <w:rsid w:val="00F97878"/>
    <w:rsid w:val="00F9796E"/>
    <w:rsid w:val="00F97B93"/>
    <w:rsid w:val="00F97BE5"/>
    <w:rsid w:val="00FA0384"/>
    <w:rsid w:val="00FA060C"/>
    <w:rsid w:val="00FA07CA"/>
    <w:rsid w:val="00FA0927"/>
    <w:rsid w:val="00FA0BA5"/>
    <w:rsid w:val="00FA0DB2"/>
    <w:rsid w:val="00FA13D6"/>
    <w:rsid w:val="00FA1482"/>
    <w:rsid w:val="00FA14B1"/>
    <w:rsid w:val="00FA1623"/>
    <w:rsid w:val="00FA1A5C"/>
    <w:rsid w:val="00FA1ADD"/>
    <w:rsid w:val="00FA1D2C"/>
    <w:rsid w:val="00FA1D8C"/>
    <w:rsid w:val="00FA1DD8"/>
    <w:rsid w:val="00FA1EF6"/>
    <w:rsid w:val="00FA20A4"/>
    <w:rsid w:val="00FA21C0"/>
    <w:rsid w:val="00FA285E"/>
    <w:rsid w:val="00FA28A3"/>
    <w:rsid w:val="00FA2910"/>
    <w:rsid w:val="00FA2998"/>
    <w:rsid w:val="00FA32ED"/>
    <w:rsid w:val="00FA372C"/>
    <w:rsid w:val="00FA37E3"/>
    <w:rsid w:val="00FA38D6"/>
    <w:rsid w:val="00FA3942"/>
    <w:rsid w:val="00FA3A8A"/>
    <w:rsid w:val="00FA3AB9"/>
    <w:rsid w:val="00FA3D20"/>
    <w:rsid w:val="00FA4307"/>
    <w:rsid w:val="00FA44FC"/>
    <w:rsid w:val="00FA466E"/>
    <w:rsid w:val="00FA4784"/>
    <w:rsid w:val="00FA4C21"/>
    <w:rsid w:val="00FA4E27"/>
    <w:rsid w:val="00FA50F4"/>
    <w:rsid w:val="00FA5780"/>
    <w:rsid w:val="00FA5996"/>
    <w:rsid w:val="00FA5E96"/>
    <w:rsid w:val="00FA5EBD"/>
    <w:rsid w:val="00FA614B"/>
    <w:rsid w:val="00FA631B"/>
    <w:rsid w:val="00FA64BC"/>
    <w:rsid w:val="00FA652E"/>
    <w:rsid w:val="00FA6557"/>
    <w:rsid w:val="00FA6D39"/>
    <w:rsid w:val="00FA6E8E"/>
    <w:rsid w:val="00FA71CB"/>
    <w:rsid w:val="00FA71CE"/>
    <w:rsid w:val="00FA7463"/>
    <w:rsid w:val="00FA74F5"/>
    <w:rsid w:val="00FA76E4"/>
    <w:rsid w:val="00FA7949"/>
    <w:rsid w:val="00FA7A03"/>
    <w:rsid w:val="00FA7D97"/>
    <w:rsid w:val="00FA7EC4"/>
    <w:rsid w:val="00FA7EFE"/>
    <w:rsid w:val="00FB00F1"/>
    <w:rsid w:val="00FB015E"/>
    <w:rsid w:val="00FB026D"/>
    <w:rsid w:val="00FB038E"/>
    <w:rsid w:val="00FB0452"/>
    <w:rsid w:val="00FB07D2"/>
    <w:rsid w:val="00FB0DDC"/>
    <w:rsid w:val="00FB0E50"/>
    <w:rsid w:val="00FB0ED5"/>
    <w:rsid w:val="00FB108E"/>
    <w:rsid w:val="00FB1399"/>
    <w:rsid w:val="00FB148F"/>
    <w:rsid w:val="00FB14A7"/>
    <w:rsid w:val="00FB1596"/>
    <w:rsid w:val="00FB18DD"/>
    <w:rsid w:val="00FB1943"/>
    <w:rsid w:val="00FB1A64"/>
    <w:rsid w:val="00FB1EB7"/>
    <w:rsid w:val="00FB220E"/>
    <w:rsid w:val="00FB227A"/>
    <w:rsid w:val="00FB22C2"/>
    <w:rsid w:val="00FB2358"/>
    <w:rsid w:val="00FB2672"/>
    <w:rsid w:val="00FB2D3F"/>
    <w:rsid w:val="00FB315A"/>
    <w:rsid w:val="00FB32E2"/>
    <w:rsid w:val="00FB35CA"/>
    <w:rsid w:val="00FB366C"/>
    <w:rsid w:val="00FB3B65"/>
    <w:rsid w:val="00FB3C7C"/>
    <w:rsid w:val="00FB3F4E"/>
    <w:rsid w:val="00FB40BC"/>
    <w:rsid w:val="00FB4337"/>
    <w:rsid w:val="00FB4354"/>
    <w:rsid w:val="00FB4515"/>
    <w:rsid w:val="00FB45D8"/>
    <w:rsid w:val="00FB49A3"/>
    <w:rsid w:val="00FB49B9"/>
    <w:rsid w:val="00FB4D03"/>
    <w:rsid w:val="00FB4D06"/>
    <w:rsid w:val="00FB4E14"/>
    <w:rsid w:val="00FB526E"/>
    <w:rsid w:val="00FB5311"/>
    <w:rsid w:val="00FB5328"/>
    <w:rsid w:val="00FB53E2"/>
    <w:rsid w:val="00FB57E6"/>
    <w:rsid w:val="00FB583D"/>
    <w:rsid w:val="00FB589A"/>
    <w:rsid w:val="00FB58D9"/>
    <w:rsid w:val="00FB5DEA"/>
    <w:rsid w:val="00FB6235"/>
    <w:rsid w:val="00FB64F1"/>
    <w:rsid w:val="00FB66A3"/>
    <w:rsid w:val="00FB6948"/>
    <w:rsid w:val="00FB6A77"/>
    <w:rsid w:val="00FB6AFA"/>
    <w:rsid w:val="00FB6B97"/>
    <w:rsid w:val="00FB7350"/>
    <w:rsid w:val="00FB7738"/>
    <w:rsid w:val="00FB7775"/>
    <w:rsid w:val="00FB78E8"/>
    <w:rsid w:val="00FB7C3F"/>
    <w:rsid w:val="00FB7DAB"/>
    <w:rsid w:val="00FC0299"/>
    <w:rsid w:val="00FC0307"/>
    <w:rsid w:val="00FC03E6"/>
    <w:rsid w:val="00FC0D05"/>
    <w:rsid w:val="00FC0E81"/>
    <w:rsid w:val="00FC0FEF"/>
    <w:rsid w:val="00FC102A"/>
    <w:rsid w:val="00FC1121"/>
    <w:rsid w:val="00FC1436"/>
    <w:rsid w:val="00FC18C1"/>
    <w:rsid w:val="00FC1BA4"/>
    <w:rsid w:val="00FC1BB2"/>
    <w:rsid w:val="00FC2777"/>
    <w:rsid w:val="00FC296A"/>
    <w:rsid w:val="00FC2981"/>
    <w:rsid w:val="00FC2AEA"/>
    <w:rsid w:val="00FC2BE2"/>
    <w:rsid w:val="00FC2E37"/>
    <w:rsid w:val="00FC307B"/>
    <w:rsid w:val="00FC308C"/>
    <w:rsid w:val="00FC365F"/>
    <w:rsid w:val="00FC37B0"/>
    <w:rsid w:val="00FC3A92"/>
    <w:rsid w:val="00FC3C60"/>
    <w:rsid w:val="00FC3D0E"/>
    <w:rsid w:val="00FC3F83"/>
    <w:rsid w:val="00FC3FE6"/>
    <w:rsid w:val="00FC4261"/>
    <w:rsid w:val="00FC42B7"/>
    <w:rsid w:val="00FC4387"/>
    <w:rsid w:val="00FC45DA"/>
    <w:rsid w:val="00FC46F3"/>
    <w:rsid w:val="00FC48ED"/>
    <w:rsid w:val="00FC4BC2"/>
    <w:rsid w:val="00FC4BD1"/>
    <w:rsid w:val="00FC4CF1"/>
    <w:rsid w:val="00FC4F76"/>
    <w:rsid w:val="00FC4FF2"/>
    <w:rsid w:val="00FC5B5A"/>
    <w:rsid w:val="00FC5DDD"/>
    <w:rsid w:val="00FC5DE6"/>
    <w:rsid w:val="00FC5E1A"/>
    <w:rsid w:val="00FC5EB8"/>
    <w:rsid w:val="00FC5F5D"/>
    <w:rsid w:val="00FC618F"/>
    <w:rsid w:val="00FC629E"/>
    <w:rsid w:val="00FC6391"/>
    <w:rsid w:val="00FC6445"/>
    <w:rsid w:val="00FC648B"/>
    <w:rsid w:val="00FC66EA"/>
    <w:rsid w:val="00FC68D8"/>
    <w:rsid w:val="00FC69F8"/>
    <w:rsid w:val="00FC6BAA"/>
    <w:rsid w:val="00FC6BB8"/>
    <w:rsid w:val="00FC6CFF"/>
    <w:rsid w:val="00FC6D5D"/>
    <w:rsid w:val="00FC6F93"/>
    <w:rsid w:val="00FC703A"/>
    <w:rsid w:val="00FC7080"/>
    <w:rsid w:val="00FC7105"/>
    <w:rsid w:val="00FC72B6"/>
    <w:rsid w:val="00FC72FD"/>
    <w:rsid w:val="00FC7306"/>
    <w:rsid w:val="00FC76BA"/>
    <w:rsid w:val="00FC7759"/>
    <w:rsid w:val="00FC77B7"/>
    <w:rsid w:val="00FC7877"/>
    <w:rsid w:val="00FC789F"/>
    <w:rsid w:val="00FC7984"/>
    <w:rsid w:val="00FC7AC4"/>
    <w:rsid w:val="00FC7AEC"/>
    <w:rsid w:val="00FC7C74"/>
    <w:rsid w:val="00FC7CC2"/>
    <w:rsid w:val="00FC7D11"/>
    <w:rsid w:val="00FD046B"/>
    <w:rsid w:val="00FD0568"/>
    <w:rsid w:val="00FD0570"/>
    <w:rsid w:val="00FD100F"/>
    <w:rsid w:val="00FD130E"/>
    <w:rsid w:val="00FD154B"/>
    <w:rsid w:val="00FD17B6"/>
    <w:rsid w:val="00FD1B3E"/>
    <w:rsid w:val="00FD1F37"/>
    <w:rsid w:val="00FD21D1"/>
    <w:rsid w:val="00FD2587"/>
    <w:rsid w:val="00FD2ADF"/>
    <w:rsid w:val="00FD2E19"/>
    <w:rsid w:val="00FD328D"/>
    <w:rsid w:val="00FD32C3"/>
    <w:rsid w:val="00FD33DA"/>
    <w:rsid w:val="00FD33EB"/>
    <w:rsid w:val="00FD3650"/>
    <w:rsid w:val="00FD3B23"/>
    <w:rsid w:val="00FD418E"/>
    <w:rsid w:val="00FD42F7"/>
    <w:rsid w:val="00FD4538"/>
    <w:rsid w:val="00FD4941"/>
    <w:rsid w:val="00FD4A29"/>
    <w:rsid w:val="00FD4AF1"/>
    <w:rsid w:val="00FD4B9B"/>
    <w:rsid w:val="00FD517F"/>
    <w:rsid w:val="00FD551A"/>
    <w:rsid w:val="00FD59C7"/>
    <w:rsid w:val="00FD5A18"/>
    <w:rsid w:val="00FD6034"/>
    <w:rsid w:val="00FD6258"/>
    <w:rsid w:val="00FD628F"/>
    <w:rsid w:val="00FD6547"/>
    <w:rsid w:val="00FD65F1"/>
    <w:rsid w:val="00FD661E"/>
    <w:rsid w:val="00FD6940"/>
    <w:rsid w:val="00FD6965"/>
    <w:rsid w:val="00FD6AE3"/>
    <w:rsid w:val="00FD6C6A"/>
    <w:rsid w:val="00FD6CBF"/>
    <w:rsid w:val="00FD77BD"/>
    <w:rsid w:val="00FD78A2"/>
    <w:rsid w:val="00FD795E"/>
    <w:rsid w:val="00FD79C4"/>
    <w:rsid w:val="00FD7DD0"/>
    <w:rsid w:val="00FD7E27"/>
    <w:rsid w:val="00FE0058"/>
    <w:rsid w:val="00FE0363"/>
    <w:rsid w:val="00FE1600"/>
    <w:rsid w:val="00FE166F"/>
    <w:rsid w:val="00FE1808"/>
    <w:rsid w:val="00FE1E50"/>
    <w:rsid w:val="00FE1F30"/>
    <w:rsid w:val="00FE1FCF"/>
    <w:rsid w:val="00FE206D"/>
    <w:rsid w:val="00FE2297"/>
    <w:rsid w:val="00FE2326"/>
    <w:rsid w:val="00FE23EE"/>
    <w:rsid w:val="00FE248C"/>
    <w:rsid w:val="00FE2517"/>
    <w:rsid w:val="00FE2EA1"/>
    <w:rsid w:val="00FE3017"/>
    <w:rsid w:val="00FE358D"/>
    <w:rsid w:val="00FE38DE"/>
    <w:rsid w:val="00FE3B7A"/>
    <w:rsid w:val="00FE3BC8"/>
    <w:rsid w:val="00FE3CD6"/>
    <w:rsid w:val="00FE3DEB"/>
    <w:rsid w:val="00FE4336"/>
    <w:rsid w:val="00FE4486"/>
    <w:rsid w:val="00FE47CB"/>
    <w:rsid w:val="00FE4B05"/>
    <w:rsid w:val="00FE544B"/>
    <w:rsid w:val="00FE55A1"/>
    <w:rsid w:val="00FE5688"/>
    <w:rsid w:val="00FE57D7"/>
    <w:rsid w:val="00FE5A09"/>
    <w:rsid w:val="00FE5A62"/>
    <w:rsid w:val="00FE5BF4"/>
    <w:rsid w:val="00FE5CD7"/>
    <w:rsid w:val="00FE5D34"/>
    <w:rsid w:val="00FE5EE9"/>
    <w:rsid w:val="00FE5F03"/>
    <w:rsid w:val="00FE6446"/>
    <w:rsid w:val="00FE6567"/>
    <w:rsid w:val="00FE66D2"/>
    <w:rsid w:val="00FE67D2"/>
    <w:rsid w:val="00FE6942"/>
    <w:rsid w:val="00FE6999"/>
    <w:rsid w:val="00FE6B0F"/>
    <w:rsid w:val="00FE6FEB"/>
    <w:rsid w:val="00FE78D9"/>
    <w:rsid w:val="00FE79B7"/>
    <w:rsid w:val="00FF018B"/>
    <w:rsid w:val="00FF01EC"/>
    <w:rsid w:val="00FF0306"/>
    <w:rsid w:val="00FF054A"/>
    <w:rsid w:val="00FF07AF"/>
    <w:rsid w:val="00FF07D4"/>
    <w:rsid w:val="00FF0F31"/>
    <w:rsid w:val="00FF0F6B"/>
    <w:rsid w:val="00FF111D"/>
    <w:rsid w:val="00FF11E8"/>
    <w:rsid w:val="00FF1392"/>
    <w:rsid w:val="00FF15A8"/>
    <w:rsid w:val="00FF15F2"/>
    <w:rsid w:val="00FF160D"/>
    <w:rsid w:val="00FF1B07"/>
    <w:rsid w:val="00FF1E13"/>
    <w:rsid w:val="00FF1EDE"/>
    <w:rsid w:val="00FF1FB1"/>
    <w:rsid w:val="00FF2000"/>
    <w:rsid w:val="00FF2473"/>
    <w:rsid w:val="00FF2488"/>
    <w:rsid w:val="00FF24EA"/>
    <w:rsid w:val="00FF28B3"/>
    <w:rsid w:val="00FF2DC6"/>
    <w:rsid w:val="00FF2E40"/>
    <w:rsid w:val="00FF3102"/>
    <w:rsid w:val="00FF381E"/>
    <w:rsid w:val="00FF3864"/>
    <w:rsid w:val="00FF397A"/>
    <w:rsid w:val="00FF41C6"/>
    <w:rsid w:val="00FF43CB"/>
    <w:rsid w:val="00FF446E"/>
    <w:rsid w:val="00FF45AA"/>
    <w:rsid w:val="00FF4609"/>
    <w:rsid w:val="00FF48E7"/>
    <w:rsid w:val="00FF4B56"/>
    <w:rsid w:val="00FF52F4"/>
    <w:rsid w:val="00FF546E"/>
    <w:rsid w:val="00FF5856"/>
    <w:rsid w:val="00FF5A01"/>
    <w:rsid w:val="00FF5ADA"/>
    <w:rsid w:val="00FF5FF8"/>
    <w:rsid w:val="00FF6098"/>
    <w:rsid w:val="00FF65D8"/>
    <w:rsid w:val="00FF6749"/>
    <w:rsid w:val="00FF68B4"/>
    <w:rsid w:val="00FF6A9C"/>
    <w:rsid w:val="00FF6DC9"/>
    <w:rsid w:val="00FF7498"/>
    <w:rsid w:val="00FF75D2"/>
    <w:rsid w:val="00FF7816"/>
    <w:rsid w:val="00FF784F"/>
    <w:rsid w:val="00FF78E8"/>
    <w:rsid w:val="00FF7B81"/>
    <w:rsid w:val="00FF7E3F"/>
    <w:rsid w:val="0243119F"/>
    <w:rsid w:val="043C7071"/>
    <w:rsid w:val="049E624B"/>
    <w:rsid w:val="0557EA2A"/>
    <w:rsid w:val="05AD7FF9"/>
    <w:rsid w:val="06BDFA18"/>
    <w:rsid w:val="0742C23D"/>
    <w:rsid w:val="07BDB7A0"/>
    <w:rsid w:val="08698337"/>
    <w:rsid w:val="08879E5C"/>
    <w:rsid w:val="08A2E290"/>
    <w:rsid w:val="09C85FAF"/>
    <w:rsid w:val="0A0898E5"/>
    <w:rsid w:val="0A09AE90"/>
    <w:rsid w:val="0AF24E40"/>
    <w:rsid w:val="0B4B8059"/>
    <w:rsid w:val="0B5C0A6A"/>
    <w:rsid w:val="0CD5CD95"/>
    <w:rsid w:val="0D18BBCC"/>
    <w:rsid w:val="0DC750FA"/>
    <w:rsid w:val="0DFDC081"/>
    <w:rsid w:val="0E8F4DA7"/>
    <w:rsid w:val="0F0F4F0A"/>
    <w:rsid w:val="0F5D2948"/>
    <w:rsid w:val="10231972"/>
    <w:rsid w:val="108774E1"/>
    <w:rsid w:val="1101A8F7"/>
    <w:rsid w:val="11344E14"/>
    <w:rsid w:val="116F5A16"/>
    <w:rsid w:val="12050BCF"/>
    <w:rsid w:val="12089CD1"/>
    <w:rsid w:val="1261E2D8"/>
    <w:rsid w:val="12DDB910"/>
    <w:rsid w:val="12E88E7D"/>
    <w:rsid w:val="141F9652"/>
    <w:rsid w:val="14DDD0C7"/>
    <w:rsid w:val="154685AC"/>
    <w:rsid w:val="15880AD5"/>
    <w:rsid w:val="1633A14E"/>
    <w:rsid w:val="169B37DF"/>
    <w:rsid w:val="17CFD8C0"/>
    <w:rsid w:val="184A7085"/>
    <w:rsid w:val="186BB6CD"/>
    <w:rsid w:val="190AD8A8"/>
    <w:rsid w:val="19DC63AA"/>
    <w:rsid w:val="19DD7121"/>
    <w:rsid w:val="19EA8701"/>
    <w:rsid w:val="1A1BF97C"/>
    <w:rsid w:val="1A6AFAB1"/>
    <w:rsid w:val="1AEA156A"/>
    <w:rsid w:val="1C70BCC4"/>
    <w:rsid w:val="1C9DE1ED"/>
    <w:rsid w:val="1CB2227B"/>
    <w:rsid w:val="1CBD4C61"/>
    <w:rsid w:val="1D05078E"/>
    <w:rsid w:val="1D6D69C9"/>
    <w:rsid w:val="1D8309CE"/>
    <w:rsid w:val="1E02FE47"/>
    <w:rsid w:val="1E24594B"/>
    <w:rsid w:val="1EA37C7D"/>
    <w:rsid w:val="1F3F706B"/>
    <w:rsid w:val="1FA1C760"/>
    <w:rsid w:val="209B634F"/>
    <w:rsid w:val="21488F6A"/>
    <w:rsid w:val="216249DD"/>
    <w:rsid w:val="2174CB70"/>
    <w:rsid w:val="21C55853"/>
    <w:rsid w:val="221893E9"/>
    <w:rsid w:val="227A6A16"/>
    <w:rsid w:val="22F30FFD"/>
    <w:rsid w:val="23046281"/>
    <w:rsid w:val="23B7CBD9"/>
    <w:rsid w:val="2450DDBD"/>
    <w:rsid w:val="24A61634"/>
    <w:rsid w:val="24AB4F5E"/>
    <w:rsid w:val="26692604"/>
    <w:rsid w:val="270A61D3"/>
    <w:rsid w:val="28159574"/>
    <w:rsid w:val="291CCACF"/>
    <w:rsid w:val="2A1BF82F"/>
    <w:rsid w:val="2A1DD5A9"/>
    <w:rsid w:val="2A60028E"/>
    <w:rsid w:val="2B1B8231"/>
    <w:rsid w:val="2BFFDE31"/>
    <w:rsid w:val="2CA85975"/>
    <w:rsid w:val="2CC16EBA"/>
    <w:rsid w:val="2D0396B9"/>
    <w:rsid w:val="2E8239CC"/>
    <w:rsid w:val="2F27E633"/>
    <w:rsid w:val="2F503BB5"/>
    <w:rsid w:val="2FD2776C"/>
    <w:rsid w:val="2FDA9FE0"/>
    <w:rsid w:val="3015C3A3"/>
    <w:rsid w:val="30FB1B7F"/>
    <w:rsid w:val="31D2BB91"/>
    <w:rsid w:val="328B77A3"/>
    <w:rsid w:val="344BACD3"/>
    <w:rsid w:val="3459339D"/>
    <w:rsid w:val="3478F4E9"/>
    <w:rsid w:val="34B16890"/>
    <w:rsid w:val="36C399DA"/>
    <w:rsid w:val="36EF66A6"/>
    <w:rsid w:val="382E2763"/>
    <w:rsid w:val="38522261"/>
    <w:rsid w:val="38C097D1"/>
    <w:rsid w:val="3902C1CA"/>
    <w:rsid w:val="3A041879"/>
    <w:rsid w:val="3A2129D2"/>
    <w:rsid w:val="3A2345E3"/>
    <w:rsid w:val="3A80C1AE"/>
    <w:rsid w:val="3AA77240"/>
    <w:rsid w:val="3AD8796F"/>
    <w:rsid w:val="3AFAF3AA"/>
    <w:rsid w:val="3B628F73"/>
    <w:rsid w:val="3B740613"/>
    <w:rsid w:val="3C426DB0"/>
    <w:rsid w:val="3D7E9749"/>
    <w:rsid w:val="3DB3DF79"/>
    <w:rsid w:val="3E83D77B"/>
    <w:rsid w:val="3E876C43"/>
    <w:rsid w:val="3E8C0104"/>
    <w:rsid w:val="40418695"/>
    <w:rsid w:val="40AD4E1C"/>
    <w:rsid w:val="40F948EB"/>
    <w:rsid w:val="415D56D9"/>
    <w:rsid w:val="43320ED5"/>
    <w:rsid w:val="437BF6FF"/>
    <w:rsid w:val="439247B9"/>
    <w:rsid w:val="43DCF154"/>
    <w:rsid w:val="448B6709"/>
    <w:rsid w:val="449DF4F1"/>
    <w:rsid w:val="46925723"/>
    <w:rsid w:val="46A4AA14"/>
    <w:rsid w:val="4801D6C6"/>
    <w:rsid w:val="4817F529"/>
    <w:rsid w:val="4867C594"/>
    <w:rsid w:val="494B0DB1"/>
    <w:rsid w:val="49F403EB"/>
    <w:rsid w:val="4A37BB25"/>
    <w:rsid w:val="4AF5BA43"/>
    <w:rsid w:val="4C75B545"/>
    <w:rsid w:val="4C79F610"/>
    <w:rsid w:val="4CC15F3C"/>
    <w:rsid w:val="4CC39DBC"/>
    <w:rsid w:val="4E688BFB"/>
    <w:rsid w:val="506AA9C5"/>
    <w:rsid w:val="5158FD69"/>
    <w:rsid w:val="515D7D1D"/>
    <w:rsid w:val="5262D339"/>
    <w:rsid w:val="5268A844"/>
    <w:rsid w:val="5282329D"/>
    <w:rsid w:val="5362D4C2"/>
    <w:rsid w:val="53A104A1"/>
    <w:rsid w:val="53E982DC"/>
    <w:rsid w:val="540B8769"/>
    <w:rsid w:val="558C90CF"/>
    <w:rsid w:val="565F5FF3"/>
    <w:rsid w:val="56981B68"/>
    <w:rsid w:val="56BAED36"/>
    <w:rsid w:val="57909819"/>
    <w:rsid w:val="579F2E89"/>
    <w:rsid w:val="57B1D56D"/>
    <w:rsid w:val="57F3BD46"/>
    <w:rsid w:val="57FA7EB9"/>
    <w:rsid w:val="57FBA8D6"/>
    <w:rsid w:val="58392E3B"/>
    <w:rsid w:val="58A5882A"/>
    <w:rsid w:val="5C5176A6"/>
    <w:rsid w:val="5CFDBC8D"/>
    <w:rsid w:val="5D1711F9"/>
    <w:rsid w:val="5DAB8C1D"/>
    <w:rsid w:val="5F32CFCD"/>
    <w:rsid w:val="601E0E22"/>
    <w:rsid w:val="605BB473"/>
    <w:rsid w:val="61089833"/>
    <w:rsid w:val="611CD3D9"/>
    <w:rsid w:val="626522EA"/>
    <w:rsid w:val="63C21082"/>
    <w:rsid w:val="63D47C9C"/>
    <w:rsid w:val="64432EE3"/>
    <w:rsid w:val="663A6D87"/>
    <w:rsid w:val="66BE551A"/>
    <w:rsid w:val="67A2727A"/>
    <w:rsid w:val="67C2637F"/>
    <w:rsid w:val="68568B5D"/>
    <w:rsid w:val="688E7255"/>
    <w:rsid w:val="695EA7EB"/>
    <w:rsid w:val="6A10AC41"/>
    <w:rsid w:val="6A2048FD"/>
    <w:rsid w:val="6B2B434E"/>
    <w:rsid w:val="6BD09013"/>
    <w:rsid w:val="6C0201C5"/>
    <w:rsid w:val="6C0E05E4"/>
    <w:rsid w:val="6DA5162B"/>
    <w:rsid w:val="6DF4ACAA"/>
    <w:rsid w:val="6E3EB20A"/>
    <w:rsid w:val="6E498DDE"/>
    <w:rsid w:val="6EAF06BA"/>
    <w:rsid w:val="6F2C0885"/>
    <w:rsid w:val="6F3AB8D8"/>
    <w:rsid w:val="6FDD93D1"/>
    <w:rsid w:val="6FEC4BA6"/>
    <w:rsid w:val="71A9BF94"/>
    <w:rsid w:val="71CF78A9"/>
    <w:rsid w:val="7331460E"/>
    <w:rsid w:val="75939FFC"/>
    <w:rsid w:val="75F0E1DB"/>
    <w:rsid w:val="760F69FF"/>
    <w:rsid w:val="76ABC677"/>
    <w:rsid w:val="76E2E52A"/>
    <w:rsid w:val="76FFEE13"/>
    <w:rsid w:val="7727661E"/>
    <w:rsid w:val="77B9E654"/>
    <w:rsid w:val="783252CD"/>
    <w:rsid w:val="78A57D63"/>
    <w:rsid w:val="794E76CE"/>
    <w:rsid w:val="795D2D1A"/>
    <w:rsid w:val="79718FDE"/>
    <w:rsid w:val="79825EA3"/>
    <w:rsid w:val="79F3B8B6"/>
    <w:rsid w:val="7A197E9C"/>
    <w:rsid w:val="7A4CB96C"/>
    <w:rsid w:val="7BA1014B"/>
    <w:rsid w:val="7C0D7CC8"/>
    <w:rsid w:val="7CE75B41"/>
    <w:rsid w:val="7E2709B0"/>
    <w:rsid w:val="7F38BCDF"/>
    <w:rsid w:val="7FCE031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8E0C7BE"/>
  <w15:chartTrackingRefBased/>
  <w15:docId w15:val="{A959B6FE-19DF-4B65-9AF4-7FE461A92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0" w:qFormat="1"/>
    <w:lsdException w:name="heading 2" w:semiHidden="1" w:uiPriority="90" w:unhideWhenUsed="1" w:qFormat="1"/>
    <w:lsdException w:name="heading 3" w:semiHidden="1" w:uiPriority="90" w:unhideWhenUsed="1" w:qFormat="1"/>
    <w:lsdException w:name="heading 4" w:semiHidden="1" w:uiPriority="9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5"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5" w:unhideWhenUsed="1"/>
    <w:lsdException w:name="List Bullet 3" w:semiHidden="1" w:uiPriority="35" w:unhideWhenUsed="1"/>
    <w:lsdException w:name="List Bullet 4" w:semiHidden="1" w:uiPriority="35" w:unhideWhenUsed="1"/>
    <w:lsdException w:name="List Bullet 5" w:semiHidden="1" w:unhideWhenUsed="1"/>
    <w:lsdException w:name="List Number 2" w:semiHidden="1" w:uiPriority="30" w:unhideWhenUsed="1"/>
    <w:lsdException w:name="List Number 3" w:semiHidden="1" w:uiPriority="30" w:unhideWhenUsed="1"/>
    <w:lsdException w:name="List Number 4" w:semiHidden="1" w:uiPriority="30" w:unhideWhenUsed="1"/>
    <w:lsdException w:name="List Number 5" w:semiHidden="1" w:unhideWhenUsed="1"/>
    <w:lsdException w:name="Title" w:uiPriority="4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0"/>
    <w:qFormat/>
    <w:rsid w:val="00DB62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0"/>
    <w:unhideWhenUsed/>
    <w:qFormat/>
    <w:rsid w:val="00DB62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0"/>
    <w:unhideWhenUsed/>
    <w:qFormat/>
    <w:rsid w:val="00DB62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0"/>
    <w:unhideWhenUsed/>
    <w:qFormat/>
    <w:rsid w:val="00DB62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DB62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DB62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DB62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DB62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DB62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sid w:val="00DB62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0"/>
    <w:rsid w:val="00DB62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0"/>
    <w:rsid w:val="00DB62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0"/>
    <w:rsid w:val="00DB629A"/>
    <w:rPr>
      <w:rFonts w:eastAsiaTheme="majorEastAsia" w:cstheme="majorBidi"/>
      <w:i/>
      <w:iCs/>
      <w:color w:val="0F4761" w:themeColor="accent1" w:themeShade="BF"/>
    </w:rPr>
  </w:style>
  <w:style w:type="character" w:customStyle="1" w:styleId="Heading5Char">
    <w:name w:val="Heading 5 Char"/>
    <w:basedOn w:val="DefaultParagraphFont"/>
    <w:link w:val="Heading5"/>
    <w:rsid w:val="00DB629A"/>
    <w:rPr>
      <w:rFonts w:eastAsiaTheme="majorEastAsia" w:cstheme="majorBidi"/>
      <w:color w:val="0F4761" w:themeColor="accent1" w:themeShade="BF"/>
    </w:rPr>
  </w:style>
  <w:style w:type="character" w:customStyle="1" w:styleId="Heading6Char">
    <w:name w:val="Heading 6 Char"/>
    <w:basedOn w:val="DefaultParagraphFont"/>
    <w:link w:val="Heading6"/>
    <w:rsid w:val="00DB629A"/>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DB629A"/>
    <w:rPr>
      <w:rFonts w:eastAsiaTheme="majorEastAsia" w:cstheme="majorBidi"/>
      <w:color w:val="595959" w:themeColor="text1" w:themeTint="A6"/>
    </w:rPr>
  </w:style>
  <w:style w:type="character" w:customStyle="1" w:styleId="Heading8Char">
    <w:name w:val="Heading 8 Char"/>
    <w:basedOn w:val="DefaultParagraphFont"/>
    <w:link w:val="Heading8"/>
    <w:semiHidden/>
    <w:rsid w:val="00DB629A"/>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DB629A"/>
    <w:rPr>
      <w:rFonts w:eastAsiaTheme="majorEastAsia" w:cstheme="majorBidi"/>
      <w:color w:val="272727" w:themeColor="text1" w:themeTint="D8"/>
    </w:rPr>
  </w:style>
  <w:style w:type="paragraph" w:styleId="Title">
    <w:name w:val="Title"/>
    <w:basedOn w:val="Normal"/>
    <w:next w:val="Normal"/>
    <w:link w:val="TitleChar"/>
    <w:uiPriority w:val="40"/>
    <w:qFormat/>
    <w:rsid w:val="00DB62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40"/>
    <w:rsid w:val="00DB62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2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2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29A"/>
    <w:pPr>
      <w:spacing w:before="160"/>
      <w:jc w:val="center"/>
    </w:pPr>
    <w:rPr>
      <w:i/>
      <w:iCs/>
      <w:color w:val="404040" w:themeColor="text1" w:themeTint="BF"/>
    </w:rPr>
  </w:style>
  <w:style w:type="character" w:customStyle="1" w:styleId="QuoteChar">
    <w:name w:val="Quote Char"/>
    <w:basedOn w:val="DefaultParagraphFont"/>
    <w:link w:val="Quote"/>
    <w:uiPriority w:val="29"/>
    <w:rsid w:val="00DB629A"/>
    <w:rPr>
      <w:i/>
      <w:iCs/>
      <w:color w:val="404040" w:themeColor="text1" w:themeTint="BF"/>
    </w:rPr>
  </w:style>
  <w:style w:type="paragraph" w:styleId="ListParagraph">
    <w:name w:val="List Paragraph"/>
    <w:basedOn w:val="Normal"/>
    <w:uiPriority w:val="34"/>
    <w:qFormat/>
    <w:rsid w:val="00DB629A"/>
    <w:pPr>
      <w:ind w:left="720"/>
      <w:contextualSpacing/>
    </w:pPr>
  </w:style>
  <w:style w:type="character" w:styleId="IntenseEmphasis">
    <w:name w:val="Intense Emphasis"/>
    <w:basedOn w:val="DefaultParagraphFont"/>
    <w:uiPriority w:val="21"/>
    <w:qFormat/>
    <w:rsid w:val="00DB629A"/>
    <w:rPr>
      <w:i/>
      <w:iCs/>
      <w:color w:val="0F4761" w:themeColor="accent1" w:themeShade="BF"/>
    </w:rPr>
  </w:style>
  <w:style w:type="paragraph" w:styleId="IntenseQuote">
    <w:name w:val="Intense Quote"/>
    <w:basedOn w:val="Normal"/>
    <w:next w:val="Normal"/>
    <w:link w:val="IntenseQuoteChar"/>
    <w:uiPriority w:val="30"/>
    <w:qFormat/>
    <w:rsid w:val="00DB62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629A"/>
    <w:rPr>
      <w:i/>
      <w:iCs/>
      <w:color w:val="0F4761" w:themeColor="accent1" w:themeShade="BF"/>
    </w:rPr>
  </w:style>
  <w:style w:type="character" w:styleId="IntenseReference">
    <w:name w:val="Intense Reference"/>
    <w:basedOn w:val="DefaultParagraphFont"/>
    <w:uiPriority w:val="32"/>
    <w:qFormat/>
    <w:rsid w:val="00DB629A"/>
    <w:rPr>
      <w:b/>
      <w:bCs/>
      <w:smallCaps/>
      <w:color w:val="0F4761" w:themeColor="accent1" w:themeShade="BF"/>
      <w:spacing w:val="5"/>
    </w:rPr>
  </w:style>
  <w:style w:type="character" w:customStyle="1" w:styleId="Marker">
    <w:name w:val="Marker"/>
    <w:basedOn w:val="DefaultParagraphFont"/>
    <w:rsid w:val="00EF641F"/>
    <w:rPr>
      <w:color w:val="0000FF"/>
      <w:shd w:val="clear" w:color="auto" w:fill="auto"/>
    </w:rPr>
  </w:style>
  <w:style w:type="paragraph" w:styleId="Header">
    <w:name w:val="header"/>
    <w:basedOn w:val="Normal"/>
    <w:link w:val="HeaderChar"/>
    <w:unhideWhenUsed/>
    <w:rsid w:val="00EF641F"/>
    <w:pPr>
      <w:tabs>
        <w:tab w:val="center" w:pos="4513"/>
        <w:tab w:val="right" w:pos="9026"/>
      </w:tabs>
      <w:spacing w:after="0" w:line="240" w:lineRule="auto"/>
    </w:pPr>
  </w:style>
  <w:style w:type="character" w:customStyle="1" w:styleId="HeaderChar">
    <w:name w:val="Header Char"/>
    <w:basedOn w:val="DefaultParagraphFont"/>
    <w:link w:val="Header"/>
    <w:rsid w:val="00EF641F"/>
  </w:style>
  <w:style w:type="paragraph" w:styleId="Footer">
    <w:name w:val="footer"/>
    <w:basedOn w:val="Normal"/>
    <w:link w:val="FooterChar"/>
    <w:unhideWhenUsed/>
    <w:rsid w:val="00EF641F"/>
    <w:pPr>
      <w:tabs>
        <w:tab w:val="center" w:pos="4513"/>
        <w:tab w:val="right" w:pos="9026"/>
      </w:tabs>
      <w:spacing w:after="0" w:line="240" w:lineRule="auto"/>
    </w:pPr>
  </w:style>
  <w:style w:type="character" w:customStyle="1" w:styleId="FooterChar">
    <w:name w:val="Footer Char"/>
    <w:basedOn w:val="DefaultParagraphFont"/>
    <w:link w:val="Footer"/>
    <w:rsid w:val="00EF641F"/>
  </w:style>
  <w:style w:type="paragraph" w:customStyle="1" w:styleId="Pagedecouverture">
    <w:name w:val="Page de couverture"/>
    <w:basedOn w:val="Normal"/>
    <w:next w:val="Normal"/>
    <w:rsid w:val="00EF641F"/>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F641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F641F"/>
    <w:rPr>
      <w:rFonts w:ascii="Times New Roman" w:hAnsi="Times New Roman" w:cs="Times New Roman"/>
      <w:sz w:val="24"/>
    </w:rPr>
  </w:style>
  <w:style w:type="paragraph" w:customStyle="1" w:styleId="FooterSensitivity">
    <w:name w:val="Footer Sensitivity"/>
    <w:basedOn w:val="Normal"/>
    <w:link w:val="FooterSensitivityChar"/>
    <w:rsid w:val="00EF641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F641F"/>
    <w:rPr>
      <w:rFonts w:ascii="Times New Roman" w:hAnsi="Times New Roman" w:cs="Times New Roman"/>
      <w:b/>
      <w:sz w:val="32"/>
    </w:rPr>
  </w:style>
  <w:style w:type="paragraph" w:customStyle="1" w:styleId="HeaderCoverPage">
    <w:name w:val="Header Cover Page"/>
    <w:basedOn w:val="Normal"/>
    <w:link w:val="HeaderCoverPageChar"/>
    <w:rsid w:val="00EF641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F641F"/>
    <w:rPr>
      <w:rFonts w:ascii="Times New Roman" w:hAnsi="Times New Roman" w:cs="Times New Roman"/>
      <w:sz w:val="24"/>
    </w:rPr>
  </w:style>
  <w:style w:type="paragraph" w:customStyle="1" w:styleId="HeaderSensitivity">
    <w:name w:val="Header Sensitivity"/>
    <w:basedOn w:val="Normal"/>
    <w:link w:val="HeaderSensitivityChar"/>
    <w:rsid w:val="00EF641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F641F"/>
    <w:rPr>
      <w:rFonts w:ascii="Times New Roman" w:hAnsi="Times New Roman" w:cs="Times New Roman"/>
      <w:b/>
      <w:sz w:val="32"/>
    </w:rPr>
  </w:style>
  <w:style w:type="paragraph" w:customStyle="1" w:styleId="HeaderSensitivityRight">
    <w:name w:val="Header Sensitivity Right"/>
    <w:basedOn w:val="Normal"/>
    <w:link w:val="HeaderSensitivityRightChar"/>
    <w:rsid w:val="00EF641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F641F"/>
    <w:rPr>
      <w:rFonts w:ascii="Times New Roman" w:hAnsi="Times New Roman" w:cs="Times New Roman"/>
      <w:sz w:val="28"/>
    </w:rPr>
  </w:style>
  <w:style w:type="paragraph" w:styleId="TOCHeading">
    <w:name w:val="TOC Heading"/>
    <w:basedOn w:val="Heading1"/>
    <w:next w:val="Normal"/>
    <w:unhideWhenUsed/>
    <w:qFormat/>
    <w:rsid w:val="00770D39"/>
    <w:pPr>
      <w:spacing w:before="240" w:after="0"/>
      <w:outlineLvl w:val="9"/>
    </w:pPr>
    <w:rPr>
      <w:kern w:val="0"/>
      <w:sz w:val="32"/>
      <w:szCs w:val="32"/>
      <w14:ligatures w14:val="none"/>
    </w:rPr>
  </w:style>
  <w:style w:type="paragraph" w:styleId="TOC2">
    <w:name w:val="toc 2"/>
    <w:basedOn w:val="Normal"/>
    <w:next w:val="Normal"/>
    <w:autoRedefine/>
    <w:unhideWhenUsed/>
    <w:rsid w:val="00770D39"/>
    <w:pPr>
      <w:spacing w:after="100"/>
      <w:ind w:left="220"/>
    </w:pPr>
    <w:rPr>
      <w:rFonts w:eastAsiaTheme="minorEastAsia" w:cs="Times New Roman"/>
      <w:kern w:val="0"/>
      <w14:ligatures w14:val="none"/>
    </w:rPr>
  </w:style>
  <w:style w:type="paragraph" w:styleId="TOC1">
    <w:name w:val="toc 1"/>
    <w:basedOn w:val="Normal"/>
    <w:next w:val="Normal"/>
    <w:autoRedefine/>
    <w:unhideWhenUsed/>
    <w:rsid w:val="00770D39"/>
    <w:pPr>
      <w:spacing w:after="100"/>
    </w:pPr>
    <w:rPr>
      <w:rFonts w:eastAsiaTheme="minorEastAsia" w:cs="Times New Roman"/>
      <w:kern w:val="0"/>
      <w14:ligatures w14:val="none"/>
    </w:rPr>
  </w:style>
  <w:style w:type="paragraph" w:styleId="TOC3">
    <w:name w:val="toc 3"/>
    <w:basedOn w:val="Normal"/>
    <w:next w:val="Normal"/>
    <w:autoRedefine/>
    <w:uiPriority w:val="39"/>
    <w:unhideWhenUsed/>
    <w:rsid w:val="00770D39"/>
    <w:pPr>
      <w:spacing w:after="100"/>
      <w:ind w:left="440"/>
    </w:pPr>
    <w:rPr>
      <w:rFonts w:eastAsiaTheme="minorEastAsia" w:cs="Times New Roman"/>
      <w:kern w:val="0"/>
      <w14:ligatures w14:val="none"/>
    </w:rPr>
  </w:style>
  <w:style w:type="character" w:styleId="Hyperlink">
    <w:name w:val="Hyperlink"/>
    <w:basedOn w:val="DefaultParagraphFont"/>
    <w:uiPriority w:val="99"/>
    <w:unhideWhenUsed/>
    <w:rsid w:val="00770D39"/>
    <w:rPr>
      <w:color w:val="467886" w:themeColor="hyperlink"/>
      <w:u w:val="single"/>
    </w:rPr>
  </w:style>
  <w:style w:type="character" w:styleId="CommentReference">
    <w:name w:val="annotation reference"/>
    <w:basedOn w:val="DefaultParagraphFont"/>
    <w:uiPriority w:val="99"/>
    <w:semiHidden/>
    <w:unhideWhenUsed/>
    <w:rsid w:val="004C2FD8"/>
    <w:rPr>
      <w:sz w:val="16"/>
      <w:szCs w:val="16"/>
    </w:rPr>
  </w:style>
  <w:style w:type="paragraph" w:styleId="CommentText">
    <w:name w:val="annotation text"/>
    <w:basedOn w:val="Normal"/>
    <w:link w:val="CommentTextChar"/>
    <w:uiPriority w:val="99"/>
    <w:unhideWhenUsed/>
    <w:rsid w:val="004C2FD8"/>
    <w:pPr>
      <w:spacing w:line="240" w:lineRule="auto"/>
    </w:pPr>
    <w:rPr>
      <w:sz w:val="20"/>
      <w:szCs w:val="20"/>
    </w:rPr>
  </w:style>
  <w:style w:type="character" w:customStyle="1" w:styleId="CommentTextChar">
    <w:name w:val="Comment Text Char"/>
    <w:basedOn w:val="DefaultParagraphFont"/>
    <w:link w:val="CommentText"/>
    <w:uiPriority w:val="99"/>
    <w:rsid w:val="004C2FD8"/>
    <w:rPr>
      <w:sz w:val="20"/>
      <w:szCs w:val="20"/>
    </w:rPr>
  </w:style>
  <w:style w:type="paragraph" w:styleId="CommentSubject">
    <w:name w:val="annotation subject"/>
    <w:basedOn w:val="CommentText"/>
    <w:next w:val="CommentText"/>
    <w:link w:val="CommentSubjectChar"/>
    <w:uiPriority w:val="99"/>
    <w:semiHidden/>
    <w:unhideWhenUsed/>
    <w:rsid w:val="004C2FD8"/>
    <w:rPr>
      <w:b/>
      <w:bCs/>
    </w:rPr>
  </w:style>
  <w:style w:type="character" w:customStyle="1" w:styleId="CommentSubjectChar">
    <w:name w:val="Comment Subject Char"/>
    <w:basedOn w:val="CommentTextChar"/>
    <w:link w:val="CommentSubject"/>
    <w:uiPriority w:val="99"/>
    <w:semiHidden/>
    <w:rsid w:val="004C2FD8"/>
    <w:rPr>
      <w:b/>
      <w:bCs/>
      <w:sz w:val="20"/>
      <w:szCs w:val="20"/>
    </w:rPr>
  </w:style>
  <w:style w:type="character" w:styleId="FootnoteReference">
    <w:name w:val="footnote reference"/>
    <w:semiHidden/>
    <w:rsid w:val="00506ABD"/>
    <w:rPr>
      <w:vertAlign w:val="superscript"/>
    </w:rPr>
  </w:style>
  <w:style w:type="paragraph" w:styleId="FootnoteText">
    <w:name w:val="footnote text"/>
    <w:basedOn w:val="Normal"/>
    <w:link w:val="FootnoteTextChar"/>
    <w:rsid w:val="00506ABD"/>
    <w:pPr>
      <w:spacing w:after="120" w:line="240" w:lineRule="auto"/>
      <w:ind w:left="357" w:hanging="357"/>
      <w:jc w:val="both"/>
    </w:pPr>
    <w:rPr>
      <w:rFonts w:ascii="Times New Roman" w:eastAsia="Times New Roman" w:hAnsi="Times New Roman" w:cs="Times New Roman"/>
      <w:kern w:val="0"/>
      <w:sz w:val="20"/>
      <w:szCs w:val="20"/>
      <w:lang w:eastAsia="en-IE"/>
      <w14:ligatures w14:val="none"/>
    </w:rPr>
  </w:style>
  <w:style w:type="character" w:customStyle="1" w:styleId="FootnoteTextChar">
    <w:name w:val="Footnote Text Char"/>
    <w:basedOn w:val="DefaultParagraphFont"/>
    <w:link w:val="FootnoteText"/>
    <w:rsid w:val="00506ABD"/>
    <w:rPr>
      <w:rFonts w:ascii="Times New Roman" w:eastAsia="Times New Roman" w:hAnsi="Times New Roman" w:cs="Times New Roman"/>
      <w:kern w:val="0"/>
      <w:sz w:val="20"/>
      <w:szCs w:val="20"/>
      <w:lang w:val="fr-FR" w:eastAsia="en-IE"/>
      <w14:ligatures w14:val="none"/>
    </w:rPr>
  </w:style>
  <w:style w:type="paragraph" w:customStyle="1" w:styleId="Text1">
    <w:name w:val="Text 1"/>
    <w:basedOn w:val="Normal"/>
    <w:qFormat/>
    <w:rsid w:val="00506ABD"/>
    <w:pPr>
      <w:spacing w:after="240" w:line="240" w:lineRule="auto"/>
      <w:ind w:left="482"/>
      <w:jc w:val="both"/>
    </w:pPr>
    <w:rPr>
      <w:rFonts w:ascii="Times New Roman" w:eastAsia="Times New Roman" w:hAnsi="Times New Roman" w:cs="Times New Roman"/>
      <w:kern w:val="0"/>
      <w:sz w:val="24"/>
      <w:szCs w:val="20"/>
      <w:lang w:eastAsia="en-IE"/>
      <w14:ligatures w14:val="none"/>
    </w:rPr>
  </w:style>
  <w:style w:type="character" w:customStyle="1" w:styleId="UnresolvedMention">
    <w:name w:val="Unresolved Mention"/>
    <w:basedOn w:val="DefaultParagraphFont"/>
    <w:uiPriority w:val="99"/>
    <w:semiHidden/>
    <w:unhideWhenUsed/>
    <w:rsid w:val="00B15E3A"/>
    <w:rPr>
      <w:color w:val="605E5C"/>
      <w:shd w:val="clear" w:color="auto" w:fill="E1DFDD"/>
    </w:rPr>
  </w:style>
  <w:style w:type="paragraph" w:customStyle="1" w:styleId="Text3">
    <w:name w:val="Text 3"/>
    <w:basedOn w:val="Normal"/>
    <w:qFormat/>
    <w:rsid w:val="00C41210"/>
    <w:pPr>
      <w:spacing w:after="240" w:line="240" w:lineRule="auto"/>
      <w:ind w:left="1202"/>
      <w:jc w:val="both"/>
    </w:pPr>
    <w:rPr>
      <w:rFonts w:ascii="Times New Roman" w:eastAsia="Times New Roman" w:hAnsi="Times New Roman" w:cs="Times New Roman"/>
      <w:kern w:val="0"/>
      <w:sz w:val="24"/>
      <w:szCs w:val="20"/>
      <w:lang w:eastAsia="en-IE"/>
      <w14:ligatures w14:val="none"/>
    </w:rPr>
  </w:style>
  <w:style w:type="character" w:customStyle="1" w:styleId="Mention">
    <w:name w:val="Mention"/>
    <w:basedOn w:val="DefaultParagraphFont"/>
    <w:uiPriority w:val="99"/>
    <w:unhideWhenUsed/>
    <w:rsid w:val="00EB7484"/>
    <w:rPr>
      <w:color w:val="2B579A"/>
      <w:shd w:val="clear" w:color="auto" w:fill="E1DFDD"/>
    </w:rPr>
  </w:style>
  <w:style w:type="paragraph" w:customStyle="1" w:styleId="Text2">
    <w:name w:val="Text 2"/>
    <w:basedOn w:val="Normal"/>
    <w:qFormat/>
    <w:rsid w:val="009035F8"/>
    <w:pPr>
      <w:spacing w:after="240" w:line="240" w:lineRule="auto"/>
      <w:ind w:left="1202"/>
      <w:jc w:val="both"/>
    </w:pPr>
    <w:rPr>
      <w:rFonts w:ascii="Times New Roman" w:eastAsia="Times New Roman" w:hAnsi="Times New Roman" w:cs="Times New Roman"/>
      <w:kern w:val="0"/>
      <w:sz w:val="24"/>
      <w:szCs w:val="20"/>
      <w:lang w:eastAsia="en-IE"/>
      <w14:ligatures w14:val="none"/>
    </w:rPr>
  </w:style>
  <w:style w:type="character" w:customStyle="1" w:styleId="BodyPlaceholderText">
    <w:name w:val="BodyPlaceholderText"/>
    <w:basedOn w:val="PlaceholderText"/>
    <w:semiHidden/>
    <w:rsid w:val="00F70481"/>
    <w:rPr>
      <w:color w:val="288061"/>
    </w:rPr>
  </w:style>
  <w:style w:type="character" w:customStyle="1" w:styleId="CrossReference">
    <w:name w:val="Cross Reference"/>
    <w:basedOn w:val="DefaultParagraphFont"/>
    <w:semiHidden/>
    <w:rsid w:val="00F70481"/>
    <w:rPr>
      <w:i/>
    </w:rPr>
  </w:style>
  <w:style w:type="character" w:customStyle="1" w:styleId="InstructionBlue">
    <w:name w:val="InstructionBlue"/>
    <w:semiHidden/>
    <w:rsid w:val="00F70481"/>
    <w:rPr>
      <w:i/>
      <w:color w:val="3366CC"/>
    </w:rPr>
  </w:style>
  <w:style w:type="character" w:customStyle="1" w:styleId="InstructionPlaceholder">
    <w:name w:val="InstructionPlaceholder"/>
    <w:semiHidden/>
    <w:rsid w:val="00F70481"/>
    <w:rPr>
      <w:color w:val="CB3535"/>
    </w:rPr>
  </w:style>
  <w:style w:type="character" w:customStyle="1" w:styleId="InstructionRed">
    <w:name w:val="InstructionRed"/>
    <w:semiHidden/>
    <w:rsid w:val="00F70481"/>
    <w:rPr>
      <w:i/>
      <w:color w:val="CB3535"/>
    </w:rPr>
  </w:style>
  <w:style w:type="character" w:customStyle="1" w:styleId="MarkingLabel">
    <w:name w:val="MarkingLabel"/>
    <w:semiHidden/>
    <w:rsid w:val="00F70481"/>
    <w:rPr>
      <w:b/>
      <w:caps/>
      <w:sz w:val="28"/>
    </w:rPr>
  </w:style>
  <w:style w:type="character" w:customStyle="1" w:styleId="MarkingText">
    <w:name w:val="MarkingText"/>
    <w:semiHidden/>
    <w:rsid w:val="00F70481"/>
    <w:rPr>
      <w:i/>
      <w:sz w:val="28"/>
    </w:rPr>
  </w:style>
  <w:style w:type="character" w:styleId="PlaceholderText">
    <w:name w:val="Placeholder Text"/>
    <w:basedOn w:val="DefaultParagraphFont"/>
    <w:semiHidden/>
    <w:rsid w:val="00F70481"/>
    <w:rPr>
      <w:color w:val="288061"/>
    </w:rPr>
  </w:style>
  <w:style w:type="paragraph" w:customStyle="1" w:styleId="AfterTable">
    <w:name w:val="After Table"/>
    <w:semiHidden/>
    <w:rsid w:val="00F70481"/>
    <w:pPr>
      <w:spacing w:after="0" w:line="240" w:lineRule="auto"/>
    </w:pPr>
    <w:rPr>
      <w:rFonts w:ascii="Times New Roman" w:eastAsia="Times New Roman" w:hAnsi="Times New Roman" w:cs="Times New Roman"/>
      <w:kern w:val="0"/>
      <w:sz w:val="4"/>
      <w:szCs w:val="20"/>
      <w:lang w:eastAsia="en-IE"/>
      <w14:ligatures w14:val="none"/>
    </w:rPr>
  </w:style>
  <w:style w:type="paragraph" w:customStyle="1" w:styleId="AnnexTitle">
    <w:name w:val="AnnexTitle"/>
    <w:basedOn w:val="Normal"/>
    <w:next w:val="Normal"/>
    <w:uiPriority w:val="45"/>
    <w:qFormat/>
    <w:rsid w:val="00F70481"/>
    <w:pPr>
      <w:pageBreakBefore/>
      <w:numPr>
        <w:numId w:val="19"/>
      </w:numPr>
      <w:tabs>
        <w:tab w:val="clear" w:pos="2268"/>
      </w:tabs>
      <w:spacing w:after="480" w:line="240" w:lineRule="auto"/>
      <w:ind w:left="0" w:firstLine="0"/>
      <w:jc w:val="both"/>
      <w:outlineLvl w:val="0"/>
    </w:pPr>
    <w:rPr>
      <w:rFonts w:ascii="Times New Roman" w:eastAsia="Times New Roman" w:hAnsi="Times New Roman" w:cs="Times New Roman"/>
      <w:b/>
      <w:kern w:val="0"/>
      <w:sz w:val="32"/>
      <w:szCs w:val="20"/>
      <w:lang w:eastAsia="en-IE"/>
      <w14:ligatures w14:val="none"/>
    </w:rPr>
  </w:style>
  <w:style w:type="paragraph" w:styleId="Caption">
    <w:name w:val="caption"/>
    <w:basedOn w:val="Normal"/>
    <w:next w:val="Normal"/>
    <w:semiHidden/>
    <w:rsid w:val="00F70481"/>
    <w:pPr>
      <w:spacing w:before="160" w:after="240" w:line="240" w:lineRule="auto"/>
      <w:jc w:val="both"/>
    </w:pPr>
    <w:rPr>
      <w:rFonts w:ascii="Times New Roman" w:eastAsia="Times New Roman" w:hAnsi="Times New Roman" w:cs="Times New Roman"/>
      <w:i/>
      <w:kern w:val="0"/>
      <w:szCs w:val="20"/>
      <w:lang w:eastAsia="en-IE"/>
      <w14:ligatures w14:val="none"/>
    </w:rPr>
  </w:style>
  <w:style w:type="paragraph" w:customStyle="1" w:styleId="ChapterTitle">
    <w:name w:val="ChapterTitle"/>
    <w:basedOn w:val="Normal"/>
    <w:next w:val="SectionTitle"/>
    <w:uiPriority w:val="43"/>
    <w:qFormat/>
    <w:rsid w:val="00F70481"/>
    <w:pPr>
      <w:keepNext/>
      <w:spacing w:after="480" w:line="240" w:lineRule="auto"/>
      <w:jc w:val="center"/>
      <w:outlineLvl w:val="0"/>
    </w:pPr>
    <w:rPr>
      <w:rFonts w:ascii="Times New Roman" w:eastAsia="Times New Roman" w:hAnsi="Times New Roman" w:cs="Times New Roman"/>
      <w:b/>
      <w:kern w:val="0"/>
      <w:sz w:val="32"/>
      <w:szCs w:val="20"/>
      <w:lang w:eastAsia="en-IE"/>
      <w14:ligatures w14:val="none"/>
    </w:rPr>
  </w:style>
  <w:style w:type="paragraph" w:customStyle="1" w:styleId="ConfidentialUE">
    <w:name w:val="Confidential UE"/>
    <w:basedOn w:val="Normal"/>
    <w:semiHidden/>
    <w:rsid w:val="00F70481"/>
    <w:pPr>
      <w:spacing w:after="0" w:line="240" w:lineRule="auto"/>
      <w:jc w:val="center"/>
    </w:pPr>
    <w:rPr>
      <w:rFonts w:ascii="Times New Roman" w:eastAsia="Times New Roman" w:hAnsi="Times New Roman" w:cs="Times New Roman"/>
      <w:b/>
      <w:caps/>
      <w:kern w:val="0"/>
      <w:sz w:val="32"/>
      <w:szCs w:val="20"/>
      <w:bdr w:val="single" w:sz="18" w:space="0" w:color="auto"/>
      <w:lang w:eastAsia="en-IE"/>
      <w14:ligatures w14:val="none"/>
    </w:rPr>
  </w:style>
  <w:style w:type="paragraph" w:customStyle="1" w:styleId="Contact">
    <w:name w:val="Contact"/>
    <w:basedOn w:val="Normal"/>
    <w:semiHidden/>
    <w:rsid w:val="00F70481"/>
    <w:pPr>
      <w:spacing w:before="480" w:after="0" w:line="240" w:lineRule="auto"/>
      <w:ind w:left="567" w:hanging="567"/>
      <w:contextualSpacing/>
    </w:pPr>
    <w:rPr>
      <w:rFonts w:ascii="Times New Roman" w:eastAsia="Times New Roman" w:hAnsi="Times New Roman" w:cs="Times New Roman"/>
      <w:kern w:val="0"/>
      <w:sz w:val="24"/>
      <w:szCs w:val="20"/>
      <w:lang w:eastAsia="en-IE"/>
      <w14:ligatures w14:val="none"/>
    </w:rPr>
  </w:style>
  <w:style w:type="paragraph" w:customStyle="1" w:styleId="ContNum">
    <w:name w:val="ContNum"/>
    <w:basedOn w:val="Normal"/>
    <w:uiPriority w:val="20"/>
    <w:qFormat/>
    <w:rsid w:val="00F70481"/>
    <w:pPr>
      <w:numPr>
        <w:numId w:val="18"/>
      </w:numPr>
      <w:tabs>
        <w:tab w:val="clear" w:pos="476"/>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ContNumLevel2">
    <w:name w:val="ContNum (Level 2)"/>
    <w:basedOn w:val="Normal"/>
    <w:uiPriority w:val="20"/>
    <w:rsid w:val="00F70481"/>
    <w:pPr>
      <w:numPr>
        <w:ilvl w:val="1"/>
        <w:numId w:val="18"/>
      </w:numPr>
      <w:tabs>
        <w:tab w:val="clear" w:pos="952"/>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ContNumLevel3">
    <w:name w:val="ContNum (Level 3)"/>
    <w:basedOn w:val="Normal"/>
    <w:uiPriority w:val="20"/>
    <w:rsid w:val="00F70481"/>
    <w:pPr>
      <w:numPr>
        <w:ilvl w:val="2"/>
        <w:numId w:val="18"/>
      </w:numPr>
      <w:tabs>
        <w:tab w:val="clear" w:pos="1429"/>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styleId="Date">
    <w:name w:val="Date"/>
    <w:basedOn w:val="Normal"/>
    <w:next w:val="References"/>
    <w:link w:val="DateChar"/>
    <w:semiHidden/>
    <w:rsid w:val="00F70481"/>
    <w:pPr>
      <w:spacing w:after="0" w:line="240" w:lineRule="auto"/>
      <w:ind w:left="5102" w:right="-567"/>
    </w:pPr>
    <w:rPr>
      <w:rFonts w:ascii="Times New Roman" w:eastAsia="Times New Roman" w:hAnsi="Times New Roman" w:cs="Times New Roman"/>
      <w:kern w:val="0"/>
      <w:sz w:val="24"/>
      <w:szCs w:val="20"/>
      <w:lang w:eastAsia="en-IE"/>
      <w14:ligatures w14:val="none"/>
    </w:rPr>
  </w:style>
  <w:style w:type="character" w:customStyle="1" w:styleId="DateChar">
    <w:name w:val="Date Char"/>
    <w:basedOn w:val="DefaultParagraphFont"/>
    <w:link w:val="Date"/>
    <w:semiHidden/>
    <w:rsid w:val="00F70481"/>
    <w:rPr>
      <w:rFonts w:ascii="Times New Roman" w:eastAsia="Times New Roman" w:hAnsi="Times New Roman" w:cs="Times New Roman"/>
      <w:kern w:val="0"/>
      <w:sz w:val="24"/>
      <w:szCs w:val="20"/>
      <w:lang w:val="fr-FR" w:eastAsia="en-IE"/>
      <w14:ligatures w14:val="none"/>
    </w:rPr>
  </w:style>
  <w:style w:type="paragraph" w:customStyle="1" w:styleId="Designator">
    <w:name w:val="Designator"/>
    <w:basedOn w:val="Normal"/>
    <w:semiHidden/>
    <w:rsid w:val="00F70481"/>
    <w:pPr>
      <w:spacing w:after="0" w:line="240" w:lineRule="auto"/>
      <w:jc w:val="center"/>
    </w:pPr>
    <w:rPr>
      <w:rFonts w:ascii="Times New Roman" w:eastAsia="Times New Roman" w:hAnsi="Times New Roman" w:cs="Times New Roman"/>
      <w:b/>
      <w:caps/>
      <w:kern w:val="0"/>
      <w:sz w:val="32"/>
      <w:szCs w:val="20"/>
      <w:lang w:eastAsia="en-IE"/>
      <w14:ligatures w14:val="none"/>
    </w:rPr>
  </w:style>
  <w:style w:type="paragraph" w:customStyle="1" w:styleId="DoubSign">
    <w:name w:val="DoubSign"/>
    <w:basedOn w:val="Normal"/>
    <w:semiHidden/>
    <w:rsid w:val="00F70481"/>
    <w:pPr>
      <w:spacing w:before="1200" w:after="0" w:line="240" w:lineRule="auto"/>
    </w:pPr>
    <w:rPr>
      <w:rFonts w:ascii="Times New Roman" w:eastAsia="Times New Roman" w:hAnsi="Times New Roman" w:cs="Times New Roman"/>
      <w:kern w:val="0"/>
      <w:sz w:val="24"/>
      <w:szCs w:val="20"/>
      <w:lang w:eastAsia="en-IE"/>
      <w14:ligatures w14:val="none"/>
    </w:rPr>
  </w:style>
  <w:style w:type="paragraph" w:customStyle="1" w:styleId="EmptyParagraph">
    <w:name w:val="Empty Paragraph"/>
    <w:basedOn w:val="Normal"/>
    <w:next w:val="Normal"/>
    <w:semiHidden/>
    <w:rsid w:val="00F70481"/>
    <w:pPr>
      <w:spacing w:before="240" w:after="240" w:line="240" w:lineRule="auto"/>
      <w:jc w:val="both"/>
    </w:pPr>
    <w:rPr>
      <w:rFonts w:ascii="Times New Roman" w:eastAsia="Times New Roman" w:hAnsi="Times New Roman" w:cs="Times New Roman"/>
      <w:kern w:val="0"/>
      <w:sz w:val="24"/>
      <w:szCs w:val="20"/>
      <w:lang w:eastAsia="en-IE"/>
      <w14:ligatures w14:val="none"/>
    </w:rPr>
  </w:style>
  <w:style w:type="paragraph" w:styleId="EndnoteText">
    <w:name w:val="endnote text"/>
    <w:basedOn w:val="Normal"/>
    <w:link w:val="EndnoteTextChar"/>
    <w:semiHidden/>
    <w:rsid w:val="00F70481"/>
    <w:pPr>
      <w:spacing w:after="120" w:line="240" w:lineRule="auto"/>
      <w:ind w:left="357" w:hanging="357"/>
      <w:jc w:val="both"/>
    </w:pPr>
    <w:rPr>
      <w:rFonts w:ascii="Times New Roman" w:eastAsia="Times New Roman" w:hAnsi="Times New Roman" w:cs="Times New Roman"/>
      <w:kern w:val="0"/>
      <w:sz w:val="20"/>
      <w:szCs w:val="20"/>
      <w:lang w:eastAsia="en-IE"/>
      <w14:ligatures w14:val="none"/>
    </w:rPr>
  </w:style>
  <w:style w:type="character" w:customStyle="1" w:styleId="EndnoteTextChar">
    <w:name w:val="Endnote Text Char"/>
    <w:basedOn w:val="DefaultParagraphFont"/>
    <w:link w:val="EndnoteText"/>
    <w:semiHidden/>
    <w:rsid w:val="00F70481"/>
    <w:rPr>
      <w:rFonts w:ascii="Times New Roman" w:eastAsia="Times New Roman" w:hAnsi="Times New Roman" w:cs="Times New Roman"/>
      <w:kern w:val="0"/>
      <w:sz w:val="20"/>
      <w:szCs w:val="20"/>
      <w:lang w:val="fr-FR" w:eastAsia="en-IE"/>
      <w14:ligatures w14:val="none"/>
    </w:rPr>
  </w:style>
  <w:style w:type="paragraph" w:customStyle="1" w:styleId="FigureBody">
    <w:name w:val="Figure Body"/>
    <w:basedOn w:val="Normal"/>
    <w:next w:val="FigureSource"/>
    <w:uiPriority w:val="99"/>
    <w:semiHidden/>
    <w:unhideWhenUsed/>
    <w:rsid w:val="00F70481"/>
    <w:pPr>
      <w:keepNext/>
      <w:spacing w:after="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FigureBody1">
    <w:name w:val="Figure Body 1"/>
    <w:basedOn w:val="Text1"/>
    <w:next w:val="FigureSource1"/>
    <w:uiPriority w:val="99"/>
    <w:semiHidden/>
    <w:unhideWhenUsed/>
    <w:rsid w:val="00F70481"/>
    <w:pPr>
      <w:keepNext/>
      <w:spacing w:after="40"/>
    </w:pPr>
  </w:style>
  <w:style w:type="paragraph" w:customStyle="1" w:styleId="FigureBody2">
    <w:name w:val="Figure Body 2"/>
    <w:basedOn w:val="Text2"/>
    <w:next w:val="FigureSource2"/>
    <w:uiPriority w:val="99"/>
    <w:semiHidden/>
    <w:unhideWhenUsed/>
    <w:rsid w:val="00F70481"/>
    <w:pPr>
      <w:keepNext/>
      <w:spacing w:after="40"/>
    </w:pPr>
  </w:style>
  <w:style w:type="paragraph" w:customStyle="1" w:styleId="FigureBody3">
    <w:name w:val="Figure Body 3"/>
    <w:basedOn w:val="Text3"/>
    <w:next w:val="FigureSource3"/>
    <w:uiPriority w:val="99"/>
    <w:semiHidden/>
    <w:unhideWhenUsed/>
    <w:rsid w:val="00F70481"/>
    <w:pPr>
      <w:keepNext/>
      <w:spacing w:after="40"/>
    </w:pPr>
  </w:style>
  <w:style w:type="paragraph" w:customStyle="1" w:styleId="FigureBody4">
    <w:name w:val="Figure Body 4"/>
    <w:basedOn w:val="Text4"/>
    <w:next w:val="FigureSource4"/>
    <w:uiPriority w:val="99"/>
    <w:semiHidden/>
    <w:unhideWhenUsed/>
    <w:rsid w:val="00F70481"/>
    <w:pPr>
      <w:keepNext/>
      <w:spacing w:after="40"/>
    </w:pPr>
  </w:style>
  <w:style w:type="paragraph" w:customStyle="1" w:styleId="FigureSource">
    <w:name w:val="Figure Source"/>
    <w:basedOn w:val="Normal"/>
    <w:next w:val="Normal"/>
    <w:uiPriority w:val="99"/>
    <w:semiHidden/>
    <w:unhideWhenUsed/>
    <w:rsid w:val="00F70481"/>
    <w:pPr>
      <w:spacing w:after="240" w:line="240" w:lineRule="auto"/>
      <w:jc w:val="both"/>
    </w:pPr>
    <w:rPr>
      <w:rFonts w:ascii="Times New Roman" w:eastAsia="Times New Roman" w:hAnsi="Times New Roman" w:cs="Times New Roman"/>
      <w:kern w:val="0"/>
      <w:sz w:val="20"/>
      <w:szCs w:val="20"/>
      <w:lang w:eastAsia="en-IE"/>
      <w14:ligatures w14:val="none"/>
    </w:rPr>
  </w:style>
  <w:style w:type="paragraph" w:customStyle="1" w:styleId="FigureSource1">
    <w:name w:val="Figure Source 1"/>
    <w:basedOn w:val="Text1"/>
    <w:next w:val="Text1"/>
    <w:uiPriority w:val="99"/>
    <w:semiHidden/>
    <w:unhideWhenUsed/>
    <w:rsid w:val="00F70481"/>
    <w:rPr>
      <w:sz w:val="20"/>
    </w:rPr>
  </w:style>
  <w:style w:type="paragraph" w:customStyle="1" w:styleId="FigureSource2">
    <w:name w:val="Figure Source 2"/>
    <w:basedOn w:val="Text2"/>
    <w:next w:val="Text2"/>
    <w:uiPriority w:val="99"/>
    <w:semiHidden/>
    <w:unhideWhenUsed/>
    <w:rsid w:val="00F70481"/>
    <w:rPr>
      <w:sz w:val="20"/>
    </w:rPr>
  </w:style>
  <w:style w:type="paragraph" w:customStyle="1" w:styleId="FigureSource3">
    <w:name w:val="Figure Source 3"/>
    <w:basedOn w:val="Text3"/>
    <w:next w:val="Text3"/>
    <w:uiPriority w:val="99"/>
    <w:semiHidden/>
    <w:unhideWhenUsed/>
    <w:rsid w:val="00F70481"/>
    <w:rPr>
      <w:sz w:val="20"/>
    </w:rPr>
  </w:style>
  <w:style w:type="paragraph" w:customStyle="1" w:styleId="FigureSource4">
    <w:name w:val="Figure Source 4"/>
    <w:basedOn w:val="Text4"/>
    <w:next w:val="Text4"/>
    <w:uiPriority w:val="99"/>
    <w:semiHidden/>
    <w:unhideWhenUsed/>
    <w:rsid w:val="00F70481"/>
    <w:rPr>
      <w:sz w:val="20"/>
    </w:rPr>
  </w:style>
  <w:style w:type="paragraph" w:customStyle="1" w:styleId="FigureTitle">
    <w:name w:val="Figure Title"/>
    <w:basedOn w:val="Normal"/>
    <w:next w:val="FigureBody"/>
    <w:uiPriority w:val="99"/>
    <w:semiHidden/>
    <w:unhideWhenUsed/>
    <w:rsid w:val="00F70481"/>
    <w:pPr>
      <w:keepNext/>
      <w:spacing w:after="120" w:line="240" w:lineRule="auto"/>
      <w:jc w:val="both"/>
    </w:pPr>
    <w:rPr>
      <w:rFonts w:ascii="Times New Roman" w:eastAsia="Times New Roman" w:hAnsi="Times New Roman" w:cs="Times New Roman"/>
      <w:b/>
      <w:i/>
      <w:kern w:val="0"/>
      <w:sz w:val="24"/>
      <w:szCs w:val="20"/>
      <w:lang w:eastAsia="en-IE"/>
      <w14:ligatures w14:val="none"/>
    </w:rPr>
  </w:style>
  <w:style w:type="paragraph" w:customStyle="1" w:styleId="FigureTitle1">
    <w:name w:val="Figure Title 1"/>
    <w:basedOn w:val="Text1"/>
    <w:next w:val="FigureBody1"/>
    <w:uiPriority w:val="99"/>
    <w:semiHidden/>
    <w:unhideWhenUsed/>
    <w:rsid w:val="00F70481"/>
    <w:pPr>
      <w:keepNext/>
      <w:spacing w:after="120"/>
    </w:pPr>
    <w:rPr>
      <w:b/>
      <w:i/>
    </w:rPr>
  </w:style>
  <w:style w:type="paragraph" w:customStyle="1" w:styleId="FigureTitle2">
    <w:name w:val="Figure Title 2"/>
    <w:basedOn w:val="Text2"/>
    <w:next w:val="FigureBody2"/>
    <w:uiPriority w:val="99"/>
    <w:semiHidden/>
    <w:unhideWhenUsed/>
    <w:rsid w:val="00F70481"/>
    <w:pPr>
      <w:keepNext/>
      <w:spacing w:after="120"/>
    </w:pPr>
    <w:rPr>
      <w:b/>
      <w:i/>
    </w:rPr>
  </w:style>
  <w:style w:type="paragraph" w:customStyle="1" w:styleId="FigureTitle3">
    <w:name w:val="Figure Title 3"/>
    <w:basedOn w:val="Text3"/>
    <w:next w:val="FigureBody3"/>
    <w:uiPriority w:val="99"/>
    <w:semiHidden/>
    <w:unhideWhenUsed/>
    <w:rsid w:val="00F70481"/>
    <w:pPr>
      <w:keepNext/>
      <w:spacing w:after="120"/>
    </w:pPr>
    <w:rPr>
      <w:b/>
      <w:i/>
    </w:rPr>
  </w:style>
  <w:style w:type="paragraph" w:customStyle="1" w:styleId="FigureTitle4">
    <w:name w:val="Figure Title 4"/>
    <w:basedOn w:val="Text4"/>
    <w:next w:val="FigureBody4"/>
    <w:uiPriority w:val="99"/>
    <w:semiHidden/>
    <w:unhideWhenUsed/>
    <w:rsid w:val="00F70481"/>
    <w:pPr>
      <w:keepNext/>
      <w:spacing w:after="120"/>
    </w:pPr>
    <w:rPr>
      <w:b/>
      <w:i/>
    </w:rPr>
  </w:style>
  <w:style w:type="paragraph" w:customStyle="1" w:styleId="FooterLine">
    <w:name w:val="Footer Line"/>
    <w:basedOn w:val="Footer"/>
    <w:next w:val="Footer"/>
    <w:semiHidden/>
    <w:rsid w:val="00F70481"/>
    <w:pPr>
      <w:tabs>
        <w:tab w:val="clear" w:pos="4513"/>
        <w:tab w:val="clear" w:pos="9026"/>
        <w:tab w:val="right" w:pos="8646"/>
      </w:tabs>
      <w:spacing w:before="120" w:line="264" w:lineRule="auto"/>
      <w:jc w:val="both"/>
    </w:pPr>
    <w:rPr>
      <w:rFonts w:ascii="Times New Roman" w:eastAsia="Times New Roman" w:hAnsi="Times New Roman" w:cs="Times New Roman"/>
      <w:kern w:val="0"/>
      <w:sz w:val="16"/>
      <w:szCs w:val="20"/>
      <w:lang w:eastAsia="en-IE"/>
      <w14:ligatures w14:val="none"/>
    </w:rPr>
  </w:style>
  <w:style w:type="paragraph" w:customStyle="1" w:styleId="HistoryTable">
    <w:name w:val="HistoryTable"/>
    <w:basedOn w:val="Normal"/>
    <w:semiHidden/>
    <w:rsid w:val="00F70481"/>
    <w:pPr>
      <w:spacing w:before="60" w:after="60" w:line="240" w:lineRule="auto"/>
    </w:pPr>
    <w:rPr>
      <w:rFonts w:ascii="Times New Roman" w:eastAsia="Times New Roman" w:hAnsi="Times New Roman" w:cs="Times New Roman"/>
      <w:kern w:val="0"/>
      <w:sz w:val="20"/>
      <w:szCs w:val="20"/>
      <w:lang w:eastAsia="en-IE"/>
      <w14:ligatures w14:val="none"/>
    </w:rPr>
  </w:style>
  <w:style w:type="paragraph" w:customStyle="1" w:styleId="HistTableHeading">
    <w:name w:val="HistTableHeading"/>
    <w:basedOn w:val="Normal"/>
    <w:next w:val="HistoryTable"/>
    <w:semiHidden/>
    <w:rsid w:val="00F70481"/>
    <w:pPr>
      <w:spacing w:before="240" w:after="240" w:line="240" w:lineRule="auto"/>
      <w:jc w:val="center"/>
    </w:pPr>
    <w:rPr>
      <w:rFonts w:ascii="Times New Roman Bold" w:eastAsia="Times New Roman" w:hAnsi="Times New Roman Bold" w:cs="Times New Roman"/>
      <w:b/>
      <w:caps/>
      <w:kern w:val="0"/>
      <w:sz w:val="24"/>
      <w:szCs w:val="20"/>
      <w:lang w:eastAsia="en-IE"/>
      <w14:ligatures w14:val="none"/>
    </w:rPr>
  </w:style>
  <w:style w:type="paragraph" w:customStyle="1" w:styleId="LegalNumPar">
    <w:name w:val="LegalNumPar"/>
    <w:basedOn w:val="Normal"/>
    <w:uiPriority w:val="20"/>
    <w:qFormat/>
    <w:rsid w:val="00F70481"/>
    <w:pPr>
      <w:numPr>
        <w:numId w:val="17"/>
      </w:numPr>
      <w:tabs>
        <w:tab w:val="clear" w:pos="476"/>
      </w:tabs>
      <w:spacing w:after="240" w:line="36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egalNumPar2">
    <w:name w:val="LegalNumPar2"/>
    <w:basedOn w:val="Normal"/>
    <w:uiPriority w:val="20"/>
    <w:rsid w:val="00F70481"/>
    <w:pPr>
      <w:numPr>
        <w:ilvl w:val="1"/>
        <w:numId w:val="17"/>
      </w:numPr>
      <w:tabs>
        <w:tab w:val="clear" w:pos="952"/>
      </w:tabs>
      <w:spacing w:after="240" w:line="36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egalNumPar3">
    <w:name w:val="LegalNumPar3"/>
    <w:basedOn w:val="Normal"/>
    <w:uiPriority w:val="20"/>
    <w:rsid w:val="00F70481"/>
    <w:pPr>
      <w:numPr>
        <w:ilvl w:val="2"/>
        <w:numId w:val="17"/>
      </w:numPr>
      <w:tabs>
        <w:tab w:val="clear" w:pos="1429"/>
      </w:tabs>
      <w:spacing w:after="240" w:line="360" w:lineRule="auto"/>
      <w:ind w:left="0" w:firstLine="0"/>
      <w:jc w:val="both"/>
    </w:pPr>
    <w:rPr>
      <w:rFonts w:ascii="Times New Roman" w:eastAsia="Times New Roman" w:hAnsi="Times New Roman" w:cs="Times New Roman"/>
      <w:kern w:val="0"/>
      <w:sz w:val="24"/>
      <w:szCs w:val="20"/>
      <w:lang w:eastAsia="en-IE"/>
      <w14:ligatures w14:val="none"/>
    </w:rPr>
  </w:style>
  <w:style w:type="paragraph" w:styleId="ListBullet">
    <w:name w:val="List Bullet"/>
    <w:basedOn w:val="Normal"/>
    <w:uiPriority w:val="35"/>
    <w:rsid w:val="00F70481"/>
    <w:pPr>
      <w:numPr>
        <w:numId w:val="16"/>
      </w:numPr>
      <w:tabs>
        <w:tab w:val="clear" w:pos="283"/>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BulletLevel2">
    <w:name w:val="List Bullet (Level 2)"/>
    <w:basedOn w:val="Normal"/>
    <w:uiPriority w:val="35"/>
    <w:semiHidden/>
    <w:unhideWhenUsed/>
    <w:rsid w:val="00F70481"/>
    <w:pPr>
      <w:numPr>
        <w:ilvl w:val="1"/>
        <w:numId w:val="16"/>
      </w:numPr>
      <w:tabs>
        <w:tab w:val="clear" w:pos="567"/>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BulletLevel3">
    <w:name w:val="List Bullet (Level 3)"/>
    <w:basedOn w:val="Normal"/>
    <w:uiPriority w:val="35"/>
    <w:semiHidden/>
    <w:unhideWhenUsed/>
    <w:rsid w:val="00F70481"/>
    <w:pPr>
      <w:numPr>
        <w:ilvl w:val="2"/>
        <w:numId w:val="16"/>
      </w:numPr>
      <w:tabs>
        <w:tab w:val="clear" w:pos="850"/>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BulletLevel4">
    <w:name w:val="List Bullet (Level 4)"/>
    <w:basedOn w:val="Normal"/>
    <w:uiPriority w:val="35"/>
    <w:semiHidden/>
    <w:unhideWhenUsed/>
    <w:rsid w:val="00F70481"/>
    <w:pPr>
      <w:numPr>
        <w:ilvl w:val="3"/>
        <w:numId w:val="16"/>
      </w:numPr>
      <w:tabs>
        <w:tab w:val="clear" w:pos="1134"/>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Bullet1">
    <w:name w:val="List Bullet 1"/>
    <w:basedOn w:val="Text1"/>
    <w:uiPriority w:val="35"/>
    <w:rsid w:val="00F70481"/>
    <w:pPr>
      <w:numPr>
        <w:numId w:val="15"/>
      </w:numPr>
      <w:tabs>
        <w:tab w:val="clear" w:pos="765"/>
      </w:tabs>
      <w:ind w:left="0" w:firstLine="0"/>
    </w:pPr>
  </w:style>
  <w:style w:type="paragraph" w:customStyle="1" w:styleId="ListBullet1Level2">
    <w:name w:val="List Bullet 1 (Level 2)"/>
    <w:basedOn w:val="Text1"/>
    <w:uiPriority w:val="35"/>
    <w:semiHidden/>
    <w:unhideWhenUsed/>
    <w:rsid w:val="00F70481"/>
    <w:pPr>
      <w:numPr>
        <w:ilvl w:val="1"/>
        <w:numId w:val="15"/>
      </w:numPr>
      <w:tabs>
        <w:tab w:val="clear" w:pos="1049"/>
      </w:tabs>
      <w:ind w:left="0" w:firstLine="0"/>
    </w:pPr>
  </w:style>
  <w:style w:type="paragraph" w:customStyle="1" w:styleId="ListBullet1Level3">
    <w:name w:val="List Bullet 1 (Level 3)"/>
    <w:basedOn w:val="Text1"/>
    <w:uiPriority w:val="35"/>
    <w:semiHidden/>
    <w:unhideWhenUsed/>
    <w:rsid w:val="00F70481"/>
    <w:pPr>
      <w:numPr>
        <w:ilvl w:val="2"/>
        <w:numId w:val="15"/>
      </w:numPr>
      <w:tabs>
        <w:tab w:val="clear" w:pos="1332"/>
      </w:tabs>
      <w:ind w:left="0" w:firstLine="0"/>
    </w:pPr>
  </w:style>
  <w:style w:type="paragraph" w:customStyle="1" w:styleId="ListBullet1Level4">
    <w:name w:val="List Bullet 1 (Level 4)"/>
    <w:basedOn w:val="Text1"/>
    <w:uiPriority w:val="35"/>
    <w:semiHidden/>
    <w:unhideWhenUsed/>
    <w:rsid w:val="00F70481"/>
    <w:pPr>
      <w:numPr>
        <w:ilvl w:val="3"/>
        <w:numId w:val="15"/>
      </w:numPr>
      <w:tabs>
        <w:tab w:val="clear" w:pos="1616"/>
      </w:tabs>
      <w:ind w:left="0" w:firstLine="0"/>
    </w:pPr>
  </w:style>
  <w:style w:type="paragraph" w:styleId="ListBullet2">
    <w:name w:val="List Bullet 2"/>
    <w:basedOn w:val="Text2"/>
    <w:uiPriority w:val="35"/>
    <w:rsid w:val="00F70481"/>
    <w:pPr>
      <w:numPr>
        <w:numId w:val="14"/>
      </w:numPr>
      <w:tabs>
        <w:tab w:val="clear" w:pos="1485"/>
      </w:tabs>
      <w:ind w:left="0" w:firstLine="0"/>
    </w:pPr>
  </w:style>
  <w:style w:type="paragraph" w:customStyle="1" w:styleId="ListBullet2Level2">
    <w:name w:val="List Bullet 2 (Level 2)"/>
    <w:basedOn w:val="Text2"/>
    <w:uiPriority w:val="35"/>
    <w:semiHidden/>
    <w:unhideWhenUsed/>
    <w:rsid w:val="00F70481"/>
    <w:pPr>
      <w:numPr>
        <w:ilvl w:val="1"/>
        <w:numId w:val="14"/>
      </w:numPr>
      <w:tabs>
        <w:tab w:val="clear" w:pos="1769"/>
      </w:tabs>
      <w:ind w:left="0" w:firstLine="0"/>
    </w:pPr>
  </w:style>
  <w:style w:type="paragraph" w:customStyle="1" w:styleId="ListBullet2Level3">
    <w:name w:val="List Bullet 2 (Level 3)"/>
    <w:basedOn w:val="Text2"/>
    <w:uiPriority w:val="35"/>
    <w:semiHidden/>
    <w:unhideWhenUsed/>
    <w:rsid w:val="00F70481"/>
    <w:pPr>
      <w:numPr>
        <w:ilvl w:val="2"/>
        <w:numId w:val="14"/>
      </w:numPr>
      <w:tabs>
        <w:tab w:val="clear" w:pos="2052"/>
      </w:tabs>
      <w:ind w:left="0" w:firstLine="0"/>
    </w:pPr>
  </w:style>
  <w:style w:type="paragraph" w:customStyle="1" w:styleId="ListBullet2Level4">
    <w:name w:val="List Bullet 2 (Level 4)"/>
    <w:basedOn w:val="Text2"/>
    <w:uiPriority w:val="35"/>
    <w:semiHidden/>
    <w:unhideWhenUsed/>
    <w:rsid w:val="00F70481"/>
    <w:pPr>
      <w:numPr>
        <w:ilvl w:val="3"/>
        <w:numId w:val="14"/>
      </w:numPr>
      <w:tabs>
        <w:tab w:val="clear" w:pos="2336"/>
      </w:tabs>
      <w:ind w:left="0" w:firstLine="0"/>
    </w:pPr>
  </w:style>
  <w:style w:type="paragraph" w:styleId="ListBullet3">
    <w:name w:val="List Bullet 3"/>
    <w:basedOn w:val="Text3"/>
    <w:uiPriority w:val="35"/>
    <w:rsid w:val="00F70481"/>
    <w:pPr>
      <w:numPr>
        <w:numId w:val="13"/>
      </w:numPr>
      <w:tabs>
        <w:tab w:val="clear" w:pos="1485"/>
      </w:tabs>
      <w:ind w:left="0" w:firstLine="0"/>
    </w:pPr>
  </w:style>
  <w:style w:type="paragraph" w:customStyle="1" w:styleId="ListBullet3Level2">
    <w:name w:val="List Bullet 3 (Level 2)"/>
    <w:basedOn w:val="Text3"/>
    <w:uiPriority w:val="35"/>
    <w:semiHidden/>
    <w:unhideWhenUsed/>
    <w:rsid w:val="00F70481"/>
    <w:pPr>
      <w:numPr>
        <w:ilvl w:val="1"/>
        <w:numId w:val="13"/>
      </w:numPr>
      <w:tabs>
        <w:tab w:val="clear" w:pos="1769"/>
      </w:tabs>
      <w:ind w:left="0" w:firstLine="0"/>
    </w:pPr>
  </w:style>
  <w:style w:type="paragraph" w:customStyle="1" w:styleId="ListBullet3Level3">
    <w:name w:val="List Bullet 3 (Level 3)"/>
    <w:basedOn w:val="Text3"/>
    <w:uiPriority w:val="35"/>
    <w:semiHidden/>
    <w:unhideWhenUsed/>
    <w:rsid w:val="00F70481"/>
    <w:pPr>
      <w:numPr>
        <w:ilvl w:val="2"/>
        <w:numId w:val="13"/>
      </w:numPr>
      <w:tabs>
        <w:tab w:val="clear" w:pos="2052"/>
      </w:tabs>
      <w:ind w:left="0" w:firstLine="0"/>
    </w:pPr>
  </w:style>
  <w:style w:type="paragraph" w:customStyle="1" w:styleId="ListBullet3Level4">
    <w:name w:val="List Bullet 3 (Level 4)"/>
    <w:basedOn w:val="Text3"/>
    <w:uiPriority w:val="35"/>
    <w:semiHidden/>
    <w:unhideWhenUsed/>
    <w:rsid w:val="00F70481"/>
    <w:pPr>
      <w:numPr>
        <w:ilvl w:val="3"/>
        <w:numId w:val="13"/>
      </w:numPr>
      <w:tabs>
        <w:tab w:val="clear" w:pos="2336"/>
      </w:tabs>
      <w:ind w:left="0" w:firstLine="0"/>
    </w:pPr>
  </w:style>
  <w:style w:type="paragraph" w:styleId="ListBullet4">
    <w:name w:val="List Bullet 4"/>
    <w:basedOn w:val="Text4"/>
    <w:uiPriority w:val="35"/>
    <w:rsid w:val="00F70481"/>
    <w:pPr>
      <w:numPr>
        <w:numId w:val="12"/>
      </w:numPr>
      <w:tabs>
        <w:tab w:val="clear" w:pos="1485"/>
      </w:tabs>
      <w:ind w:left="0" w:firstLine="0"/>
    </w:pPr>
  </w:style>
  <w:style w:type="paragraph" w:customStyle="1" w:styleId="ListBullet4Level2">
    <w:name w:val="List Bullet 4 (Level 2)"/>
    <w:basedOn w:val="Text4"/>
    <w:uiPriority w:val="35"/>
    <w:semiHidden/>
    <w:unhideWhenUsed/>
    <w:rsid w:val="00F70481"/>
    <w:pPr>
      <w:numPr>
        <w:ilvl w:val="1"/>
        <w:numId w:val="12"/>
      </w:numPr>
      <w:tabs>
        <w:tab w:val="clear" w:pos="1769"/>
      </w:tabs>
      <w:ind w:left="0" w:firstLine="0"/>
    </w:pPr>
  </w:style>
  <w:style w:type="paragraph" w:customStyle="1" w:styleId="ListBullet4Level3">
    <w:name w:val="List Bullet 4 (Level 3)"/>
    <w:basedOn w:val="Text4"/>
    <w:uiPriority w:val="35"/>
    <w:semiHidden/>
    <w:unhideWhenUsed/>
    <w:rsid w:val="00F70481"/>
    <w:pPr>
      <w:numPr>
        <w:ilvl w:val="2"/>
        <w:numId w:val="12"/>
      </w:numPr>
      <w:tabs>
        <w:tab w:val="clear" w:pos="2052"/>
      </w:tabs>
      <w:ind w:left="0" w:firstLine="0"/>
    </w:pPr>
  </w:style>
  <w:style w:type="paragraph" w:customStyle="1" w:styleId="ListBullet4Level4">
    <w:name w:val="List Bullet 4 (Level 4)"/>
    <w:basedOn w:val="Text4"/>
    <w:uiPriority w:val="35"/>
    <w:semiHidden/>
    <w:unhideWhenUsed/>
    <w:rsid w:val="00F70481"/>
    <w:pPr>
      <w:numPr>
        <w:ilvl w:val="3"/>
        <w:numId w:val="12"/>
      </w:numPr>
      <w:tabs>
        <w:tab w:val="clear" w:pos="2336"/>
      </w:tabs>
      <w:ind w:left="0" w:firstLine="0"/>
    </w:pPr>
  </w:style>
  <w:style w:type="paragraph" w:customStyle="1" w:styleId="ListDash">
    <w:name w:val="List Dash"/>
    <w:basedOn w:val="Normal"/>
    <w:uiPriority w:val="35"/>
    <w:rsid w:val="00F70481"/>
    <w:pPr>
      <w:numPr>
        <w:numId w:val="6"/>
      </w:numPr>
      <w:tabs>
        <w:tab w:val="clear" w:pos="283"/>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DashLevel2">
    <w:name w:val="List Dash (Level 2)"/>
    <w:basedOn w:val="Normal"/>
    <w:semiHidden/>
    <w:unhideWhenUsed/>
    <w:rsid w:val="00F70481"/>
    <w:pPr>
      <w:numPr>
        <w:ilvl w:val="1"/>
        <w:numId w:val="6"/>
      </w:numPr>
      <w:tabs>
        <w:tab w:val="clear" w:pos="567"/>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DashLevel3">
    <w:name w:val="List Dash (Level 3)"/>
    <w:basedOn w:val="Normal"/>
    <w:semiHidden/>
    <w:unhideWhenUsed/>
    <w:rsid w:val="00F70481"/>
    <w:pPr>
      <w:numPr>
        <w:ilvl w:val="2"/>
        <w:numId w:val="6"/>
      </w:numPr>
      <w:tabs>
        <w:tab w:val="clear" w:pos="850"/>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DashLevel4">
    <w:name w:val="List Dash (Level 4)"/>
    <w:basedOn w:val="Normal"/>
    <w:semiHidden/>
    <w:unhideWhenUsed/>
    <w:rsid w:val="00F70481"/>
    <w:pPr>
      <w:numPr>
        <w:ilvl w:val="3"/>
        <w:numId w:val="6"/>
      </w:numPr>
      <w:tabs>
        <w:tab w:val="clear" w:pos="1134"/>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Dash1">
    <w:name w:val="List Dash 1"/>
    <w:basedOn w:val="Text1"/>
    <w:uiPriority w:val="35"/>
    <w:rsid w:val="00F70481"/>
    <w:pPr>
      <w:numPr>
        <w:numId w:val="5"/>
      </w:numPr>
      <w:tabs>
        <w:tab w:val="clear" w:pos="765"/>
      </w:tabs>
      <w:ind w:left="0" w:firstLine="0"/>
    </w:pPr>
  </w:style>
  <w:style w:type="paragraph" w:customStyle="1" w:styleId="ListDash1Level2">
    <w:name w:val="List Dash 1 (Level 2)"/>
    <w:basedOn w:val="Text1"/>
    <w:uiPriority w:val="35"/>
    <w:semiHidden/>
    <w:unhideWhenUsed/>
    <w:rsid w:val="00F70481"/>
    <w:pPr>
      <w:numPr>
        <w:ilvl w:val="1"/>
        <w:numId w:val="5"/>
      </w:numPr>
      <w:tabs>
        <w:tab w:val="clear" w:pos="1049"/>
      </w:tabs>
      <w:ind w:left="0" w:firstLine="0"/>
    </w:pPr>
  </w:style>
  <w:style w:type="paragraph" w:customStyle="1" w:styleId="ListDash1Level3">
    <w:name w:val="List Dash 1 (Level 3)"/>
    <w:basedOn w:val="Text1"/>
    <w:uiPriority w:val="35"/>
    <w:semiHidden/>
    <w:unhideWhenUsed/>
    <w:rsid w:val="00F70481"/>
    <w:pPr>
      <w:numPr>
        <w:ilvl w:val="2"/>
        <w:numId w:val="5"/>
      </w:numPr>
      <w:tabs>
        <w:tab w:val="clear" w:pos="1332"/>
      </w:tabs>
      <w:ind w:left="0" w:firstLine="0"/>
    </w:pPr>
  </w:style>
  <w:style w:type="paragraph" w:customStyle="1" w:styleId="ListDash1Level4">
    <w:name w:val="List Dash 1 (Level 4)"/>
    <w:basedOn w:val="Text1"/>
    <w:uiPriority w:val="35"/>
    <w:semiHidden/>
    <w:unhideWhenUsed/>
    <w:rsid w:val="00F70481"/>
    <w:pPr>
      <w:numPr>
        <w:ilvl w:val="3"/>
        <w:numId w:val="5"/>
      </w:numPr>
      <w:tabs>
        <w:tab w:val="clear" w:pos="1616"/>
      </w:tabs>
      <w:ind w:left="0" w:firstLine="0"/>
    </w:pPr>
  </w:style>
  <w:style w:type="paragraph" w:customStyle="1" w:styleId="ListDash2">
    <w:name w:val="List Dash 2"/>
    <w:basedOn w:val="Text2"/>
    <w:uiPriority w:val="35"/>
    <w:rsid w:val="00F70481"/>
    <w:pPr>
      <w:numPr>
        <w:numId w:val="4"/>
      </w:numPr>
      <w:tabs>
        <w:tab w:val="clear" w:pos="1485"/>
      </w:tabs>
      <w:ind w:left="0" w:firstLine="0"/>
    </w:pPr>
  </w:style>
  <w:style w:type="paragraph" w:customStyle="1" w:styleId="ListDash2Level2">
    <w:name w:val="List Dash 2 (Level 2)"/>
    <w:basedOn w:val="Text2"/>
    <w:uiPriority w:val="35"/>
    <w:semiHidden/>
    <w:unhideWhenUsed/>
    <w:rsid w:val="00F70481"/>
    <w:pPr>
      <w:numPr>
        <w:ilvl w:val="1"/>
        <w:numId w:val="4"/>
      </w:numPr>
      <w:tabs>
        <w:tab w:val="clear" w:pos="1769"/>
      </w:tabs>
      <w:ind w:left="0" w:firstLine="0"/>
    </w:pPr>
  </w:style>
  <w:style w:type="paragraph" w:customStyle="1" w:styleId="ListDash2Level3">
    <w:name w:val="List Dash 2 (Level 3)"/>
    <w:basedOn w:val="Text2"/>
    <w:uiPriority w:val="35"/>
    <w:semiHidden/>
    <w:unhideWhenUsed/>
    <w:rsid w:val="00F70481"/>
    <w:pPr>
      <w:numPr>
        <w:ilvl w:val="2"/>
        <w:numId w:val="4"/>
      </w:numPr>
      <w:tabs>
        <w:tab w:val="clear" w:pos="2052"/>
      </w:tabs>
      <w:ind w:left="0" w:firstLine="0"/>
    </w:pPr>
  </w:style>
  <w:style w:type="paragraph" w:customStyle="1" w:styleId="ListDash2Level4">
    <w:name w:val="List Dash 2 (Level 4)"/>
    <w:basedOn w:val="Text2"/>
    <w:uiPriority w:val="35"/>
    <w:semiHidden/>
    <w:unhideWhenUsed/>
    <w:rsid w:val="00F70481"/>
    <w:pPr>
      <w:numPr>
        <w:ilvl w:val="3"/>
        <w:numId w:val="4"/>
      </w:numPr>
      <w:tabs>
        <w:tab w:val="clear" w:pos="2336"/>
      </w:tabs>
      <w:ind w:left="0" w:firstLine="0"/>
    </w:pPr>
  </w:style>
  <w:style w:type="paragraph" w:customStyle="1" w:styleId="ListDash3">
    <w:name w:val="List Dash 3"/>
    <w:basedOn w:val="Text3"/>
    <w:uiPriority w:val="35"/>
    <w:rsid w:val="00F70481"/>
    <w:pPr>
      <w:numPr>
        <w:numId w:val="3"/>
      </w:numPr>
      <w:tabs>
        <w:tab w:val="clear" w:pos="1485"/>
      </w:tabs>
      <w:ind w:left="0" w:firstLine="0"/>
    </w:pPr>
  </w:style>
  <w:style w:type="paragraph" w:customStyle="1" w:styleId="ListDash3Level2">
    <w:name w:val="List Dash 3 (Level 2)"/>
    <w:basedOn w:val="Text3"/>
    <w:uiPriority w:val="35"/>
    <w:semiHidden/>
    <w:unhideWhenUsed/>
    <w:rsid w:val="00F70481"/>
    <w:pPr>
      <w:numPr>
        <w:ilvl w:val="1"/>
        <w:numId w:val="3"/>
      </w:numPr>
      <w:tabs>
        <w:tab w:val="clear" w:pos="1769"/>
      </w:tabs>
      <w:ind w:left="0" w:firstLine="0"/>
    </w:pPr>
  </w:style>
  <w:style w:type="paragraph" w:customStyle="1" w:styleId="ListDash3Level3">
    <w:name w:val="List Dash 3 (Level 3)"/>
    <w:basedOn w:val="Text3"/>
    <w:uiPriority w:val="35"/>
    <w:semiHidden/>
    <w:unhideWhenUsed/>
    <w:rsid w:val="00F70481"/>
    <w:pPr>
      <w:numPr>
        <w:ilvl w:val="2"/>
        <w:numId w:val="3"/>
      </w:numPr>
      <w:tabs>
        <w:tab w:val="clear" w:pos="2052"/>
      </w:tabs>
      <w:ind w:left="0" w:firstLine="0"/>
    </w:pPr>
  </w:style>
  <w:style w:type="paragraph" w:customStyle="1" w:styleId="ListDash3Level4">
    <w:name w:val="List Dash 3 (Level 4)"/>
    <w:basedOn w:val="Text3"/>
    <w:uiPriority w:val="35"/>
    <w:semiHidden/>
    <w:unhideWhenUsed/>
    <w:rsid w:val="00F70481"/>
    <w:pPr>
      <w:numPr>
        <w:ilvl w:val="3"/>
        <w:numId w:val="3"/>
      </w:numPr>
      <w:tabs>
        <w:tab w:val="clear" w:pos="2336"/>
      </w:tabs>
      <w:ind w:left="0" w:firstLine="0"/>
    </w:pPr>
  </w:style>
  <w:style w:type="paragraph" w:customStyle="1" w:styleId="ListDash4">
    <w:name w:val="List Dash 4"/>
    <w:basedOn w:val="Text4"/>
    <w:uiPriority w:val="35"/>
    <w:rsid w:val="00F70481"/>
    <w:pPr>
      <w:numPr>
        <w:numId w:val="2"/>
      </w:numPr>
      <w:tabs>
        <w:tab w:val="clear" w:pos="1485"/>
      </w:tabs>
      <w:ind w:left="0" w:firstLine="0"/>
    </w:pPr>
  </w:style>
  <w:style w:type="paragraph" w:customStyle="1" w:styleId="ListDash4Level2">
    <w:name w:val="List Dash 4 (Level 2)"/>
    <w:basedOn w:val="Text4"/>
    <w:uiPriority w:val="35"/>
    <w:semiHidden/>
    <w:unhideWhenUsed/>
    <w:rsid w:val="00F70481"/>
    <w:pPr>
      <w:numPr>
        <w:ilvl w:val="1"/>
        <w:numId w:val="2"/>
      </w:numPr>
      <w:tabs>
        <w:tab w:val="clear" w:pos="1769"/>
      </w:tabs>
      <w:ind w:left="0" w:firstLine="0"/>
    </w:pPr>
  </w:style>
  <w:style w:type="paragraph" w:customStyle="1" w:styleId="ListDash4Level3">
    <w:name w:val="List Dash 4 (Level 3)"/>
    <w:basedOn w:val="Text4"/>
    <w:uiPriority w:val="35"/>
    <w:semiHidden/>
    <w:unhideWhenUsed/>
    <w:rsid w:val="00F70481"/>
    <w:pPr>
      <w:numPr>
        <w:ilvl w:val="2"/>
        <w:numId w:val="2"/>
      </w:numPr>
      <w:tabs>
        <w:tab w:val="clear" w:pos="2052"/>
      </w:tabs>
      <w:ind w:left="0" w:firstLine="0"/>
    </w:pPr>
  </w:style>
  <w:style w:type="paragraph" w:customStyle="1" w:styleId="ListDash4Level4">
    <w:name w:val="List Dash 4 (Level 4)"/>
    <w:basedOn w:val="Text4"/>
    <w:uiPriority w:val="35"/>
    <w:semiHidden/>
    <w:unhideWhenUsed/>
    <w:rsid w:val="00F70481"/>
    <w:pPr>
      <w:numPr>
        <w:ilvl w:val="3"/>
        <w:numId w:val="2"/>
      </w:numPr>
      <w:tabs>
        <w:tab w:val="clear" w:pos="2336"/>
      </w:tabs>
      <w:ind w:left="0" w:firstLine="0"/>
    </w:pPr>
  </w:style>
  <w:style w:type="paragraph" w:styleId="ListNumber">
    <w:name w:val="List Number"/>
    <w:basedOn w:val="Normal"/>
    <w:uiPriority w:val="30"/>
    <w:rsid w:val="00F70481"/>
    <w:pPr>
      <w:numPr>
        <w:numId w:val="11"/>
      </w:numPr>
      <w:tabs>
        <w:tab w:val="clear" w:pos="709"/>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NumberLevel2">
    <w:name w:val="List Number (Level 2)"/>
    <w:basedOn w:val="Normal"/>
    <w:uiPriority w:val="30"/>
    <w:rsid w:val="00F70481"/>
    <w:pPr>
      <w:numPr>
        <w:ilvl w:val="1"/>
        <w:numId w:val="11"/>
      </w:numPr>
      <w:tabs>
        <w:tab w:val="clear" w:pos="1417"/>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NumberLevel3">
    <w:name w:val="List Number (Level 3)"/>
    <w:basedOn w:val="Normal"/>
    <w:uiPriority w:val="30"/>
    <w:rsid w:val="00F70481"/>
    <w:pPr>
      <w:numPr>
        <w:ilvl w:val="2"/>
        <w:numId w:val="11"/>
      </w:numPr>
      <w:tabs>
        <w:tab w:val="clear" w:pos="2126"/>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NumberLevel4">
    <w:name w:val="List Number (Level 4)"/>
    <w:basedOn w:val="Normal"/>
    <w:uiPriority w:val="30"/>
    <w:rsid w:val="00F70481"/>
    <w:pPr>
      <w:numPr>
        <w:ilvl w:val="3"/>
        <w:numId w:val="11"/>
      </w:numPr>
      <w:tabs>
        <w:tab w:val="clear" w:pos="2835"/>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Number1">
    <w:name w:val="List Number 1"/>
    <w:basedOn w:val="Text1"/>
    <w:uiPriority w:val="30"/>
    <w:rsid w:val="00F70481"/>
    <w:pPr>
      <w:numPr>
        <w:numId w:val="10"/>
      </w:numPr>
      <w:tabs>
        <w:tab w:val="clear" w:pos="1191"/>
      </w:tabs>
      <w:ind w:left="0" w:firstLine="0"/>
    </w:pPr>
  </w:style>
  <w:style w:type="paragraph" w:customStyle="1" w:styleId="ListNumber1Level2">
    <w:name w:val="List Number 1 (Level 2)"/>
    <w:basedOn w:val="Text1"/>
    <w:uiPriority w:val="30"/>
    <w:semiHidden/>
    <w:unhideWhenUsed/>
    <w:rsid w:val="00F70481"/>
    <w:pPr>
      <w:numPr>
        <w:ilvl w:val="1"/>
        <w:numId w:val="10"/>
      </w:numPr>
      <w:tabs>
        <w:tab w:val="clear" w:pos="1899"/>
      </w:tabs>
      <w:ind w:left="0" w:firstLine="0"/>
    </w:pPr>
  </w:style>
  <w:style w:type="paragraph" w:customStyle="1" w:styleId="ListNumber1Level3">
    <w:name w:val="List Number 1 (Level 3)"/>
    <w:basedOn w:val="Text1"/>
    <w:uiPriority w:val="30"/>
    <w:semiHidden/>
    <w:unhideWhenUsed/>
    <w:rsid w:val="00F70481"/>
    <w:pPr>
      <w:numPr>
        <w:ilvl w:val="2"/>
        <w:numId w:val="10"/>
      </w:numPr>
      <w:tabs>
        <w:tab w:val="clear" w:pos="2608"/>
      </w:tabs>
      <w:ind w:left="0" w:firstLine="0"/>
    </w:pPr>
  </w:style>
  <w:style w:type="paragraph" w:customStyle="1" w:styleId="ListNumber1Level4">
    <w:name w:val="List Number 1 (Level 4)"/>
    <w:basedOn w:val="Text1"/>
    <w:uiPriority w:val="30"/>
    <w:semiHidden/>
    <w:unhideWhenUsed/>
    <w:rsid w:val="00F70481"/>
    <w:pPr>
      <w:numPr>
        <w:ilvl w:val="3"/>
        <w:numId w:val="10"/>
      </w:numPr>
      <w:tabs>
        <w:tab w:val="clear" w:pos="3317"/>
      </w:tabs>
      <w:ind w:left="0" w:firstLine="0"/>
    </w:pPr>
  </w:style>
  <w:style w:type="paragraph" w:styleId="ListNumber2">
    <w:name w:val="List Number 2"/>
    <w:basedOn w:val="Text2"/>
    <w:uiPriority w:val="30"/>
    <w:rsid w:val="00F70481"/>
    <w:pPr>
      <w:numPr>
        <w:numId w:val="9"/>
      </w:numPr>
      <w:tabs>
        <w:tab w:val="clear" w:pos="1911"/>
      </w:tabs>
      <w:ind w:left="0" w:firstLine="0"/>
    </w:pPr>
  </w:style>
  <w:style w:type="paragraph" w:customStyle="1" w:styleId="ListNumber2Level2">
    <w:name w:val="List Number 2 (Level 2)"/>
    <w:basedOn w:val="Text2"/>
    <w:uiPriority w:val="30"/>
    <w:semiHidden/>
    <w:unhideWhenUsed/>
    <w:rsid w:val="00F70481"/>
    <w:pPr>
      <w:numPr>
        <w:ilvl w:val="1"/>
        <w:numId w:val="9"/>
      </w:numPr>
      <w:tabs>
        <w:tab w:val="clear" w:pos="2619"/>
      </w:tabs>
      <w:ind w:left="0" w:firstLine="0"/>
    </w:pPr>
  </w:style>
  <w:style w:type="paragraph" w:customStyle="1" w:styleId="ListNumber2Level3">
    <w:name w:val="List Number 2 (Level 3)"/>
    <w:basedOn w:val="Text2"/>
    <w:uiPriority w:val="30"/>
    <w:semiHidden/>
    <w:unhideWhenUsed/>
    <w:rsid w:val="00F70481"/>
    <w:pPr>
      <w:numPr>
        <w:ilvl w:val="2"/>
        <w:numId w:val="9"/>
      </w:numPr>
      <w:tabs>
        <w:tab w:val="clear" w:pos="3328"/>
      </w:tabs>
      <w:ind w:left="0" w:firstLine="0"/>
    </w:pPr>
  </w:style>
  <w:style w:type="paragraph" w:customStyle="1" w:styleId="ListNumber2Level4">
    <w:name w:val="List Number 2 (Level 4)"/>
    <w:basedOn w:val="Text2"/>
    <w:uiPriority w:val="30"/>
    <w:semiHidden/>
    <w:unhideWhenUsed/>
    <w:rsid w:val="00F70481"/>
    <w:pPr>
      <w:numPr>
        <w:ilvl w:val="3"/>
        <w:numId w:val="9"/>
      </w:numPr>
      <w:tabs>
        <w:tab w:val="clear" w:pos="4037"/>
      </w:tabs>
      <w:ind w:left="0" w:firstLine="0"/>
    </w:pPr>
  </w:style>
  <w:style w:type="paragraph" w:styleId="ListNumber3">
    <w:name w:val="List Number 3"/>
    <w:basedOn w:val="Text3"/>
    <w:uiPriority w:val="30"/>
    <w:rsid w:val="00F70481"/>
    <w:pPr>
      <w:numPr>
        <w:numId w:val="8"/>
      </w:numPr>
      <w:tabs>
        <w:tab w:val="clear" w:pos="1911"/>
      </w:tabs>
      <w:ind w:left="0" w:firstLine="0"/>
    </w:pPr>
  </w:style>
  <w:style w:type="paragraph" w:customStyle="1" w:styleId="ListNumber3Level2">
    <w:name w:val="List Number 3 (Level 2)"/>
    <w:basedOn w:val="Text3"/>
    <w:uiPriority w:val="30"/>
    <w:semiHidden/>
    <w:unhideWhenUsed/>
    <w:rsid w:val="00F70481"/>
    <w:pPr>
      <w:numPr>
        <w:ilvl w:val="1"/>
        <w:numId w:val="8"/>
      </w:numPr>
      <w:tabs>
        <w:tab w:val="clear" w:pos="2619"/>
      </w:tabs>
      <w:ind w:left="0" w:firstLine="0"/>
    </w:pPr>
  </w:style>
  <w:style w:type="paragraph" w:customStyle="1" w:styleId="ListNumber3Level3">
    <w:name w:val="List Number 3 (Level 3)"/>
    <w:basedOn w:val="Text3"/>
    <w:uiPriority w:val="30"/>
    <w:semiHidden/>
    <w:unhideWhenUsed/>
    <w:rsid w:val="00F70481"/>
    <w:pPr>
      <w:numPr>
        <w:ilvl w:val="2"/>
        <w:numId w:val="8"/>
      </w:numPr>
      <w:tabs>
        <w:tab w:val="clear" w:pos="3328"/>
      </w:tabs>
      <w:ind w:left="0" w:firstLine="0"/>
    </w:pPr>
  </w:style>
  <w:style w:type="paragraph" w:customStyle="1" w:styleId="ListNumber3Level4">
    <w:name w:val="List Number 3 (Level 4)"/>
    <w:basedOn w:val="Text3"/>
    <w:uiPriority w:val="30"/>
    <w:semiHidden/>
    <w:unhideWhenUsed/>
    <w:rsid w:val="00F70481"/>
    <w:pPr>
      <w:numPr>
        <w:ilvl w:val="3"/>
        <w:numId w:val="8"/>
      </w:numPr>
      <w:tabs>
        <w:tab w:val="clear" w:pos="4037"/>
      </w:tabs>
      <w:ind w:left="0" w:firstLine="0"/>
    </w:pPr>
  </w:style>
  <w:style w:type="paragraph" w:styleId="ListNumber4">
    <w:name w:val="List Number 4"/>
    <w:basedOn w:val="Text4"/>
    <w:uiPriority w:val="30"/>
    <w:rsid w:val="00F70481"/>
    <w:pPr>
      <w:numPr>
        <w:numId w:val="7"/>
      </w:numPr>
      <w:tabs>
        <w:tab w:val="clear" w:pos="1911"/>
      </w:tabs>
      <w:ind w:left="0" w:firstLine="0"/>
    </w:pPr>
  </w:style>
  <w:style w:type="paragraph" w:customStyle="1" w:styleId="ListNumber4Level2">
    <w:name w:val="List Number 4 (Level 2)"/>
    <w:basedOn w:val="Text4"/>
    <w:uiPriority w:val="30"/>
    <w:semiHidden/>
    <w:unhideWhenUsed/>
    <w:rsid w:val="00F70481"/>
    <w:pPr>
      <w:numPr>
        <w:ilvl w:val="1"/>
        <w:numId w:val="7"/>
      </w:numPr>
      <w:tabs>
        <w:tab w:val="clear" w:pos="2619"/>
      </w:tabs>
      <w:ind w:left="0" w:firstLine="0"/>
    </w:pPr>
  </w:style>
  <w:style w:type="paragraph" w:customStyle="1" w:styleId="ListNumber4Level3">
    <w:name w:val="List Number 4 (Level 3)"/>
    <w:basedOn w:val="Text4"/>
    <w:uiPriority w:val="30"/>
    <w:semiHidden/>
    <w:unhideWhenUsed/>
    <w:rsid w:val="00F70481"/>
    <w:pPr>
      <w:numPr>
        <w:ilvl w:val="2"/>
        <w:numId w:val="7"/>
      </w:numPr>
      <w:tabs>
        <w:tab w:val="clear" w:pos="3328"/>
      </w:tabs>
      <w:ind w:left="0" w:firstLine="0"/>
    </w:pPr>
  </w:style>
  <w:style w:type="paragraph" w:customStyle="1" w:styleId="ListNumber4Level4">
    <w:name w:val="List Number 4 (Level 4)"/>
    <w:basedOn w:val="Text4"/>
    <w:uiPriority w:val="30"/>
    <w:semiHidden/>
    <w:unhideWhenUsed/>
    <w:rsid w:val="00F70481"/>
    <w:pPr>
      <w:numPr>
        <w:ilvl w:val="3"/>
        <w:numId w:val="7"/>
      </w:numPr>
      <w:tabs>
        <w:tab w:val="clear" w:pos="4037"/>
      </w:tabs>
      <w:ind w:left="0" w:firstLine="0"/>
    </w:pPr>
  </w:style>
  <w:style w:type="paragraph" w:customStyle="1" w:styleId="Marking">
    <w:name w:val="Marking"/>
    <w:basedOn w:val="Normal"/>
    <w:semiHidden/>
    <w:rsid w:val="00F70481"/>
    <w:pPr>
      <w:spacing w:after="240" w:line="240" w:lineRule="auto"/>
      <w:ind w:left="5102" w:right="-680"/>
      <w:contextualSpacing/>
    </w:pPr>
    <w:rPr>
      <w:rFonts w:ascii="Times New Roman" w:eastAsia="Times New Roman" w:hAnsi="Times New Roman" w:cs="Times New Roman"/>
      <w:kern w:val="0"/>
      <w:sz w:val="28"/>
      <w:szCs w:val="20"/>
      <w:lang w:eastAsia="en-IE"/>
      <w14:ligatures w14:val="none"/>
    </w:rPr>
  </w:style>
  <w:style w:type="paragraph" w:customStyle="1" w:styleId="NumPar1">
    <w:name w:val="NumPar 1"/>
    <w:basedOn w:val="Heading1"/>
    <w:uiPriority w:val="1"/>
    <w:qFormat/>
    <w:rsid w:val="00F70481"/>
    <w:pPr>
      <w:keepNext w:val="0"/>
      <w:keepLines w:val="0"/>
      <w:tabs>
        <w:tab w:val="num" w:pos="482"/>
      </w:tabs>
      <w:spacing w:before="0" w:after="240" w:line="240" w:lineRule="auto"/>
      <w:jc w:val="both"/>
      <w:outlineLvl w:val="9"/>
    </w:pPr>
    <w:rPr>
      <w:rFonts w:ascii="Times New Roman" w:eastAsia="Times New Roman" w:hAnsi="Times New Roman" w:cs="Times New Roman"/>
      <w:b/>
      <w:color w:val="auto"/>
      <w:kern w:val="0"/>
      <w:sz w:val="24"/>
      <w:szCs w:val="20"/>
      <w:lang w:eastAsia="en-IE"/>
      <w14:ligatures w14:val="none"/>
    </w:rPr>
  </w:style>
  <w:style w:type="paragraph" w:customStyle="1" w:styleId="NumPar2">
    <w:name w:val="NumPar 2"/>
    <w:basedOn w:val="Heading2"/>
    <w:uiPriority w:val="20"/>
    <w:qFormat/>
    <w:rsid w:val="00F70481"/>
    <w:pPr>
      <w:keepNext w:val="0"/>
      <w:keepLines w:val="0"/>
      <w:numPr>
        <w:ilvl w:val="1"/>
      </w:numPr>
      <w:tabs>
        <w:tab w:val="num" w:pos="1202"/>
      </w:tabs>
      <w:spacing w:before="0" w:after="240" w:line="240" w:lineRule="auto"/>
      <w:ind w:left="1202" w:hanging="720"/>
      <w:jc w:val="both"/>
      <w:outlineLvl w:val="9"/>
    </w:pPr>
    <w:rPr>
      <w:rFonts w:ascii="Times New Roman" w:eastAsia="Times New Roman" w:hAnsi="Times New Roman" w:cs="Times New Roman"/>
      <w:i/>
      <w:color w:val="auto"/>
      <w:kern w:val="0"/>
      <w:sz w:val="24"/>
      <w:szCs w:val="20"/>
      <w:lang w:eastAsia="en-IE"/>
      <w14:ligatures w14:val="none"/>
    </w:rPr>
  </w:style>
  <w:style w:type="paragraph" w:customStyle="1" w:styleId="NumPar3">
    <w:name w:val="NumPar 3"/>
    <w:basedOn w:val="Heading3"/>
    <w:uiPriority w:val="20"/>
    <w:qFormat/>
    <w:rsid w:val="00F70481"/>
    <w:pPr>
      <w:keepNext w:val="0"/>
      <w:keepLines w:val="0"/>
      <w:numPr>
        <w:ilvl w:val="2"/>
      </w:numPr>
      <w:tabs>
        <w:tab w:val="num" w:pos="2438"/>
      </w:tabs>
      <w:spacing w:before="0" w:after="240" w:line="240" w:lineRule="auto"/>
      <w:ind w:left="2211" w:hanging="1009"/>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4">
    <w:name w:val="NumPar 4"/>
    <w:basedOn w:val="Heading4"/>
    <w:uiPriority w:val="20"/>
    <w:qFormat/>
    <w:rsid w:val="00F70481"/>
    <w:pPr>
      <w:keepNext w:val="0"/>
      <w:keepLines w:val="0"/>
      <w:numPr>
        <w:ilvl w:val="3"/>
      </w:numPr>
      <w:tabs>
        <w:tab w:val="num" w:pos="2438"/>
      </w:tabs>
      <w:spacing w:before="0" w:after="240" w:line="240" w:lineRule="auto"/>
      <w:ind w:left="2211" w:hanging="1009"/>
      <w:jc w:val="both"/>
      <w:outlineLvl w:val="9"/>
    </w:pPr>
    <w:rPr>
      <w:rFonts w:ascii="Times New Roman" w:eastAsia="Times New Roman" w:hAnsi="Times New Roman" w:cs="Times New Roman"/>
      <w:i w:val="0"/>
      <w:iCs w:val="0"/>
      <w:color w:val="auto"/>
      <w:kern w:val="0"/>
      <w:sz w:val="24"/>
      <w:szCs w:val="20"/>
      <w:lang w:eastAsia="en-IE"/>
      <w14:ligatures w14:val="none"/>
    </w:rPr>
  </w:style>
  <w:style w:type="paragraph" w:customStyle="1" w:styleId="PartTitle">
    <w:name w:val="PartTitle"/>
    <w:basedOn w:val="Normal"/>
    <w:next w:val="ChapterTitle"/>
    <w:uiPriority w:val="42"/>
    <w:qFormat/>
    <w:rsid w:val="00F70481"/>
    <w:pPr>
      <w:keepNext/>
      <w:pageBreakBefore/>
      <w:spacing w:after="480" w:line="240" w:lineRule="auto"/>
      <w:jc w:val="center"/>
      <w:outlineLvl w:val="0"/>
    </w:pPr>
    <w:rPr>
      <w:rFonts w:ascii="Times New Roman" w:eastAsia="Times New Roman" w:hAnsi="Times New Roman" w:cs="Times New Roman"/>
      <w:b/>
      <w:kern w:val="0"/>
      <w:sz w:val="36"/>
      <w:szCs w:val="20"/>
      <w:lang w:eastAsia="en-IE"/>
      <w14:ligatures w14:val="none"/>
    </w:rPr>
  </w:style>
  <w:style w:type="paragraph" w:customStyle="1" w:styleId="References">
    <w:name w:val="References"/>
    <w:basedOn w:val="Normal"/>
    <w:semiHidden/>
    <w:rsid w:val="00F70481"/>
    <w:pPr>
      <w:spacing w:after="240" w:line="240" w:lineRule="auto"/>
      <w:ind w:left="5102" w:right="-567"/>
      <w:contextualSpacing/>
    </w:pPr>
    <w:rPr>
      <w:rFonts w:ascii="Times New Roman" w:eastAsia="Times New Roman" w:hAnsi="Times New Roman" w:cs="Times New Roman"/>
      <w:kern w:val="0"/>
      <w:sz w:val="20"/>
      <w:szCs w:val="20"/>
      <w:lang w:eastAsia="en-IE"/>
      <w14:ligatures w14:val="none"/>
    </w:rPr>
  </w:style>
  <w:style w:type="paragraph" w:customStyle="1" w:styleId="Releasable">
    <w:name w:val="Releasable"/>
    <w:basedOn w:val="Normal"/>
    <w:semiHidden/>
    <w:rsid w:val="00F70481"/>
    <w:pPr>
      <w:spacing w:after="0" w:line="240" w:lineRule="auto"/>
      <w:jc w:val="center"/>
    </w:pPr>
    <w:rPr>
      <w:rFonts w:ascii="Times New Roman" w:eastAsia="Times New Roman" w:hAnsi="Times New Roman" w:cs="Times New Roman"/>
      <w:b/>
      <w:caps/>
      <w:kern w:val="0"/>
      <w:sz w:val="32"/>
      <w:szCs w:val="20"/>
      <w:lang w:eastAsia="en-IE"/>
      <w14:ligatures w14:val="none"/>
    </w:rPr>
  </w:style>
  <w:style w:type="paragraph" w:customStyle="1" w:styleId="RUE">
    <w:name w:val="RUE"/>
    <w:basedOn w:val="Normal"/>
    <w:semiHidden/>
    <w:rsid w:val="00F70481"/>
    <w:pPr>
      <w:spacing w:after="0" w:line="240" w:lineRule="auto"/>
      <w:jc w:val="center"/>
    </w:pPr>
    <w:rPr>
      <w:rFonts w:ascii="Times New Roman" w:eastAsia="Times New Roman" w:hAnsi="Times New Roman" w:cs="Times New Roman"/>
      <w:b/>
      <w:caps/>
      <w:kern w:val="0"/>
      <w:sz w:val="32"/>
      <w:szCs w:val="20"/>
      <w:bdr w:val="single" w:sz="18" w:space="0" w:color="auto"/>
      <w:lang w:eastAsia="en-IE"/>
      <w14:ligatures w14:val="none"/>
    </w:rPr>
  </w:style>
  <w:style w:type="paragraph" w:customStyle="1" w:styleId="SecretUE">
    <w:name w:val="Secret UE"/>
    <w:basedOn w:val="Normal"/>
    <w:semiHidden/>
    <w:rsid w:val="00F70481"/>
    <w:pPr>
      <w:spacing w:after="0" w:line="240" w:lineRule="auto"/>
      <w:jc w:val="center"/>
    </w:pPr>
    <w:rPr>
      <w:rFonts w:ascii="Times New Roman" w:eastAsia="Times New Roman" w:hAnsi="Times New Roman" w:cs="Times New Roman"/>
      <w:b/>
      <w:caps/>
      <w:color w:val="FF0000"/>
      <w:kern w:val="0"/>
      <w:sz w:val="32"/>
      <w:szCs w:val="20"/>
      <w:bdr w:val="single" w:sz="18" w:space="0" w:color="FF0000"/>
      <w:lang w:eastAsia="en-IE"/>
      <w14:ligatures w14:val="none"/>
    </w:rPr>
  </w:style>
  <w:style w:type="paragraph" w:customStyle="1" w:styleId="SectionTitle">
    <w:name w:val="SectionTitle"/>
    <w:basedOn w:val="Normal"/>
    <w:next w:val="Heading1"/>
    <w:uiPriority w:val="44"/>
    <w:qFormat/>
    <w:rsid w:val="00F70481"/>
    <w:pPr>
      <w:keepNext/>
      <w:spacing w:after="480" w:line="240" w:lineRule="auto"/>
      <w:jc w:val="center"/>
      <w:outlineLvl w:val="0"/>
    </w:pPr>
    <w:rPr>
      <w:rFonts w:ascii="Times New Roman" w:eastAsia="Times New Roman" w:hAnsi="Times New Roman" w:cs="Times New Roman"/>
      <w:b/>
      <w:smallCaps/>
      <w:kern w:val="0"/>
      <w:sz w:val="28"/>
      <w:szCs w:val="20"/>
      <w:lang w:eastAsia="en-IE"/>
      <w14:ligatures w14:val="none"/>
    </w:rPr>
  </w:style>
  <w:style w:type="paragraph" w:styleId="Signature">
    <w:name w:val="Signature"/>
    <w:basedOn w:val="Normal"/>
    <w:link w:val="SignatureChar"/>
    <w:semiHidden/>
    <w:rsid w:val="00F70481"/>
    <w:pPr>
      <w:spacing w:before="1200" w:after="0" w:line="240" w:lineRule="auto"/>
      <w:ind w:left="5102"/>
      <w:jc w:val="center"/>
    </w:pPr>
    <w:rPr>
      <w:rFonts w:ascii="Times New Roman" w:eastAsia="Times New Roman" w:hAnsi="Times New Roman" w:cs="Times New Roman"/>
      <w:kern w:val="0"/>
      <w:sz w:val="24"/>
      <w:szCs w:val="20"/>
      <w:lang w:eastAsia="en-IE"/>
      <w14:ligatures w14:val="none"/>
    </w:rPr>
  </w:style>
  <w:style w:type="character" w:customStyle="1" w:styleId="SignatureChar">
    <w:name w:val="Signature Char"/>
    <w:basedOn w:val="DefaultParagraphFont"/>
    <w:link w:val="Signature"/>
    <w:semiHidden/>
    <w:rsid w:val="00F70481"/>
    <w:rPr>
      <w:rFonts w:ascii="Times New Roman" w:eastAsia="Times New Roman" w:hAnsi="Times New Roman" w:cs="Times New Roman"/>
      <w:kern w:val="0"/>
      <w:sz w:val="24"/>
      <w:szCs w:val="20"/>
      <w:lang w:val="fr-FR" w:eastAsia="en-IE"/>
      <w14:ligatures w14:val="none"/>
    </w:rPr>
  </w:style>
  <w:style w:type="paragraph" w:customStyle="1" w:styleId="SignatureL">
    <w:name w:val="SignatureL"/>
    <w:basedOn w:val="Normal"/>
    <w:semiHidden/>
    <w:rsid w:val="00F70481"/>
    <w:pPr>
      <w:spacing w:before="1200" w:after="0" w:line="240" w:lineRule="auto"/>
    </w:pPr>
    <w:rPr>
      <w:rFonts w:ascii="Times New Roman" w:eastAsia="Times New Roman" w:hAnsi="Times New Roman" w:cs="Times New Roman"/>
      <w:kern w:val="0"/>
      <w:sz w:val="24"/>
      <w:szCs w:val="20"/>
      <w:lang w:eastAsia="en-IE"/>
      <w14:ligatures w14:val="none"/>
    </w:rPr>
  </w:style>
  <w:style w:type="paragraph" w:customStyle="1" w:styleId="SubTitle1">
    <w:name w:val="SubTitle 1"/>
    <w:basedOn w:val="Normal"/>
    <w:next w:val="SubTitle2"/>
    <w:uiPriority w:val="41"/>
    <w:qFormat/>
    <w:rsid w:val="00F70481"/>
    <w:pPr>
      <w:spacing w:after="240" w:line="240" w:lineRule="auto"/>
      <w:jc w:val="center"/>
    </w:pPr>
    <w:rPr>
      <w:rFonts w:ascii="Times New Roman" w:eastAsia="Times New Roman" w:hAnsi="Times New Roman" w:cs="Times New Roman"/>
      <w:b/>
      <w:kern w:val="0"/>
      <w:sz w:val="40"/>
      <w:szCs w:val="20"/>
      <w:lang w:eastAsia="en-IE"/>
      <w14:ligatures w14:val="none"/>
    </w:rPr>
  </w:style>
  <w:style w:type="paragraph" w:customStyle="1" w:styleId="SubTitle2">
    <w:name w:val="SubTitle 2"/>
    <w:basedOn w:val="Normal"/>
    <w:uiPriority w:val="41"/>
    <w:qFormat/>
    <w:rsid w:val="00F70481"/>
    <w:pPr>
      <w:spacing w:after="240" w:line="240" w:lineRule="auto"/>
      <w:jc w:val="center"/>
    </w:pPr>
    <w:rPr>
      <w:rFonts w:ascii="Times New Roman" w:eastAsia="Times New Roman" w:hAnsi="Times New Roman" w:cs="Times New Roman"/>
      <w:b/>
      <w:kern w:val="0"/>
      <w:sz w:val="32"/>
      <w:szCs w:val="20"/>
      <w:lang w:eastAsia="en-IE"/>
      <w14:ligatures w14:val="none"/>
    </w:rPr>
  </w:style>
  <w:style w:type="paragraph" w:customStyle="1" w:styleId="TableListBullet">
    <w:name w:val="Table List Bullet"/>
    <w:basedOn w:val="TableText"/>
    <w:uiPriority w:val="55"/>
    <w:rsid w:val="00F70481"/>
    <w:pPr>
      <w:numPr>
        <w:numId w:val="20"/>
      </w:numPr>
      <w:tabs>
        <w:tab w:val="clear" w:pos="283"/>
      </w:tabs>
      <w:ind w:left="0" w:firstLine="0"/>
    </w:pPr>
  </w:style>
  <w:style w:type="paragraph" w:customStyle="1" w:styleId="TableListBulletLevel2">
    <w:name w:val="Table List Bullet (Level 2)"/>
    <w:basedOn w:val="TableText"/>
    <w:uiPriority w:val="55"/>
    <w:semiHidden/>
    <w:unhideWhenUsed/>
    <w:rsid w:val="00F70481"/>
    <w:pPr>
      <w:numPr>
        <w:ilvl w:val="1"/>
        <w:numId w:val="20"/>
      </w:numPr>
      <w:tabs>
        <w:tab w:val="clear" w:pos="567"/>
      </w:tabs>
      <w:ind w:left="0" w:firstLine="0"/>
    </w:pPr>
  </w:style>
  <w:style w:type="paragraph" w:customStyle="1" w:styleId="TableListBulletLevel3">
    <w:name w:val="Table List Bullet (Level 3)"/>
    <w:basedOn w:val="TableText"/>
    <w:uiPriority w:val="55"/>
    <w:semiHidden/>
    <w:unhideWhenUsed/>
    <w:rsid w:val="00F70481"/>
    <w:pPr>
      <w:numPr>
        <w:ilvl w:val="2"/>
        <w:numId w:val="20"/>
      </w:numPr>
      <w:tabs>
        <w:tab w:val="clear" w:pos="850"/>
      </w:tabs>
      <w:ind w:left="0" w:firstLine="0"/>
    </w:pPr>
  </w:style>
  <w:style w:type="paragraph" w:customStyle="1" w:styleId="TableListBulletLevel4">
    <w:name w:val="Table List Bullet (Level 4)"/>
    <w:basedOn w:val="TableText"/>
    <w:uiPriority w:val="55"/>
    <w:semiHidden/>
    <w:unhideWhenUsed/>
    <w:rsid w:val="00F70481"/>
    <w:pPr>
      <w:numPr>
        <w:ilvl w:val="3"/>
        <w:numId w:val="20"/>
      </w:numPr>
      <w:tabs>
        <w:tab w:val="clear" w:pos="1134"/>
      </w:tabs>
      <w:ind w:left="0" w:firstLine="0"/>
    </w:pPr>
  </w:style>
  <w:style w:type="paragraph" w:customStyle="1" w:styleId="TableListDash">
    <w:name w:val="Table List Dash"/>
    <w:basedOn w:val="TableText"/>
    <w:uiPriority w:val="55"/>
    <w:rsid w:val="00F70481"/>
    <w:pPr>
      <w:numPr>
        <w:numId w:val="21"/>
      </w:numPr>
      <w:tabs>
        <w:tab w:val="clear" w:pos="283"/>
      </w:tabs>
      <w:ind w:left="0" w:firstLine="0"/>
    </w:pPr>
  </w:style>
  <w:style w:type="paragraph" w:customStyle="1" w:styleId="TableListDashLevel2">
    <w:name w:val="Table List Dash (Level 2)"/>
    <w:basedOn w:val="TableText"/>
    <w:uiPriority w:val="55"/>
    <w:semiHidden/>
    <w:unhideWhenUsed/>
    <w:rsid w:val="00F70481"/>
    <w:pPr>
      <w:numPr>
        <w:ilvl w:val="1"/>
        <w:numId w:val="21"/>
      </w:numPr>
      <w:tabs>
        <w:tab w:val="clear" w:pos="567"/>
      </w:tabs>
      <w:ind w:left="0" w:firstLine="0"/>
    </w:pPr>
  </w:style>
  <w:style w:type="paragraph" w:customStyle="1" w:styleId="TableListDashLevel3">
    <w:name w:val="Table List Dash (Level 3)"/>
    <w:basedOn w:val="TableText"/>
    <w:uiPriority w:val="55"/>
    <w:semiHidden/>
    <w:unhideWhenUsed/>
    <w:rsid w:val="00F70481"/>
    <w:pPr>
      <w:numPr>
        <w:ilvl w:val="2"/>
        <w:numId w:val="21"/>
      </w:numPr>
      <w:tabs>
        <w:tab w:val="clear" w:pos="850"/>
      </w:tabs>
      <w:ind w:left="0" w:firstLine="0"/>
    </w:pPr>
  </w:style>
  <w:style w:type="paragraph" w:customStyle="1" w:styleId="TableListDashLevel4">
    <w:name w:val="Table List Dash (Level 4)"/>
    <w:basedOn w:val="TableText"/>
    <w:uiPriority w:val="55"/>
    <w:semiHidden/>
    <w:unhideWhenUsed/>
    <w:rsid w:val="00F70481"/>
    <w:pPr>
      <w:numPr>
        <w:ilvl w:val="3"/>
        <w:numId w:val="21"/>
      </w:numPr>
      <w:tabs>
        <w:tab w:val="clear" w:pos="1134"/>
      </w:tabs>
      <w:ind w:left="0" w:firstLine="0"/>
    </w:pPr>
  </w:style>
  <w:style w:type="paragraph" w:customStyle="1" w:styleId="TableListNumber">
    <w:name w:val="Table List Number"/>
    <w:basedOn w:val="TableText"/>
    <w:uiPriority w:val="55"/>
    <w:rsid w:val="00F70481"/>
    <w:pPr>
      <w:numPr>
        <w:numId w:val="22"/>
      </w:numPr>
      <w:tabs>
        <w:tab w:val="clear" w:pos="454"/>
      </w:tabs>
      <w:ind w:left="0" w:firstLine="0"/>
    </w:pPr>
  </w:style>
  <w:style w:type="paragraph" w:customStyle="1" w:styleId="TableListNumberLevel2">
    <w:name w:val="Table List Number (Level 2)"/>
    <w:basedOn w:val="TableText"/>
    <w:uiPriority w:val="55"/>
    <w:semiHidden/>
    <w:unhideWhenUsed/>
    <w:rsid w:val="00F70481"/>
    <w:pPr>
      <w:numPr>
        <w:ilvl w:val="1"/>
        <w:numId w:val="22"/>
      </w:numPr>
      <w:tabs>
        <w:tab w:val="clear" w:pos="907"/>
      </w:tabs>
      <w:ind w:left="0" w:firstLine="0"/>
    </w:pPr>
  </w:style>
  <w:style w:type="paragraph" w:customStyle="1" w:styleId="TableListNumberLevel3">
    <w:name w:val="Table List Number (Level 3)"/>
    <w:basedOn w:val="TableText"/>
    <w:uiPriority w:val="55"/>
    <w:semiHidden/>
    <w:unhideWhenUsed/>
    <w:rsid w:val="00F70481"/>
    <w:pPr>
      <w:numPr>
        <w:ilvl w:val="2"/>
        <w:numId w:val="22"/>
      </w:numPr>
      <w:tabs>
        <w:tab w:val="clear" w:pos="1361"/>
      </w:tabs>
      <w:ind w:left="0" w:firstLine="0"/>
    </w:pPr>
  </w:style>
  <w:style w:type="paragraph" w:customStyle="1" w:styleId="TableListNumberLevel4">
    <w:name w:val="Table List Number (Level 4)"/>
    <w:basedOn w:val="TableText"/>
    <w:uiPriority w:val="55"/>
    <w:semiHidden/>
    <w:unhideWhenUsed/>
    <w:rsid w:val="00F70481"/>
    <w:pPr>
      <w:numPr>
        <w:ilvl w:val="3"/>
        <w:numId w:val="22"/>
      </w:numPr>
      <w:tabs>
        <w:tab w:val="clear" w:pos="1814"/>
      </w:tabs>
      <w:ind w:left="0" w:firstLine="0"/>
    </w:pPr>
  </w:style>
  <w:style w:type="paragraph" w:customStyle="1" w:styleId="TableSource">
    <w:name w:val="Table Source"/>
    <w:basedOn w:val="Normal"/>
    <w:next w:val="Normal"/>
    <w:uiPriority w:val="99"/>
    <w:semiHidden/>
    <w:unhideWhenUsed/>
    <w:rsid w:val="00F70481"/>
    <w:pPr>
      <w:spacing w:after="240" w:line="240" w:lineRule="auto"/>
      <w:jc w:val="both"/>
    </w:pPr>
    <w:rPr>
      <w:rFonts w:ascii="Times New Roman" w:eastAsia="Times New Roman" w:hAnsi="Times New Roman" w:cs="Times New Roman"/>
      <w:kern w:val="0"/>
      <w:sz w:val="20"/>
      <w:szCs w:val="20"/>
      <w:lang w:eastAsia="en-IE"/>
      <w14:ligatures w14:val="none"/>
    </w:rPr>
  </w:style>
  <w:style w:type="paragraph" w:customStyle="1" w:styleId="TableSource1">
    <w:name w:val="Table Source 1"/>
    <w:basedOn w:val="Text1"/>
    <w:next w:val="Text1"/>
    <w:uiPriority w:val="99"/>
    <w:semiHidden/>
    <w:unhideWhenUsed/>
    <w:rsid w:val="00F70481"/>
    <w:rPr>
      <w:sz w:val="20"/>
    </w:rPr>
  </w:style>
  <w:style w:type="paragraph" w:customStyle="1" w:styleId="TableSource2">
    <w:name w:val="Table Source 2"/>
    <w:basedOn w:val="Text2"/>
    <w:next w:val="Text2"/>
    <w:uiPriority w:val="99"/>
    <w:semiHidden/>
    <w:unhideWhenUsed/>
    <w:rsid w:val="00F70481"/>
    <w:rPr>
      <w:sz w:val="20"/>
    </w:rPr>
  </w:style>
  <w:style w:type="paragraph" w:customStyle="1" w:styleId="TableSource3">
    <w:name w:val="Table Source 3"/>
    <w:basedOn w:val="Text3"/>
    <w:next w:val="Text3"/>
    <w:uiPriority w:val="99"/>
    <w:semiHidden/>
    <w:unhideWhenUsed/>
    <w:rsid w:val="00F70481"/>
    <w:rPr>
      <w:sz w:val="20"/>
    </w:rPr>
  </w:style>
  <w:style w:type="paragraph" w:customStyle="1" w:styleId="TableSource4">
    <w:name w:val="Table Source 4"/>
    <w:basedOn w:val="Text4"/>
    <w:next w:val="Text4"/>
    <w:uiPriority w:val="99"/>
    <w:semiHidden/>
    <w:unhideWhenUsed/>
    <w:rsid w:val="00F70481"/>
    <w:rPr>
      <w:sz w:val="20"/>
    </w:rPr>
  </w:style>
  <w:style w:type="paragraph" w:customStyle="1" w:styleId="TableText">
    <w:name w:val="Table Text"/>
    <w:basedOn w:val="Normal"/>
    <w:uiPriority w:val="50"/>
    <w:qFormat/>
    <w:rsid w:val="00F70481"/>
    <w:pPr>
      <w:spacing w:before="60" w:after="60" w:line="240" w:lineRule="auto"/>
    </w:pPr>
    <w:rPr>
      <w:rFonts w:ascii="Times New Roman" w:eastAsia="Times New Roman" w:hAnsi="Times New Roman" w:cs="Times New Roman"/>
      <w:kern w:val="0"/>
      <w:sz w:val="24"/>
      <w:szCs w:val="20"/>
      <w:lang w:eastAsia="en-IE"/>
      <w14:ligatures w14:val="none"/>
    </w:rPr>
  </w:style>
  <w:style w:type="paragraph" w:customStyle="1" w:styleId="TableTitle">
    <w:name w:val="Table Title"/>
    <w:basedOn w:val="Normal"/>
    <w:uiPriority w:val="99"/>
    <w:semiHidden/>
    <w:unhideWhenUsed/>
    <w:rsid w:val="00F70481"/>
    <w:pPr>
      <w:keepNext/>
      <w:spacing w:after="120" w:line="240" w:lineRule="auto"/>
      <w:jc w:val="both"/>
    </w:pPr>
    <w:rPr>
      <w:rFonts w:ascii="Times New Roman" w:eastAsia="Times New Roman" w:hAnsi="Times New Roman" w:cs="Times New Roman"/>
      <w:b/>
      <w:i/>
      <w:kern w:val="0"/>
      <w:sz w:val="24"/>
      <w:szCs w:val="20"/>
      <w:lang w:eastAsia="en-IE"/>
      <w14:ligatures w14:val="none"/>
    </w:rPr>
  </w:style>
  <w:style w:type="paragraph" w:customStyle="1" w:styleId="TableTitle1">
    <w:name w:val="Table Title 1"/>
    <w:basedOn w:val="Text1"/>
    <w:uiPriority w:val="99"/>
    <w:semiHidden/>
    <w:unhideWhenUsed/>
    <w:rsid w:val="00F70481"/>
    <w:pPr>
      <w:keepNext/>
      <w:spacing w:after="120"/>
    </w:pPr>
    <w:rPr>
      <w:b/>
      <w:i/>
    </w:rPr>
  </w:style>
  <w:style w:type="paragraph" w:customStyle="1" w:styleId="TableTitle2">
    <w:name w:val="Table Title 2"/>
    <w:basedOn w:val="Text2"/>
    <w:uiPriority w:val="99"/>
    <w:semiHidden/>
    <w:unhideWhenUsed/>
    <w:rsid w:val="00F70481"/>
    <w:pPr>
      <w:keepNext/>
      <w:spacing w:after="120"/>
    </w:pPr>
    <w:rPr>
      <w:b/>
      <w:i/>
    </w:rPr>
  </w:style>
  <w:style w:type="paragraph" w:customStyle="1" w:styleId="TableTitle3">
    <w:name w:val="Table Title 3"/>
    <w:basedOn w:val="Text3"/>
    <w:uiPriority w:val="99"/>
    <w:semiHidden/>
    <w:unhideWhenUsed/>
    <w:rsid w:val="00F70481"/>
    <w:pPr>
      <w:keepNext/>
      <w:spacing w:after="120"/>
    </w:pPr>
    <w:rPr>
      <w:b/>
      <w:i/>
    </w:rPr>
  </w:style>
  <w:style w:type="paragraph" w:customStyle="1" w:styleId="TableTitle4">
    <w:name w:val="Table Title 4"/>
    <w:basedOn w:val="Text4"/>
    <w:uiPriority w:val="99"/>
    <w:semiHidden/>
    <w:unhideWhenUsed/>
    <w:rsid w:val="00F70481"/>
    <w:pPr>
      <w:keepNext/>
      <w:spacing w:after="120"/>
    </w:pPr>
    <w:rPr>
      <w:b/>
      <w:i/>
    </w:rPr>
  </w:style>
  <w:style w:type="paragraph" w:customStyle="1" w:styleId="Text4">
    <w:name w:val="Text 4"/>
    <w:basedOn w:val="Normal"/>
    <w:qFormat/>
    <w:rsid w:val="00F70481"/>
    <w:pPr>
      <w:spacing w:after="240" w:line="240" w:lineRule="auto"/>
      <w:ind w:left="1202"/>
      <w:jc w:val="both"/>
    </w:pPr>
    <w:rPr>
      <w:rFonts w:ascii="Times New Roman" w:eastAsia="Times New Roman" w:hAnsi="Times New Roman" w:cs="Times New Roman"/>
      <w:kern w:val="0"/>
      <w:sz w:val="24"/>
      <w:szCs w:val="20"/>
      <w:lang w:eastAsia="en-IE"/>
      <w14:ligatures w14:val="none"/>
    </w:rPr>
  </w:style>
  <w:style w:type="paragraph" w:styleId="TOC4">
    <w:name w:val="toc 4"/>
    <w:basedOn w:val="Normal"/>
    <w:next w:val="Normal"/>
    <w:semiHidden/>
    <w:rsid w:val="00F70481"/>
    <w:pPr>
      <w:tabs>
        <w:tab w:val="left" w:pos="2880"/>
        <w:tab w:val="right" w:leader="dot" w:pos="8640"/>
      </w:tabs>
      <w:spacing w:before="60" w:after="60" w:line="240" w:lineRule="auto"/>
      <w:ind w:left="2880" w:right="720" w:hanging="964"/>
      <w:jc w:val="both"/>
    </w:pPr>
    <w:rPr>
      <w:rFonts w:ascii="Times New Roman" w:eastAsia="Times New Roman" w:hAnsi="Times New Roman" w:cs="Times New Roman"/>
      <w:noProof/>
      <w:kern w:val="0"/>
      <w:sz w:val="24"/>
      <w:szCs w:val="20"/>
      <w:lang w:eastAsia="en-IE"/>
      <w14:ligatures w14:val="none"/>
    </w:rPr>
  </w:style>
  <w:style w:type="paragraph" w:styleId="TOC5">
    <w:name w:val="toc 5"/>
    <w:basedOn w:val="Normal"/>
    <w:next w:val="Normal"/>
    <w:semiHidden/>
    <w:rsid w:val="00F70481"/>
    <w:pPr>
      <w:tabs>
        <w:tab w:val="right" w:leader="dot" w:pos="8640"/>
      </w:tabs>
      <w:spacing w:before="240" w:after="120" w:line="240" w:lineRule="auto"/>
      <w:ind w:right="720"/>
      <w:jc w:val="both"/>
    </w:pPr>
    <w:rPr>
      <w:rFonts w:ascii="Times New Roman" w:eastAsia="Times New Roman" w:hAnsi="Times New Roman" w:cs="Times New Roman"/>
      <w:caps/>
      <w:kern w:val="0"/>
      <w:sz w:val="24"/>
      <w:szCs w:val="20"/>
      <w:lang w:eastAsia="en-IE"/>
      <w14:ligatures w14:val="none"/>
    </w:rPr>
  </w:style>
  <w:style w:type="paragraph" w:styleId="TOC6">
    <w:name w:val="toc 6"/>
    <w:basedOn w:val="Normal"/>
    <w:next w:val="Normal"/>
    <w:semiHidden/>
    <w:rsid w:val="00F70481"/>
    <w:pPr>
      <w:spacing w:after="240" w:line="240" w:lineRule="auto"/>
      <w:jc w:val="both"/>
    </w:pPr>
    <w:rPr>
      <w:rFonts w:ascii="Times New Roman" w:eastAsia="Times New Roman" w:hAnsi="Times New Roman" w:cs="Times New Roman"/>
      <w:caps/>
      <w:kern w:val="0"/>
      <w:sz w:val="24"/>
      <w:szCs w:val="20"/>
      <w:lang w:eastAsia="en-IE"/>
      <w14:ligatures w14:val="none"/>
    </w:rPr>
  </w:style>
  <w:style w:type="paragraph" w:styleId="TOC7">
    <w:name w:val="toc 7"/>
    <w:basedOn w:val="Normal"/>
    <w:next w:val="Normal"/>
    <w:semiHidden/>
    <w:rsid w:val="00F70481"/>
    <w:pPr>
      <w:tabs>
        <w:tab w:val="right" w:leader="dot" w:pos="8640"/>
      </w:tabs>
      <w:spacing w:after="240" w:line="240" w:lineRule="auto"/>
      <w:jc w:val="both"/>
    </w:pPr>
    <w:rPr>
      <w:rFonts w:ascii="Times New Roman" w:eastAsia="Times New Roman" w:hAnsi="Times New Roman" w:cs="Times New Roman"/>
      <w:kern w:val="0"/>
      <w:sz w:val="24"/>
      <w:szCs w:val="20"/>
      <w:lang w:eastAsia="en-IE"/>
      <w14:ligatures w14:val="none"/>
    </w:rPr>
  </w:style>
  <w:style w:type="paragraph" w:styleId="TOC8">
    <w:name w:val="toc 8"/>
    <w:basedOn w:val="Normal"/>
    <w:next w:val="Normal"/>
    <w:semiHidden/>
    <w:rsid w:val="00F70481"/>
    <w:pPr>
      <w:tabs>
        <w:tab w:val="right" w:leader="dot" w:pos="8640"/>
      </w:tabs>
      <w:spacing w:after="240" w:line="240" w:lineRule="auto"/>
      <w:jc w:val="both"/>
    </w:pPr>
    <w:rPr>
      <w:rFonts w:ascii="Times New Roman" w:eastAsia="Times New Roman" w:hAnsi="Times New Roman" w:cs="Times New Roman"/>
      <w:kern w:val="0"/>
      <w:sz w:val="24"/>
      <w:szCs w:val="20"/>
      <w:lang w:eastAsia="en-IE"/>
      <w14:ligatures w14:val="none"/>
    </w:rPr>
  </w:style>
  <w:style w:type="paragraph" w:styleId="TOC9">
    <w:name w:val="toc 9"/>
    <w:basedOn w:val="Normal"/>
    <w:next w:val="Normal"/>
    <w:semiHidden/>
    <w:rsid w:val="00F70481"/>
    <w:pPr>
      <w:tabs>
        <w:tab w:val="right" w:leader="dot" w:pos="8640"/>
      </w:tabs>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TrsSecretUE">
    <w:name w:val="Très Secret UE"/>
    <w:basedOn w:val="Normal"/>
    <w:semiHidden/>
    <w:rsid w:val="00F70481"/>
    <w:pPr>
      <w:spacing w:after="0" w:line="240" w:lineRule="auto"/>
      <w:jc w:val="center"/>
    </w:pPr>
    <w:rPr>
      <w:rFonts w:ascii="Times New Roman" w:eastAsia="Times New Roman" w:hAnsi="Times New Roman" w:cs="Times New Roman"/>
      <w:b/>
      <w:caps/>
      <w:color w:val="FF0000"/>
      <w:kern w:val="0"/>
      <w:sz w:val="32"/>
      <w:szCs w:val="20"/>
      <w:bdr w:val="single" w:sz="18" w:space="0" w:color="FF0000"/>
      <w:lang w:eastAsia="en-IE"/>
      <w14:ligatures w14:val="none"/>
    </w:rPr>
  </w:style>
  <w:style w:type="paragraph" w:customStyle="1" w:styleId="ZCom">
    <w:name w:val="Z_Com"/>
    <w:basedOn w:val="Normal"/>
    <w:next w:val="ZDGName"/>
    <w:semiHidden/>
    <w:rsid w:val="00F70481"/>
    <w:pPr>
      <w:widowControl w:val="0"/>
      <w:spacing w:before="90" w:after="0" w:line="240" w:lineRule="auto"/>
      <w:ind w:right="85"/>
    </w:pPr>
    <w:rPr>
      <w:rFonts w:ascii="Times New Roman" w:eastAsia="Times New Roman" w:hAnsi="Times New Roman" w:cs="Times New Roman"/>
      <w:kern w:val="0"/>
      <w:sz w:val="24"/>
      <w:szCs w:val="20"/>
      <w:lang w:eastAsia="en-IE"/>
      <w14:ligatures w14:val="none"/>
    </w:rPr>
  </w:style>
  <w:style w:type="paragraph" w:customStyle="1" w:styleId="ZDGName">
    <w:name w:val="Z_DGName"/>
    <w:basedOn w:val="Normal"/>
    <w:semiHidden/>
    <w:rsid w:val="00F70481"/>
    <w:pPr>
      <w:widowControl w:val="0"/>
      <w:spacing w:after="0" w:line="240" w:lineRule="auto"/>
      <w:ind w:right="85"/>
    </w:pPr>
    <w:rPr>
      <w:rFonts w:ascii="Times New Roman" w:eastAsia="Times New Roman" w:hAnsi="Times New Roman" w:cs="Times New Roman"/>
      <w:kern w:val="0"/>
      <w:sz w:val="16"/>
      <w:szCs w:val="20"/>
      <w:lang w:eastAsia="en-IE"/>
      <w14:ligatures w14:val="none"/>
    </w:rPr>
  </w:style>
  <w:style w:type="paragraph" w:customStyle="1" w:styleId="ZFlag">
    <w:name w:val="Z_Flag"/>
    <w:basedOn w:val="Normal"/>
    <w:next w:val="Normal"/>
    <w:semiHidden/>
    <w:rsid w:val="00F70481"/>
    <w:pPr>
      <w:widowControl w:val="0"/>
      <w:spacing w:after="0" w:line="240" w:lineRule="auto"/>
      <w:ind w:right="85"/>
      <w:jc w:val="both"/>
    </w:pPr>
    <w:rPr>
      <w:rFonts w:ascii="Times New Roman" w:eastAsia="Times New Roman" w:hAnsi="Times New Roman" w:cs="Times New Roman"/>
      <w:kern w:val="0"/>
      <w:sz w:val="24"/>
      <w:szCs w:val="20"/>
      <w:lang w:eastAsia="en-IE"/>
      <w14:ligatures w14:val="none"/>
    </w:rPr>
  </w:style>
  <w:style w:type="table" w:customStyle="1" w:styleId="EurolookClassicBlue">
    <w:name w:val="Eurolook Classic Blue"/>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rsid w:val="00F70481"/>
    <w:pPr>
      <w:spacing w:after="0" w:line="240" w:lineRule="auto"/>
    </w:pPr>
    <w:rPr>
      <w:rFonts w:ascii="Times New Roman" w:eastAsia="Times New Roman" w:hAnsi="Times New Roman" w:cs="Times New Roman"/>
      <w:kern w:val="0"/>
      <w:sz w:val="20"/>
      <w:szCs w:val="20"/>
      <w:lang w:val="en-IE" w:eastAsia="en-IE"/>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rsid w:val="00F70481"/>
    <w:tblPr>
      <w:tblInd w:w="482" w:type="dxa"/>
    </w:tblPr>
    <w:tblStylePr w:type="firstRow">
      <w:rPr>
        <w:b/>
      </w:rPr>
      <w:tblPr/>
      <w:trPr>
        <w:cantSplit/>
        <w:tblHeader/>
      </w:trPr>
    </w:tblStylePr>
  </w:style>
  <w:style w:type="table" w:customStyle="1" w:styleId="EurolookTable2">
    <w:name w:val="Eurolook Table 2"/>
    <w:basedOn w:val="EurolookTable"/>
    <w:semiHidden/>
    <w:rsid w:val="00F70481"/>
    <w:tblPr>
      <w:tblInd w:w="1202" w:type="dxa"/>
    </w:tblPr>
    <w:tblStylePr w:type="firstRow">
      <w:rPr>
        <w:b/>
      </w:rPr>
      <w:tblPr/>
      <w:trPr>
        <w:cantSplit/>
        <w:tblHeader/>
      </w:trPr>
    </w:tblStylePr>
  </w:style>
  <w:style w:type="table" w:customStyle="1" w:styleId="EurolookTable3">
    <w:name w:val="Eurolook Table 3"/>
    <w:basedOn w:val="EurolookTable"/>
    <w:semiHidden/>
    <w:rsid w:val="00F70481"/>
    <w:tblPr>
      <w:tblInd w:w="1202" w:type="dxa"/>
    </w:tblPr>
    <w:tblStylePr w:type="firstRow">
      <w:rPr>
        <w:b/>
      </w:rPr>
      <w:tblPr/>
      <w:trPr>
        <w:cantSplit/>
        <w:tblHeader/>
      </w:trPr>
    </w:tblStylePr>
  </w:style>
  <w:style w:type="table" w:customStyle="1" w:styleId="EurolookTable4">
    <w:name w:val="Eurolook Table 4"/>
    <w:basedOn w:val="EurolookTable"/>
    <w:semiHidden/>
    <w:rsid w:val="00F70481"/>
    <w:tblPr>
      <w:tblInd w:w="1202" w:type="dxa"/>
    </w:tblPr>
    <w:tblStylePr w:type="firstRow">
      <w:rPr>
        <w:b/>
      </w:rPr>
      <w:tblPr/>
      <w:trPr>
        <w:cantSplit/>
        <w:tblHeader/>
      </w:trPr>
    </w:tblStylePr>
  </w:style>
  <w:style w:type="table" w:customStyle="1" w:styleId="HelperTableBase">
    <w:name w:val="Helper Table Base"/>
    <w:semiHidden/>
    <w:rsid w:val="00F70481"/>
    <w:pPr>
      <w:spacing w:after="0" w:line="240" w:lineRule="auto"/>
    </w:pPr>
    <w:rPr>
      <w:rFonts w:ascii="Times New Roman" w:eastAsia="Times New Roman" w:hAnsi="Times New Roman" w:cs="Times New Roman"/>
      <w:kern w:val="0"/>
      <w:sz w:val="24"/>
      <w:szCs w:val="20"/>
      <w:lang w:eastAsia="en-IE"/>
      <w14:ligatures w14:val="non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F70481"/>
    <w:tblPr/>
  </w:style>
  <w:style w:type="table" w:styleId="TableGrid">
    <w:name w:val="Table Grid"/>
    <w:uiPriority w:val="39"/>
    <w:rsid w:val="00F70481"/>
    <w:pPr>
      <w:spacing w:after="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rsid w:val="00F70481"/>
    <w:pPr>
      <w:spacing w:before="60" w:after="60" w:line="264" w:lineRule="auto"/>
    </w:pPr>
    <w:rPr>
      <w:rFonts w:ascii="Times New Roman" w:eastAsia="Times New Roman" w:hAnsi="Times New Roman" w:cs="Times New Roman"/>
      <w:kern w:val="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rsid w:val="00F70481"/>
    <w:pPr>
      <w:spacing w:after="0" w:line="240" w:lineRule="auto"/>
    </w:pPr>
    <w:rPr>
      <w:rFonts w:ascii="Times New Roman" w:eastAsia="Times New Roman" w:hAnsi="Times New Roman" w:cs="Times New Roman"/>
      <w:kern w:val="0"/>
      <w:sz w:val="24"/>
      <w:szCs w:val="20"/>
      <w:lang w:eastAsia="en-IE"/>
      <w14:ligatures w14:val="none"/>
    </w:rPr>
    <w:tblPr>
      <w:tblCellMar>
        <w:left w:w="0" w:type="dxa"/>
        <w:bottom w:w="340" w:type="dxa"/>
        <w:right w:w="0" w:type="dxa"/>
      </w:tblCellMar>
    </w:tblPr>
  </w:style>
  <w:style w:type="paragraph" w:styleId="Revision">
    <w:name w:val="Revision"/>
    <w:hidden/>
    <w:uiPriority w:val="99"/>
    <w:semiHidden/>
    <w:rsid w:val="00F70481"/>
    <w:pPr>
      <w:spacing w:after="0" w:line="240" w:lineRule="auto"/>
    </w:pPr>
    <w:rPr>
      <w:rFonts w:ascii="Times New Roman" w:eastAsia="Times New Roman" w:hAnsi="Times New Roman" w:cs="Times New Roman"/>
      <w:kern w:val="0"/>
      <w:sz w:val="24"/>
      <w:szCs w:val="20"/>
      <w:lang w:eastAsia="en-IE"/>
      <w14:ligatures w14:val="none"/>
    </w:rPr>
  </w:style>
  <w:style w:type="character" w:styleId="FollowedHyperlink">
    <w:name w:val="FollowedHyperlink"/>
    <w:basedOn w:val="DefaultParagraphFont"/>
    <w:uiPriority w:val="99"/>
    <w:semiHidden/>
    <w:unhideWhenUsed/>
    <w:rsid w:val="00F70481"/>
    <w:rPr>
      <w:color w:val="96607D" w:themeColor="followedHyperlink"/>
      <w:u w:val="single"/>
    </w:rPr>
  </w:style>
  <w:style w:type="paragraph" w:customStyle="1" w:styleId="paragraph">
    <w:name w:val="paragraph"/>
    <w:basedOn w:val="Normal"/>
    <w:rsid w:val="00F6147C"/>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F6147C"/>
  </w:style>
  <w:style w:type="character" w:customStyle="1" w:styleId="eop">
    <w:name w:val="eop"/>
    <w:basedOn w:val="DefaultParagraphFont"/>
    <w:rsid w:val="00F6147C"/>
  </w:style>
  <w:style w:type="character" w:customStyle="1" w:styleId="superscript">
    <w:name w:val="superscript"/>
    <w:basedOn w:val="DefaultParagraphFont"/>
    <w:rsid w:val="00F6147C"/>
  </w:style>
  <w:style w:type="character" w:customStyle="1" w:styleId="wacimagecontainer">
    <w:name w:val="wacimagecontainer"/>
    <w:basedOn w:val="DefaultParagraphFont"/>
    <w:rsid w:val="00F61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51412">
      <w:bodyDiv w:val="1"/>
      <w:marLeft w:val="0"/>
      <w:marRight w:val="0"/>
      <w:marTop w:val="0"/>
      <w:marBottom w:val="0"/>
      <w:divBdr>
        <w:top w:val="none" w:sz="0" w:space="0" w:color="auto"/>
        <w:left w:val="none" w:sz="0" w:space="0" w:color="auto"/>
        <w:bottom w:val="none" w:sz="0" w:space="0" w:color="auto"/>
        <w:right w:val="none" w:sz="0" w:space="0" w:color="auto"/>
      </w:divBdr>
    </w:div>
    <w:div w:id="100347454">
      <w:bodyDiv w:val="1"/>
      <w:marLeft w:val="0"/>
      <w:marRight w:val="0"/>
      <w:marTop w:val="0"/>
      <w:marBottom w:val="0"/>
      <w:divBdr>
        <w:top w:val="none" w:sz="0" w:space="0" w:color="auto"/>
        <w:left w:val="none" w:sz="0" w:space="0" w:color="auto"/>
        <w:bottom w:val="none" w:sz="0" w:space="0" w:color="auto"/>
        <w:right w:val="none" w:sz="0" w:space="0" w:color="auto"/>
      </w:divBdr>
      <w:divsChild>
        <w:div w:id="41950752">
          <w:marLeft w:val="0"/>
          <w:marRight w:val="0"/>
          <w:marTop w:val="0"/>
          <w:marBottom w:val="0"/>
          <w:divBdr>
            <w:top w:val="none" w:sz="0" w:space="0" w:color="auto"/>
            <w:left w:val="none" w:sz="0" w:space="0" w:color="auto"/>
            <w:bottom w:val="none" w:sz="0" w:space="0" w:color="auto"/>
            <w:right w:val="none" w:sz="0" w:space="0" w:color="auto"/>
          </w:divBdr>
        </w:div>
        <w:div w:id="516962560">
          <w:marLeft w:val="0"/>
          <w:marRight w:val="0"/>
          <w:marTop w:val="0"/>
          <w:marBottom w:val="0"/>
          <w:divBdr>
            <w:top w:val="none" w:sz="0" w:space="0" w:color="auto"/>
            <w:left w:val="none" w:sz="0" w:space="0" w:color="auto"/>
            <w:bottom w:val="none" w:sz="0" w:space="0" w:color="auto"/>
            <w:right w:val="none" w:sz="0" w:space="0" w:color="auto"/>
          </w:divBdr>
        </w:div>
        <w:div w:id="567152808">
          <w:marLeft w:val="0"/>
          <w:marRight w:val="0"/>
          <w:marTop w:val="0"/>
          <w:marBottom w:val="0"/>
          <w:divBdr>
            <w:top w:val="none" w:sz="0" w:space="0" w:color="auto"/>
            <w:left w:val="none" w:sz="0" w:space="0" w:color="auto"/>
            <w:bottom w:val="none" w:sz="0" w:space="0" w:color="auto"/>
            <w:right w:val="none" w:sz="0" w:space="0" w:color="auto"/>
          </w:divBdr>
        </w:div>
        <w:div w:id="1071663278">
          <w:marLeft w:val="0"/>
          <w:marRight w:val="0"/>
          <w:marTop w:val="0"/>
          <w:marBottom w:val="0"/>
          <w:divBdr>
            <w:top w:val="none" w:sz="0" w:space="0" w:color="auto"/>
            <w:left w:val="none" w:sz="0" w:space="0" w:color="auto"/>
            <w:bottom w:val="none" w:sz="0" w:space="0" w:color="auto"/>
            <w:right w:val="none" w:sz="0" w:space="0" w:color="auto"/>
          </w:divBdr>
        </w:div>
        <w:div w:id="1107650854">
          <w:marLeft w:val="0"/>
          <w:marRight w:val="0"/>
          <w:marTop w:val="0"/>
          <w:marBottom w:val="0"/>
          <w:divBdr>
            <w:top w:val="none" w:sz="0" w:space="0" w:color="auto"/>
            <w:left w:val="none" w:sz="0" w:space="0" w:color="auto"/>
            <w:bottom w:val="none" w:sz="0" w:space="0" w:color="auto"/>
            <w:right w:val="none" w:sz="0" w:space="0" w:color="auto"/>
          </w:divBdr>
        </w:div>
        <w:div w:id="1504125868">
          <w:marLeft w:val="0"/>
          <w:marRight w:val="0"/>
          <w:marTop w:val="0"/>
          <w:marBottom w:val="0"/>
          <w:divBdr>
            <w:top w:val="none" w:sz="0" w:space="0" w:color="auto"/>
            <w:left w:val="none" w:sz="0" w:space="0" w:color="auto"/>
            <w:bottom w:val="none" w:sz="0" w:space="0" w:color="auto"/>
            <w:right w:val="none" w:sz="0" w:space="0" w:color="auto"/>
          </w:divBdr>
        </w:div>
        <w:div w:id="1531381163">
          <w:marLeft w:val="0"/>
          <w:marRight w:val="0"/>
          <w:marTop w:val="0"/>
          <w:marBottom w:val="0"/>
          <w:divBdr>
            <w:top w:val="none" w:sz="0" w:space="0" w:color="auto"/>
            <w:left w:val="none" w:sz="0" w:space="0" w:color="auto"/>
            <w:bottom w:val="none" w:sz="0" w:space="0" w:color="auto"/>
            <w:right w:val="none" w:sz="0" w:space="0" w:color="auto"/>
          </w:divBdr>
        </w:div>
        <w:div w:id="1546984490">
          <w:marLeft w:val="0"/>
          <w:marRight w:val="0"/>
          <w:marTop w:val="0"/>
          <w:marBottom w:val="0"/>
          <w:divBdr>
            <w:top w:val="none" w:sz="0" w:space="0" w:color="auto"/>
            <w:left w:val="none" w:sz="0" w:space="0" w:color="auto"/>
            <w:bottom w:val="none" w:sz="0" w:space="0" w:color="auto"/>
            <w:right w:val="none" w:sz="0" w:space="0" w:color="auto"/>
          </w:divBdr>
        </w:div>
        <w:div w:id="1959025169">
          <w:marLeft w:val="0"/>
          <w:marRight w:val="0"/>
          <w:marTop w:val="0"/>
          <w:marBottom w:val="0"/>
          <w:divBdr>
            <w:top w:val="none" w:sz="0" w:space="0" w:color="auto"/>
            <w:left w:val="none" w:sz="0" w:space="0" w:color="auto"/>
            <w:bottom w:val="none" w:sz="0" w:space="0" w:color="auto"/>
            <w:right w:val="none" w:sz="0" w:space="0" w:color="auto"/>
          </w:divBdr>
        </w:div>
        <w:div w:id="2021547320">
          <w:marLeft w:val="0"/>
          <w:marRight w:val="0"/>
          <w:marTop w:val="0"/>
          <w:marBottom w:val="0"/>
          <w:divBdr>
            <w:top w:val="none" w:sz="0" w:space="0" w:color="auto"/>
            <w:left w:val="none" w:sz="0" w:space="0" w:color="auto"/>
            <w:bottom w:val="none" w:sz="0" w:space="0" w:color="auto"/>
            <w:right w:val="none" w:sz="0" w:space="0" w:color="auto"/>
          </w:divBdr>
        </w:div>
        <w:div w:id="2039578203">
          <w:marLeft w:val="0"/>
          <w:marRight w:val="0"/>
          <w:marTop w:val="0"/>
          <w:marBottom w:val="0"/>
          <w:divBdr>
            <w:top w:val="none" w:sz="0" w:space="0" w:color="auto"/>
            <w:left w:val="none" w:sz="0" w:space="0" w:color="auto"/>
            <w:bottom w:val="none" w:sz="0" w:space="0" w:color="auto"/>
            <w:right w:val="none" w:sz="0" w:space="0" w:color="auto"/>
          </w:divBdr>
        </w:div>
      </w:divsChild>
    </w:div>
    <w:div w:id="243496979">
      <w:bodyDiv w:val="1"/>
      <w:marLeft w:val="0"/>
      <w:marRight w:val="0"/>
      <w:marTop w:val="0"/>
      <w:marBottom w:val="0"/>
      <w:divBdr>
        <w:top w:val="none" w:sz="0" w:space="0" w:color="auto"/>
        <w:left w:val="none" w:sz="0" w:space="0" w:color="auto"/>
        <w:bottom w:val="none" w:sz="0" w:space="0" w:color="auto"/>
        <w:right w:val="none" w:sz="0" w:space="0" w:color="auto"/>
      </w:divBdr>
    </w:div>
    <w:div w:id="252445818">
      <w:bodyDiv w:val="1"/>
      <w:marLeft w:val="0"/>
      <w:marRight w:val="0"/>
      <w:marTop w:val="0"/>
      <w:marBottom w:val="0"/>
      <w:divBdr>
        <w:top w:val="none" w:sz="0" w:space="0" w:color="auto"/>
        <w:left w:val="none" w:sz="0" w:space="0" w:color="auto"/>
        <w:bottom w:val="none" w:sz="0" w:space="0" w:color="auto"/>
        <w:right w:val="none" w:sz="0" w:space="0" w:color="auto"/>
      </w:divBdr>
    </w:div>
    <w:div w:id="429938459">
      <w:bodyDiv w:val="1"/>
      <w:marLeft w:val="0"/>
      <w:marRight w:val="0"/>
      <w:marTop w:val="0"/>
      <w:marBottom w:val="0"/>
      <w:divBdr>
        <w:top w:val="none" w:sz="0" w:space="0" w:color="auto"/>
        <w:left w:val="none" w:sz="0" w:space="0" w:color="auto"/>
        <w:bottom w:val="none" w:sz="0" w:space="0" w:color="auto"/>
        <w:right w:val="none" w:sz="0" w:space="0" w:color="auto"/>
      </w:divBdr>
    </w:div>
    <w:div w:id="463236815">
      <w:bodyDiv w:val="1"/>
      <w:marLeft w:val="0"/>
      <w:marRight w:val="0"/>
      <w:marTop w:val="0"/>
      <w:marBottom w:val="0"/>
      <w:divBdr>
        <w:top w:val="none" w:sz="0" w:space="0" w:color="auto"/>
        <w:left w:val="none" w:sz="0" w:space="0" w:color="auto"/>
        <w:bottom w:val="none" w:sz="0" w:space="0" w:color="auto"/>
        <w:right w:val="none" w:sz="0" w:space="0" w:color="auto"/>
      </w:divBdr>
    </w:div>
    <w:div w:id="465511696">
      <w:bodyDiv w:val="1"/>
      <w:marLeft w:val="0"/>
      <w:marRight w:val="0"/>
      <w:marTop w:val="0"/>
      <w:marBottom w:val="0"/>
      <w:divBdr>
        <w:top w:val="none" w:sz="0" w:space="0" w:color="auto"/>
        <w:left w:val="none" w:sz="0" w:space="0" w:color="auto"/>
        <w:bottom w:val="none" w:sz="0" w:space="0" w:color="auto"/>
        <w:right w:val="none" w:sz="0" w:space="0" w:color="auto"/>
      </w:divBdr>
    </w:div>
    <w:div w:id="513349623">
      <w:bodyDiv w:val="1"/>
      <w:marLeft w:val="0"/>
      <w:marRight w:val="0"/>
      <w:marTop w:val="0"/>
      <w:marBottom w:val="0"/>
      <w:divBdr>
        <w:top w:val="none" w:sz="0" w:space="0" w:color="auto"/>
        <w:left w:val="none" w:sz="0" w:space="0" w:color="auto"/>
        <w:bottom w:val="none" w:sz="0" w:space="0" w:color="auto"/>
        <w:right w:val="none" w:sz="0" w:space="0" w:color="auto"/>
      </w:divBdr>
    </w:div>
    <w:div w:id="544828957">
      <w:bodyDiv w:val="1"/>
      <w:marLeft w:val="0"/>
      <w:marRight w:val="0"/>
      <w:marTop w:val="0"/>
      <w:marBottom w:val="0"/>
      <w:divBdr>
        <w:top w:val="none" w:sz="0" w:space="0" w:color="auto"/>
        <w:left w:val="none" w:sz="0" w:space="0" w:color="auto"/>
        <w:bottom w:val="none" w:sz="0" w:space="0" w:color="auto"/>
        <w:right w:val="none" w:sz="0" w:space="0" w:color="auto"/>
      </w:divBdr>
      <w:divsChild>
        <w:div w:id="179513098">
          <w:marLeft w:val="0"/>
          <w:marRight w:val="0"/>
          <w:marTop w:val="0"/>
          <w:marBottom w:val="0"/>
          <w:divBdr>
            <w:top w:val="none" w:sz="0" w:space="0" w:color="auto"/>
            <w:left w:val="none" w:sz="0" w:space="0" w:color="auto"/>
            <w:bottom w:val="none" w:sz="0" w:space="0" w:color="auto"/>
            <w:right w:val="none" w:sz="0" w:space="0" w:color="auto"/>
          </w:divBdr>
        </w:div>
        <w:div w:id="883179507">
          <w:marLeft w:val="0"/>
          <w:marRight w:val="0"/>
          <w:marTop w:val="0"/>
          <w:marBottom w:val="0"/>
          <w:divBdr>
            <w:top w:val="none" w:sz="0" w:space="0" w:color="auto"/>
            <w:left w:val="none" w:sz="0" w:space="0" w:color="auto"/>
            <w:bottom w:val="none" w:sz="0" w:space="0" w:color="auto"/>
            <w:right w:val="none" w:sz="0" w:space="0" w:color="auto"/>
          </w:divBdr>
        </w:div>
        <w:div w:id="909924869">
          <w:marLeft w:val="0"/>
          <w:marRight w:val="0"/>
          <w:marTop w:val="0"/>
          <w:marBottom w:val="0"/>
          <w:divBdr>
            <w:top w:val="none" w:sz="0" w:space="0" w:color="auto"/>
            <w:left w:val="none" w:sz="0" w:space="0" w:color="auto"/>
            <w:bottom w:val="none" w:sz="0" w:space="0" w:color="auto"/>
            <w:right w:val="none" w:sz="0" w:space="0" w:color="auto"/>
          </w:divBdr>
        </w:div>
        <w:div w:id="1048651958">
          <w:marLeft w:val="0"/>
          <w:marRight w:val="0"/>
          <w:marTop w:val="0"/>
          <w:marBottom w:val="0"/>
          <w:divBdr>
            <w:top w:val="none" w:sz="0" w:space="0" w:color="auto"/>
            <w:left w:val="none" w:sz="0" w:space="0" w:color="auto"/>
            <w:bottom w:val="none" w:sz="0" w:space="0" w:color="auto"/>
            <w:right w:val="none" w:sz="0" w:space="0" w:color="auto"/>
          </w:divBdr>
        </w:div>
        <w:div w:id="1093281391">
          <w:marLeft w:val="0"/>
          <w:marRight w:val="0"/>
          <w:marTop w:val="0"/>
          <w:marBottom w:val="0"/>
          <w:divBdr>
            <w:top w:val="none" w:sz="0" w:space="0" w:color="auto"/>
            <w:left w:val="none" w:sz="0" w:space="0" w:color="auto"/>
            <w:bottom w:val="none" w:sz="0" w:space="0" w:color="auto"/>
            <w:right w:val="none" w:sz="0" w:space="0" w:color="auto"/>
          </w:divBdr>
        </w:div>
        <w:div w:id="1472943717">
          <w:marLeft w:val="0"/>
          <w:marRight w:val="0"/>
          <w:marTop w:val="0"/>
          <w:marBottom w:val="0"/>
          <w:divBdr>
            <w:top w:val="none" w:sz="0" w:space="0" w:color="auto"/>
            <w:left w:val="none" w:sz="0" w:space="0" w:color="auto"/>
            <w:bottom w:val="none" w:sz="0" w:space="0" w:color="auto"/>
            <w:right w:val="none" w:sz="0" w:space="0" w:color="auto"/>
          </w:divBdr>
        </w:div>
        <w:div w:id="1654677909">
          <w:marLeft w:val="0"/>
          <w:marRight w:val="0"/>
          <w:marTop w:val="0"/>
          <w:marBottom w:val="0"/>
          <w:divBdr>
            <w:top w:val="none" w:sz="0" w:space="0" w:color="auto"/>
            <w:left w:val="none" w:sz="0" w:space="0" w:color="auto"/>
            <w:bottom w:val="none" w:sz="0" w:space="0" w:color="auto"/>
            <w:right w:val="none" w:sz="0" w:space="0" w:color="auto"/>
          </w:divBdr>
        </w:div>
        <w:div w:id="1872448351">
          <w:marLeft w:val="0"/>
          <w:marRight w:val="0"/>
          <w:marTop w:val="0"/>
          <w:marBottom w:val="0"/>
          <w:divBdr>
            <w:top w:val="none" w:sz="0" w:space="0" w:color="auto"/>
            <w:left w:val="none" w:sz="0" w:space="0" w:color="auto"/>
            <w:bottom w:val="none" w:sz="0" w:space="0" w:color="auto"/>
            <w:right w:val="none" w:sz="0" w:space="0" w:color="auto"/>
          </w:divBdr>
        </w:div>
        <w:div w:id="2066560979">
          <w:marLeft w:val="0"/>
          <w:marRight w:val="0"/>
          <w:marTop w:val="0"/>
          <w:marBottom w:val="0"/>
          <w:divBdr>
            <w:top w:val="none" w:sz="0" w:space="0" w:color="auto"/>
            <w:left w:val="none" w:sz="0" w:space="0" w:color="auto"/>
            <w:bottom w:val="none" w:sz="0" w:space="0" w:color="auto"/>
            <w:right w:val="none" w:sz="0" w:space="0" w:color="auto"/>
          </w:divBdr>
        </w:div>
        <w:div w:id="2071150746">
          <w:marLeft w:val="0"/>
          <w:marRight w:val="0"/>
          <w:marTop w:val="0"/>
          <w:marBottom w:val="0"/>
          <w:divBdr>
            <w:top w:val="none" w:sz="0" w:space="0" w:color="auto"/>
            <w:left w:val="none" w:sz="0" w:space="0" w:color="auto"/>
            <w:bottom w:val="none" w:sz="0" w:space="0" w:color="auto"/>
            <w:right w:val="none" w:sz="0" w:space="0" w:color="auto"/>
          </w:divBdr>
        </w:div>
        <w:div w:id="2088533137">
          <w:marLeft w:val="0"/>
          <w:marRight w:val="0"/>
          <w:marTop w:val="0"/>
          <w:marBottom w:val="0"/>
          <w:divBdr>
            <w:top w:val="none" w:sz="0" w:space="0" w:color="auto"/>
            <w:left w:val="none" w:sz="0" w:space="0" w:color="auto"/>
            <w:bottom w:val="none" w:sz="0" w:space="0" w:color="auto"/>
            <w:right w:val="none" w:sz="0" w:space="0" w:color="auto"/>
          </w:divBdr>
        </w:div>
      </w:divsChild>
    </w:div>
    <w:div w:id="574511928">
      <w:bodyDiv w:val="1"/>
      <w:marLeft w:val="0"/>
      <w:marRight w:val="0"/>
      <w:marTop w:val="0"/>
      <w:marBottom w:val="0"/>
      <w:divBdr>
        <w:top w:val="none" w:sz="0" w:space="0" w:color="auto"/>
        <w:left w:val="none" w:sz="0" w:space="0" w:color="auto"/>
        <w:bottom w:val="none" w:sz="0" w:space="0" w:color="auto"/>
        <w:right w:val="none" w:sz="0" w:space="0" w:color="auto"/>
      </w:divBdr>
    </w:div>
    <w:div w:id="582951286">
      <w:bodyDiv w:val="1"/>
      <w:marLeft w:val="0"/>
      <w:marRight w:val="0"/>
      <w:marTop w:val="0"/>
      <w:marBottom w:val="0"/>
      <w:divBdr>
        <w:top w:val="none" w:sz="0" w:space="0" w:color="auto"/>
        <w:left w:val="none" w:sz="0" w:space="0" w:color="auto"/>
        <w:bottom w:val="none" w:sz="0" w:space="0" w:color="auto"/>
        <w:right w:val="none" w:sz="0" w:space="0" w:color="auto"/>
      </w:divBdr>
    </w:div>
    <w:div w:id="589848667">
      <w:bodyDiv w:val="1"/>
      <w:marLeft w:val="0"/>
      <w:marRight w:val="0"/>
      <w:marTop w:val="0"/>
      <w:marBottom w:val="0"/>
      <w:divBdr>
        <w:top w:val="none" w:sz="0" w:space="0" w:color="auto"/>
        <w:left w:val="none" w:sz="0" w:space="0" w:color="auto"/>
        <w:bottom w:val="none" w:sz="0" w:space="0" w:color="auto"/>
        <w:right w:val="none" w:sz="0" w:space="0" w:color="auto"/>
      </w:divBdr>
    </w:div>
    <w:div w:id="673076084">
      <w:bodyDiv w:val="1"/>
      <w:marLeft w:val="0"/>
      <w:marRight w:val="0"/>
      <w:marTop w:val="0"/>
      <w:marBottom w:val="0"/>
      <w:divBdr>
        <w:top w:val="none" w:sz="0" w:space="0" w:color="auto"/>
        <w:left w:val="none" w:sz="0" w:space="0" w:color="auto"/>
        <w:bottom w:val="none" w:sz="0" w:space="0" w:color="auto"/>
        <w:right w:val="none" w:sz="0" w:space="0" w:color="auto"/>
      </w:divBdr>
    </w:div>
    <w:div w:id="683555191">
      <w:bodyDiv w:val="1"/>
      <w:marLeft w:val="0"/>
      <w:marRight w:val="0"/>
      <w:marTop w:val="0"/>
      <w:marBottom w:val="0"/>
      <w:divBdr>
        <w:top w:val="none" w:sz="0" w:space="0" w:color="auto"/>
        <w:left w:val="none" w:sz="0" w:space="0" w:color="auto"/>
        <w:bottom w:val="none" w:sz="0" w:space="0" w:color="auto"/>
        <w:right w:val="none" w:sz="0" w:space="0" w:color="auto"/>
      </w:divBdr>
    </w:div>
    <w:div w:id="754085052">
      <w:bodyDiv w:val="1"/>
      <w:marLeft w:val="0"/>
      <w:marRight w:val="0"/>
      <w:marTop w:val="0"/>
      <w:marBottom w:val="0"/>
      <w:divBdr>
        <w:top w:val="none" w:sz="0" w:space="0" w:color="auto"/>
        <w:left w:val="none" w:sz="0" w:space="0" w:color="auto"/>
        <w:bottom w:val="none" w:sz="0" w:space="0" w:color="auto"/>
        <w:right w:val="none" w:sz="0" w:space="0" w:color="auto"/>
      </w:divBdr>
      <w:divsChild>
        <w:div w:id="4480420">
          <w:marLeft w:val="0"/>
          <w:marRight w:val="0"/>
          <w:marTop w:val="0"/>
          <w:marBottom w:val="0"/>
          <w:divBdr>
            <w:top w:val="none" w:sz="0" w:space="0" w:color="auto"/>
            <w:left w:val="none" w:sz="0" w:space="0" w:color="auto"/>
            <w:bottom w:val="none" w:sz="0" w:space="0" w:color="auto"/>
            <w:right w:val="none" w:sz="0" w:space="0" w:color="auto"/>
          </w:divBdr>
        </w:div>
        <w:div w:id="794102630">
          <w:marLeft w:val="0"/>
          <w:marRight w:val="0"/>
          <w:marTop w:val="0"/>
          <w:marBottom w:val="0"/>
          <w:divBdr>
            <w:top w:val="none" w:sz="0" w:space="0" w:color="auto"/>
            <w:left w:val="none" w:sz="0" w:space="0" w:color="auto"/>
            <w:bottom w:val="none" w:sz="0" w:space="0" w:color="auto"/>
            <w:right w:val="none" w:sz="0" w:space="0" w:color="auto"/>
          </w:divBdr>
        </w:div>
        <w:div w:id="879628873">
          <w:marLeft w:val="0"/>
          <w:marRight w:val="0"/>
          <w:marTop w:val="0"/>
          <w:marBottom w:val="0"/>
          <w:divBdr>
            <w:top w:val="none" w:sz="0" w:space="0" w:color="auto"/>
            <w:left w:val="none" w:sz="0" w:space="0" w:color="auto"/>
            <w:bottom w:val="none" w:sz="0" w:space="0" w:color="auto"/>
            <w:right w:val="none" w:sz="0" w:space="0" w:color="auto"/>
          </w:divBdr>
        </w:div>
        <w:div w:id="987325812">
          <w:marLeft w:val="0"/>
          <w:marRight w:val="0"/>
          <w:marTop w:val="0"/>
          <w:marBottom w:val="0"/>
          <w:divBdr>
            <w:top w:val="none" w:sz="0" w:space="0" w:color="auto"/>
            <w:left w:val="none" w:sz="0" w:space="0" w:color="auto"/>
            <w:bottom w:val="none" w:sz="0" w:space="0" w:color="auto"/>
            <w:right w:val="none" w:sz="0" w:space="0" w:color="auto"/>
          </w:divBdr>
        </w:div>
        <w:div w:id="987437786">
          <w:marLeft w:val="0"/>
          <w:marRight w:val="0"/>
          <w:marTop w:val="0"/>
          <w:marBottom w:val="0"/>
          <w:divBdr>
            <w:top w:val="none" w:sz="0" w:space="0" w:color="auto"/>
            <w:left w:val="none" w:sz="0" w:space="0" w:color="auto"/>
            <w:bottom w:val="none" w:sz="0" w:space="0" w:color="auto"/>
            <w:right w:val="none" w:sz="0" w:space="0" w:color="auto"/>
          </w:divBdr>
        </w:div>
        <w:div w:id="1123039931">
          <w:marLeft w:val="0"/>
          <w:marRight w:val="0"/>
          <w:marTop w:val="0"/>
          <w:marBottom w:val="0"/>
          <w:divBdr>
            <w:top w:val="none" w:sz="0" w:space="0" w:color="auto"/>
            <w:left w:val="none" w:sz="0" w:space="0" w:color="auto"/>
            <w:bottom w:val="none" w:sz="0" w:space="0" w:color="auto"/>
            <w:right w:val="none" w:sz="0" w:space="0" w:color="auto"/>
          </w:divBdr>
        </w:div>
        <w:div w:id="1144657142">
          <w:marLeft w:val="0"/>
          <w:marRight w:val="0"/>
          <w:marTop w:val="0"/>
          <w:marBottom w:val="0"/>
          <w:divBdr>
            <w:top w:val="none" w:sz="0" w:space="0" w:color="auto"/>
            <w:left w:val="none" w:sz="0" w:space="0" w:color="auto"/>
            <w:bottom w:val="none" w:sz="0" w:space="0" w:color="auto"/>
            <w:right w:val="none" w:sz="0" w:space="0" w:color="auto"/>
          </w:divBdr>
        </w:div>
        <w:div w:id="1257205072">
          <w:marLeft w:val="0"/>
          <w:marRight w:val="0"/>
          <w:marTop w:val="0"/>
          <w:marBottom w:val="0"/>
          <w:divBdr>
            <w:top w:val="none" w:sz="0" w:space="0" w:color="auto"/>
            <w:left w:val="none" w:sz="0" w:space="0" w:color="auto"/>
            <w:bottom w:val="none" w:sz="0" w:space="0" w:color="auto"/>
            <w:right w:val="none" w:sz="0" w:space="0" w:color="auto"/>
          </w:divBdr>
        </w:div>
        <w:div w:id="1462503887">
          <w:marLeft w:val="0"/>
          <w:marRight w:val="0"/>
          <w:marTop w:val="0"/>
          <w:marBottom w:val="0"/>
          <w:divBdr>
            <w:top w:val="none" w:sz="0" w:space="0" w:color="auto"/>
            <w:left w:val="none" w:sz="0" w:space="0" w:color="auto"/>
            <w:bottom w:val="none" w:sz="0" w:space="0" w:color="auto"/>
            <w:right w:val="none" w:sz="0" w:space="0" w:color="auto"/>
          </w:divBdr>
        </w:div>
        <w:div w:id="1689067077">
          <w:marLeft w:val="0"/>
          <w:marRight w:val="0"/>
          <w:marTop w:val="0"/>
          <w:marBottom w:val="0"/>
          <w:divBdr>
            <w:top w:val="none" w:sz="0" w:space="0" w:color="auto"/>
            <w:left w:val="none" w:sz="0" w:space="0" w:color="auto"/>
            <w:bottom w:val="none" w:sz="0" w:space="0" w:color="auto"/>
            <w:right w:val="none" w:sz="0" w:space="0" w:color="auto"/>
          </w:divBdr>
        </w:div>
        <w:div w:id="1933974759">
          <w:marLeft w:val="0"/>
          <w:marRight w:val="0"/>
          <w:marTop w:val="0"/>
          <w:marBottom w:val="0"/>
          <w:divBdr>
            <w:top w:val="none" w:sz="0" w:space="0" w:color="auto"/>
            <w:left w:val="none" w:sz="0" w:space="0" w:color="auto"/>
            <w:bottom w:val="none" w:sz="0" w:space="0" w:color="auto"/>
            <w:right w:val="none" w:sz="0" w:space="0" w:color="auto"/>
          </w:divBdr>
        </w:div>
      </w:divsChild>
    </w:div>
    <w:div w:id="832188674">
      <w:bodyDiv w:val="1"/>
      <w:marLeft w:val="0"/>
      <w:marRight w:val="0"/>
      <w:marTop w:val="0"/>
      <w:marBottom w:val="0"/>
      <w:divBdr>
        <w:top w:val="none" w:sz="0" w:space="0" w:color="auto"/>
        <w:left w:val="none" w:sz="0" w:space="0" w:color="auto"/>
        <w:bottom w:val="none" w:sz="0" w:space="0" w:color="auto"/>
        <w:right w:val="none" w:sz="0" w:space="0" w:color="auto"/>
      </w:divBdr>
    </w:div>
    <w:div w:id="874197163">
      <w:bodyDiv w:val="1"/>
      <w:marLeft w:val="0"/>
      <w:marRight w:val="0"/>
      <w:marTop w:val="0"/>
      <w:marBottom w:val="0"/>
      <w:divBdr>
        <w:top w:val="none" w:sz="0" w:space="0" w:color="auto"/>
        <w:left w:val="none" w:sz="0" w:space="0" w:color="auto"/>
        <w:bottom w:val="none" w:sz="0" w:space="0" w:color="auto"/>
        <w:right w:val="none" w:sz="0" w:space="0" w:color="auto"/>
      </w:divBdr>
    </w:div>
    <w:div w:id="945382568">
      <w:bodyDiv w:val="1"/>
      <w:marLeft w:val="0"/>
      <w:marRight w:val="0"/>
      <w:marTop w:val="0"/>
      <w:marBottom w:val="0"/>
      <w:divBdr>
        <w:top w:val="none" w:sz="0" w:space="0" w:color="auto"/>
        <w:left w:val="none" w:sz="0" w:space="0" w:color="auto"/>
        <w:bottom w:val="none" w:sz="0" w:space="0" w:color="auto"/>
        <w:right w:val="none" w:sz="0" w:space="0" w:color="auto"/>
      </w:divBdr>
    </w:div>
    <w:div w:id="955868719">
      <w:bodyDiv w:val="1"/>
      <w:marLeft w:val="0"/>
      <w:marRight w:val="0"/>
      <w:marTop w:val="0"/>
      <w:marBottom w:val="0"/>
      <w:divBdr>
        <w:top w:val="none" w:sz="0" w:space="0" w:color="auto"/>
        <w:left w:val="none" w:sz="0" w:space="0" w:color="auto"/>
        <w:bottom w:val="none" w:sz="0" w:space="0" w:color="auto"/>
        <w:right w:val="none" w:sz="0" w:space="0" w:color="auto"/>
      </w:divBdr>
    </w:div>
    <w:div w:id="975450651">
      <w:bodyDiv w:val="1"/>
      <w:marLeft w:val="0"/>
      <w:marRight w:val="0"/>
      <w:marTop w:val="0"/>
      <w:marBottom w:val="0"/>
      <w:divBdr>
        <w:top w:val="none" w:sz="0" w:space="0" w:color="auto"/>
        <w:left w:val="none" w:sz="0" w:space="0" w:color="auto"/>
        <w:bottom w:val="none" w:sz="0" w:space="0" w:color="auto"/>
        <w:right w:val="none" w:sz="0" w:space="0" w:color="auto"/>
      </w:divBdr>
    </w:div>
    <w:div w:id="1051612438">
      <w:bodyDiv w:val="1"/>
      <w:marLeft w:val="0"/>
      <w:marRight w:val="0"/>
      <w:marTop w:val="0"/>
      <w:marBottom w:val="0"/>
      <w:divBdr>
        <w:top w:val="none" w:sz="0" w:space="0" w:color="auto"/>
        <w:left w:val="none" w:sz="0" w:space="0" w:color="auto"/>
        <w:bottom w:val="none" w:sz="0" w:space="0" w:color="auto"/>
        <w:right w:val="none" w:sz="0" w:space="0" w:color="auto"/>
      </w:divBdr>
    </w:div>
    <w:div w:id="1060247688">
      <w:bodyDiv w:val="1"/>
      <w:marLeft w:val="0"/>
      <w:marRight w:val="0"/>
      <w:marTop w:val="0"/>
      <w:marBottom w:val="0"/>
      <w:divBdr>
        <w:top w:val="none" w:sz="0" w:space="0" w:color="auto"/>
        <w:left w:val="none" w:sz="0" w:space="0" w:color="auto"/>
        <w:bottom w:val="none" w:sz="0" w:space="0" w:color="auto"/>
        <w:right w:val="none" w:sz="0" w:space="0" w:color="auto"/>
      </w:divBdr>
    </w:div>
    <w:div w:id="1087120317">
      <w:bodyDiv w:val="1"/>
      <w:marLeft w:val="0"/>
      <w:marRight w:val="0"/>
      <w:marTop w:val="0"/>
      <w:marBottom w:val="0"/>
      <w:divBdr>
        <w:top w:val="none" w:sz="0" w:space="0" w:color="auto"/>
        <w:left w:val="none" w:sz="0" w:space="0" w:color="auto"/>
        <w:bottom w:val="none" w:sz="0" w:space="0" w:color="auto"/>
        <w:right w:val="none" w:sz="0" w:space="0" w:color="auto"/>
      </w:divBdr>
    </w:div>
    <w:div w:id="1126315353">
      <w:bodyDiv w:val="1"/>
      <w:marLeft w:val="0"/>
      <w:marRight w:val="0"/>
      <w:marTop w:val="0"/>
      <w:marBottom w:val="0"/>
      <w:divBdr>
        <w:top w:val="none" w:sz="0" w:space="0" w:color="auto"/>
        <w:left w:val="none" w:sz="0" w:space="0" w:color="auto"/>
        <w:bottom w:val="none" w:sz="0" w:space="0" w:color="auto"/>
        <w:right w:val="none" w:sz="0" w:space="0" w:color="auto"/>
      </w:divBdr>
    </w:div>
    <w:div w:id="1137377931">
      <w:bodyDiv w:val="1"/>
      <w:marLeft w:val="0"/>
      <w:marRight w:val="0"/>
      <w:marTop w:val="0"/>
      <w:marBottom w:val="0"/>
      <w:divBdr>
        <w:top w:val="none" w:sz="0" w:space="0" w:color="auto"/>
        <w:left w:val="none" w:sz="0" w:space="0" w:color="auto"/>
        <w:bottom w:val="none" w:sz="0" w:space="0" w:color="auto"/>
        <w:right w:val="none" w:sz="0" w:space="0" w:color="auto"/>
      </w:divBdr>
    </w:div>
    <w:div w:id="1163933099">
      <w:bodyDiv w:val="1"/>
      <w:marLeft w:val="0"/>
      <w:marRight w:val="0"/>
      <w:marTop w:val="0"/>
      <w:marBottom w:val="0"/>
      <w:divBdr>
        <w:top w:val="none" w:sz="0" w:space="0" w:color="auto"/>
        <w:left w:val="none" w:sz="0" w:space="0" w:color="auto"/>
        <w:bottom w:val="none" w:sz="0" w:space="0" w:color="auto"/>
        <w:right w:val="none" w:sz="0" w:space="0" w:color="auto"/>
      </w:divBdr>
    </w:div>
    <w:div w:id="1191606055">
      <w:bodyDiv w:val="1"/>
      <w:marLeft w:val="0"/>
      <w:marRight w:val="0"/>
      <w:marTop w:val="0"/>
      <w:marBottom w:val="0"/>
      <w:divBdr>
        <w:top w:val="none" w:sz="0" w:space="0" w:color="auto"/>
        <w:left w:val="none" w:sz="0" w:space="0" w:color="auto"/>
        <w:bottom w:val="none" w:sz="0" w:space="0" w:color="auto"/>
        <w:right w:val="none" w:sz="0" w:space="0" w:color="auto"/>
      </w:divBdr>
    </w:div>
    <w:div w:id="1216433152">
      <w:bodyDiv w:val="1"/>
      <w:marLeft w:val="0"/>
      <w:marRight w:val="0"/>
      <w:marTop w:val="0"/>
      <w:marBottom w:val="0"/>
      <w:divBdr>
        <w:top w:val="none" w:sz="0" w:space="0" w:color="auto"/>
        <w:left w:val="none" w:sz="0" w:space="0" w:color="auto"/>
        <w:bottom w:val="none" w:sz="0" w:space="0" w:color="auto"/>
        <w:right w:val="none" w:sz="0" w:space="0" w:color="auto"/>
      </w:divBdr>
    </w:div>
    <w:div w:id="1390231618">
      <w:bodyDiv w:val="1"/>
      <w:marLeft w:val="0"/>
      <w:marRight w:val="0"/>
      <w:marTop w:val="0"/>
      <w:marBottom w:val="0"/>
      <w:divBdr>
        <w:top w:val="none" w:sz="0" w:space="0" w:color="auto"/>
        <w:left w:val="none" w:sz="0" w:space="0" w:color="auto"/>
        <w:bottom w:val="none" w:sz="0" w:space="0" w:color="auto"/>
        <w:right w:val="none" w:sz="0" w:space="0" w:color="auto"/>
      </w:divBdr>
    </w:div>
    <w:div w:id="1408502849">
      <w:bodyDiv w:val="1"/>
      <w:marLeft w:val="0"/>
      <w:marRight w:val="0"/>
      <w:marTop w:val="0"/>
      <w:marBottom w:val="0"/>
      <w:divBdr>
        <w:top w:val="none" w:sz="0" w:space="0" w:color="auto"/>
        <w:left w:val="none" w:sz="0" w:space="0" w:color="auto"/>
        <w:bottom w:val="none" w:sz="0" w:space="0" w:color="auto"/>
        <w:right w:val="none" w:sz="0" w:space="0" w:color="auto"/>
      </w:divBdr>
    </w:div>
    <w:div w:id="1428034693">
      <w:bodyDiv w:val="1"/>
      <w:marLeft w:val="0"/>
      <w:marRight w:val="0"/>
      <w:marTop w:val="0"/>
      <w:marBottom w:val="0"/>
      <w:divBdr>
        <w:top w:val="none" w:sz="0" w:space="0" w:color="auto"/>
        <w:left w:val="none" w:sz="0" w:space="0" w:color="auto"/>
        <w:bottom w:val="none" w:sz="0" w:space="0" w:color="auto"/>
        <w:right w:val="none" w:sz="0" w:space="0" w:color="auto"/>
      </w:divBdr>
    </w:div>
    <w:div w:id="1448695868">
      <w:bodyDiv w:val="1"/>
      <w:marLeft w:val="0"/>
      <w:marRight w:val="0"/>
      <w:marTop w:val="0"/>
      <w:marBottom w:val="0"/>
      <w:divBdr>
        <w:top w:val="none" w:sz="0" w:space="0" w:color="auto"/>
        <w:left w:val="none" w:sz="0" w:space="0" w:color="auto"/>
        <w:bottom w:val="none" w:sz="0" w:space="0" w:color="auto"/>
        <w:right w:val="none" w:sz="0" w:space="0" w:color="auto"/>
      </w:divBdr>
    </w:div>
    <w:div w:id="1452164651">
      <w:bodyDiv w:val="1"/>
      <w:marLeft w:val="0"/>
      <w:marRight w:val="0"/>
      <w:marTop w:val="0"/>
      <w:marBottom w:val="0"/>
      <w:divBdr>
        <w:top w:val="none" w:sz="0" w:space="0" w:color="auto"/>
        <w:left w:val="none" w:sz="0" w:space="0" w:color="auto"/>
        <w:bottom w:val="none" w:sz="0" w:space="0" w:color="auto"/>
        <w:right w:val="none" w:sz="0" w:space="0" w:color="auto"/>
      </w:divBdr>
    </w:div>
    <w:div w:id="1475298803">
      <w:bodyDiv w:val="1"/>
      <w:marLeft w:val="0"/>
      <w:marRight w:val="0"/>
      <w:marTop w:val="0"/>
      <w:marBottom w:val="0"/>
      <w:divBdr>
        <w:top w:val="none" w:sz="0" w:space="0" w:color="auto"/>
        <w:left w:val="none" w:sz="0" w:space="0" w:color="auto"/>
        <w:bottom w:val="none" w:sz="0" w:space="0" w:color="auto"/>
        <w:right w:val="none" w:sz="0" w:space="0" w:color="auto"/>
      </w:divBdr>
    </w:div>
    <w:div w:id="1693721956">
      <w:bodyDiv w:val="1"/>
      <w:marLeft w:val="0"/>
      <w:marRight w:val="0"/>
      <w:marTop w:val="0"/>
      <w:marBottom w:val="0"/>
      <w:divBdr>
        <w:top w:val="none" w:sz="0" w:space="0" w:color="auto"/>
        <w:left w:val="none" w:sz="0" w:space="0" w:color="auto"/>
        <w:bottom w:val="none" w:sz="0" w:space="0" w:color="auto"/>
        <w:right w:val="none" w:sz="0" w:space="0" w:color="auto"/>
      </w:divBdr>
    </w:div>
    <w:div w:id="1835142827">
      <w:bodyDiv w:val="1"/>
      <w:marLeft w:val="0"/>
      <w:marRight w:val="0"/>
      <w:marTop w:val="0"/>
      <w:marBottom w:val="0"/>
      <w:divBdr>
        <w:top w:val="none" w:sz="0" w:space="0" w:color="auto"/>
        <w:left w:val="none" w:sz="0" w:space="0" w:color="auto"/>
        <w:bottom w:val="none" w:sz="0" w:space="0" w:color="auto"/>
        <w:right w:val="none" w:sz="0" w:space="0" w:color="auto"/>
      </w:divBdr>
    </w:div>
    <w:div w:id="1944334474">
      <w:bodyDiv w:val="1"/>
      <w:marLeft w:val="0"/>
      <w:marRight w:val="0"/>
      <w:marTop w:val="0"/>
      <w:marBottom w:val="0"/>
      <w:divBdr>
        <w:top w:val="none" w:sz="0" w:space="0" w:color="auto"/>
        <w:left w:val="none" w:sz="0" w:space="0" w:color="auto"/>
        <w:bottom w:val="none" w:sz="0" w:space="0" w:color="auto"/>
        <w:right w:val="none" w:sz="0" w:space="0" w:color="auto"/>
      </w:divBdr>
    </w:div>
    <w:div w:id="2032491819">
      <w:bodyDiv w:val="1"/>
      <w:marLeft w:val="0"/>
      <w:marRight w:val="0"/>
      <w:marTop w:val="0"/>
      <w:marBottom w:val="0"/>
      <w:divBdr>
        <w:top w:val="none" w:sz="0" w:space="0" w:color="auto"/>
        <w:left w:val="none" w:sz="0" w:space="0" w:color="auto"/>
        <w:bottom w:val="none" w:sz="0" w:space="0" w:color="auto"/>
        <w:right w:val="none" w:sz="0" w:space="0" w:color="auto"/>
      </w:divBdr>
    </w:div>
    <w:div w:id="2089109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statistics-explained/index.php?title=Minimum_wage_statistics" TargetMode="External"/><Relationship Id="rId2" Type="http://schemas.openxmlformats.org/officeDocument/2006/relationships/hyperlink" Target="https://employment-social-affairs.ec.europa.eu/policies-and-activities/european-pillar-social-rights-building-fairer-and-more-inclusive-european-union_en" TargetMode="External"/><Relationship Id="rId1" Type="http://schemas.openxmlformats.org/officeDocument/2006/relationships/hyperlink" Target="https://eur-lex.europa.eu/eli/dir/2022/2041/oj/fra" TargetMode="External"/><Relationship Id="rId5" Type="http://schemas.openxmlformats.org/officeDocument/2006/relationships/hyperlink" Target="https://eur-lex.europa.eu/legal-content/FR/TXT/PDF/?uri=OJ:L_202403134" TargetMode="External"/><Relationship Id="rId4" Type="http://schemas.openxmlformats.org/officeDocument/2006/relationships/hyperlink" Target="https://eur-lex.europa.eu/legal-content/FR/TXT/PDF/?uri=CELEX:32023H013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46D291388000A54997C6715B9B4FFF05009BF36AE4A61C1348945412939C34732E" ma:contentTypeVersion="28" ma:contentTypeDescription="Create a new document in this library." ma:contentTypeScope="" ma:versionID="726f18e71a23245f48dc2290c6fc8595">
  <xsd:schema xmlns:xsd="http://www.w3.org/2001/XMLSchema" xmlns:xs="http://www.w3.org/2001/XMLSchema" xmlns:p="http://schemas.microsoft.com/office/2006/metadata/properties" xmlns:ns2="http://schemas.microsoft.com/sharepoint/v3/fields" xmlns:ns3="e7ce7334-6d34-4bd6-adf1-7b434eb0d83e" xmlns:ns4="43eb9028-f615-416e-ab95-1f973838ac88" targetNamespace="http://schemas.microsoft.com/office/2006/metadata/properties" ma:root="true" ma:fieldsID="a14aaee4dd5210c14bd0821486145b4d" ns2:_="" ns3:_="" ns4:_="">
    <xsd:import namespace="http://schemas.microsoft.com/sharepoint/v3/fields"/>
    <xsd:import namespace="e7ce7334-6d34-4bd6-adf1-7b434eb0d83e"/>
    <xsd:import namespace="43eb9028-f615-416e-ab95-1f973838ac88"/>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4:MediaServiceMetadata" minOccurs="0"/>
                <xsd:element ref="ns4:MediaServiceFastMetadata" minOccurs="0"/>
                <xsd:element ref="ns4:MediaServiceSearchProperties" minOccurs="0"/>
                <xsd:element ref="ns4:MediaServiceObjectDetectorVersions" minOccurs="0"/>
                <xsd:element ref="ns3:SharedWithUsers" minOccurs="0"/>
                <xsd:element ref="ns3:SharedWithDetail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7ce7334-6d34-4bd6-adf1-7b434eb0d83e"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1abe68a-44b5-4098-b7a0-e82b8a7cb32f}" ma:internalName="TaxCatchAll" ma:showField="CatchAllData" ma:web="e7ce7334-6d34-4bd6-adf1-7b434eb0d8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eb9028-f615-416e-ab95-1f973838ac88"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3eb9028-f615-416e-ab95-1f973838ac88">
      <Terms xmlns="http://schemas.microsoft.com/office/infopath/2007/PartnerControls"/>
    </lcf76f155ced4ddcb4097134ff3c332f>
    <EC_Collab_DocumentLanguage xmlns="e7ce7334-6d34-4bd6-adf1-7b434eb0d83e">EN</EC_Collab_DocumentLanguage>
    <TaxCatchAll xmlns="e7ce7334-6d34-4bd6-adf1-7b434eb0d83e" xsi:nil="true"/>
    <_Status xmlns="http://schemas.microsoft.com/sharepoint/v3/fields">Not Started</_Status>
    <EC_Collab_Status xmlns="e7ce7334-6d34-4bd6-adf1-7b434eb0d83e">Not Started</EC_Collab_Status>
    <EC_Collab_Reference xmlns="e7ce7334-6d34-4bd6-adf1-7b434eb0d83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092E0-F478-4151-BD61-43C97F1CA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7ce7334-6d34-4bd6-adf1-7b434eb0d83e"/>
    <ds:schemaRef ds:uri="43eb9028-f615-416e-ab95-1f973838a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601F14-C63A-4D7E-9EEA-15ECC880CC75}">
  <ds:schemaRefs>
    <ds:schemaRef ds:uri="http://schemas.microsoft.com/sharepoint/v3/contenttype/forms"/>
  </ds:schemaRefs>
</ds:datastoreItem>
</file>

<file path=customXml/itemProps3.xml><?xml version="1.0" encoding="utf-8"?>
<ds:datastoreItem xmlns:ds="http://schemas.openxmlformats.org/officeDocument/2006/customXml" ds:itemID="{B0BBB468-3AF2-4B1D-8C38-758122914E1B}">
  <ds:schemaRefs>
    <ds:schemaRef ds:uri="http://schemas.microsoft.com/office/2006/metadata/properties"/>
    <ds:schemaRef ds:uri="http://schemas.microsoft.com/office/infopath/2007/PartnerControls"/>
    <ds:schemaRef ds:uri="43eb9028-f615-416e-ab95-1f973838ac88"/>
    <ds:schemaRef ds:uri="e7ce7334-6d34-4bd6-adf1-7b434eb0d83e"/>
    <ds:schemaRef ds:uri="http://schemas.microsoft.com/sharepoint/v3/fields"/>
  </ds:schemaRefs>
</ds:datastoreItem>
</file>

<file path=customXml/itemProps4.xml><?xml version="1.0" encoding="utf-8"?>
<ds:datastoreItem xmlns:ds="http://schemas.openxmlformats.org/officeDocument/2006/customXml" ds:itemID="{FF82145C-8F71-454F-8CF2-CD5BE4A37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14</Pages>
  <Words>5083</Words>
  <Characters>28975</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33991</CharactersWithSpaces>
  <SharedDoc>false</SharedDoc>
  <HLinks>
    <vt:vector size="54" baseType="variant">
      <vt:variant>
        <vt:i4>1114167</vt:i4>
      </vt:variant>
      <vt:variant>
        <vt:i4>20</vt:i4>
      </vt:variant>
      <vt:variant>
        <vt:i4>0</vt:i4>
      </vt:variant>
      <vt:variant>
        <vt:i4>5</vt:i4>
      </vt:variant>
      <vt:variant>
        <vt:lpwstr/>
      </vt:variant>
      <vt:variant>
        <vt:lpwstr>_Toc234835281</vt:lpwstr>
      </vt:variant>
      <vt:variant>
        <vt:i4>1114167</vt:i4>
      </vt:variant>
      <vt:variant>
        <vt:i4>14</vt:i4>
      </vt:variant>
      <vt:variant>
        <vt:i4>0</vt:i4>
      </vt:variant>
      <vt:variant>
        <vt:i4>5</vt:i4>
      </vt:variant>
      <vt:variant>
        <vt:lpwstr/>
      </vt:variant>
      <vt:variant>
        <vt:lpwstr>_Toc234835280</vt:lpwstr>
      </vt:variant>
      <vt:variant>
        <vt:i4>1966135</vt:i4>
      </vt:variant>
      <vt:variant>
        <vt:i4>8</vt:i4>
      </vt:variant>
      <vt:variant>
        <vt:i4>0</vt:i4>
      </vt:variant>
      <vt:variant>
        <vt:i4>5</vt:i4>
      </vt:variant>
      <vt:variant>
        <vt:lpwstr/>
      </vt:variant>
      <vt:variant>
        <vt:lpwstr>_Toc234835279</vt:lpwstr>
      </vt:variant>
      <vt:variant>
        <vt:i4>1966135</vt:i4>
      </vt:variant>
      <vt:variant>
        <vt:i4>2</vt:i4>
      </vt:variant>
      <vt:variant>
        <vt:i4>0</vt:i4>
      </vt:variant>
      <vt:variant>
        <vt:i4>5</vt:i4>
      </vt:variant>
      <vt:variant>
        <vt:lpwstr/>
      </vt:variant>
      <vt:variant>
        <vt:lpwstr>_Toc234835278</vt:lpwstr>
      </vt:variant>
      <vt:variant>
        <vt:i4>8060992</vt:i4>
      </vt:variant>
      <vt:variant>
        <vt:i4>15</vt:i4>
      </vt:variant>
      <vt:variant>
        <vt:i4>0</vt:i4>
      </vt:variant>
      <vt:variant>
        <vt:i4>5</vt:i4>
      </vt:variant>
      <vt:variant>
        <vt:lpwstr>https://eur-lex.europa.eu/legal-content/EN/TXT/PDF/?uri=OJ:L_202403134</vt:lpwstr>
      </vt:variant>
      <vt:variant>
        <vt:lpwstr/>
      </vt:variant>
      <vt:variant>
        <vt:i4>1245194</vt:i4>
      </vt:variant>
      <vt:variant>
        <vt:i4>12</vt:i4>
      </vt:variant>
      <vt:variant>
        <vt:i4>0</vt:i4>
      </vt:variant>
      <vt:variant>
        <vt:i4>5</vt:i4>
      </vt:variant>
      <vt:variant>
        <vt:lpwstr>https://eur-lex.europa.eu/legal-content/EN/TXT/PDF/?uri=CELEX:32023H01389</vt:lpwstr>
      </vt:variant>
      <vt:variant>
        <vt:lpwstr/>
      </vt:variant>
      <vt:variant>
        <vt:i4>4587614</vt:i4>
      </vt:variant>
      <vt:variant>
        <vt:i4>6</vt:i4>
      </vt:variant>
      <vt:variant>
        <vt:i4>0</vt:i4>
      </vt:variant>
      <vt:variant>
        <vt:i4>5</vt:i4>
      </vt:variant>
      <vt:variant>
        <vt:lpwstr>https://ec.europa.eu/eurostat/statistics-explained/index.php?title=Minimum_wage_statistics</vt:lpwstr>
      </vt:variant>
      <vt:variant>
        <vt:lpwstr/>
      </vt:variant>
      <vt:variant>
        <vt:i4>589861</vt:i4>
      </vt:variant>
      <vt:variant>
        <vt:i4>3</vt:i4>
      </vt:variant>
      <vt:variant>
        <vt:i4>0</vt:i4>
      </vt:variant>
      <vt:variant>
        <vt:i4>5</vt:i4>
      </vt:variant>
      <vt:variant>
        <vt:lpwstr>https://employment-social-affairs.ec.europa.eu/policies-and-activities/european-pillar-social-rights-building-fairer-and-more-inclusive-european-union_en</vt:lpwstr>
      </vt:variant>
      <vt:variant>
        <vt:lpwstr/>
      </vt:variant>
      <vt:variant>
        <vt:i4>7667813</vt:i4>
      </vt:variant>
      <vt:variant>
        <vt:i4>0</vt:i4>
      </vt:variant>
      <vt:variant>
        <vt:i4>0</vt:i4>
      </vt:variant>
      <vt:variant>
        <vt:i4>5</vt:i4>
      </vt:variant>
      <vt:variant>
        <vt:lpwstr>https://eur-lex.europa.eu/eli/dir/2022/2041/oj/eng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cp:lastPrinted>2026-06-15T14:27:00Z</cp:lastPrinted>
  <dcterms:created xsi:type="dcterms:W3CDTF">2026-07-13T12:31:00Z</dcterms:created>
  <dcterms:modified xsi:type="dcterms:W3CDTF">2026-07-22T06:50:00Z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2026-05-20T15:01:12Z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e4aba57d-2303-4705-89f1-bfff4985e3dd</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0x01010046D291388000A54997C6715B9B4FFF05009BF36AE4A61C1348945412939C34732E</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