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905FEA" w14:textId="4CF419A4" w:rsidR="00EF641F" w:rsidRPr="00F36655" w:rsidRDefault="00916CF3" w:rsidP="00916CF3">
      <w:pPr>
        <w:pStyle w:val="Pagedecouverture"/>
        <w:rPr>
          <w:noProof/>
        </w:rPr>
      </w:pPr>
      <w:bookmarkStart w:id="0" w:name="LW_BM_COVERPAGE"/>
      <w:r>
        <w:rPr>
          <w:noProof/>
        </w:rPr>
        <w:pict w14:anchorId="469F32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2538CAD8-3D19-4000-A891-13D416801133" style="width:455.25pt;height:313.5pt">
            <v:imagedata r:id="rId11" o:title=""/>
          </v:shape>
        </w:pict>
      </w:r>
    </w:p>
    <w:bookmarkEnd w:id="0"/>
    <w:p w14:paraId="61A8A26D" w14:textId="77777777" w:rsidR="00EF641F" w:rsidRPr="00F36655" w:rsidRDefault="00EF641F" w:rsidP="00EF641F">
      <w:pPr>
        <w:rPr>
          <w:noProof/>
        </w:rPr>
        <w:sectPr w:rsidR="00EF641F" w:rsidRPr="00F36655" w:rsidSect="00916CF3">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bookmarkStart w:id="1" w:name="_GoBack" w:displacedByCustomXml="next"/>
    <w:bookmarkEnd w:id="1" w:displacedByCustomXml="next"/>
    <w:sdt>
      <w:sdtPr>
        <w:rPr>
          <w:rFonts w:asciiTheme="minorHAnsi" w:eastAsiaTheme="minorEastAsia" w:hAnsiTheme="minorHAnsi" w:cstheme="minorBidi"/>
          <w:noProof/>
          <w:color w:val="auto"/>
          <w:kern w:val="2"/>
          <w:sz w:val="22"/>
          <w:szCs w:val="22"/>
          <w14:ligatures w14:val="standardContextual"/>
        </w:rPr>
        <w:id w:val="-517547817"/>
        <w:docPartObj>
          <w:docPartGallery w:val="Table of Contents"/>
          <w:docPartUnique/>
        </w:docPartObj>
      </w:sdtPr>
      <w:sdtEndPr>
        <w:rPr>
          <w:b/>
          <w:bCs/>
        </w:rPr>
      </w:sdtEndPr>
      <w:sdtContent>
        <w:p w14:paraId="7EBCF09D" w14:textId="22429D27" w:rsidR="00770D39" w:rsidRPr="00F36655" w:rsidRDefault="00770D39">
          <w:pPr>
            <w:pStyle w:val="TOCHeading"/>
            <w:rPr>
              <w:noProof/>
            </w:rPr>
          </w:pPr>
          <w:r w:rsidRPr="00F36655">
            <w:rPr>
              <w:noProof/>
            </w:rPr>
            <w:t>Cuprins</w:t>
          </w:r>
        </w:p>
        <w:p w14:paraId="70506BEB" w14:textId="6C4E7C9C" w:rsidR="00BA3C23" w:rsidRPr="00F36655" w:rsidRDefault="00770D39">
          <w:pPr>
            <w:pStyle w:val="TOC3"/>
            <w:tabs>
              <w:tab w:val="right" w:leader="dot" w:pos="9016"/>
            </w:tabs>
            <w:rPr>
              <w:rFonts w:cstheme="minorBidi"/>
              <w:noProof/>
              <w:kern w:val="2"/>
              <w:sz w:val="24"/>
              <w:szCs w:val="24"/>
              <w:lang w:eastAsia="en-IE"/>
              <w14:ligatures w14:val="standardContextual"/>
            </w:rPr>
          </w:pPr>
          <w:r w:rsidRPr="00F36655">
            <w:rPr>
              <w:noProof/>
            </w:rPr>
            <w:fldChar w:fldCharType="begin"/>
          </w:r>
          <w:r w:rsidRPr="00F36655">
            <w:rPr>
              <w:noProof/>
            </w:rPr>
            <w:instrText xml:space="preserve"> TOC \o "1-3" \h \z \u </w:instrText>
          </w:r>
          <w:r w:rsidRPr="00F36655">
            <w:rPr>
              <w:noProof/>
            </w:rPr>
            <w:fldChar w:fldCharType="separate"/>
          </w:r>
          <w:hyperlink w:anchor="_Toc235106021" w:history="1">
            <w:r w:rsidR="00BA3C23" w:rsidRPr="00F36655">
              <w:rPr>
                <w:rStyle w:val="Hyperlink"/>
                <w:rFonts w:ascii="Times New Roman" w:hAnsi="Times New Roman"/>
                <w:noProof/>
              </w:rPr>
              <w:t>INTRODUCERE</w:t>
            </w:r>
            <w:r w:rsidR="00BA3C23" w:rsidRPr="00F36655">
              <w:rPr>
                <w:noProof/>
                <w:webHidden/>
              </w:rPr>
              <w:tab/>
            </w:r>
            <w:r w:rsidR="00BA3C23" w:rsidRPr="00F36655">
              <w:rPr>
                <w:noProof/>
                <w:webHidden/>
              </w:rPr>
              <w:fldChar w:fldCharType="begin"/>
            </w:r>
            <w:r w:rsidR="00BA3C23" w:rsidRPr="00F36655">
              <w:rPr>
                <w:noProof/>
                <w:webHidden/>
              </w:rPr>
              <w:instrText xml:space="preserve"> PAGEREF _Toc235106021 \h </w:instrText>
            </w:r>
            <w:r w:rsidR="00BA3C23" w:rsidRPr="00F36655">
              <w:rPr>
                <w:noProof/>
                <w:webHidden/>
              </w:rPr>
            </w:r>
            <w:r w:rsidR="00BA3C23" w:rsidRPr="00F36655">
              <w:rPr>
                <w:noProof/>
                <w:webHidden/>
              </w:rPr>
              <w:fldChar w:fldCharType="separate"/>
            </w:r>
            <w:r w:rsidR="00F52131">
              <w:rPr>
                <w:noProof/>
                <w:webHidden/>
              </w:rPr>
              <w:t>3</w:t>
            </w:r>
            <w:r w:rsidR="00BA3C23" w:rsidRPr="00F36655">
              <w:rPr>
                <w:noProof/>
                <w:webHidden/>
              </w:rPr>
              <w:fldChar w:fldCharType="end"/>
            </w:r>
          </w:hyperlink>
        </w:p>
        <w:p w14:paraId="584911ED" w14:textId="738C649C" w:rsidR="00BA3C23" w:rsidRPr="00F36655" w:rsidRDefault="00916CF3">
          <w:pPr>
            <w:pStyle w:val="TOC3"/>
            <w:tabs>
              <w:tab w:val="right" w:leader="dot" w:pos="9016"/>
            </w:tabs>
            <w:rPr>
              <w:rFonts w:cstheme="minorBidi"/>
              <w:noProof/>
              <w:kern w:val="2"/>
              <w:sz w:val="24"/>
              <w:szCs w:val="24"/>
              <w:lang w:eastAsia="en-IE"/>
              <w14:ligatures w14:val="standardContextual"/>
            </w:rPr>
          </w:pPr>
          <w:hyperlink w:anchor="_Toc235106022" w:history="1">
            <w:r w:rsidR="00BA3C23" w:rsidRPr="00F36655">
              <w:rPr>
                <w:rStyle w:val="Hyperlink"/>
                <w:rFonts w:ascii="Times New Roman" w:hAnsi="Times New Roman"/>
                <w:noProof/>
              </w:rPr>
              <w:t>PARTEA I: DATE ȘI INFORMAȚII PRIVIND PROTECȚIA SALARIULUI MINIM</w:t>
            </w:r>
            <w:r w:rsidR="00BA3C23" w:rsidRPr="00F36655">
              <w:rPr>
                <w:noProof/>
                <w:webHidden/>
              </w:rPr>
              <w:tab/>
            </w:r>
            <w:r w:rsidR="00BA3C23" w:rsidRPr="00F36655">
              <w:rPr>
                <w:noProof/>
                <w:webHidden/>
              </w:rPr>
              <w:fldChar w:fldCharType="begin"/>
            </w:r>
            <w:r w:rsidR="00BA3C23" w:rsidRPr="00F36655">
              <w:rPr>
                <w:noProof/>
                <w:webHidden/>
              </w:rPr>
              <w:instrText xml:space="preserve"> PAGEREF _Toc235106022 \h </w:instrText>
            </w:r>
            <w:r w:rsidR="00BA3C23" w:rsidRPr="00F36655">
              <w:rPr>
                <w:noProof/>
                <w:webHidden/>
              </w:rPr>
            </w:r>
            <w:r w:rsidR="00BA3C23" w:rsidRPr="00F36655">
              <w:rPr>
                <w:noProof/>
                <w:webHidden/>
              </w:rPr>
              <w:fldChar w:fldCharType="separate"/>
            </w:r>
            <w:r w:rsidR="00F52131">
              <w:rPr>
                <w:noProof/>
                <w:webHidden/>
              </w:rPr>
              <w:t>4</w:t>
            </w:r>
            <w:r w:rsidR="00BA3C23" w:rsidRPr="00F36655">
              <w:rPr>
                <w:noProof/>
                <w:webHidden/>
              </w:rPr>
              <w:fldChar w:fldCharType="end"/>
            </w:r>
          </w:hyperlink>
        </w:p>
        <w:p w14:paraId="06419F2C" w14:textId="74DA146A" w:rsidR="00BA3C23" w:rsidRPr="00F36655" w:rsidRDefault="00916CF3">
          <w:pPr>
            <w:pStyle w:val="TOC3"/>
            <w:tabs>
              <w:tab w:val="right" w:leader="dot" w:pos="9016"/>
            </w:tabs>
            <w:rPr>
              <w:rFonts w:cstheme="minorBidi"/>
              <w:noProof/>
              <w:kern w:val="2"/>
              <w:sz w:val="24"/>
              <w:szCs w:val="24"/>
              <w:lang w:eastAsia="en-IE"/>
              <w14:ligatures w14:val="standardContextual"/>
            </w:rPr>
          </w:pPr>
          <w:hyperlink w:anchor="_Toc235106023" w:history="1">
            <w:r w:rsidR="00BA3C23" w:rsidRPr="00F36655">
              <w:rPr>
                <w:rStyle w:val="Hyperlink"/>
                <w:rFonts w:ascii="Times New Roman" w:hAnsi="Times New Roman"/>
                <w:noProof/>
              </w:rPr>
              <w:t>PARTEA II: PLANURI DE ACȚIUNE PENTRU PROMOVAREA NEGOCIERILOR COLECTIVE</w:t>
            </w:r>
            <w:r w:rsidR="00BA3C23" w:rsidRPr="00F36655">
              <w:rPr>
                <w:noProof/>
                <w:webHidden/>
              </w:rPr>
              <w:tab/>
            </w:r>
            <w:r w:rsidR="00BA3C23" w:rsidRPr="00F36655">
              <w:rPr>
                <w:noProof/>
                <w:webHidden/>
              </w:rPr>
              <w:fldChar w:fldCharType="begin"/>
            </w:r>
            <w:r w:rsidR="00BA3C23" w:rsidRPr="00F36655">
              <w:rPr>
                <w:noProof/>
                <w:webHidden/>
              </w:rPr>
              <w:instrText xml:space="preserve"> PAGEREF _Toc235106023 \h </w:instrText>
            </w:r>
            <w:r w:rsidR="00BA3C23" w:rsidRPr="00F36655">
              <w:rPr>
                <w:noProof/>
                <w:webHidden/>
              </w:rPr>
            </w:r>
            <w:r w:rsidR="00BA3C23" w:rsidRPr="00F36655">
              <w:rPr>
                <w:noProof/>
                <w:webHidden/>
              </w:rPr>
              <w:fldChar w:fldCharType="separate"/>
            </w:r>
            <w:r w:rsidR="00F52131">
              <w:rPr>
                <w:noProof/>
                <w:webHidden/>
              </w:rPr>
              <w:t>11</w:t>
            </w:r>
            <w:r w:rsidR="00BA3C23" w:rsidRPr="00F36655">
              <w:rPr>
                <w:noProof/>
                <w:webHidden/>
              </w:rPr>
              <w:fldChar w:fldCharType="end"/>
            </w:r>
          </w:hyperlink>
        </w:p>
        <w:p w14:paraId="1E8407F2" w14:textId="45ADFD5E" w:rsidR="00BA3C23" w:rsidRPr="00F36655" w:rsidRDefault="00916CF3">
          <w:pPr>
            <w:pStyle w:val="TOC3"/>
            <w:tabs>
              <w:tab w:val="right" w:leader="dot" w:pos="9016"/>
            </w:tabs>
            <w:rPr>
              <w:rFonts w:cstheme="minorBidi"/>
              <w:noProof/>
              <w:kern w:val="2"/>
              <w:sz w:val="24"/>
              <w:szCs w:val="24"/>
              <w:lang w:eastAsia="en-IE"/>
              <w14:ligatures w14:val="standardContextual"/>
            </w:rPr>
          </w:pPr>
          <w:hyperlink w:anchor="_Toc235106024" w:history="1">
            <w:r w:rsidR="00BA3C23" w:rsidRPr="00F36655">
              <w:rPr>
                <w:rStyle w:val="Hyperlink"/>
                <w:rFonts w:ascii="Times New Roman" w:hAnsi="Times New Roman"/>
                <w:noProof/>
              </w:rPr>
              <w:t>CONCLUZIE</w:t>
            </w:r>
            <w:r w:rsidR="00BA3C23" w:rsidRPr="00F36655">
              <w:rPr>
                <w:noProof/>
                <w:webHidden/>
              </w:rPr>
              <w:tab/>
            </w:r>
            <w:r w:rsidR="00BA3C23" w:rsidRPr="00F36655">
              <w:rPr>
                <w:noProof/>
                <w:webHidden/>
              </w:rPr>
              <w:fldChar w:fldCharType="begin"/>
            </w:r>
            <w:r w:rsidR="00BA3C23" w:rsidRPr="00F36655">
              <w:rPr>
                <w:noProof/>
                <w:webHidden/>
              </w:rPr>
              <w:instrText xml:space="preserve"> PAGEREF _Toc235106024 \h </w:instrText>
            </w:r>
            <w:r w:rsidR="00BA3C23" w:rsidRPr="00F36655">
              <w:rPr>
                <w:noProof/>
                <w:webHidden/>
              </w:rPr>
            </w:r>
            <w:r w:rsidR="00BA3C23" w:rsidRPr="00F36655">
              <w:rPr>
                <w:noProof/>
                <w:webHidden/>
              </w:rPr>
              <w:fldChar w:fldCharType="separate"/>
            </w:r>
            <w:r w:rsidR="00F52131">
              <w:rPr>
                <w:noProof/>
                <w:webHidden/>
              </w:rPr>
              <w:t>15</w:t>
            </w:r>
            <w:r w:rsidR="00BA3C23" w:rsidRPr="00F36655">
              <w:rPr>
                <w:noProof/>
                <w:webHidden/>
              </w:rPr>
              <w:fldChar w:fldCharType="end"/>
            </w:r>
          </w:hyperlink>
        </w:p>
        <w:p w14:paraId="3167AD7F" w14:textId="4A3181CA" w:rsidR="00770D39" w:rsidRPr="00F36655" w:rsidRDefault="00770D39">
          <w:pPr>
            <w:rPr>
              <w:noProof/>
            </w:rPr>
          </w:pPr>
          <w:r w:rsidRPr="00F36655">
            <w:rPr>
              <w:b/>
              <w:noProof/>
            </w:rPr>
            <w:fldChar w:fldCharType="end"/>
          </w:r>
        </w:p>
      </w:sdtContent>
    </w:sdt>
    <w:p w14:paraId="3AE53214" w14:textId="62BDA878" w:rsidR="00770D39" w:rsidRPr="00F36655" w:rsidRDefault="00770D39" w:rsidP="00770D39">
      <w:pPr>
        <w:pStyle w:val="TOC1"/>
        <w:rPr>
          <w:rFonts w:eastAsiaTheme="majorEastAsia"/>
          <w:noProof/>
        </w:rPr>
      </w:pPr>
      <w:r w:rsidRPr="00F36655">
        <w:rPr>
          <w:noProof/>
        </w:rPr>
        <w:br w:type="page"/>
      </w:r>
    </w:p>
    <w:p w14:paraId="203C9E28" w14:textId="6D8F9C92" w:rsidR="00A466ED" w:rsidRPr="00F36655" w:rsidRDefault="00770D39" w:rsidP="00FF7B81">
      <w:pPr>
        <w:pStyle w:val="Heading3"/>
        <w:rPr>
          <w:rFonts w:ascii="Times New Roman" w:hAnsi="Times New Roman" w:cs="Times New Roman"/>
          <w:noProof/>
        </w:rPr>
      </w:pPr>
      <w:bookmarkStart w:id="2" w:name="_Toc235106021"/>
      <w:r w:rsidRPr="00F36655">
        <w:rPr>
          <w:rFonts w:ascii="Times New Roman" w:hAnsi="Times New Roman"/>
          <w:noProof/>
        </w:rPr>
        <w:t>INTRODUCERE</w:t>
      </w:r>
      <w:bookmarkEnd w:id="2"/>
    </w:p>
    <w:p w14:paraId="66A3951F" w14:textId="70DAA9F4" w:rsidR="00C14D6E" w:rsidRPr="00F36655" w:rsidRDefault="00C14D6E" w:rsidP="00DF27D5">
      <w:pPr>
        <w:spacing w:line="240" w:lineRule="atLeast"/>
        <w:jc w:val="both"/>
        <w:rPr>
          <w:rFonts w:ascii="Times New Roman" w:hAnsi="Times New Roman" w:cs="Times New Roman"/>
          <w:noProof/>
          <w:sz w:val="24"/>
          <w:szCs w:val="24"/>
        </w:rPr>
      </w:pPr>
      <w:r w:rsidRPr="00F36655">
        <w:rPr>
          <w:rFonts w:ascii="Times New Roman" w:hAnsi="Times New Roman"/>
          <w:noProof/>
          <w:sz w:val="24"/>
        </w:rPr>
        <w:t>Directiva (UE) 2022/2041 (</w:t>
      </w:r>
      <w:r w:rsidRPr="00F36655">
        <w:rPr>
          <w:rStyle w:val="FootnoteReference"/>
          <w:rFonts w:ascii="Times New Roman" w:hAnsi="Times New Roman" w:cs="Times New Roman"/>
          <w:noProof/>
          <w:sz w:val="24"/>
          <w:szCs w:val="24"/>
        </w:rPr>
        <w:footnoteReference w:id="1"/>
      </w:r>
      <w:r w:rsidRPr="00F36655">
        <w:rPr>
          <w:rFonts w:ascii="Times New Roman" w:hAnsi="Times New Roman"/>
          <w:noProof/>
          <w:sz w:val="24"/>
        </w:rPr>
        <w:t>) („Directiva privind salariile minime” sau „directiva”) stabilește un cadru pentru asigurarea unui grad corespunzător de adecvare a salariilor minime legale, promovarea negocierilor colective pentru stabilirea salariilor și îmbunătățirea accesului efectiv al lucrătorilor la protecția salariului minim. Aceasta constituie unul dintre principalele rezultate ale Pilonului european al drepturilor sociale (</w:t>
      </w:r>
      <w:r w:rsidRPr="00F36655">
        <w:rPr>
          <w:rStyle w:val="FootnoteReference"/>
          <w:rFonts w:ascii="Times New Roman" w:hAnsi="Times New Roman" w:cs="Times New Roman"/>
          <w:noProof/>
          <w:sz w:val="24"/>
          <w:szCs w:val="24"/>
        </w:rPr>
        <w:footnoteReference w:id="2"/>
      </w:r>
      <w:r w:rsidRPr="00F36655">
        <w:rPr>
          <w:rFonts w:ascii="Times New Roman" w:hAnsi="Times New Roman"/>
          <w:noProof/>
          <w:sz w:val="24"/>
        </w:rPr>
        <w:t>), în special ale principiului nr. 6 privind salariile.</w:t>
      </w:r>
    </w:p>
    <w:p w14:paraId="207B4FAE" w14:textId="54145C20" w:rsidR="00E4431C" w:rsidRPr="00F36655" w:rsidRDefault="00E4431C" w:rsidP="00DF27D5">
      <w:pPr>
        <w:spacing w:line="240" w:lineRule="atLeast"/>
        <w:jc w:val="both"/>
        <w:rPr>
          <w:rFonts w:ascii="Times New Roman" w:hAnsi="Times New Roman" w:cs="Times New Roman"/>
          <w:noProof/>
          <w:sz w:val="24"/>
          <w:szCs w:val="24"/>
        </w:rPr>
      </w:pPr>
      <w:r w:rsidRPr="00F36655">
        <w:rPr>
          <w:rFonts w:ascii="Times New Roman" w:hAnsi="Times New Roman"/>
          <w:noProof/>
          <w:sz w:val="24"/>
        </w:rPr>
        <w:t>Directiva impune tuturor statelor membre să raporteze periodic date și informații privind protecția salariului minim [articolul 10 alineatul (2)]. Obligațiile specifice de raportare depind de sistemul de protecție a salariului minim existent în fiecare stat membru. Directiva impune, de asemenea, elaborarea unor planuri de acțiune pentru promovarea negocierilor colective de către statele membre în care rata de acoperire a negocierilor colective se situează sub pragul de 80 % [articolul 4 alineatul (2)].</w:t>
      </w:r>
    </w:p>
    <w:p w14:paraId="35AC9077" w14:textId="305AC33C" w:rsidR="00E4431C" w:rsidRPr="00F36655" w:rsidRDefault="00E4431C" w:rsidP="00DF27D5">
      <w:pPr>
        <w:spacing w:line="240" w:lineRule="atLeast"/>
        <w:jc w:val="both"/>
        <w:rPr>
          <w:rFonts w:ascii="Times New Roman" w:hAnsi="Times New Roman" w:cs="Times New Roman"/>
          <w:noProof/>
          <w:sz w:val="24"/>
          <w:szCs w:val="24"/>
        </w:rPr>
      </w:pPr>
      <w:r w:rsidRPr="00F36655">
        <w:rPr>
          <w:rFonts w:ascii="Times New Roman" w:hAnsi="Times New Roman"/>
          <w:noProof/>
          <w:sz w:val="24"/>
        </w:rPr>
        <w:t xml:space="preserve">Totodată, articolul 10 alineatul (3) din directivă prevede obligația Comisiei de a analiza datele și informațiile transmise de statele membre, precum și planurile de acțiune ale acestora, și de a raporta Parlamentului European și Consiliului cu privire la această chestiune o dată la doi ani. </w:t>
      </w:r>
    </w:p>
    <w:p w14:paraId="2B806AEC" w14:textId="29B9C253" w:rsidR="00770D39" w:rsidRPr="00F36655" w:rsidRDefault="006856D7" w:rsidP="00DF27D5">
      <w:pPr>
        <w:spacing w:line="240" w:lineRule="atLeast"/>
        <w:jc w:val="both"/>
        <w:rPr>
          <w:rFonts w:ascii="Times New Roman" w:hAnsi="Times New Roman" w:cs="Times New Roman"/>
          <w:noProof/>
          <w:sz w:val="24"/>
          <w:szCs w:val="24"/>
        </w:rPr>
      </w:pPr>
      <w:r w:rsidRPr="00F36655">
        <w:rPr>
          <w:rFonts w:ascii="Times New Roman" w:hAnsi="Times New Roman"/>
          <w:noProof/>
          <w:sz w:val="24"/>
        </w:rPr>
        <w:t>Prezentul raport este primul raport periodic elaborat în conformitate cu articolul 10 alineatul (3). Acesta cuprinde două părți:</w:t>
      </w:r>
    </w:p>
    <w:p w14:paraId="2D211744" w14:textId="1B0B5CA7" w:rsidR="00FF7B81" w:rsidRPr="00F36655" w:rsidRDefault="00FF7B81" w:rsidP="00C21432">
      <w:pPr>
        <w:pStyle w:val="ListParagraph"/>
        <w:numPr>
          <w:ilvl w:val="0"/>
          <w:numId w:val="1"/>
        </w:numPr>
        <w:spacing w:line="240" w:lineRule="atLeast"/>
        <w:jc w:val="both"/>
        <w:rPr>
          <w:rFonts w:ascii="Times New Roman" w:hAnsi="Times New Roman" w:cs="Times New Roman"/>
          <w:noProof/>
          <w:sz w:val="24"/>
          <w:szCs w:val="24"/>
        </w:rPr>
      </w:pPr>
      <w:r w:rsidRPr="00F36655">
        <w:rPr>
          <w:rFonts w:ascii="Times New Roman" w:hAnsi="Times New Roman"/>
          <w:noProof/>
          <w:sz w:val="24"/>
        </w:rPr>
        <w:t>Partea I se referă la datele și informațiile privind protecția salariului minim transmise de statele membre în conformitate cu articolul 10 alineatul (2) din directivă și acoperă perioada 2021-2023. Întrucât directiva acordă statelor membre o marjă de apreciere semnificativă în ceea ce privește raportarea, este posibil ca aceste date și informații să nu corespundă statisticilor privind salariul minim publicate de Eurostat (</w:t>
      </w:r>
      <w:r w:rsidRPr="00F36655">
        <w:rPr>
          <w:rFonts w:ascii="Times New Roman" w:hAnsi="Times New Roman" w:cs="Times New Roman"/>
          <w:noProof/>
          <w:sz w:val="24"/>
          <w:szCs w:val="24"/>
          <w:vertAlign w:val="superscript"/>
        </w:rPr>
        <w:footnoteReference w:id="3"/>
      </w:r>
      <w:r w:rsidRPr="00F36655">
        <w:rPr>
          <w:rFonts w:ascii="Times New Roman" w:hAnsi="Times New Roman"/>
          <w:noProof/>
          <w:sz w:val="24"/>
        </w:rPr>
        <w:t>).</w:t>
      </w:r>
    </w:p>
    <w:p w14:paraId="13A02BC6" w14:textId="77777777" w:rsidR="00FF7B81" w:rsidRPr="00F36655" w:rsidRDefault="00FF7B81" w:rsidP="00DF27D5">
      <w:pPr>
        <w:pStyle w:val="ListParagraph"/>
        <w:spacing w:line="240" w:lineRule="atLeast"/>
        <w:jc w:val="both"/>
        <w:rPr>
          <w:rFonts w:ascii="Times New Roman" w:hAnsi="Times New Roman" w:cs="Times New Roman"/>
          <w:noProof/>
          <w:sz w:val="24"/>
          <w:szCs w:val="24"/>
        </w:rPr>
      </w:pPr>
    </w:p>
    <w:p w14:paraId="3AC953AC" w14:textId="281634A4" w:rsidR="00FF7B81" w:rsidRPr="00F36655" w:rsidRDefault="00FF7B81" w:rsidP="00DF27D5">
      <w:pPr>
        <w:pStyle w:val="ListParagraph"/>
        <w:numPr>
          <w:ilvl w:val="0"/>
          <w:numId w:val="1"/>
        </w:numPr>
        <w:spacing w:line="240" w:lineRule="atLeast"/>
        <w:jc w:val="both"/>
        <w:rPr>
          <w:rFonts w:ascii="Times New Roman" w:hAnsi="Times New Roman" w:cs="Times New Roman"/>
          <w:noProof/>
          <w:sz w:val="24"/>
          <w:szCs w:val="24"/>
        </w:rPr>
      </w:pPr>
      <w:r w:rsidRPr="00F36655">
        <w:rPr>
          <w:rFonts w:ascii="Times New Roman" w:hAnsi="Times New Roman"/>
          <w:noProof/>
          <w:sz w:val="24"/>
        </w:rPr>
        <w:t>Partea II se referă la planurile de acțiune pentru promovarea negocierilor colective elaborate de statele membre cu o rată de acoperire a negocierilor colective mai mică de 80 %, în temeiul articolului 4 alineatul (2) din directivă.</w:t>
      </w:r>
    </w:p>
    <w:p w14:paraId="35334899" w14:textId="5D9A2822" w:rsidR="00B22864" w:rsidRPr="00F36655" w:rsidRDefault="5362D4C2" w:rsidP="00DF27D5">
      <w:pPr>
        <w:spacing w:line="240" w:lineRule="atLeast"/>
        <w:jc w:val="both"/>
        <w:rPr>
          <w:rFonts w:ascii="Times New Roman" w:hAnsi="Times New Roman" w:cs="Times New Roman"/>
          <w:noProof/>
          <w:sz w:val="24"/>
          <w:szCs w:val="24"/>
        </w:rPr>
      </w:pPr>
      <w:r w:rsidRPr="00F36655">
        <w:rPr>
          <w:rFonts w:ascii="Times New Roman" w:hAnsi="Times New Roman"/>
          <w:noProof/>
          <w:sz w:val="24"/>
        </w:rPr>
        <w:t>Prezentul raport se bazează pe datele și informațiile furnizate de statele membre și pe alte surse publice. Acesta nu aduce atingere evaluării conformității măsurilor naționale de transpunere efectuate de Comisie și nici poziției pe care Comisia o poate adopta în cadrul unor eventuale proceduri judiciare viitoare.</w:t>
      </w:r>
    </w:p>
    <w:p w14:paraId="2A00C283" w14:textId="563C127A" w:rsidR="00B03EC3" w:rsidRPr="00F36655" w:rsidRDefault="00B22864" w:rsidP="00DF27D5">
      <w:pPr>
        <w:spacing w:line="240" w:lineRule="atLeast"/>
        <w:jc w:val="both"/>
        <w:rPr>
          <w:rFonts w:ascii="Times New Roman" w:hAnsi="Times New Roman" w:cs="Times New Roman"/>
          <w:noProof/>
          <w:sz w:val="24"/>
          <w:szCs w:val="24"/>
        </w:rPr>
      </w:pPr>
      <w:r w:rsidRPr="00F36655">
        <w:rPr>
          <w:rFonts w:ascii="Times New Roman" w:hAnsi="Times New Roman"/>
          <w:noProof/>
          <w:sz w:val="24"/>
        </w:rPr>
        <w:t>Raportul este însoțit de un document de lucru al serviciilor Comisiei (</w:t>
      </w:r>
      <w:r w:rsidRPr="00F36655">
        <w:rPr>
          <w:rStyle w:val="FootnoteReference"/>
          <w:rFonts w:ascii="Times New Roman" w:hAnsi="Times New Roman" w:cs="Times New Roman"/>
          <w:noProof/>
          <w:sz w:val="24"/>
          <w:szCs w:val="24"/>
        </w:rPr>
        <w:footnoteReference w:id="4"/>
      </w:r>
      <w:r w:rsidRPr="00F36655">
        <w:rPr>
          <w:rFonts w:ascii="Times New Roman" w:hAnsi="Times New Roman"/>
          <w:noProof/>
          <w:sz w:val="24"/>
        </w:rPr>
        <w:t xml:space="preserve">), care oferă detalii suplimentare cu privire la analiză și publică datele și informațiile transmise de statele membre, astfel cum se prevede în directivă. </w:t>
      </w:r>
    </w:p>
    <w:p w14:paraId="1D3BBA38" w14:textId="77777777" w:rsidR="00883356" w:rsidRPr="00F36655" w:rsidRDefault="00883356" w:rsidP="00DF27D5">
      <w:pPr>
        <w:spacing w:line="240" w:lineRule="atLeast"/>
        <w:rPr>
          <w:rFonts w:ascii="Times New Roman" w:eastAsiaTheme="majorEastAsia" w:hAnsi="Times New Roman" w:cs="Times New Roman"/>
          <w:noProof/>
          <w:color w:val="0F4761" w:themeColor="accent1" w:themeShade="BF"/>
          <w:sz w:val="28"/>
          <w:szCs w:val="28"/>
        </w:rPr>
      </w:pPr>
      <w:r w:rsidRPr="00F36655">
        <w:rPr>
          <w:noProof/>
        </w:rPr>
        <w:br w:type="page"/>
      </w:r>
    </w:p>
    <w:p w14:paraId="089C32CA" w14:textId="5DCED679" w:rsidR="00770D39" w:rsidRPr="00F36655" w:rsidRDefault="00FF7B81" w:rsidP="000C7476">
      <w:pPr>
        <w:pStyle w:val="Heading3"/>
        <w:spacing w:after="240"/>
        <w:rPr>
          <w:rFonts w:ascii="Times New Roman" w:hAnsi="Times New Roman" w:cs="Times New Roman"/>
          <w:noProof/>
        </w:rPr>
      </w:pPr>
      <w:bookmarkStart w:id="3" w:name="_Toc235106022"/>
      <w:r w:rsidRPr="00F36655">
        <w:rPr>
          <w:rFonts w:ascii="Times New Roman" w:hAnsi="Times New Roman"/>
          <w:noProof/>
        </w:rPr>
        <w:t>PARTEA I: DATE ȘI INFORMAȚII PRIVIND PROTECȚIA SALARIULUI MINIM</w:t>
      </w:r>
      <w:bookmarkEnd w:id="3"/>
    </w:p>
    <w:p w14:paraId="6D82477C" w14:textId="60E345E0" w:rsidR="00504DF4" w:rsidRPr="00F36655" w:rsidRDefault="001355B2" w:rsidP="00BF7990">
      <w:pPr>
        <w:pStyle w:val="Text1"/>
        <w:spacing w:line="240" w:lineRule="atLeast"/>
        <w:ind w:left="0"/>
        <w:rPr>
          <w:noProof/>
          <w:szCs w:val="24"/>
        </w:rPr>
      </w:pPr>
      <w:r w:rsidRPr="00F36655">
        <w:rPr>
          <w:b/>
          <w:noProof/>
        </w:rPr>
        <w:t>Protecția salariului minim există în toate statele membre și este asigurată fie prin salarii minime legale, fie prin negocieri colective.</w:t>
      </w:r>
      <w:r w:rsidRPr="00F36655">
        <w:rPr>
          <w:noProof/>
        </w:rPr>
        <w:t xml:space="preserve"> Un număr de 20 de state membre raportează că aplică un salariu minim legal, în timp ce în alte șapte protecția salariului minim este asigurată exclusiv prin convenții colective (tabelul 1). Această distincție este esențială, întrucât unele dispoziții ale directivei se aplică doar statelor membre care aplică salarii minime legale.</w:t>
      </w:r>
    </w:p>
    <w:p w14:paraId="6A4FBA05" w14:textId="1DEC76B0" w:rsidR="00BF7990" w:rsidRPr="00F36655" w:rsidRDefault="00BF7990" w:rsidP="00BE0861">
      <w:pPr>
        <w:pStyle w:val="Text1"/>
        <w:spacing w:after="120" w:line="240" w:lineRule="atLeast"/>
        <w:ind w:left="993" w:hanging="993"/>
        <w:jc w:val="left"/>
        <w:rPr>
          <w:b/>
          <w:bCs/>
          <w:noProof/>
        </w:rPr>
      </w:pPr>
      <w:r w:rsidRPr="00F36655">
        <w:rPr>
          <w:b/>
          <w:noProof/>
        </w:rPr>
        <w:t>Tabelul 1:</w:t>
      </w:r>
      <w:r w:rsidRPr="00F36655">
        <w:rPr>
          <w:noProof/>
        </w:rPr>
        <w:t xml:space="preserve"> Sistemul principal de protecție a salariului minim, astfel cum a fost raportat de statele membre</w:t>
      </w:r>
    </w:p>
    <w:tbl>
      <w:tblPr>
        <w:tblStyle w:val="TableGrid"/>
        <w:tblW w:w="8992" w:type="dxa"/>
        <w:tblBorders>
          <w:bottom w:val="single" w:sz="4" w:space="0" w:color="auto"/>
        </w:tblBorders>
        <w:tblLook w:val="04A0" w:firstRow="1" w:lastRow="0" w:firstColumn="1" w:lastColumn="0" w:noHBand="0" w:noVBand="1"/>
      </w:tblPr>
      <w:tblGrid>
        <w:gridCol w:w="2827"/>
        <w:gridCol w:w="6165"/>
      </w:tblGrid>
      <w:tr w:rsidR="00BF7990" w:rsidRPr="00F36655" w14:paraId="1E8A7795" w14:textId="77777777" w:rsidTr="008E51E9">
        <w:tc>
          <w:tcPr>
            <w:tcW w:w="2827" w:type="dxa"/>
          </w:tcPr>
          <w:p w14:paraId="0FA0522C" w14:textId="5CB77997" w:rsidR="00BF7990" w:rsidRPr="00F36655" w:rsidRDefault="00BF7990" w:rsidP="005F5E05">
            <w:pPr>
              <w:pStyle w:val="Text1"/>
              <w:spacing w:after="120" w:line="240" w:lineRule="atLeast"/>
              <w:ind w:left="0"/>
              <w:rPr>
                <w:noProof/>
              </w:rPr>
            </w:pPr>
            <w:r w:rsidRPr="00F36655">
              <w:rPr>
                <w:noProof/>
              </w:rPr>
              <w:t>Salarii minime legale</w:t>
            </w:r>
          </w:p>
        </w:tc>
        <w:tc>
          <w:tcPr>
            <w:tcW w:w="6165" w:type="dxa"/>
          </w:tcPr>
          <w:p w14:paraId="147D1B3C" w14:textId="77777777" w:rsidR="00BF7990" w:rsidRPr="00F36655" w:rsidRDefault="00BF7990">
            <w:pPr>
              <w:pStyle w:val="Text1"/>
              <w:spacing w:after="120" w:line="240" w:lineRule="atLeast"/>
              <w:ind w:left="0"/>
              <w:rPr>
                <w:noProof/>
              </w:rPr>
            </w:pPr>
            <w:r w:rsidRPr="00F36655">
              <w:rPr>
                <w:noProof/>
              </w:rPr>
              <w:t>Bulgaria, Croația, Cipru (</w:t>
            </w:r>
            <w:r w:rsidRPr="00F36655">
              <w:rPr>
                <w:rStyle w:val="FootnoteReference"/>
                <w:noProof/>
              </w:rPr>
              <w:footnoteReference w:id="5"/>
            </w:r>
            <w:r w:rsidRPr="00F36655">
              <w:rPr>
                <w:noProof/>
              </w:rPr>
              <w:t>), Cehia, Franța, Germania, Grecia, Ungaria, Irlanda, Letonia, Lituania, Luxemburg, Malta, Țările de Jos, Polonia, Portugalia, România, Slovacia, Slovenia, Spania</w:t>
            </w:r>
          </w:p>
        </w:tc>
      </w:tr>
      <w:tr w:rsidR="00BF7990" w:rsidRPr="00F36655" w14:paraId="26361573" w14:textId="77777777" w:rsidTr="008E51E9">
        <w:tc>
          <w:tcPr>
            <w:tcW w:w="2827" w:type="dxa"/>
          </w:tcPr>
          <w:p w14:paraId="411A5E1B" w14:textId="77777777" w:rsidR="00BF7990" w:rsidRPr="00F36655" w:rsidRDefault="00BF7990" w:rsidP="005F5E05">
            <w:pPr>
              <w:pStyle w:val="Text1"/>
              <w:spacing w:after="120" w:line="240" w:lineRule="atLeast"/>
              <w:ind w:left="0"/>
              <w:rPr>
                <w:noProof/>
              </w:rPr>
            </w:pPr>
            <w:r w:rsidRPr="00F36655">
              <w:rPr>
                <w:noProof/>
              </w:rPr>
              <w:t>Protecția salariului minim asigurată exclusiv prin convenții colective</w:t>
            </w:r>
          </w:p>
        </w:tc>
        <w:tc>
          <w:tcPr>
            <w:tcW w:w="6165" w:type="dxa"/>
          </w:tcPr>
          <w:p w14:paraId="2B98F685" w14:textId="77720DF8" w:rsidR="00BF7990" w:rsidRPr="00F36655" w:rsidRDefault="00BF7990">
            <w:pPr>
              <w:pStyle w:val="Text1"/>
              <w:spacing w:after="120" w:line="240" w:lineRule="atLeast"/>
              <w:ind w:left="0"/>
              <w:rPr>
                <w:noProof/>
              </w:rPr>
            </w:pPr>
            <w:r w:rsidRPr="00F36655">
              <w:rPr>
                <w:noProof/>
                <w:color w:val="000000" w:themeColor="text1"/>
              </w:rPr>
              <w:t>Austria, Belgia, Danemarca, Estonia</w:t>
            </w:r>
            <w:r w:rsidRPr="00F36655">
              <w:rPr>
                <w:noProof/>
              </w:rPr>
              <w:t>, Finlanda, Italia, Suedia</w:t>
            </w:r>
          </w:p>
        </w:tc>
      </w:tr>
    </w:tbl>
    <w:p w14:paraId="65E3C53E" w14:textId="315AED8A" w:rsidR="00FE358D" w:rsidRPr="00F36655" w:rsidRDefault="00BD03EF" w:rsidP="00D44EA9">
      <w:pPr>
        <w:pStyle w:val="Text1"/>
        <w:spacing w:before="240" w:line="240" w:lineRule="atLeast"/>
        <w:ind w:left="0"/>
        <w:rPr>
          <w:i/>
          <w:noProof/>
        </w:rPr>
      </w:pPr>
      <w:r w:rsidRPr="00F36655">
        <w:rPr>
          <w:i/>
          <w:noProof/>
        </w:rPr>
        <w:t xml:space="preserve">Salarii minime legale </w:t>
      </w:r>
    </w:p>
    <w:p w14:paraId="745378FB" w14:textId="435AB0A7" w:rsidR="00751143" w:rsidRPr="00F36655" w:rsidRDefault="00751143" w:rsidP="00B27BBA">
      <w:pPr>
        <w:pStyle w:val="Text3"/>
        <w:spacing w:line="240" w:lineRule="atLeast"/>
        <w:ind w:left="0"/>
        <w:rPr>
          <w:noProof/>
        </w:rPr>
      </w:pPr>
      <w:r w:rsidRPr="00F36655">
        <w:rPr>
          <w:b/>
          <w:noProof/>
        </w:rPr>
        <w:t xml:space="preserve">Nivelurile salariilor minime legale variază semnificativ de la un stat membru la altul în termeni nominali </w:t>
      </w:r>
      <w:r w:rsidRPr="00F36655">
        <w:rPr>
          <w:noProof/>
        </w:rPr>
        <w:t>(graficul 1) (</w:t>
      </w:r>
      <w:r w:rsidRPr="00F36655">
        <w:rPr>
          <w:rStyle w:val="FootnoteReference"/>
          <w:noProof/>
        </w:rPr>
        <w:footnoteReference w:id="6"/>
      </w:r>
      <w:r w:rsidRPr="00F36655">
        <w:rPr>
          <w:noProof/>
        </w:rPr>
        <w:t>). În anul 2023, Luxemburg (2 509 EUR pe lună), Germania (2 023 EUR) și Țările de Jos (1 965 EUR) au raportat cele mai mari salarii minime, urmate de Irlanda (1 910 EUR) și Franța (1 735 EUR). În Spania și Slovenia, acestea se situau la aproximativ 1 200 EUR. În alte nouă state membre (</w:t>
      </w:r>
      <w:r w:rsidRPr="00F36655">
        <w:rPr>
          <w:rStyle w:val="FootnoteReference"/>
          <w:noProof/>
        </w:rPr>
        <w:footnoteReference w:id="7"/>
      </w:r>
      <w:r w:rsidRPr="00F36655">
        <w:rPr>
          <w:noProof/>
        </w:rPr>
        <w:t>), acestea au variat între 700 EUR și 940 EUR. Cele mai mici salarii minime s-au înregistrat în Bulgaria (399 EUR), urmată de Ungaria (615 EUR), Letonia (620 EUR) și România (622 EUR).</w:t>
      </w:r>
      <w:r w:rsidRPr="00F36655">
        <w:rPr>
          <w:rStyle w:val="CommentReference"/>
          <w:rFonts w:asciiTheme="minorHAnsi" w:hAnsiTheme="minorHAnsi"/>
          <w:noProof/>
        </w:rPr>
        <w:t xml:space="preserve"> </w:t>
      </w:r>
    </w:p>
    <w:p w14:paraId="62B30E63" w14:textId="55E7816D" w:rsidR="00246CB1" w:rsidRPr="00F36655" w:rsidRDefault="00422A94" w:rsidP="000019A7">
      <w:pPr>
        <w:pStyle w:val="Text3"/>
        <w:keepNext/>
        <w:spacing w:after="0" w:line="240" w:lineRule="atLeast"/>
        <w:ind w:left="0"/>
        <w:jc w:val="left"/>
        <w:rPr>
          <w:noProof/>
        </w:rPr>
      </w:pPr>
      <w:r w:rsidRPr="00F36655">
        <w:rPr>
          <w:b/>
          <w:noProof/>
        </w:rPr>
        <w:t>Graficul 1</w:t>
      </w:r>
      <w:r w:rsidRPr="00F36655">
        <w:rPr>
          <w:noProof/>
        </w:rPr>
        <w:t>: Nivelurile salariilor minime legale lunare brute în UE (în EUR)</w:t>
      </w:r>
    </w:p>
    <w:p w14:paraId="7C3CC2FA" w14:textId="428B0542" w:rsidR="00422A94" w:rsidRPr="00F36655" w:rsidRDefault="00280193" w:rsidP="00422A94">
      <w:pPr>
        <w:pStyle w:val="Text3"/>
        <w:spacing w:after="0" w:line="240" w:lineRule="atLeast"/>
        <w:ind w:left="0"/>
        <w:jc w:val="center"/>
        <w:rPr>
          <w:noProof/>
        </w:rPr>
      </w:pPr>
      <w:r w:rsidRPr="00F36655">
        <w:rPr>
          <w:noProof/>
          <w:lang w:val="en-GB" w:eastAsia="en-GB"/>
        </w:rPr>
        <w:drawing>
          <wp:inline distT="0" distB="0" distL="0" distR="0" wp14:anchorId="66A2F64E" wp14:editId="26AB4CA2">
            <wp:extent cx="5295900" cy="2160656"/>
            <wp:effectExtent l="0" t="0" r="0" b="0"/>
            <wp:docPr id="171394115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03208" cy="2163638"/>
                    </a:xfrm>
                    <a:prstGeom prst="rect">
                      <a:avLst/>
                    </a:prstGeom>
                    <a:noFill/>
                  </pic:spPr>
                </pic:pic>
              </a:graphicData>
            </a:graphic>
          </wp:inline>
        </w:drawing>
      </w:r>
    </w:p>
    <w:p w14:paraId="607FD708" w14:textId="66E9720F" w:rsidR="001A14CF" w:rsidRPr="00F36655" w:rsidRDefault="001A14CF" w:rsidP="00E34A6A">
      <w:pPr>
        <w:pStyle w:val="Text3"/>
        <w:spacing w:after="0" w:line="240" w:lineRule="atLeast"/>
        <w:ind w:left="0"/>
        <w:rPr>
          <w:i/>
          <w:iCs/>
          <w:noProof/>
          <w:sz w:val="20"/>
        </w:rPr>
      </w:pPr>
      <w:r w:rsidRPr="00F36655">
        <w:rPr>
          <w:i/>
          <w:noProof/>
          <w:sz w:val="20"/>
        </w:rPr>
        <w:t>Notă: Slovenia a raportat date doar pentru 2023. Cipru a introdus salariul minim legal în 2023.</w:t>
      </w:r>
    </w:p>
    <w:p w14:paraId="204E75AB" w14:textId="3FD16E43" w:rsidR="00422A94" w:rsidRPr="00F36655" w:rsidRDefault="00422A94" w:rsidP="00422A94">
      <w:pPr>
        <w:pStyle w:val="Text3"/>
        <w:spacing w:line="240" w:lineRule="atLeast"/>
        <w:ind w:left="0"/>
        <w:rPr>
          <w:noProof/>
        </w:rPr>
      </w:pPr>
      <w:r w:rsidRPr="00F36655">
        <w:rPr>
          <w:i/>
          <w:noProof/>
          <w:sz w:val="20"/>
        </w:rPr>
        <w:t xml:space="preserve">Sursă: </w:t>
      </w:r>
      <w:r w:rsidRPr="00F36655">
        <w:rPr>
          <w:noProof/>
        </w:rPr>
        <w:tab/>
      </w:r>
      <w:r w:rsidRPr="00F36655">
        <w:rPr>
          <w:i/>
          <w:noProof/>
          <w:sz w:val="20"/>
        </w:rPr>
        <w:t xml:space="preserve">Date transmise de statele membre, convertite în EUR și exprimate ca niveluri medii lunare ale salariilor. </w:t>
      </w:r>
    </w:p>
    <w:p w14:paraId="55047217" w14:textId="4A44694A" w:rsidR="003D5A3E" w:rsidRPr="00F36655" w:rsidRDefault="009F714F" w:rsidP="00F355F3">
      <w:pPr>
        <w:pStyle w:val="Text3"/>
        <w:spacing w:line="240" w:lineRule="atLeast"/>
        <w:ind w:left="0"/>
        <w:rPr>
          <w:noProof/>
        </w:rPr>
      </w:pPr>
      <w:r w:rsidRPr="00F36655">
        <w:rPr>
          <w:b/>
          <w:noProof/>
        </w:rPr>
        <w:t>Decalajele dintre salariile minime legale ale statelor membre se reduc considerabil atunci când sunt luate în considerare diferențele dintre nivelurile prețurilor.</w:t>
      </w:r>
      <w:r w:rsidR="00F36655">
        <w:rPr>
          <w:rStyle w:val="CommentReference"/>
          <w:noProof/>
        </w:rPr>
        <w:t xml:space="preserve"> </w:t>
      </w:r>
      <w:r w:rsidRPr="00F36655">
        <w:rPr>
          <w:noProof/>
        </w:rPr>
        <w:t>În termeni nominali în euro, cel mai mare salariu minim brut lunar din UE este de aproximativ șase ori mai mare decât cel mai mic. Totuși, această diferență scade la mai puțin de trei ori atunci când este exprimată în standarde ale puterii de cumpărare, deoarece nivelul prețurilor tinde să fie mai mic în statele membre cu salarii minime mai mici. Exprimate în standarde ale puterii de cumpărare, în 2023, salariile minime lunare brute au fost cele mai ridicate în Luxemburg și Germania, urmate de Țările de Jos și Franța. Cele mai mici salarii minime legale au fost raportate în Bulgaria, urmată de Letonia și de Cehia.</w:t>
      </w:r>
      <w:r w:rsidR="00F36655">
        <w:rPr>
          <w:noProof/>
        </w:rPr>
        <w:t xml:space="preserve"> </w:t>
      </w:r>
    </w:p>
    <w:p w14:paraId="1E38DCFD" w14:textId="5A682AA0" w:rsidR="00CF0E84" w:rsidRPr="00F36655" w:rsidRDefault="00A0547B" w:rsidP="00F355F3">
      <w:pPr>
        <w:pStyle w:val="Text3"/>
        <w:spacing w:line="240" w:lineRule="atLeast"/>
        <w:ind w:left="0"/>
        <w:rPr>
          <w:noProof/>
        </w:rPr>
      </w:pPr>
      <w:bookmarkStart w:id="4" w:name="_Hlk234833778"/>
      <w:r w:rsidRPr="00F36655">
        <w:rPr>
          <w:b/>
          <w:noProof/>
        </w:rPr>
        <w:t xml:space="preserve">Salariile minime legale au crescut mai rapid în țările cu niveluri inițial mai scăzute, sprijinind convergența ascendentă. </w:t>
      </w:r>
      <w:r w:rsidRPr="00F36655">
        <w:rPr>
          <w:noProof/>
        </w:rPr>
        <w:t xml:space="preserve">În conformitate cu obiectivele stabilite de directivă, variația salariilor minime nominale între statele membre a scăzut între 2021 și 2023. Acest lucru a fost susținut de recuperarea decalajului de către statele membre cu niveluri nominale inițial mai scăzute, cum ar fi Ungaria și România, care au înregistrat cea mai mare creștere nominală din perioada respectivă (40,8 % și, respectiv, 33,7 %). Această convergență ascendentă a salariilor minime legale în termeni nominali a continuat după perioada de referință. </w:t>
      </w:r>
    </w:p>
    <w:bookmarkEnd w:id="4"/>
    <w:p w14:paraId="50257915" w14:textId="63C6A7AA" w:rsidR="004F5751" w:rsidRPr="00F36655" w:rsidRDefault="00F85397" w:rsidP="00E34A6A">
      <w:pPr>
        <w:pStyle w:val="Text3"/>
        <w:spacing w:after="120" w:line="240" w:lineRule="atLeast"/>
        <w:ind w:left="0"/>
        <w:rPr>
          <w:noProof/>
        </w:rPr>
      </w:pPr>
      <w:r w:rsidRPr="00F36655">
        <w:rPr>
          <w:b/>
          <w:noProof/>
        </w:rPr>
        <w:t>În perioada 2021-2023,</w:t>
      </w:r>
      <w:bookmarkStart w:id="5" w:name="_Hlk234836229"/>
      <w:r w:rsidRPr="00F36655">
        <w:rPr>
          <w:b/>
          <w:noProof/>
        </w:rPr>
        <w:t xml:space="preserve"> creșterile salariului minim legal au compensat pierderile de putere de cumpărare cauzate de inflația ridicată în aproximativ jumătate dintre statele membre</w:t>
      </w:r>
      <w:bookmarkEnd w:id="5"/>
      <w:r w:rsidRPr="00F36655">
        <w:rPr>
          <w:noProof/>
        </w:rPr>
        <w:t xml:space="preserve"> (graficul 2). În 2023, salariile minime legale reale au fost mai mari decât în 2021 în 10 dintre cele 18 state membre pentru care au fost disponibile date (</w:t>
      </w:r>
      <w:r w:rsidRPr="00F36655">
        <w:rPr>
          <w:rStyle w:val="FootnoteReference"/>
          <w:noProof/>
        </w:rPr>
        <w:footnoteReference w:id="8"/>
      </w:r>
      <w:r w:rsidRPr="00F36655">
        <w:rPr>
          <w:noProof/>
        </w:rPr>
        <w:t>). Cele mai mari creșteri în termeni reali au fost înregistrate în Germania (9 %) și România (8,7 %), în timp ce majorări de peste 2 % au avut loc în Ungaria (4,3 %), Croația (3,5 %) și Grecia (3,1 %). Creșteri mai modeste (sub 2 %) s-au consemnat în Luxemburg, Lituania, Spania, Polonia și Portugalia. În schimb, Țările de Jos și Franța au înregistrat scăderi mici, de sub 1 %, iar Bulgaria, Irlanda, Letonia și Malta reduceri mai pronunțate, cuprinse între 2 % și 5 %. Cele mai mari pierderi în ceea ce privește salariile minime legale reale au fost observate în Slovacia (-9,7 %) și Cehia (-11,4 %), unde inflația relativ ridicată a fost compensată doar prin majorări limitate ale salariului minim (</w:t>
      </w:r>
      <w:r w:rsidRPr="00F36655">
        <w:rPr>
          <w:rStyle w:val="FootnoteReference"/>
          <w:noProof/>
        </w:rPr>
        <w:footnoteReference w:id="9"/>
      </w:r>
      <w:r w:rsidRPr="00F36655">
        <w:rPr>
          <w:noProof/>
        </w:rPr>
        <w:t>).</w:t>
      </w:r>
      <w:r w:rsidR="00F36655">
        <w:rPr>
          <w:noProof/>
        </w:rPr>
        <w:t xml:space="preserve"> </w:t>
      </w:r>
    </w:p>
    <w:p w14:paraId="1833374E" w14:textId="04D2C73C" w:rsidR="00B6518D" w:rsidRPr="00F36655" w:rsidRDefault="00EB7484" w:rsidP="000C7476">
      <w:pPr>
        <w:pStyle w:val="Text3"/>
        <w:keepNext/>
        <w:spacing w:after="0" w:line="240" w:lineRule="atLeast"/>
        <w:ind w:left="0"/>
        <w:jc w:val="left"/>
        <w:rPr>
          <w:noProof/>
          <w:szCs w:val="24"/>
        </w:rPr>
      </w:pPr>
      <w:r w:rsidRPr="00F36655">
        <w:rPr>
          <w:b/>
          <w:noProof/>
        </w:rPr>
        <w:t xml:space="preserve">Graficul 2: </w:t>
      </w:r>
      <w:r w:rsidRPr="00F36655">
        <w:rPr>
          <w:noProof/>
        </w:rPr>
        <w:t>Evoluția salariului minim legal</w:t>
      </w:r>
    </w:p>
    <w:p w14:paraId="610A6C7B" w14:textId="00E5C465" w:rsidR="00320048" w:rsidRPr="00F36655" w:rsidRDefault="00D34E53" w:rsidP="00E34A6A">
      <w:pPr>
        <w:spacing w:after="0"/>
        <w:jc w:val="center"/>
        <w:rPr>
          <w:noProof/>
        </w:rPr>
      </w:pPr>
      <w:r w:rsidRPr="00F36655">
        <w:rPr>
          <w:noProof/>
          <w:lang w:val="en-GB" w:eastAsia="en-GB"/>
        </w:rPr>
        <w:drawing>
          <wp:inline distT="0" distB="0" distL="0" distR="0" wp14:anchorId="4C3743C7" wp14:editId="1DAE6CE9">
            <wp:extent cx="5591175" cy="3029740"/>
            <wp:effectExtent l="0" t="0" r="0" b="0"/>
            <wp:docPr id="2747282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593975" cy="3031257"/>
                    </a:xfrm>
                    <a:prstGeom prst="rect">
                      <a:avLst/>
                    </a:prstGeom>
                    <a:noFill/>
                    <a:ln>
                      <a:noFill/>
                    </a:ln>
                  </pic:spPr>
                </pic:pic>
              </a:graphicData>
            </a:graphic>
          </wp:inline>
        </w:drawing>
      </w:r>
    </w:p>
    <w:p w14:paraId="11306260" w14:textId="4794E609" w:rsidR="004725A3" w:rsidRPr="00F36655" w:rsidRDefault="004725A3" w:rsidP="004725A3">
      <w:pPr>
        <w:pStyle w:val="Text3"/>
        <w:spacing w:after="0" w:line="240" w:lineRule="atLeast"/>
        <w:ind w:left="0"/>
        <w:rPr>
          <w:i/>
          <w:iCs/>
          <w:noProof/>
          <w:sz w:val="20"/>
        </w:rPr>
      </w:pPr>
      <w:r w:rsidRPr="00F36655">
        <w:rPr>
          <w:i/>
          <w:noProof/>
          <w:sz w:val="20"/>
        </w:rPr>
        <w:t>Notă:</w:t>
      </w:r>
      <w:r w:rsidRPr="00F36655">
        <w:rPr>
          <w:noProof/>
        </w:rPr>
        <w:tab/>
      </w:r>
      <w:r w:rsidRPr="00F36655">
        <w:rPr>
          <w:i/>
          <w:noProof/>
          <w:sz w:val="20"/>
        </w:rPr>
        <w:t xml:space="preserve">Slovenia a raportat date doar pentru 2023. </w:t>
      </w:r>
      <w:bookmarkStart w:id="6" w:name="_Hlk234834023"/>
      <w:r w:rsidRPr="00F36655">
        <w:rPr>
          <w:i/>
          <w:noProof/>
          <w:sz w:val="20"/>
        </w:rPr>
        <w:t>Cipru a introdus salariul minim legal în 2023.</w:t>
      </w:r>
      <w:bookmarkEnd w:id="6"/>
    </w:p>
    <w:p w14:paraId="58BC4D52" w14:textId="6BA8B4B5" w:rsidR="00EB7484" w:rsidRPr="00F36655" w:rsidRDefault="004725A3" w:rsidP="00EB7484">
      <w:pPr>
        <w:pStyle w:val="Text3"/>
        <w:spacing w:after="0" w:line="240" w:lineRule="atLeast"/>
        <w:ind w:left="0"/>
        <w:rPr>
          <w:i/>
          <w:noProof/>
          <w:sz w:val="20"/>
        </w:rPr>
      </w:pPr>
      <w:r w:rsidRPr="00F36655">
        <w:rPr>
          <w:i/>
          <w:noProof/>
          <w:sz w:val="20"/>
        </w:rPr>
        <w:t xml:space="preserve">Sursă: </w:t>
      </w:r>
      <w:r w:rsidRPr="00F36655">
        <w:rPr>
          <w:noProof/>
        </w:rPr>
        <w:tab/>
      </w:r>
      <w:r w:rsidRPr="00F36655">
        <w:rPr>
          <w:i/>
          <w:noProof/>
          <w:sz w:val="20"/>
        </w:rPr>
        <w:t>Calcule proprii bazate pe datele transmise de statele membre.</w:t>
      </w:r>
    </w:p>
    <w:p w14:paraId="3D2FABF0" w14:textId="06D176E7" w:rsidR="00194409" w:rsidRPr="00F36655" w:rsidRDefault="00194409" w:rsidP="00E91DE2">
      <w:pPr>
        <w:spacing w:line="240" w:lineRule="atLeast"/>
        <w:jc w:val="both"/>
        <w:rPr>
          <w:rFonts w:ascii="Times New Roman" w:hAnsi="Times New Roman" w:cs="Times New Roman"/>
          <w:noProof/>
          <w:sz w:val="24"/>
          <w:szCs w:val="24"/>
        </w:rPr>
      </w:pPr>
      <w:r w:rsidRPr="00F36655">
        <w:rPr>
          <w:rFonts w:ascii="Times New Roman" w:hAnsi="Times New Roman"/>
          <w:b/>
          <w:noProof/>
          <w:sz w:val="24"/>
        </w:rPr>
        <w:t xml:space="preserve">În 2023, salariile minime legale au fost egale cu sau mai mari de 60 % din salariul median brut în șase state membre și mai mari de 50 % din salariul mediu brut în patru dintre acestea </w:t>
      </w:r>
      <w:r w:rsidRPr="00F36655">
        <w:rPr>
          <w:rFonts w:ascii="Times New Roman" w:hAnsi="Times New Roman"/>
          <w:noProof/>
          <w:sz w:val="24"/>
        </w:rPr>
        <w:t>(graficul 3). Salariile minime legale au atins 60 % din salariul median în Portugalia, Slovenia, Franța, Polonia, Germania și Grecia. Țările de Jos, Luxemburg, România, Spania, Cipru, Ungaria și Croația s-au situat la cel mult cinci puncte procentuale de valoarea de referință orientativă de 60 %, în timp ce cinci state membre au atins valori cuprinse între 50 % și 54 % din salariul median (</w:t>
      </w:r>
      <w:r w:rsidRPr="00F36655">
        <w:rPr>
          <w:rStyle w:val="FootnoteReference"/>
          <w:rFonts w:ascii="Times New Roman" w:hAnsi="Times New Roman" w:cs="Times New Roman"/>
          <w:noProof/>
          <w:sz w:val="24"/>
          <w:szCs w:val="24"/>
        </w:rPr>
        <w:footnoteReference w:id="10"/>
      </w:r>
      <w:r w:rsidRPr="00F36655">
        <w:rPr>
          <w:rFonts w:ascii="Times New Roman" w:hAnsi="Times New Roman"/>
          <w:noProof/>
          <w:sz w:val="24"/>
        </w:rPr>
        <w:t>). Acest indice a fost cel mai scăzut în Letonia și Malta în 2023, situându-se sub 50 %. O imagine similară se observă atunci când se examinează nivelurile salariului minim în raport cu salariile medii. Nivelurile salariului minim legal au depășit 50 % din salariul mediu în Slovenia, Franța, Țările de Jos și Germania, în timp ce Grecia, Portugalia și Polonia s-au situat la cel mult un punct procentual de această valoare.</w:t>
      </w:r>
    </w:p>
    <w:p w14:paraId="2549B253" w14:textId="01FDB0D4" w:rsidR="00FA4784" w:rsidRPr="00F36655" w:rsidRDefault="00ED238D" w:rsidP="00665C4D">
      <w:pPr>
        <w:pStyle w:val="paragraph"/>
        <w:keepNext/>
        <w:spacing w:before="0" w:beforeAutospacing="0" w:after="0" w:afterAutospacing="0"/>
        <w:textAlignment w:val="baseline"/>
        <w:rPr>
          <w:rFonts w:ascii="Segoe UI" w:hAnsi="Segoe UI" w:cs="Segoe UI"/>
          <w:noProof/>
          <w:sz w:val="18"/>
          <w:szCs w:val="18"/>
        </w:rPr>
      </w:pPr>
      <w:r w:rsidRPr="00F36655">
        <w:rPr>
          <w:rStyle w:val="normaltextrun"/>
          <w:b/>
          <w:noProof/>
        </w:rPr>
        <w:t>Graficul 3: </w:t>
      </w:r>
      <w:r w:rsidRPr="00F36655">
        <w:rPr>
          <w:rStyle w:val="normaltextrun"/>
          <w:noProof/>
        </w:rPr>
        <w:t>Salariul minim legal ca procent din salariul median și din salariul mediu, 2023</w:t>
      </w:r>
    </w:p>
    <w:p w14:paraId="02BAF9A6" w14:textId="4878AF45" w:rsidR="00900A5B" w:rsidRPr="00F36655" w:rsidRDefault="00900A5B" w:rsidP="00FA4784">
      <w:pPr>
        <w:spacing w:after="0" w:line="240" w:lineRule="atLeast"/>
        <w:rPr>
          <w:rFonts w:ascii="Times New Roman" w:hAnsi="Times New Roman" w:cs="Times New Roman"/>
          <w:i/>
          <w:noProof/>
        </w:rPr>
      </w:pPr>
    </w:p>
    <w:p w14:paraId="2AF168C7" w14:textId="6D0F28BC" w:rsidR="00436503" w:rsidRPr="00F36655" w:rsidRDefault="00D34E53" w:rsidP="00D44EA9">
      <w:pPr>
        <w:pStyle w:val="Text3"/>
        <w:spacing w:after="0" w:line="240" w:lineRule="atLeast"/>
        <w:ind w:left="0"/>
        <w:jc w:val="center"/>
        <w:rPr>
          <w:i/>
          <w:iCs/>
          <w:noProof/>
          <w:sz w:val="20"/>
        </w:rPr>
      </w:pPr>
      <w:r w:rsidRPr="00F36655">
        <w:rPr>
          <w:noProof/>
          <w:lang w:val="en-GB" w:eastAsia="en-GB"/>
        </w:rPr>
        <w:drawing>
          <wp:inline distT="0" distB="0" distL="0" distR="0" wp14:anchorId="1C562B19" wp14:editId="29CD6B37">
            <wp:extent cx="5731510" cy="2957195"/>
            <wp:effectExtent l="0" t="0" r="2540" b="0"/>
            <wp:docPr id="11712215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31510" cy="2957195"/>
                    </a:xfrm>
                    <a:prstGeom prst="rect">
                      <a:avLst/>
                    </a:prstGeom>
                    <a:noFill/>
                    <a:ln>
                      <a:noFill/>
                    </a:ln>
                  </pic:spPr>
                </pic:pic>
              </a:graphicData>
            </a:graphic>
          </wp:inline>
        </w:drawing>
      </w:r>
    </w:p>
    <w:p w14:paraId="6CED784D" w14:textId="2ED86700" w:rsidR="00FA4E27" w:rsidRPr="00F36655" w:rsidRDefault="00064DE6" w:rsidP="000C7476">
      <w:pPr>
        <w:pStyle w:val="Text3"/>
        <w:spacing w:after="360" w:line="240" w:lineRule="atLeast"/>
        <w:ind w:left="0"/>
        <w:rPr>
          <w:b/>
          <w:noProof/>
        </w:rPr>
      </w:pPr>
      <w:r w:rsidRPr="00F36655">
        <w:rPr>
          <w:i/>
          <w:noProof/>
          <w:sz w:val="20"/>
        </w:rPr>
        <w:t>Sursă: Calcule proprii bazate pe datele transmise de statele membre și pe calculele Eurostat privind salariile mediane și salariile medii, utilizând Ancheta asupra structurii câștigurilor salariale (SES).</w:t>
      </w:r>
    </w:p>
    <w:p w14:paraId="79E1BAD4" w14:textId="760F8CC7" w:rsidR="00CC3A1D" w:rsidRPr="00F36655" w:rsidRDefault="00F16DE8" w:rsidP="00D8403A">
      <w:pPr>
        <w:pStyle w:val="Text3"/>
        <w:spacing w:line="240" w:lineRule="atLeast"/>
        <w:ind w:left="0"/>
        <w:rPr>
          <w:noProof/>
        </w:rPr>
      </w:pPr>
      <w:r w:rsidRPr="00F36655">
        <w:rPr>
          <w:b/>
          <w:noProof/>
        </w:rPr>
        <w:t>În perioada 2021-2023, salariile minime legale au crescut mai rapid decât salariile mediane în majoritatea statelor membre</w:t>
      </w:r>
      <w:r w:rsidRPr="00F36655">
        <w:rPr>
          <w:noProof/>
        </w:rPr>
        <w:t xml:space="preserve">. Cea mai mare creștere a raportului dintre salariile minime legale și salariile mediane a fost înregistrată în Germania, unde acesta a crescut cu 8,1 puncte procentuale între 2021 și 2023. Alte state membre în care acest raport a consemnat creșteri considerabile au fost Țările de Jos, Grecia, Portugalia, Spania și Ungaria (între 2 și 3 puncte procentuale), în timp ce Franța, Cehia, Letonia, România, Lituania, Irlanda, Luxemburg și Polonia au raportat creșteri mai mici (între 0,5 și 2 puncte procentuale). Salariile minime au crescut mai lent decât salariile mediane numai în Croația, Malta, Slovacia și Bulgaria (între -0,2 și -4,8 puncte procentuale). Aceste evoluții sugerează o comprimare a salariilor la nivelul inferior al distribuției salariale, pe fondul apropierii salariilor minime legale de salariul median în majoritatea statelor membre. Totodată, este posibil ca majorarea salariilor minime să fi generat efecte de propagare asupra salariilor apropiate de nivelul salariului minim, reducând și mai mult decalajul dintre salariile mici și salariile mediane. </w:t>
      </w:r>
    </w:p>
    <w:p w14:paraId="1280857C" w14:textId="732618AE" w:rsidR="006479FB" w:rsidRPr="00F36655" w:rsidRDefault="006524BE" w:rsidP="003965C3">
      <w:pPr>
        <w:spacing w:line="240" w:lineRule="atLeast"/>
        <w:jc w:val="both"/>
        <w:rPr>
          <w:rFonts w:ascii="Times New Roman" w:hAnsi="Times New Roman" w:cs="Times New Roman"/>
          <w:i/>
          <w:iCs/>
          <w:noProof/>
          <w:sz w:val="24"/>
          <w:szCs w:val="24"/>
        </w:rPr>
      </w:pPr>
      <w:r w:rsidRPr="00F36655">
        <w:rPr>
          <w:rFonts w:ascii="Times New Roman" w:hAnsi="Times New Roman"/>
          <w:b/>
          <w:noProof/>
          <w:sz w:val="24"/>
        </w:rPr>
        <w:t xml:space="preserve">Ponderea lucrătorilor care câștigă salariul minim legal variază foarte mult de la un stat membru la altul, dar variațiile anuale sunt limitate. </w:t>
      </w:r>
      <w:r w:rsidRPr="00F36655">
        <w:rPr>
          <w:rFonts w:ascii="Times New Roman" w:hAnsi="Times New Roman"/>
          <w:noProof/>
          <w:sz w:val="24"/>
        </w:rPr>
        <w:t>Statele membre au raportat ponderi cuprinse între 1 % și 25 %, însă comparabilitatea acestor ponderi între țări este foarte limitată din cauza diferențelor în materie de surse de date și metodologii (</w:t>
      </w:r>
      <w:r w:rsidRPr="00F36655">
        <w:rPr>
          <w:rStyle w:val="FootnoteReference"/>
          <w:rFonts w:ascii="Times New Roman" w:hAnsi="Times New Roman" w:cs="Times New Roman"/>
          <w:noProof/>
          <w:sz w:val="24"/>
          <w:szCs w:val="24"/>
        </w:rPr>
        <w:footnoteReference w:id="11"/>
      </w:r>
      <w:r w:rsidRPr="00F36655">
        <w:rPr>
          <w:rFonts w:ascii="Times New Roman" w:hAnsi="Times New Roman"/>
          <w:noProof/>
          <w:sz w:val="24"/>
        </w:rPr>
        <w:t xml:space="preserve">). Ponderea lucrătorilor care câștigă salariul minim a tins să fie mai mare în rândul lucrătorilor tineri, al lucrătorilor din întreprinderile mai mici și al celor din sectoarele construcțiilor, ospitalității, serviciilor administrative și de sprijin. În majoritatea statelor membre care au furnizat o defalcare comparabilă a datelor, ponderea lucrătorilor care câștigă salariul minim a fost mai mare în rândul femeilor. În perioada 2021-2023, ponderile au rămas, în linii mari, stabile, cu variații de mai puțin de un punct procentual în Ungaria, Cehia, Letonia, Lituania, Țările de Jos, Luxemburg, Malta și Irlanda. Ponderea a scăzut cu între unu și două puncte procentuale în Polonia și Slovacia și cu aproape trei puncte procentuale în Bulgaria, Croația și Portugalia. În schimb, aceasta a crescut cu puțin peste un punct procentual în Spania și cu între patru și șase puncte procentuale în Germania, Franța și România. Creșterile mai mari ale ponderii lucrătorilor care câștigă salariul minim sugerează o comprimare a salariilor în partea inferioară a distribuției salariilor. </w:t>
      </w:r>
    </w:p>
    <w:p w14:paraId="0BC8FD92" w14:textId="4C511102" w:rsidR="00D849AC" w:rsidRPr="00F36655" w:rsidRDefault="794E76CE" w:rsidP="00096505">
      <w:pPr>
        <w:spacing w:line="240" w:lineRule="atLeast"/>
        <w:jc w:val="both"/>
        <w:rPr>
          <w:rFonts w:ascii="Times New Roman" w:hAnsi="Times New Roman" w:cs="Times New Roman"/>
          <w:noProof/>
          <w:sz w:val="24"/>
          <w:szCs w:val="24"/>
        </w:rPr>
      </w:pPr>
      <w:r w:rsidRPr="00F36655">
        <w:rPr>
          <w:rFonts w:ascii="Times New Roman" w:hAnsi="Times New Roman"/>
          <w:b/>
          <w:noProof/>
          <w:sz w:val="24"/>
        </w:rPr>
        <w:t>Unele state membre permit angajatorilor să plătească salarii sub salariul minim legal unor grupuri specifice de lucrători.</w:t>
      </w:r>
      <w:r w:rsidRPr="00F36655">
        <w:rPr>
          <w:rFonts w:ascii="Times New Roman" w:hAnsi="Times New Roman"/>
          <w:noProof/>
          <w:sz w:val="24"/>
        </w:rPr>
        <w:t xml:space="preserve"> Variațiile salariului minim legal aplicabile lucrătorilor tineri (Cipru, Franța, Germania, Irlanda, Luxemburg, Malta, Țările de Jos), lucrătorilor recent angajați (Cipru, Germania) sau lucrătorilor cu dizabilități (Țările de Jos, Portugalia) urmăresc să faciliteze integrarea acestor lucrători pe piața muncii. Variațiile salariului minim legal aplicabile studenților, ucenicilor și stagiarilor (Franța, Țările de Jos, Portugalia) urmăresc, de asemenea, să încurajeze angajatorii să ofere formare profesională.</w:t>
      </w:r>
    </w:p>
    <w:p w14:paraId="4A3F2B4B" w14:textId="07064022" w:rsidR="008C0D1B" w:rsidRPr="00F36655" w:rsidRDefault="001A5DE6" w:rsidP="00096505">
      <w:pPr>
        <w:spacing w:line="240" w:lineRule="atLeast"/>
        <w:jc w:val="both"/>
        <w:rPr>
          <w:rFonts w:ascii="Times New Roman" w:hAnsi="Times New Roman" w:cs="Times New Roman"/>
          <w:noProof/>
          <w:sz w:val="24"/>
          <w:szCs w:val="24"/>
        </w:rPr>
      </w:pPr>
      <w:r w:rsidRPr="00F36655">
        <w:rPr>
          <w:rFonts w:ascii="Times New Roman" w:hAnsi="Times New Roman"/>
          <w:b/>
          <w:noProof/>
          <w:sz w:val="24"/>
        </w:rPr>
        <w:t xml:space="preserve">În plus, mai multe state membre aplică variații ale salariului minim legal în cazul lucrătorilor din anumite regiuni, sectoare sau ocupații. </w:t>
      </w:r>
      <w:r w:rsidRPr="00F36655">
        <w:rPr>
          <w:rFonts w:ascii="Times New Roman" w:hAnsi="Times New Roman"/>
          <w:noProof/>
          <w:sz w:val="24"/>
        </w:rPr>
        <w:t xml:space="preserve">Acestea sunt, de regulă, justificate de situația economică din regiune (cum ar fi Mayotte, departament francez de peste mări) sau de natura specifică a sectorului sau a ocupației. În Cipru, lucrătorii din industria hotelieră fac obiectul unor salarii minime specifice sectorului și ocupației, care se bazează pe un acord cu partenerii sociali. În Franța, variațiile salariului minim legal aplicabile asistenților maternali și îngrijitorilor urmăresc să echilibreze interesele lucrătorilor din aceste profesii cu cele ale angajatorilor lor, inclusiv necesitatea ca aceste servicii de asistență să rămână la prețuri accesibile. Salariile minime mai mici pentru lucrătorii angajați în lucrări publice în Ungaria și pentru deținuții din Letonia urmăresc, respectiv, să încurajeze lucrătorii să își caute un loc de muncă în sectorul privat și să sprijine reintegrarea acestora. În schimb, Malta și România au introdus variații care impun plata unor salarii mai mari decât salariul minim legal în sectoarele afectate de volatilitatea economică sau în care lucrătorii au o putere de negociere mai redusă. </w:t>
      </w:r>
    </w:p>
    <w:p w14:paraId="758C59C3" w14:textId="3470E5EE" w:rsidR="00594041" w:rsidRPr="00F36655" w:rsidRDefault="000F7C44" w:rsidP="001813DD">
      <w:pPr>
        <w:spacing w:line="240" w:lineRule="atLeast"/>
        <w:jc w:val="both"/>
        <w:rPr>
          <w:rFonts w:ascii="Times New Roman" w:hAnsi="Times New Roman" w:cs="Times New Roman"/>
          <w:i/>
          <w:noProof/>
          <w:sz w:val="24"/>
          <w:szCs w:val="24"/>
        </w:rPr>
      </w:pPr>
      <w:r w:rsidRPr="00F36655">
        <w:rPr>
          <w:rFonts w:ascii="Times New Roman" w:hAnsi="Times New Roman"/>
          <w:b/>
          <w:noProof/>
          <w:sz w:val="24"/>
        </w:rPr>
        <w:t xml:space="preserve">Mai multe state membre permit angajatorilor să aplice deduceri, care pot reduce remunerația plătită unui lucrător la un nivel inferior salariului minim legal. </w:t>
      </w:r>
      <w:r w:rsidRPr="00F36655">
        <w:rPr>
          <w:rFonts w:ascii="Times New Roman" w:hAnsi="Times New Roman"/>
          <w:noProof/>
          <w:sz w:val="24"/>
        </w:rPr>
        <w:t>Acestea se pot referi la locuințe oferite de angajatori (Cipru, Irlanda, Țările de Jos), alimente (Cipru, Irlanda), asigurări de sănătate (Țările de Jos), amenzi pentru absențe nejustificate și încălcări ale normelor privind sănătatea și securitatea în muncă (Polonia), despăgubiri pentru prejudiciile cauzate angajatorului (Lituania, Polonia), precum și pensii de întreținere pentru copii și alte deduceri dispuse pe cale administrativă sau judiciară (Croația, Cehia, Franța, Lituania, Polonia). În multe cazuri, cuantumul deducerilor este limitat la un anumit procent din salariul lucrătorului (în general, între 5 % și 30 %). Alte deduceri pot fi aplicate numai cu condiția garantării unui nivel minim de venit pentru beneficiar.</w:t>
      </w:r>
    </w:p>
    <w:p w14:paraId="29DDCF55" w14:textId="77777777" w:rsidR="00795E32" w:rsidRPr="00F36655" w:rsidRDefault="00795E32">
      <w:pPr>
        <w:rPr>
          <w:rFonts w:ascii="Times New Roman" w:eastAsia="Times New Roman" w:hAnsi="Times New Roman" w:cs="Times New Roman"/>
          <w:i/>
          <w:noProof/>
          <w:kern w:val="0"/>
          <w:sz w:val="24"/>
          <w:szCs w:val="24"/>
          <w14:ligatures w14:val="none"/>
        </w:rPr>
      </w:pPr>
      <w:r w:rsidRPr="00F36655">
        <w:rPr>
          <w:noProof/>
        </w:rPr>
        <w:br w:type="page"/>
      </w:r>
    </w:p>
    <w:p w14:paraId="5D2C06C0" w14:textId="62908B3B" w:rsidR="007E503C" w:rsidRPr="00F36655" w:rsidRDefault="00BD03EF" w:rsidP="003965C3">
      <w:pPr>
        <w:pStyle w:val="Text1"/>
        <w:spacing w:line="240" w:lineRule="atLeast"/>
        <w:ind w:left="0"/>
        <w:rPr>
          <w:i/>
          <w:noProof/>
          <w:szCs w:val="24"/>
        </w:rPr>
      </w:pPr>
      <w:r w:rsidRPr="00F36655">
        <w:rPr>
          <w:i/>
          <w:noProof/>
        </w:rPr>
        <w:t xml:space="preserve">Protecția salariului minim asigurată exclusiv prin convenții colective </w:t>
      </w:r>
    </w:p>
    <w:p w14:paraId="5A9B399A" w14:textId="14EADE9E" w:rsidR="00054463" w:rsidRPr="00F36655" w:rsidRDefault="00A479B7" w:rsidP="00861815">
      <w:pPr>
        <w:spacing w:line="240" w:lineRule="atLeast"/>
        <w:jc w:val="both"/>
        <w:rPr>
          <w:rFonts w:ascii="Times New Roman" w:hAnsi="Times New Roman" w:cs="Times New Roman"/>
          <w:noProof/>
          <w:sz w:val="24"/>
          <w:szCs w:val="24"/>
        </w:rPr>
      </w:pPr>
      <w:bookmarkStart w:id="7" w:name="_Hlk234836503"/>
      <w:r w:rsidRPr="00F36655">
        <w:rPr>
          <w:rFonts w:ascii="Times New Roman" w:hAnsi="Times New Roman"/>
          <w:b/>
          <w:noProof/>
          <w:sz w:val="24"/>
        </w:rPr>
        <w:t>Cele mai scăzute salarii stabilite prin convențiile colective aplicabile persoanelor cu salarii mici </w:t>
      </w:r>
      <w:bookmarkStart w:id="8" w:name="_Hlk230768577"/>
      <w:r w:rsidRPr="00F36655">
        <w:rPr>
          <w:rFonts w:ascii="Times New Roman" w:hAnsi="Times New Roman"/>
          <w:b/>
          <w:noProof/>
          <w:sz w:val="24"/>
        </w:rPr>
        <w:t>(</w:t>
      </w:r>
      <w:r w:rsidRPr="00F36655">
        <w:rPr>
          <w:rStyle w:val="FootnoteReference"/>
          <w:rFonts w:ascii="Times New Roman" w:hAnsi="Times New Roman" w:cs="Times New Roman"/>
          <w:noProof/>
          <w:sz w:val="24"/>
          <w:szCs w:val="24"/>
        </w:rPr>
        <w:footnoteReference w:id="12"/>
      </w:r>
      <w:r w:rsidRPr="00F36655">
        <w:rPr>
          <w:rFonts w:ascii="Times New Roman" w:hAnsi="Times New Roman"/>
          <w:b/>
          <w:noProof/>
          <w:sz w:val="24"/>
        </w:rPr>
        <w:t>)</w:t>
      </w:r>
      <w:bookmarkEnd w:id="8"/>
      <w:r w:rsidRPr="00F36655">
        <w:rPr>
          <w:rFonts w:ascii="Times New Roman" w:hAnsi="Times New Roman"/>
          <w:b/>
          <w:noProof/>
          <w:sz w:val="24"/>
        </w:rPr>
        <w:t xml:space="preserve"> variază considerabil de la un stat membru la altul</w:t>
      </w:r>
      <w:bookmarkEnd w:id="7"/>
      <w:r w:rsidRPr="00F36655">
        <w:rPr>
          <w:noProof/>
        </w:rPr>
        <w:t xml:space="preserve"> </w:t>
      </w:r>
      <w:r w:rsidRPr="00F36655">
        <w:rPr>
          <w:rFonts w:ascii="Times New Roman" w:hAnsi="Times New Roman"/>
          <w:noProof/>
          <w:sz w:val="24"/>
        </w:rPr>
        <w:t>(graficul 4). În 2023, Danemarca a înregistrat cel mai ridicat nivel de salarizare (2 807 EUR pe lună), urmată de Belgia (1 955 EUR). Salarii cuprinse între 1 600 EUR și 1 800 EUR au fost raportate de Suedia (1 762 EUR), Austria (1 750 EUR), Italia (1 659 EUR) (</w:t>
      </w:r>
      <w:r w:rsidRPr="00F36655">
        <w:rPr>
          <w:rStyle w:val="FootnoteReference"/>
          <w:rFonts w:ascii="Times New Roman" w:hAnsi="Times New Roman" w:cs="Times New Roman"/>
          <w:noProof/>
          <w:sz w:val="24"/>
          <w:szCs w:val="24"/>
        </w:rPr>
        <w:footnoteReference w:id="13"/>
      </w:r>
      <w:r w:rsidRPr="00F36655">
        <w:rPr>
          <w:rFonts w:ascii="Times New Roman" w:hAnsi="Times New Roman"/>
          <w:noProof/>
          <w:sz w:val="24"/>
        </w:rPr>
        <w:t>) și Finlanda (1 642 EUR), în timp ce Estonia a raportat cel mai scăzut nivel de salarizare (725 EUR) (</w:t>
      </w:r>
      <w:r w:rsidRPr="00F36655">
        <w:rPr>
          <w:rStyle w:val="FootnoteReference"/>
          <w:rFonts w:ascii="Times New Roman" w:hAnsi="Times New Roman" w:cs="Times New Roman"/>
          <w:noProof/>
          <w:sz w:val="24"/>
          <w:szCs w:val="24"/>
        </w:rPr>
        <w:footnoteReference w:id="14"/>
      </w:r>
      <w:r w:rsidRPr="00F36655">
        <w:rPr>
          <w:rFonts w:ascii="Times New Roman" w:hAnsi="Times New Roman"/>
          <w:noProof/>
          <w:sz w:val="24"/>
        </w:rPr>
        <w:t>).</w:t>
      </w:r>
      <w:r w:rsidRPr="00F36655">
        <w:rPr>
          <w:noProof/>
        </w:rPr>
        <w:t xml:space="preserve"> </w:t>
      </w:r>
      <w:bookmarkStart w:id="10" w:name="_Hlk234837163"/>
      <w:r w:rsidRPr="00F36655">
        <w:rPr>
          <w:rFonts w:ascii="Times New Roman" w:hAnsi="Times New Roman"/>
          <w:noProof/>
          <w:sz w:val="24"/>
        </w:rPr>
        <w:t>În aceste state membre, lucrătorii cărora nu li se aplica nicio convenție colectivă câștigau, în general, mai puțin decât cei cărora li se aplica o astfel de convenție.</w:t>
      </w:r>
      <w:bookmarkEnd w:id="10"/>
    </w:p>
    <w:p w14:paraId="7E18EDDC" w14:textId="7EB021AB" w:rsidR="00370879" w:rsidRPr="00F36655" w:rsidRDefault="00370879" w:rsidP="000C7476">
      <w:pPr>
        <w:keepNext/>
        <w:spacing w:after="120" w:line="240" w:lineRule="atLeast"/>
        <w:rPr>
          <w:noProof/>
          <w:sz w:val="24"/>
          <w:szCs w:val="24"/>
        </w:rPr>
      </w:pPr>
      <w:r w:rsidRPr="00F36655">
        <w:rPr>
          <w:rFonts w:ascii="Times New Roman" w:hAnsi="Times New Roman"/>
          <w:b/>
          <w:noProof/>
          <w:sz w:val="24"/>
        </w:rPr>
        <w:t>Graficul 4</w:t>
      </w:r>
      <w:r w:rsidRPr="00F36655">
        <w:rPr>
          <w:rFonts w:ascii="Times New Roman" w:hAnsi="Times New Roman"/>
          <w:noProof/>
          <w:sz w:val="24"/>
        </w:rPr>
        <w:t>: Cele mai scăzute salarii lunare stabilite prin convenții colective (în EUR)</w:t>
      </w:r>
    </w:p>
    <w:p w14:paraId="3A65C1BE" w14:textId="18E7DB0B" w:rsidR="00644D5F" w:rsidRPr="00F36655" w:rsidRDefault="00E64757" w:rsidP="000C7476">
      <w:pPr>
        <w:pStyle w:val="Text2"/>
        <w:spacing w:after="0" w:line="240" w:lineRule="atLeast"/>
        <w:ind w:left="0"/>
        <w:jc w:val="center"/>
        <w:rPr>
          <w:rFonts w:eastAsiaTheme="minorEastAsia"/>
          <w:i/>
          <w:noProof/>
          <w:sz w:val="20"/>
        </w:rPr>
      </w:pPr>
      <w:r w:rsidRPr="00F36655">
        <w:rPr>
          <w:i/>
          <w:noProof/>
          <w:sz w:val="20"/>
          <w:lang w:val="en-GB" w:eastAsia="en-GB"/>
        </w:rPr>
        <w:drawing>
          <wp:inline distT="0" distB="0" distL="0" distR="0" wp14:anchorId="14F134CF" wp14:editId="0F6E48A3">
            <wp:extent cx="5572125" cy="1685925"/>
            <wp:effectExtent l="0" t="0" r="9525" b="9525"/>
            <wp:docPr id="13377991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583396" cy="1689335"/>
                    </a:xfrm>
                    <a:prstGeom prst="rect">
                      <a:avLst/>
                    </a:prstGeom>
                    <a:noFill/>
                  </pic:spPr>
                </pic:pic>
              </a:graphicData>
            </a:graphic>
          </wp:inline>
        </w:drawing>
      </w:r>
    </w:p>
    <w:p w14:paraId="1D69FB66" w14:textId="424D0D83" w:rsidR="00370879" w:rsidRPr="00F36655" w:rsidRDefault="00370879" w:rsidP="000C7476">
      <w:pPr>
        <w:pStyle w:val="Text2"/>
        <w:spacing w:after="0" w:line="240" w:lineRule="atLeast"/>
        <w:ind w:left="720" w:hanging="720"/>
        <w:rPr>
          <w:rFonts w:eastAsiaTheme="minorEastAsia"/>
          <w:i/>
          <w:noProof/>
          <w:sz w:val="20"/>
        </w:rPr>
      </w:pPr>
      <w:r w:rsidRPr="00F36655">
        <w:rPr>
          <w:i/>
          <w:noProof/>
          <w:sz w:val="20"/>
        </w:rPr>
        <w:t>Notă:</w:t>
      </w:r>
      <w:r w:rsidRPr="00F36655">
        <w:rPr>
          <w:noProof/>
        </w:rPr>
        <w:tab/>
      </w:r>
      <w:r w:rsidRPr="00F36655">
        <w:rPr>
          <w:i/>
          <w:noProof/>
          <w:sz w:val="20"/>
        </w:rPr>
        <w:t>În Suedia, scăderea celor mai mici salarii nominale exprimate în euro a fost cauzată de modificările cursului de schimb. Valoarea nominală în moneda națională a crescut în cursul perioadei. Italia a raportat date doar pentru 2023.</w:t>
      </w:r>
    </w:p>
    <w:p w14:paraId="32275B0F" w14:textId="2C4CB889" w:rsidR="00B91C9D" w:rsidRPr="00F36655" w:rsidRDefault="00370879" w:rsidP="00370879">
      <w:pPr>
        <w:pStyle w:val="Text2"/>
        <w:spacing w:line="240" w:lineRule="atLeast"/>
        <w:ind w:left="0"/>
        <w:rPr>
          <w:noProof/>
          <w:szCs w:val="24"/>
        </w:rPr>
      </w:pPr>
      <w:r w:rsidRPr="00F36655">
        <w:rPr>
          <w:i/>
          <w:noProof/>
          <w:sz w:val="20"/>
        </w:rPr>
        <w:t xml:space="preserve">Sursă: </w:t>
      </w:r>
      <w:r w:rsidRPr="00F36655">
        <w:rPr>
          <w:noProof/>
        </w:rPr>
        <w:tab/>
      </w:r>
      <w:r w:rsidRPr="00F36655">
        <w:rPr>
          <w:i/>
          <w:noProof/>
          <w:sz w:val="20"/>
        </w:rPr>
        <w:t>Contribuțiile statelor membre, convertite în EUR și în niveluri lunare ale salariilor.</w:t>
      </w:r>
    </w:p>
    <w:p w14:paraId="3464253D" w14:textId="6AF88241" w:rsidR="00C1551E" w:rsidRPr="00F36655" w:rsidRDefault="00B660AE" w:rsidP="007B0877">
      <w:pPr>
        <w:pStyle w:val="Text3"/>
        <w:spacing w:line="240" w:lineRule="atLeast"/>
        <w:ind w:left="0"/>
        <w:rPr>
          <w:noProof/>
          <w:color w:val="FF0000"/>
        </w:rPr>
      </w:pPr>
      <w:r w:rsidRPr="00F36655">
        <w:rPr>
          <w:b/>
          <w:noProof/>
        </w:rPr>
        <w:t>Decalajele dintre cele mai scăzute salarii convenite colectiv în statele membre se reduc atunci când sunt luate în considerare diferențele dintre nivelurile prețurilor</w:t>
      </w:r>
      <w:r w:rsidRPr="00F36655">
        <w:rPr>
          <w:noProof/>
        </w:rPr>
        <w:t>. În 2023, cele mai scăzute salarii nominale din Danemarca au fost de aproape patru ori mai mari decât în Estonia. Atunci când sunt exprimate în standarde ale puterii de cumpărare pentru a ține seama de faptul că statele membre cu salarii mai mari tind să aibă un nivel mai ridicat al prețurilor, această diferență scade la mai puțin de trei ori. Exprimate în standarde ale puterii de cumpărare, cele mai scăzute salarii convenite colectiv au fost, în 2023, cele mai ridicate în Danemarca, urmată de Italia, Belgia, Austria, Suedia și Finlanda. Cele mai scăzute salarii în ceea ce privește puterea de cumpărare – la o distanță considerabilă – au fost înregistrate în Estonia.</w:t>
      </w:r>
    </w:p>
    <w:p w14:paraId="6F0E90D7" w14:textId="27C0994A" w:rsidR="000A72AE" w:rsidRPr="00F36655" w:rsidRDefault="00FF2000" w:rsidP="00B20918">
      <w:pPr>
        <w:pStyle w:val="Text2"/>
        <w:spacing w:line="240" w:lineRule="atLeast"/>
        <w:ind w:left="0"/>
        <w:rPr>
          <w:noProof/>
        </w:rPr>
      </w:pPr>
      <w:bookmarkStart w:id="11" w:name="_Hlk234836587"/>
      <w:r w:rsidRPr="00F36655">
        <w:rPr>
          <w:b/>
          <w:noProof/>
        </w:rPr>
        <w:t xml:space="preserve">În majoritatea statelor membre care se bazează numai pe negocieri colective, majorările celor mai scăzute salarii convenite colectiv au fost inferioare inflației pe parcursul perioadei de referință </w:t>
      </w:r>
      <w:bookmarkEnd w:id="11"/>
      <w:r w:rsidRPr="00F36655">
        <w:rPr>
          <w:noProof/>
        </w:rPr>
        <w:t xml:space="preserve">(graficul 5). În perioada 2021-2023, puterea de cumpărare a persoanelor cu cele mai mici salarii a scăzut cu între 5 % și 10 % în toate țările, cu excepția Austriei și a Belgiei. Cea mai mare pierdere a fost înregistrată în Suedia (-10 %). Pierderi mai mici, dar totuși semnificative au fost înregistrate în Finlanda (-7 %), Danemarca (-6 %) și Estonia (-5 %). În Austria, cele mai scăzute salarii au rămas relativ stabile în termeni reali (0,2 %), în timp ce în Belgia acestea au crescut cu 3 %. </w:t>
      </w:r>
    </w:p>
    <w:p w14:paraId="4780297F" w14:textId="6F6C55EA" w:rsidR="000C4E19" w:rsidRPr="00F36655" w:rsidRDefault="000C4E19" w:rsidP="008B2111">
      <w:pPr>
        <w:pStyle w:val="Text2"/>
        <w:keepNext/>
        <w:spacing w:after="120" w:line="240" w:lineRule="atLeast"/>
        <w:ind w:left="0"/>
        <w:jc w:val="left"/>
        <w:rPr>
          <w:noProof/>
        </w:rPr>
      </w:pPr>
      <w:r w:rsidRPr="00F36655">
        <w:rPr>
          <w:b/>
          <w:noProof/>
        </w:rPr>
        <w:t>Graficul 5:</w:t>
      </w:r>
      <w:r w:rsidRPr="00F36655">
        <w:rPr>
          <w:noProof/>
        </w:rPr>
        <w:t xml:space="preserve"> Creșterea reală a celor mai scăzute salarii, 2021-2023</w:t>
      </w:r>
    </w:p>
    <w:p w14:paraId="0B5D168C" w14:textId="78001D8B" w:rsidR="000C4E19" w:rsidRPr="00F36655" w:rsidRDefault="00D23070" w:rsidP="000C7476">
      <w:pPr>
        <w:pStyle w:val="Text2"/>
        <w:spacing w:after="0" w:line="240" w:lineRule="atLeast"/>
        <w:ind w:left="0"/>
        <w:jc w:val="center"/>
        <w:rPr>
          <w:noProof/>
        </w:rPr>
      </w:pPr>
      <w:r w:rsidRPr="00F36655">
        <w:rPr>
          <w:noProof/>
          <w:lang w:val="en-GB" w:eastAsia="en-GB"/>
        </w:rPr>
        <w:drawing>
          <wp:inline distT="0" distB="0" distL="0" distR="0" wp14:anchorId="30B059E0" wp14:editId="2D751A1D">
            <wp:extent cx="5112588" cy="2204162"/>
            <wp:effectExtent l="0" t="0" r="0" b="5715"/>
            <wp:docPr id="133798825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150682" cy="2220585"/>
                    </a:xfrm>
                    <a:prstGeom prst="rect">
                      <a:avLst/>
                    </a:prstGeom>
                    <a:noFill/>
                  </pic:spPr>
                </pic:pic>
              </a:graphicData>
            </a:graphic>
          </wp:inline>
        </w:drawing>
      </w:r>
    </w:p>
    <w:p w14:paraId="08DBC477" w14:textId="3F517DD4" w:rsidR="000C4E19" w:rsidRPr="00F36655" w:rsidRDefault="000C4E19" w:rsidP="000C4E19">
      <w:pPr>
        <w:pStyle w:val="Text2"/>
        <w:spacing w:after="0" w:line="240" w:lineRule="atLeast"/>
        <w:ind w:left="0"/>
        <w:rPr>
          <w:i/>
          <w:iCs/>
          <w:noProof/>
          <w:sz w:val="20"/>
        </w:rPr>
      </w:pPr>
      <w:r w:rsidRPr="00F36655">
        <w:rPr>
          <w:i/>
          <w:noProof/>
          <w:sz w:val="20"/>
        </w:rPr>
        <w:t xml:space="preserve">Notă: </w:t>
      </w:r>
      <w:r w:rsidRPr="00F36655">
        <w:rPr>
          <w:noProof/>
        </w:rPr>
        <w:tab/>
      </w:r>
      <w:r w:rsidRPr="00F36655">
        <w:rPr>
          <w:i/>
          <w:noProof/>
          <w:sz w:val="20"/>
        </w:rPr>
        <w:t>Ratele de creștere pentru Italia nu au fost disponibile, deoarece au fost furnizate date numai pentru 2023.</w:t>
      </w:r>
    </w:p>
    <w:p w14:paraId="720CACF8" w14:textId="77777777" w:rsidR="000C4E19" w:rsidRPr="00F36655" w:rsidRDefault="000C4E19" w:rsidP="000C4E19">
      <w:pPr>
        <w:pStyle w:val="Text2"/>
        <w:spacing w:line="240" w:lineRule="atLeast"/>
        <w:ind w:left="0"/>
        <w:rPr>
          <w:i/>
          <w:noProof/>
          <w:sz w:val="20"/>
        </w:rPr>
      </w:pPr>
      <w:r w:rsidRPr="00F36655">
        <w:rPr>
          <w:i/>
          <w:noProof/>
          <w:sz w:val="20"/>
        </w:rPr>
        <w:t xml:space="preserve">Sursă: </w:t>
      </w:r>
      <w:r w:rsidRPr="00F36655">
        <w:rPr>
          <w:noProof/>
        </w:rPr>
        <w:tab/>
      </w:r>
      <w:r w:rsidRPr="00F36655">
        <w:rPr>
          <w:i/>
          <w:noProof/>
          <w:sz w:val="20"/>
        </w:rPr>
        <w:t>Datele transmise de statele membre.</w:t>
      </w:r>
    </w:p>
    <w:p w14:paraId="12FFD667" w14:textId="54BE1B8A" w:rsidR="0073036D" w:rsidRPr="00F36655" w:rsidRDefault="00D012BE" w:rsidP="0073036D">
      <w:pPr>
        <w:pStyle w:val="Text2"/>
        <w:spacing w:line="240" w:lineRule="atLeast"/>
        <w:ind w:left="0"/>
        <w:rPr>
          <w:noProof/>
        </w:rPr>
      </w:pPr>
      <w:r w:rsidRPr="00F36655">
        <w:rPr>
          <w:b/>
          <w:noProof/>
        </w:rPr>
        <w:t xml:space="preserve">Amploarea pierderilor în materie de putere de cumpărare suferite de lucrătorii remunerați cu salariul minim reflectă capacitatea sistemelor de protecție a salariului minim de a se adapta în timp util la inflația ridicată. </w:t>
      </w:r>
      <w:r w:rsidRPr="00F36655">
        <w:rPr>
          <w:noProof/>
        </w:rPr>
        <w:t xml:space="preserve">În mai multe țări în care protecția salariului minim este asigurată exclusiv prin convenții colective, lucrătorii care câștigă cele mai scăzute salarii au înregistrat pierderi salariale reale în perioada 2021-2023, în timp ce situația a fost mai eterogenă în rândul statelor membre cu salarii minime legale. În cazul în care stabilirea salariilor minime implică negocieri colective, </w:t>
      </w:r>
      <w:bookmarkStart w:id="12" w:name="_Hlk234836658"/>
      <w:r w:rsidRPr="00F36655">
        <w:rPr>
          <w:noProof/>
        </w:rPr>
        <w:t>adaptarea la circumstanțe neprevăzute, cum ar fi creșterile bruște ale inflației, poate necesita mai mult timp (</w:t>
      </w:r>
      <w:r w:rsidRPr="00F36655">
        <w:rPr>
          <w:rStyle w:val="FootnoteReference"/>
          <w:noProof/>
        </w:rPr>
        <w:footnoteReference w:id="15"/>
      </w:r>
      <w:r w:rsidRPr="00F36655">
        <w:rPr>
          <w:noProof/>
        </w:rPr>
        <w:t xml:space="preserve">). </w:t>
      </w:r>
      <w:bookmarkEnd w:id="12"/>
      <w:r w:rsidRPr="00F36655">
        <w:rPr>
          <w:noProof/>
        </w:rPr>
        <w:t xml:space="preserve">Totodată, modul în care așteptările inflaționiste sunt luate în considerare în procesul de stabilire a salariilor diferă de la un stat membru la altul. </w:t>
      </w:r>
      <w:bookmarkStart w:id="13" w:name="_Hlk234836678"/>
      <w:r w:rsidRPr="00F36655">
        <w:rPr>
          <w:noProof/>
        </w:rPr>
        <w:t>Totuși, impactul economic și social a fost atenuat, deoarece în statele membre care se bazează pe convenții colective pentru protecția salariului minim cele mai scăzute salarii au tins să fie relativ ridicate în comparație cu salariile minime legale din alte țări ale UE.</w:t>
      </w:r>
    </w:p>
    <w:bookmarkEnd w:id="13"/>
    <w:p w14:paraId="0146AD50" w14:textId="4C240D5C" w:rsidR="00A621C6" w:rsidRPr="00F36655" w:rsidRDefault="009B3AB1" w:rsidP="0097324B">
      <w:pPr>
        <w:rPr>
          <w:rFonts w:ascii="Times New Roman" w:hAnsi="Times New Roman" w:cs="Times New Roman"/>
          <w:i/>
          <w:noProof/>
          <w:sz w:val="24"/>
          <w:szCs w:val="24"/>
        </w:rPr>
      </w:pPr>
      <w:r w:rsidRPr="00F36655">
        <w:rPr>
          <w:rFonts w:ascii="Times New Roman" w:hAnsi="Times New Roman"/>
          <w:i/>
          <w:noProof/>
          <w:sz w:val="24"/>
        </w:rPr>
        <w:t>Acoperirea negocierilor colective</w:t>
      </w:r>
      <w:r w:rsidRPr="00F36655">
        <w:rPr>
          <w:b/>
          <w:noProof/>
        </w:rPr>
        <w:t xml:space="preserve"> </w:t>
      </w:r>
    </w:p>
    <w:p w14:paraId="1033B013" w14:textId="43DE1CD2" w:rsidR="008B4060" w:rsidRPr="00F36655" w:rsidRDefault="007B3CE5" w:rsidP="008B4060">
      <w:pPr>
        <w:pStyle w:val="Text1"/>
        <w:spacing w:line="240" w:lineRule="atLeast"/>
        <w:ind w:left="0"/>
        <w:rPr>
          <w:noProof/>
        </w:rPr>
      </w:pPr>
      <w:r w:rsidRPr="00F36655">
        <w:rPr>
          <w:b/>
          <w:noProof/>
        </w:rPr>
        <w:t xml:space="preserve">Ratele de acoperire a negocierilor colective variază foarte mult de la un stat membru la altul: în unele state membre, convențiile colective se aplică tuturor lucrătorilor, iar în altele, la mai puțin de o cincime dintre aceștia </w:t>
      </w:r>
      <w:r w:rsidRPr="00F36655">
        <w:rPr>
          <w:noProof/>
        </w:rPr>
        <w:t>(graficul 6).</w:t>
      </w:r>
      <w:r w:rsidR="00F36655">
        <w:rPr>
          <w:noProof/>
        </w:rPr>
        <w:t xml:space="preserve"> </w:t>
      </w:r>
      <w:r w:rsidRPr="00F36655">
        <w:rPr>
          <w:noProof/>
        </w:rPr>
        <w:t>Belgia și Italia au avut rate de acoperire a negocierilor colective de 100 % în 2023, în timp ce alte șase state membre au avut rate peste pragul de 80 %, și anume Austria (94,9 %), Spania (91,8 %), Finlanda (88,8 %), Suedia (88 %), Portugalia (83,3 %) și Danemarca (81 %). Sub acest prag, peste jumătate din totalul lucrătorilor erau acoperiți de convenții colective în Țările de Jos (72,6 %), Slovenia (65,3 %) și Luxemburg (57,3 %). Între o cincime și jumătate dintre lucrători erau acoperiți în Germania (49,5 %), Cehia (42,4 %), Letonia (31,6 %), Malta (31 %), România (28,0 %), Slovacia (27 %) și Cipru (24,9 %). În cele din urmă, cele mai scăzute rate de acoperire a negocierilor colective, sub 20 %, au fost raportate de Estonia (19,1 %), Bulgaria (16,2 %), Ungaria (14,8 %) și Polonia (11,6 %) (</w:t>
      </w:r>
      <w:r w:rsidRPr="00F36655">
        <w:rPr>
          <w:rStyle w:val="FootnoteReference"/>
          <w:noProof/>
        </w:rPr>
        <w:footnoteReference w:id="16"/>
      </w:r>
      <w:r w:rsidRPr="00F36655">
        <w:rPr>
          <w:noProof/>
        </w:rPr>
        <w:t>). În perioada 2021-2023, ratele de acoperire a negocierilor colective au variat relativ puțin, cu excepția celor din Cipru, Malta și România (</w:t>
      </w:r>
      <w:r w:rsidRPr="00F36655">
        <w:rPr>
          <w:rStyle w:val="FootnoteReference"/>
          <w:noProof/>
        </w:rPr>
        <w:footnoteReference w:id="17"/>
      </w:r>
      <w:r w:rsidRPr="00F36655">
        <w:rPr>
          <w:noProof/>
        </w:rPr>
        <w:t>).</w:t>
      </w:r>
      <w:r w:rsidRPr="00F36655">
        <w:rPr>
          <w:b/>
          <w:noProof/>
        </w:rPr>
        <w:t xml:space="preserve"> </w:t>
      </w:r>
    </w:p>
    <w:p w14:paraId="47B691EC" w14:textId="728AE56C" w:rsidR="00F17AF4" w:rsidRPr="00F36655" w:rsidRDefault="00F17AF4" w:rsidP="00F17AF4">
      <w:pPr>
        <w:spacing w:after="0" w:line="240" w:lineRule="atLeast"/>
        <w:jc w:val="center"/>
        <w:rPr>
          <w:rFonts w:ascii="Times New Roman" w:hAnsi="Times New Roman" w:cs="Times New Roman"/>
          <w:noProof/>
          <w:sz w:val="24"/>
          <w:szCs w:val="24"/>
        </w:rPr>
      </w:pPr>
      <w:r w:rsidRPr="00F36655">
        <w:rPr>
          <w:rFonts w:ascii="Times New Roman" w:hAnsi="Times New Roman"/>
          <w:b/>
          <w:noProof/>
          <w:sz w:val="24"/>
        </w:rPr>
        <w:t>Graficul 6</w:t>
      </w:r>
      <w:r w:rsidRPr="00F36655">
        <w:rPr>
          <w:rFonts w:ascii="Times New Roman" w:hAnsi="Times New Roman"/>
          <w:noProof/>
          <w:sz w:val="24"/>
        </w:rPr>
        <w:t>: Ratele de acoperire a negocierilor colective în UE, 2021-2023</w:t>
      </w:r>
    </w:p>
    <w:p w14:paraId="4208F0B6" w14:textId="06E41746" w:rsidR="00F17AF4" w:rsidRPr="00F36655" w:rsidRDefault="00C62B12" w:rsidP="00F17AF4">
      <w:pPr>
        <w:pStyle w:val="Text2"/>
        <w:spacing w:after="0" w:line="240" w:lineRule="atLeast"/>
        <w:ind w:left="0"/>
        <w:rPr>
          <w:noProof/>
        </w:rPr>
      </w:pPr>
      <w:r w:rsidRPr="00F36655">
        <w:rPr>
          <w:noProof/>
          <w:lang w:val="en-GB" w:eastAsia="en-GB"/>
        </w:rPr>
        <w:drawing>
          <wp:inline distT="0" distB="0" distL="0" distR="0" wp14:anchorId="7C28C409" wp14:editId="3358DCAF">
            <wp:extent cx="5600065" cy="2228850"/>
            <wp:effectExtent l="0" t="0" r="635" b="0"/>
            <wp:docPr id="20544024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627138" cy="2239625"/>
                    </a:xfrm>
                    <a:prstGeom prst="rect">
                      <a:avLst/>
                    </a:prstGeom>
                    <a:noFill/>
                  </pic:spPr>
                </pic:pic>
              </a:graphicData>
            </a:graphic>
          </wp:inline>
        </w:drawing>
      </w:r>
    </w:p>
    <w:p w14:paraId="426B17A0" w14:textId="6ACCF222" w:rsidR="00C10C24" w:rsidRPr="00F36655" w:rsidRDefault="00C10C24" w:rsidP="000C7476">
      <w:pPr>
        <w:pStyle w:val="Text3"/>
        <w:spacing w:after="0" w:line="240" w:lineRule="atLeast"/>
        <w:ind w:left="720" w:hanging="720"/>
        <w:jc w:val="left"/>
        <w:rPr>
          <w:i/>
          <w:iCs/>
          <w:noProof/>
          <w:sz w:val="20"/>
        </w:rPr>
      </w:pPr>
      <w:r w:rsidRPr="00F36655">
        <w:rPr>
          <w:i/>
          <w:noProof/>
          <w:sz w:val="20"/>
        </w:rPr>
        <w:t xml:space="preserve">Notă: </w:t>
      </w:r>
      <w:r w:rsidRPr="00F36655">
        <w:rPr>
          <w:noProof/>
        </w:rPr>
        <w:tab/>
      </w:r>
      <w:r w:rsidRPr="00F36655">
        <w:rPr>
          <w:i/>
          <w:noProof/>
          <w:sz w:val="20"/>
        </w:rPr>
        <w:t xml:space="preserve">Croația, Franța, Grecia, Irlanda și Lituania nu au prezentat date pentru niciunul dintre cei trei ani. Malta a utilizat surse de date diferite pentru fiecare an de raportare – Ancheta asupra structurii câștigurilor salariale pentru 2022 și un studiu realizat de Department of Industrial and Employment Relations (Departamentul pentru relații industriale și de ocupare a forței de muncă) pentru 2023. </w:t>
      </w:r>
      <w:bookmarkStart w:id="14" w:name="_Hlk234834141"/>
      <w:r w:rsidRPr="00F36655">
        <w:rPr>
          <w:i/>
          <w:noProof/>
          <w:sz w:val="20"/>
        </w:rPr>
        <w:t>În 2021, Suedia a utilizat o metodă diferită pentru a calcula acoperirea negocierilor colective. Slovenia, Luxemburg, Letonia și Estonia au furnizat date numai pentru anumiți ani.</w:t>
      </w:r>
      <w:bookmarkEnd w:id="14"/>
    </w:p>
    <w:p w14:paraId="1D112D83" w14:textId="3B27B797" w:rsidR="00EE16C6" w:rsidRPr="00F36655" w:rsidRDefault="00F17AF4" w:rsidP="003C763C">
      <w:pPr>
        <w:pStyle w:val="Text3"/>
        <w:spacing w:line="240" w:lineRule="atLeast"/>
        <w:ind w:left="0"/>
        <w:jc w:val="left"/>
        <w:rPr>
          <w:i/>
          <w:noProof/>
          <w:sz w:val="20"/>
        </w:rPr>
      </w:pPr>
      <w:r w:rsidRPr="00F36655">
        <w:rPr>
          <w:i/>
          <w:noProof/>
          <w:sz w:val="20"/>
        </w:rPr>
        <w:t xml:space="preserve">Sursă: </w:t>
      </w:r>
      <w:r w:rsidRPr="00F36655">
        <w:rPr>
          <w:noProof/>
        </w:rPr>
        <w:tab/>
      </w:r>
      <w:r w:rsidRPr="00F36655">
        <w:rPr>
          <w:i/>
          <w:noProof/>
          <w:sz w:val="20"/>
        </w:rPr>
        <w:t>Datele transmise de statele membre.</w:t>
      </w:r>
    </w:p>
    <w:p w14:paraId="1798CCFE" w14:textId="77777777" w:rsidR="00457FF4" w:rsidRPr="00F36655" w:rsidRDefault="00457FF4" w:rsidP="00C62B12">
      <w:pPr>
        <w:pStyle w:val="Heading3"/>
        <w:rPr>
          <w:rFonts w:ascii="Times New Roman" w:hAnsi="Times New Roman" w:cs="Times New Roman"/>
          <w:noProof/>
        </w:rPr>
      </w:pPr>
    </w:p>
    <w:p w14:paraId="6E398678" w14:textId="6CC3336D" w:rsidR="004C2FD8" w:rsidRPr="00F36655" w:rsidRDefault="004C2FD8" w:rsidP="00C62B12">
      <w:pPr>
        <w:pStyle w:val="Heading3"/>
        <w:rPr>
          <w:rFonts w:ascii="Times New Roman" w:hAnsi="Times New Roman" w:cs="Times New Roman"/>
          <w:noProof/>
        </w:rPr>
      </w:pPr>
      <w:bookmarkStart w:id="15" w:name="_Toc235106023"/>
      <w:r w:rsidRPr="00F36655">
        <w:rPr>
          <w:rFonts w:ascii="Times New Roman" w:hAnsi="Times New Roman"/>
          <w:noProof/>
        </w:rPr>
        <w:t>PARTEA II: PLANURI DE ACȚIUNE PENTRU PROMOVAREA NEGOCIERILOR COLECTIVE</w:t>
      </w:r>
      <w:bookmarkEnd w:id="15"/>
    </w:p>
    <w:p w14:paraId="3BF03A5F" w14:textId="17A40A61" w:rsidR="006F4659" w:rsidRPr="00F36655" w:rsidRDefault="00D612C3" w:rsidP="009E1491">
      <w:pPr>
        <w:spacing w:line="240" w:lineRule="atLeast"/>
        <w:jc w:val="both"/>
        <w:rPr>
          <w:rFonts w:ascii="Times New Roman" w:eastAsia="Times New Roman" w:hAnsi="Times New Roman" w:cs="Times New Roman"/>
          <w:noProof/>
          <w:color w:val="000000"/>
          <w:kern w:val="0"/>
          <w:sz w:val="24"/>
          <w:szCs w:val="20"/>
          <w14:ligatures w14:val="none"/>
        </w:rPr>
      </w:pPr>
      <w:r w:rsidRPr="00F36655">
        <w:rPr>
          <w:rFonts w:ascii="Times New Roman" w:hAnsi="Times New Roman"/>
          <w:b/>
          <w:noProof/>
          <w:color w:val="000000"/>
          <w:sz w:val="24"/>
        </w:rPr>
        <w:t>În prezent, există 18 state membre în care rata de acoperire a negocierilor colective se situează sub pragul de 80 % </w:t>
      </w:r>
      <w:r w:rsidRPr="00F36655">
        <w:rPr>
          <w:rFonts w:ascii="Times New Roman" w:hAnsi="Times New Roman"/>
          <w:noProof/>
          <w:color w:val="000000"/>
          <w:sz w:val="24"/>
        </w:rPr>
        <w:t>(</w:t>
      </w:r>
      <w:r w:rsidRPr="00F36655">
        <w:rPr>
          <w:rFonts w:ascii="Times New Roman" w:eastAsia="Times New Roman" w:hAnsi="Times New Roman" w:cs="Times New Roman"/>
          <w:noProof/>
          <w:color w:val="000000"/>
          <w:kern w:val="0"/>
          <w:sz w:val="24"/>
          <w:szCs w:val="24"/>
          <w:vertAlign w:val="superscript"/>
          <w:lang w:eastAsia="en-IE"/>
        </w:rPr>
        <w:footnoteReference w:id="18"/>
      </w:r>
      <w:r w:rsidRPr="00F36655">
        <w:rPr>
          <w:rFonts w:ascii="Times New Roman" w:hAnsi="Times New Roman"/>
          <w:noProof/>
          <w:color w:val="000000"/>
          <w:sz w:val="24"/>
        </w:rPr>
        <w:t xml:space="preserve">). Prin urmare, aceste state membre au obligația de a elabora un plan de acțiune pentru promovarea negocierilor colective, în conformitate cu articolul 4 alineatul (2) din directivă. Directiva prevede, de asemenea, că planurile de acțiune trebuie făcute publice și notificate Comisiei. Deși nu stabilește un termen pentru elaborarea planurilor de acțiune, se poate deduce că acestea ar trebui elaborate fără întârzieri nejustificate. </w:t>
      </w:r>
    </w:p>
    <w:p w14:paraId="4A0D9C69" w14:textId="49EB81CA" w:rsidR="006D170B" w:rsidRPr="00F36655" w:rsidRDefault="00506ABD" w:rsidP="003965C3">
      <w:pPr>
        <w:spacing w:line="240" w:lineRule="atLeast"/>
        <w:jc w:val="both"/>
        <w:rPr>
          <w:rFonts w:ascii="Times New Roman" w:hAnsi="Times New Roman" w:cs="Times New Roman"/>
          <w:noProof/>
          <w:sz w:val="24"/>
          <w:szCs w:val="24"/>
        </w:rPr>
      </w:pPr>
      <w:bookmarkStart w:id="16" w:name="_Hlk234837493"/>
      <w:r w:rsidRPr="00F36655">
        <w:rPr>
          <w:rFonts w:ascii="Times New Roman" w:hAnsi="Times New Roman"/>
          <w:b/>
          <w:noProof/>
          <w:color w:val="000000"/>
          <w:sz w:val="24"/>
        </w:rPr>
        <w:t>Până la 15 iunie 2026, Comisia a primit planurile de acțiune din partea a 12 state membre</w:t>
      </w:r>
      <w:r w:rsidRPr="00F36655">
        <w:rPr>
          <w:b/>
          <w:noProof/>
        </w:rPr>
        <w:t> </w:t>
      </w:r>
      <w:r w:rsidRPr="00F36655">
        <w:rPr>
          <w:noProof/>
        </w:rPr>
        <w:t>(</w:t>
      </w:r>
      <w:bookmarkEnd w:id="16"/>
      <w:r w:rsidRPr="00F36655">
        <w:rPr>
          <w:rFonts w:ascii="Times New Roman" w:eastAsia="Times New Roman" w:hAnsi="Times New Roman" w:cs="Times New Roman"/>
          <w:noProof/>
          <w:color w:val="000000"/>
          <w:kern w:val="0"/>
          <w:sz w:val="24"/>
          <w:szCs w:val="24"/>
          <w:vertAlign w:val="superscript"/>
          <w:lang w:eastAsia="en-IE"/>
        </w:rPr>
        <w:footnoteReference w:id="19"/>
      </w:r>
      <w:r w:rsidRPr="00F36655">
        <w:rPr>
          <w:noProof/>
        </w:rPr>
        <w:t>).</w:t>
      </w:r>
      <w:r w:rsidRPr="00F36655">
        <w:rPr>
          <w:rFonts w:ascii="Times New Roman" w:hAnsi="Times New Roman"/>
          <w:noProof/>
          <w:color w:val="000000"/>
          <w:sz w:val="24"/>
        </w:rPr>
        <w:t xml:space="preserve"> Prin urmare, analiza se limitează la planurile de acțiune ale acestor state membre. Î</w:t>
      </w:r>
      <w:r w:rsidRPr="00F36655">
        <w:rPr>
          <w:rFonts w:ascii="Times New Roman" w:hAnsi="Times New Roman"/>
          <w:noProof/>
          <w:sz w:val="24"/>
        </w:rPr>
        <w:t>n celelalte șase state membre (</w:t>
      </w:r>
      <w:r w:rsidRPr="00F36655">
        <w:rPr>
          <w:rStyle w:val="FootnoteReference"/>
          <w:rFonts w:ascii="Times New Roman" w:hAnsi="Times New Roman" w:cs="Times New Roman"/>
          <w:noProof/>
          <w:sz w:val="24"/>
          <w:szCs w:val="24"/>
        </w:rPr>
        <w:footnoteReference w:id="20"/>
      </w:r>
      <w:r w:rsidRPr="00F36655">
        <w:rPr>
          <w:rFonts w:ascii="Times New Roman" w:hAnsi="Times New Roman"/>
          <w:noProof/>
          <w:sz w:val="24"/>
        </w:rPr>
        <w:t xml:space="preserve">), planurile de acțiune sunt discutate cu partenerii sociali. Comisia monitorizează îndeaproape evoluțiile din aceste țări și se așteaptă ca ele să își elaboreze planurile de acțiune în lunile următoare. </w:t>
      </w:r>
    </w:p>
    <w:p w14:paraId="53FB4494" w14:textId="21136233" w:rsidR="003849E3" w:rsidRPr="00F36655" w:rsidRDefault="00F9361F" w:rsidP="00C3301A">
      <w:pPr>
        <w:spacing w:after="240" w:line="240" w:lineRule="auto"/>
        <w:jc w:val="both"/>
        <w:rPr>
          <w:rFonts w:ascii="Times New Roman" w:hAnsi="Times New Roman" w:cs="Times New Roman"/>
          <w:bCs/>
          <w:noProof/>
          <w:sz w:val="24"/>
          <w:szCs w:val="24"/>
        </w:rPr>
      </w:pPr>
      <w:r w:rsidRPr="00F36655">
        <w:rPr>
          <w:rFonts w:ascii="Times New Roman" w:hAnsi="Times New Roman"/>
          <w:b/>
          <w:noProof/>
          <w:sz w:val="24"/>
        </w:rPr>
        <w:t xml:space="preserve">Astfel cum prevede directiva, planurile de acțiune primite </w:t>
      </w:r>
      <w:bookmarkStart w:id="17" w:name="_Hlk234837664"/>
      <w:r w:rsidRPr="00F36655">
        <w:rPr>
          <w:rFonts w:ascii="Times New Roman" w:hAnsi="Times New Roman"/>
          <w:b/>
          <w:noProof/>
          <w:sz w:val="24"/>
        </w:rPr>
        <w:t>au fost elaborate cu implicarea partenerilor sociali</w:t>
      </w:r>
      <w:bookmarkEnd w:id="17"/>
      <w:r w:rsidRPr="00F36655">
        <w:rPr>
          <w:noProof/>
        </w:rPr>
        <w:t> (</w:t>
      </w:r>
      <w:r w:rsidRPr="00F36655">
        <w:rPr>
          <w:rStyle w:val="FootnoteReference"/>
          <w:rFonts w:ascii="Times New Roman" w:hAnsi="Times New Roman" w:cs="Times New Roman"/>
          <w:bCs/>
          <w:noProof/>
          <w:sz w:val="24"/>
          <w:szCs w:val="24"/>
        </w:rPr>
        <w:footnoteReference w:id="21"/>
      </w:r>
      <w:r w:rsidRPr="00F36655">
        <w:rPr>
          <w:noProof/>
        </w:rPr>
        <w:t>).</w:t>
      </w:r>
      <w:r w:rsidRPr="00F36655">
        <w:rPr>
          <w:rFonts w:ascii="Times New Roman" w:hAnsi="Times New Roman"/>
          <w:noProof/>
          <w:sz w:val="24"/>
        </w:rPr>
        <w:t xml:space="preserve"> Majoritatea statelor membre precizează în planurile lor de acțiune că acestea au fost elaborate în urma consultării partenerilor sociali (</w:t>
      </w:r>
      <w:r w:rsidRPr="00F36655">
        <w:rPr>
          <w:rStyle w:val="FootnoteReference"/>
          <w:rFonts w:ascii="Times New Roman" w:hAnsi="Times New Roman" w:cs="Times New Roman"/>
          <w:bCs/>
          <w:noProof/>
          <w:sz w:val="24"/>
          <w:szCs w:val="24"/>
        </w:rPr>
        <w:footnoteReference w:id="22"/>
      </w:r>
      <w:r w:rsidRPr="00F36655">
        <w:rPr>
          <w:rFonts w:ascii="Times New Roman" w:hAnsi="Times New Roman"/>
          <w:noProof/>
          <w:sz w:val="24"/>
        </w:rPr>
        <w:t>) sau prin acord cu aceștia (</w:t>
      </w:r>
      <w:r w:rsidRPr="00F36655">
        <w:rPr>
          <w:rStyle w:val="FootnoteReference"/>
          <w:rFonts w:ascii="Times New Roman" w:hAnsi="Times New Roman" w:cs="Times New Roman"/>
          <w:bCs/>
          <w:noProof/>
          <w:sz w:val="24"/>
          <w:szCs w:val="24"/>
        </w:rPr>
        <w:footnoteReference w:id="23"/>
      </w:r>
      <w:r w:rsidRPr="00F36655">
        <w:rPr>
          <w:rFonts w:ascii="Times New Roman" w:hAnsi="Times New Roman"/>
          <w:noProof/>
          <w:sz w:val="24"/>
        </w:rPr>
        <w:t>), în timp ce, în celelalte cazuri, consultarea partenerilor sociali poate fi dedusă din informațiile disponibile public (</w:t>
      </w:r>
      <w:r w:rsidRPr="00F36655">
        <w:rPr>
          <w:rStyle w:val="FootnoteReference"/>
          <w:rFonts w:ascii="Times New Roman" w:hAnsi="Times New Roman" w:cs="Times New Roman"/>
          <w:bCs/>
          <w:noProof/>
          <w:sz w:val="24"/>
          <w:szCs w:val="24"/>
        </w:rPr>
        <w:footnoteReference w:id="24"/>
      </w:r>
      <w:r w:rsidRPr="00F36655">
        <w:rPr>
          <w:rFonts w:ascii="Times New Roman" w:hAnsi="Times New Roman"/>
          <w:noProof/>
          <w:sz w:val="24"/>
        </w:rPr>
        <w:t>).</w:t>
      </w:r>
    </w:p>
    <w:p w14:paraId="5E3722FA" w14:textId="37C36D3F" w:rsidR="0079585D" w:rsidRPr="00F36655" w:rsidRDefault="00844A26" w:rsidP="000C7476">
      <w:pPr>
        <w:spacing w:line="240" w:lineRule="atLeast"/>
        <w:jc w:val="both"/>
        <w:rPr>
          <w:rFonts w:ascii="Times New Roman" w:hAnsi="Times New Roman" w:cs="Times New Roman"/>
          <w:noProof/>
          <w:sz w:val="24"/>
          <w:szCs w:val="24"/>
        </w:rPr>
      </w:pPr>
      <w:r w:rsidRPr="00F36655">
        <w:rPr>
          <w:rFonts w:ascii="Times New Roman" w:hAnsi="Times New Roman"/>
          <w:b/>
          <w:noProof/>
          <w:sz w:val="24"/>
        </w:rPr>
        <w:t xml:space="preserve">Toate conțin un calendar clar pentru punerea lor integrală în aplicare. </w:t>
      </w:r>
      <w:r w:rsidRPr="00F36655">
        <w:rPr>
          <w:rFonts w:ascii="Times New Roman" w:hAnsi="Times New Roman"/>
          <w:noProof/>
          <w:sz w:val="24"/>
        </w:rPr>
        <w:t>Majoritatea planurilor de acțiune transmise Comisiei urmează să fie puse în aplicare în termen de cinci ani (</w:t>
      </w:r>
      <w:r w:rsidRPr="00F36655">
        <w:rPr>
          <w:rStyle w:val="FootnoteReference"/>
          <w:rFonts w:ascii="Times New Roman" w:hAnsi="Times New Roman" w:cs="Times New Roman"/>
          <w:noProof/>
          <w:sz w:val="24"/>
          <w:szCs w:val="24"/>
        </w:rPr>
        <w:footnoteReference w:id="25"/>
      </w:r>
      <w:r w:rsidRPr="00F36655">
        <w:rPr>
          <w:rFonts w:ascii="Times New Roman" w:hAnsi="Times New Roman"/>
          <w:noProof/>
          <w:sz w:val="24"/>
        </w:rPr>
        <w:t>). Aceasta coincide cu durata maximă pe care acestea ar trebui să o aibă înainte de actualizarea lor obligatorie, în conformitate cu articolul 4 alineatul (2) din directivă. Unele dintre planurile de acțiune (</w:t>
      </w:r>
      <w:r w:rsidRPr="00F36655">
        <w:rPr>
          <w:rStyle w:val="FootnoteReference"/>
          <w:rFonts w:ascii="Times New Roman" w:hAnsi="Times New Roman" w:cs="Times New Roman"/>
          <w:noProof/>
          <w:sz w:val="24"/>
          <w:szCs w:val="24"/>
        </w:rPr>
        <w:footnoteReference w:id="26"/>
      </w:r>
      <w:r w:rsidRPr="00F36655">
        <w:rPr>
          <w:rFonts w:ascii="Times New Roman" w:hAnsi="Times New Roman"/>
          <w:noProof/>
          <w:sz w:val="24"/>
        </w:rPr>
        <w:t>) prevăd un termen mai scurt de punere în aplicare, de doi ani. Pe lângă termenul general de punere în aplicare, majoritatea planurilor de acțiune stabilesc termene specifice pentru fiecare dintre măsurile pe care le conțin (</w:t>
      </w:r>
      <w:r w:rsidRPr="00F36655">
        <w:rPr>
          <w:rStyle w:val="FootnoteReference"/>
          <w:rFonts w:ascii="Times New Roman" w:hAnsi="Times New Roman" w:cs="Times New Roman"/>
          <w:noProof/>
          <w:sz w:val="24"/>
          <w:szCs w:val="24"/>
        </w:rPr>
        <w:footnoteReference w:id="27"/>
      </w:r>
      <w:r w:rsidRPr="00F36655">
        <w:rPr>
          <w:rFonts w:ascii="Times New Roman" w:hAnsi="Times New Roman"/>
          <w:noProof/>
          <w:sz w:val="24"/>
        </w:rPr>
        <w:t xml:space="preserve">). </w:t>
      </w:r>
    </w:p>
    <w:p w14:paraId="49AB05A6" w14:textId="3FCF2B75" w:rsidR="003234DC" w:rsidRPr="00F36655" w:rsidRDefault="004D5316" w:rsidP="000C7476">
      <w:pPr>
        <w:jc w:val="both"/>
        <w:rPr>
          <w:rFonts w:ascii="Times New Roman" w:hAnsi="Times New Roman" w:cs="Times New Roman"/>
          <w:noProof/>
          <w:sz w:val="24"/>
          <w:szCs w:val="24"/>
        </w:rPr>
      </w:pPr>
      <w:r w:rsidRPr="00F36655">
        <w:rPr>
          <w:rFonts w:ascii="Times New Roman" w:hAnsi="Times New Roman"/>
          <w:b/>
          <w:noProof/>
          <w:sz w:val="24"/>
        </w:rPr>
        <w:t xml:space="preserve">Planurile de acțiune primite includ, de asemenea, măsuri concrete pentru promovarea negocierilor colective. </w:t>
      </w:r>
      <w:r w:rsidRPr="00F36655">
        <w:rPr>
          <w:rFonts w:ascii="Times New Roman" w:hAnsi="Times New Roman"/>
          <w:noProof/>
          <w:sz w:val="24"/>
        </w:rPr>
        <w:t>Directiva lasă la latitudinea statelor membre alegerea celor mai adecvate mijloace pentru atingerea obiectivului de creștere treptată a gradului de acoperire a negocierilor colective. În acest sens, statele membre se pot inspira și din alte instrumente ale UE fără caracter obligatoriu, cum ar fi Recomandarea Consiliului privind consolidarea dialogului social (</w:t>
      </w:r>
      <w:r w:rsidRPr="00F36655">
        <w:rPr>
          <w:rStyle w:val="FootnoteReference"/>
          <w:bCs/>
          <w:noProof/>
        </w:rPr>
        <w:footnoteReference w:id="28"/>
      </w:r>
      <w:r w:rsidRPr="00F36655">
        <w:rPr>
          <w:rFonts w:ascii="Times New Roman" w:hAnsi="Times New Roman"/>
          <w:noProof/>
          <w:sz w:val="24"/>
        </w:rPr>
        <w:t>), precum și Orientarea nr. 7 din Orientările UE privind ocuparea forței de muncă (</w:t>
      </w:r>
      <w:r w:rsidRPr="00F36655">
        <w:rPr>
          <w:rStyle w:val="FootnoteReference"/>
          <w:bCs/>
          <w:noProof/>
        </w:rPr>
        <w:footnoteReference w:id="29"/>
      </w:r>
      <w:r w:rsidRPr="00F36655">
        <w:rPr>
          <w:rFonts w:ascii="Times New Roman" w:hAnsi="Times New Roman"/>
          <w:noProof/>
          <w:sz w:val="24"/>
        </w:rPr>
        <w:t xml:space="preserve">). </w:t>
      </w:r>
    </w:p>
    <w:p w14:paraId="35648D60" w14:textId="362096BC" w:rsidR="00743B37" w:rsidRPr="00F36655" w:rsidRDefault="00F70481" w:rsidP="00F00E00">
      <w:pPr>
        <w:spacing w:line="240" w:lineRule="atLeast"/>
        <w:jc w:val="both"/>
        <w:rPr>
          <w:rFonts w:ascii="Times New Roman" w:hAnsi="Times New Roman" w:cs="Times New Roman"/>
          <w:noProof/>
          <w:sz w:val="24"/>
          <w:szCs w:val="24"/>
        </w:rPr>
      </w:pPr>
      <w:r w:rsidRPr="00F36655">
        <w:rPr>
          <w:rFonts w:ascii="Times New Roman" w:hAnsi="Times New Roman"/>
          <w:noProof/>
          <w:sz w:val="24"/>
        </w:rPr>
        <w:t>Măsurile concrete de promovare a negocierilor colective incluse în planurile de acțiune pot fi clasificate în șase categorii principale, în funcție de scopul lor principal.</w:t>
      </w:r>
    </w:p>
    <w:p w14:paraId="2AD9E664" w14:textId="4D567D49" w:rsidR="00D66F01" w:rsidRPr="00F36655" w:rsidRDefault="00D12BE8" w:rsidP="00D66F01">
      <w:pPr>
        <w:pStyle w:val="ListParagraph"/>
        <w:numPr>
          <w:ilvl w:val="0"/>
          <w:numId w:val="23"/>
        </w:numPr>
        <w:spacing w:line="240" w:lineRule="atLeast"/>
        <w:jc w:val="both"/>
        <w:rPr>
          <w:rFonts w:ascii="Times New Roman" w:eastAsia="Times New Roman" w:hAnsi="Times New Roman" w:cs="Times New Roman"/>
          <w:noProof/>
          <w:kern w:val="0"/>
          <w:sz w:val="24"/>
          <w:szCs w:val="20"/>
          <w14:ligatures w14:val="none"/>
        </w:rPr>
      </w:pPr>
      <w:r w:rsidRPr="00F36655">
        <w:rPr>
          <w:rFonts w:ascii="Times New Roman" w:hAnsi="Times New Roman"/>
          <w:b/>
          <w:noProof/>
          <w:sz w:val="24"/>
        </w:rPr>
        <w:t>Consolidarea capacității partenerilor sociali.</w:t>
      </w:r>
      <w:r w:rsidRPr="00F36655">
        <w:rPr>
          <w:rFonts w:ascii="Times New Roman" w:hAnsi="Times New Roman"/>
          <w:noProof/>
          <w:sz w:val="24"/>
        </w:rPr>
        <w:t xml:space="preserve"> Aceste măsuri urmăresc să permită partenerilor sociali să participe mai eficient la negocierile colective la toate nivelurile. Ele includ adesea formare, dezvoltarea competențelor și schimb de cunoștințe. Nouă dintre cele 12 state membre analizate includ astfel de măsuri în planurile lor de acțiune (</w:t>
      </w:r>
      <w:r w:rsidRPr="00F36655">
        <w:rPr>
          <w:rFonts w:eastAsia="Times New Roman"/>
          <w:noProof/>
          <w:kern w:val="0"/>
          <w:vertAlign w:val="superscript"/>
          <w:lang w:eastAsia="en-IE"/>
        </w:rPr>
        <w:footnoteReference w:id="30"/>
      </w:r>
      <w:r w:rsidRPr="00F36655">
        <w:rPr>
          <w:rFonts w:ascii="Times New Roman" w:hAnsi="Times New Roman"/>
          <w:noProof/>
          <w:sz w:val="24"/>
        </w:rPr>
        <w:t>).</w:t>
      </w:r>
    </w:p>
    <w:p w14:paraId="699C3C27" w14:textId="77777777" w:rsidR="00EB3B5C" w:rsidRPr="00F36655" w:rsidRDefault="00EB3B5C" w:rsidP="00EB3B5C">
      <w:pPr>
        <w:pStyle w:val="ListParagraph"/>
        <w:spacing w:line="240" w:lineRule="atLeast"/>
        <w:jc w:val="both"/>
        <w:rPr>
          <w:rFonts w:ascii="Times New Roman" w:eastAsia="Times New Roman" w:hAnsi="Times New Roman" w:cs="Times New Roman"/>
          <w:noProof/>
          <w:kern w:val="0"/>
          <w:sz w:val="24"/>
          <w:szCs w:val="20"/>
          <w:lang w:eastAsia="en-IE"/>
          <w14:ligatures w14:val="none"/>
        </w:rPr>
      </w:pPr>
    </w:p>
    <w:p w14:paraId="2C11412D" w14:textId="6ADEFA6C" w:rsidR="001467BB" w:rsidRPr="00F36655" w:rsidRDefault="00B5558A" w:rsidP="00D66F01">
      <w:pPr>
        <w:pStyle w:val="ListParagraph"/>
        <w:numPr>
          <w:ilvl w:val="0"/>
          <w:numId w:val="23"/>
        </w:numPr>
        <w:spacing w:line="240" w:lineRule="atLeast"/>
        <w:jc w:val="both"/>
        <w:rPr>
          <w:rFonts w:ascii="Times New Roman" w:eastAsia="Times New Roman" w:hAnsi="Times New Roman" w:cs="Times New Roman"/>
          <w:noProof/>
          <w:kern w:val="0"/>
          <w:sz w:val="24"/>
          <w:szCs w:val="20"/>
          <w14:ligatures w14:val="none"/>
        </w:rPr>
      </w:pPr>
      <w:r w:rsidRPr="00F36655">
        <w:rPr>
          <w:rFonts w:ascii="Times New Roman" w:hAnsi="Times New Roman"/>
          <w:b/>
          <w:noProof/>
          <w:sz w:val="24"/>
        </w:rPr>
        <w:t>Îmbunătățirea cadrului de reglementare a negocierilor colective.</w:t>
      </w:r>
      <w:r w:rsidRPr="00F36655">
        <w:rPr>
          <w:rFonts w:ascii="Times New Roman" w:hAnsi="Times New Roman"/>
          <w:noProof/>
          <w:sz w:val="24"/>
        </w:rPr>
        <w:t xml:space="preserve"> Măsurile din această categorie urmăresc eliminarea obstacolelor juridice și procedurale, clarificarea drepturilor și obligațiilor partenerilor sociali și crearea condițiilor necesare pentru desfășurarea negocierilor la nivelurile adecvate (de exemplu, prin facilitarea negocierilor colective la nivel sectorial sau în contextul noilor forme de muncă). Majoritatea planurilor de acțiune prevăd măsuri de acest tip (</w:t>
      </w:r>
      <w:r w:rsidRPr="00F36655">
        <w:rPr>
          <w:rFonts w:ascii="Times New Roman" w:eastAsia="Times New Roman" w:hAnsi="Times New Roman" w:cs="Times New Roman"/>
          <w:noProof/>
          <w:kern w:val="0"/>
          <w:sz w:val="24"/>
          <w:szCs w:val="24"/>
          <w:vertAlign w:val="superscript"/>
          <w:lang w:eastAsia="en-IE"/>
        </w:rPr>
        <w:footnoteReference w:id="31"/>
      </w:r>
      <w:r w:rsidRPr="00F36655">
        <w:rPr>
          <w:rFonts w:ascii="Times New Roman" w:hAnsi="Times New Roman"/>
          <w:noProof/>
          <w:sz w:val="24"/>
        </w:rPr>
        <w:t xml:space="preserve">). </w:t>
      </w:r>
    </w:p>
    <w:p w14:paraId="12BD911D" w14:textId="77777777" w:rsidR="007745F5" w:rsidRPr="00F36655" w:rsidRDefault="007745F5" w:rsidP="00F00E00">
      <w:pPr>
        <w:pStyle w:val="ListParagraph"/>
        <w:spacing w:line="240" w:lineRule="atLeast"/>
        <w:rPr>
          <w:rFonts w:ascii="Times New Roman" w:hAnsi="Times New Roman" w:cs="Times New Roman"/>
          <w:noProof/>
          <w:sz w:val="24"/>
          <w:szCs w:val="24"/>
        </w:rPr>
      </w:pPr>
    </w:p>
    <w:p w14:paraId="20D09B63" w14:textId="1EA6FD50" w:rsidR="00F70481" w:rsidRPr="00F36655" w:rsidRDefault="00954BD1" w:rsidP="00EE2BEB">
      <w:pPr>
        <w:pStyle w:val="ListParagraph"/>
        <w:numPr>
          <w:ilvl w:val="0"/>
          <w:numId w:val="23"/>
        </w:numPr>
        <w:spacing w:line="240" w:lineRule="atLeast"/>
        <w:jc w:val="both"/>
        <w:rPr>
          <w:rFonts w:ascii="Times New Roman" w:eastAsia="Times New Roman" w:hAnsi="Times New Roman" w:cs="Times New Roman"/>
          <w:noProof/>
          <w:kern w:val="0"/>
          <w:sz w:val="24"/>
          <w:szCs w:val="20"/>
          <w14:ligatures w14:val="none"/>
        </w:rPr>
      </w:pPr>
      <w:r w:rsidRPr="00F36655">
        <w:rPr>
          <w:rFonts w:ascii="Times New Roman" w:hAnsi="Times New Roman"/>
          <w:b/>
          <w:noProof/>
          <w:sz w:val="24"/>
        </w:rPr>
        <w:t xml:space="preserve">Sensibilizarea și promovarea beneficiilor negocierilor colective. </w:t>
      </w:r>
      <w:r w:rsidRPr="00F36655">
        <w:rPr>
          <w:rFonts w:ascii="Times New Roman" w:hAnsi="Times New Roman"/>
          <w:noProof/>
          <w:sz w:val="24"/>
        </w:rPr>
        <w:t>Aceste măsuri urmăresc eliminarea barierelor informaționale și culturale în rândul lucrătorilor, al angajatorilor și al publicului larg. Printre ele se numără campanii de informare, publicații sau portaluri web. Zece dintre cele 12 planuri de acțiune includ măsuri din această categorie (</w:t>
      </w:r>
      <w:r w:rsidRPr="00F36655">
        <w:rPr>
          <w:rStyle w:val="FootnoteReference"/>
          <w:rFonts w:ascii="Times New Roman" w:eastAsia="Times New Roman" w:hAnsi="Times New Roman" w:cs="Times New Roman"/>
          <w:noProof/>
          <w:kern w:val="0"/>
          <w:sz w:val="24"/>
          <w:szCs w:val="24"/>
          <w:lang w:eastAsia="en-IE"/>
        </w:rPr>
        <w:footnoteReference w:id="32"/>
      </w:r>
      <w:r w:rsidRPr="00F36655">
        <w:rPr>
          <w:rFonts w:ascii="Times New Roman" w:hAnsi="Times New Roman"/>
          <w:noProof/>
          <w:sz w:val="24"/>
        </w:rPr>
        <w:t xml:space="preserve">). </w:t>
      </w:r>
    </w:p>
    <w:p w14:paraId="01A32E83" w14:textId="77777777" w:rsidR="00FE6B0F" w:rsidRPr="00F36655" w:rsidRDefault="00FE6B0F" w:rsidP="00591DF4">
      <w:pPr>
        <w:pStyle w:val="ListParagraph"/>
        <w:spacing w:line="240" w:lineRule="atLeast"/>
        <w:jc w:val="both"/>
        <w:rPr>
          <w:rFonts w:ascii="Times New Roman" w:eastAsia="Times New Roman" w:hAnsi="Times New Roman" w:cs="Times New Roman"/>
          <w:noProof/>
          <w:kern w:val="0"/>
          <w:sz w:val="24"/>
          <w:szCs w:val="20"/>
          <w:lang w:eastAsia="en-IE"/>
          <w14:ligatures w14:val="none"/>
        </w:rPr>
      </w:pPr>
    </w:p>
    <w:p w14:paraId="3C6C954E" w14:textId="7F8438ED" w:rsidR="00EF65A3" w:rsidRPr="00F36655" w:rsidRDefault="00AC2B88" w:rsidP="00EF65A3">
      <w:pPr>
        <w:pStyle w:val="ListParagraph"/>
        <w:numPr>
          <w:ilvl w:val="0"/>
          <w:numId w:val="23"/>
        </w:numPr>
        <w:spacing w:line="240" w:lineRule="atLeast"/>
        <w:jc w:val="both"/>
        <w:rPr>
          <w:rFonts w:ascii="Times New Roman" w:eastAsia="Times New Roman" w:hAnsi="Times New Roman" w:cs="Times New Roman"/>
          <w:noProof/>
          <w:kern w:val="0"/>
          <w:sz w:val="24"/>
          <w:szCs w:val="20"/>
          <w14:ligatures w14:val="none"/>
        </w:rPr>
      </w:pPr>
      <w:r w:rsidRPr="00F36655">
        <w:rPr>
          <w:rFonts w:ascii="Times New Roman" w:hAnsi="Times New Roman"/>
          <w:b/>
          <w:noProof/>
          <w:sz w:val="24"/>
        </w:rPr>
        <w:t>Îmbunătățirea colectării, monitorizării și transparenței datelor privind negocierile colective</w:t>
      </w:r>
      <w:r w:rsidRPr="00F36655">
        <w:rPr>
          <w:rFonts w:ascii="Times New Roman" w:hAnsi="Times New Roman"/>
          <w:noProof/>
          <w:sz w:val="24"/>
        </w:rPr>
        <w:t>. Această categorie include măsuri și instrumente precum registrele convențiilor colective, statisticile privind gradul de acoperire și raportarea periodică a convențiilor colective și a gradului lor de acoperire. Zece planuri de acțiune prevăd măsuri de acest tip (</w:t>
      </w:r>
      <w:r w:rsidRPr="00F36655">
        <w:rPr>
          <w:rStyle w:val="FootnoteReference"/>
          <w:rFonts w:ascii="Times New Roman" w:eastAsia="Times New Roman" w:hAnsi="Times New Roman" w:cs="Times New Roman"/>
          <w:noProof/>
          <w:kern w:val="0"/>
          <w:sz w:val="24"/>
          <w:szCs w:val="24"/>
          <w:lang w:eastAsia="en-IE"/>
        </w:rPr>
        <w:footnoteReference w:id="33"/>
      </w:r>
      <w:r w:rsidRPr="00F36655">
        <w:rPr>
          <w:rFonts w:ascii="Times New Roman" w:hAnsi="Times New Roman"/>
          <w:noProof/>
          <w:sz w:val="24"/>
        </w:rPr>
        <w:t>).</w:t>
      </w:r>
    </w:p>
    <w:p w14:paraId="2CA895D2" w14:textId="77777777" w:rsidR="00EF65A3" w:rsidRPr="00F36655" w:rsidRDefault="00EF65A3" w:rsidP="00EF65A3">
      <w:pPr>
        <w:pStyle w:val="ListParagraph"/>
        <w:rPr>
          <w:rFonts w:ascii="Times New Roman" w:eastAsia="Times New Roman" w:hAnsi="Times New Roman" w:cs="Times New Roman"/>
          <w:noProof/>
          <w:kern w:val="0"/>
          <w:sz w:val="24"/>
          <w:szCs w:val="20"/>
          <w:lang w:eastAsia="en-IE"/>
          <w14:ligatures w14:val="none"/>
        </w:rPr>
      </w:pPr>
    </w:p>
    <w:p w14:paraId="2FA0E452" w14:textId="0739EB7D" w:rsidR="00F70481" w:rsidRPr="00F36655" w:rsidRDefault="00DB0DCC" w:rsidP="00EE2BEB">
      <w:pPr>
        <w:pStyle w:val="ListParagraph"/>
        <w:numPr>
          <w:ilvl w:val="0"/>
          <w:numId w:val="23"/>
        </w:numPr>
        <w:spacing w:line="240" w:lineRule="atLeast"/>
        <w:jc w:val="both"/>
        <w:rPr>
          <w:rFonts w:ascii="Times New Roman" w:eastAsia="Times New Roman" w:hAnsi="Times New Roman" w:cs="Times New Roman"/>
          <w:noProof/>
          <w:kern w:val="0"/>
          <w:sz w:val="24"/>
          <w:szCs w:val="20"/>
          <w14:ligatures w14:val="none"/>
        </w:rPr>
      </w:pPr>
      <w:r w:rsidRPr="00F36655">
        <w:rPr>
          <w:rFonts w:ascii="Times New Roman" w:hAnsi="Times New Roman"/>
          <w:b/>
          <w:noProof/>
          <w:sz w:val="24"/>
        </w:rPr>
        <w:t>Stimulente și mecanisme de sprijin pentru încurajarea negocierilor colective.</w:t>
      </w:r>
      <w:r w:rsidRPr="00F36655">
        <w:rPr>
          <w:rFonts w:ascii="Times New Roman" w:hAnsi="Times New Roman"/>
          <w:noProof/>
          <w:sz w:val="24"/>
        </w:rPr>
        <w:t xml:space="preserve"> Printre exemplele din diferitele planuri de acțiune incluse în această categorie se numără introducerea de stimulente fiscale pentru întreprinderile care au încheiat o convenție colectivă sau crearea de unități specializate în cadrul organizațiilor partenerilor sociali, pentru a oferi sprijin și orientări metodologice în negocierile privind convențiile colective. Șapte planuri de acțiune prevăd măsuri care pot fi încadrate în această categorie (</w:t>
      </w:r>
      <w:r w:rsidRPr="00F36655">
        <w:rPr>
          <w:rStyle w:val="FootnoteReference"/>
          <w:rFonts w:ascii="Times New Roman" w:eastAsia="Times New Roman" w:hAnsi="Times New Roman" w:cs="Times New Roman"/>
          <w:noProof/>
          <w:kern w:val="0"/>
          <w:sz w:val="24"/>
          <w:szCs w:val="24"/>
          <w:lang w:eastAsia="en-IE"/>
        </w:rPr>
        <w:footnoteReference w:id="34"/>
      </w:r>
      <w:r w:rsidRPr="00F36655">
        <w:rPr>
          <w:rFonts w:ascii="Times New Roman" w:hAnsi="Times New Roman"/>
          <w:noProof/>
          <w:sz w:val="24"/>
        </w:rPr>
        <w:t>).</w:t>
      </w:r>
    </w:p>
    <w:p w14:paraId="5B81DF9B" w14:textId="77777777" w:rsidR="00762388" w:rsidRPr="00F36655" w:rsidRDefault="00762388" w:rsidP="00591DF4">
      <w:pPr>
        <w:pStyle w:val="ListParagraph"/>
        <w:spacing w:line="240" w:lineRule="atLeast"/>
        <w:jc w:val="both"/>
        <w:rPr>
          <w:rFonts w:ascii="Times New Roman" w:eastAsia="Times New Roman" w:hAnsi="Times New Roman" w:cs="Times New Roman"/>
          <w:noProof/>
          <w:kern w:val="0"/>
          <w:sz w:val="24"/>
          <w:szCs w:val="20"/>
          <w:lang w:eastAsia="en-IE"/>
          <w14:ligatures w14:val="none"/>
        </w:rPr>
      </w:pPr>
    </w:p>
    <w:p w14:paraId="087089FF" w14:textId="33B042A1" w:rsidR="00762388" w:rsidRPr="00F36655" w:rsidRDefault="00FD17B6" w:rsidP="00EE2BEB">
      <w:pPr>
        <w:pStyle w:val="ListParagraph"/>
        <w:numPr>
          <w:ilvl w:val="0"/>
          <w:numId w:val="23"/>
        </w:numPr>
        <w:spacing w:line="240" w:lineRule="atLeast"/>
        <w:jc w:val="both"/>
        <w:rPr>
          <w:rFonts w:ascii="Times New Roman" w:eastAsia="Times New Roman" w:hAnsi="Times New Roman" w:cs="Times New Roman"/>
          <w:noProof/>
          <w:kern w:val="0"/>
          <w:sz w:val="24"/>
          <w:szCs w:val="20"/>
          <w14:ligatures w14:val="none"/>
        </w:rPr>
      </w:pPr>
      <w:r w:rsidRPr="00F36655">
        <w:rPr>
          <w:rFonts w:ascii="Times New Roman" w:hAnsi="Times New Roman"/>
          <w:b/>
          <w:noProof/>
          <w:sz w:val="24"/>
        </w:rPr>
        <w:t xml:space="preserve">Mecanisme de asigurare a respectării normelor și de soluționare a litigiilor. </w:t>
      </w:r>
      <w:r w:rsidRPr="00F36655">
        <w:rPr>
          <w:rFonts w:ascii="Times New Roman" w:hAnsi="Times New Roman"/>
          <w:noProof/>
          <w:sz w:val="24"/>
        </w:rPr>
        <w:t>Aceste măsuri includ consolidarea rolului inspectoratelor de muncă în asigurarea respectării convențiilor colective, precum și formare și resurse suplimentare pentru mediatori și arbitri. Șase state membre includ măsuri de acest tip în planurile lor de acțiune (</w:t>
      </w:r>
      <w:r w:rsidRPr="00F36655">
        <w:rPr>
          <w:rStyle w:val="FootnoteReference"/>
          <w:rFonts w:ascii="Times New Roman" w:eastAsia="Times New Roman" w:hAnsi="Times New Roman" w:cs="Times New Roman"/>
          <w:noProof/>
          <w:kern w:val="0"/>
          <w:sz w:val="24"/>
          <w:szCs w:val="24"/>
          <w:lang w:eastAsia="en-IE"/>
        </w:rPr>
        <w:footnoteReference w:id="35"/>
      </w:r>
      <w:r w:rsidRPr="00F36655">
        <w:rPr>
          <w:rFonts w:ascii="Times New Roman" w:hAnsi="Times New Roman"/>
          <w:noProof/>
          <w:sz w:val="24"/>
        </w:rPr>
        <w:t xml:space="preserve">). </w:t>
      </w:r>
    </w:p>
    <w:p w14:paraId="653A3771" w14:textId="05C8F3AC" w:rsidR="00F70481" w:rsidRPr="00F36655" w:rsidRDefault="00ED2A07" w:rsidP="00F70481">
      <w:pPr>
        <w:pStyle w:val="Text1"/>
        <w:ind w:left="0"/>
        <w:rPr>
          <w:noProof/>
        </w:rPr>
      </w:pPr>
      <w:bookmarkStart w:id="18" w:name="_Hlk224219417"/>
      <w:r w:rsidRPr="00F36655">
        <w:rPr>
          <w:noProof/>
        </w:rPr>
        <w:t>Documentul de lucru al serviciilor Comisiei care însoțește prezentul raport conține o descriere mai detaliată a măsurilor prevăzute de planurile de acțiune pentru fiecare dintre aceste categorii.</w:t>
      </w:r>
    </w:p>
    <w:bookmarkEnd w:id="18"/>
    <w:p w14:paraId="056DE3D0" w14:textId="07456EDB" w:rsidR="00F70481" w:rsidRPr="00F36655" w:rsidRDefault="00236271" w:rsidP="00F36655">
      <w:pPr>
        <w:keepNext/>
        <w:keepLines/>
        <w:spacing w:before="240"/>
        <w:jc w:val="both"/>
        <w:rPr>
          <w:rFonts w:ascii="Times New Roman" w:hAnsi="Times New Roman" w:cs="Times New Roman"/>
          <w:i/>
          <w:noProof/>
          <w:sz w:val="24"/>
          <w:szCs w:val="24"/>
        </w:rPr>
      </w:pPr>
      <w:r w:rsidRPr="00F36655">
        <w:rPr>
          <w:rFonts w:ascii="Times New Roman" w:hAnsi="Times New Roman"/>
          <w:i/>
          <w:noProof/>
          <w:sz w:val="24"/>
        </w:rPr>
        <w:t>Evaluarea planurilor de acțiune de către Comisie</w:t>
      </w:r>
    </w:p>
    <w:p w14:paraId="076D1F70" w14:textId="57D173C6" w:rsidR="00F70481" w:rsidRPr="00F36655" w:rsidRDefault="00D03ACE" w:rsidP="00BA1EBA">
      <w:pPr>
        <w:pStyle w:val="Text1"/>
        <w:spacing w:line="240" w:lineRule="atLeast"/>
        <w:ind w:left="0"/>
        <w:rPr>
          <w:noProof/>
        </w:rPr>
      </w:pPr>
      <w:r w:rsidRPr="00F36655">
        <w:rPr>
          <w:b/>
          <w:noProof/>
        </w:rPr>
        <w:t>Se poate considera că toate planurile de acțiune primite respectă în mod formal cerințele legale prevăzute la articolul 4 alineatul (2) din directivă</w:t>
      </w:r>
      <w:r w:rsidRPr="00F36655">
        <w:rPr>
          <w:noProof/>
        </w:rPr>
        <w:t>. Toate acestea au fost elaborate cu implicarea partenerilor sociali și conțin atât un calendar clar, cât și o serie de măsuri concrete menite să crească rata de acoperire a negocierilor colective.</w:t>
      </w:r>
    </w:p>
    <w:p w14:paraId="0C781E28" w14:textId="0D4595ED" w:rsidR="007B5AAB" w:rsidRPr="00F36655" w:rsidRDefault="00A751D7" w:rsidP="007B5AAB">
      <w:pPr>
        <w:pStyle w:val="Text1"/>
        <w:ind w:left="0"/>
        <w:rPr>
          <w:noProof/>
        </w:rPr>
      </w:pPr>
      <w:r w:rsidRPr="00F36655">
        <w:rPr>
          <w:b/>
          <w:noProof/>
        </w:rPr>
        <w:t>Eficacitatea planurilor de acțiune trebuie evaluată în lumina particularităților fiecărui sistem național de negociere colectivă.</w:t>
      </w:r>
      <w:r w:rsidRPr="00F36655">
        <w:rPr>
          <w:noProof/>
        </w:rPr>
        <w:t xml:space="preserve"> În conformitate cu directiva, planurile de acțiune vizează creșterea treptată a ratei de acoperire a negocierilor colective. Totuși, nu există o metodologie standard de evaluare </w:t>
      </w:r>
      <w:r w:rsidRPr="00F36655">
        <w:rPr>
          <w:i/>
          <w:noProof/>
        </w:rPr>
        <w:t>ex ante</w:t>
      </w:r>
      <w:r w:rsidRPr="00F36655">
        <w:rPr>
          <w:noProof/>
        </w:rPr>
        <w:t xml:space="preserve"> a eficacității măsurilor de promovare a negocierilor colective, deoarece acest lucru depinde în mare măsură de modul în care acestea sunt puse în aplicare în practică. Totodată, tradițiile și practicile naționale privind dialogul social trebuie luate în considerare în fiecare caz. </w:t>
      </w:r>
    </w:p>
    <w:p w14:paraId="277CBB81" w14:textId="508B5FA8" w:rsidR="0012560C" w:rsidRPr="00F36655" w:rsidRDefault="007B5AAB" w:rsidP="001257AB">
      <w:pPr>
        <w:pStyle w:val="Text1"/>
        <w:ind w:left="0"/>
        <w:rPr>
          <w:noProof/>
        </w:rPr>
      </w:pPr>
      <w:r w:rsidRPr="00F36655">
        <w:rPr>
          <w:b/>
          <w:noProof/>
        </w:rPr>
        <w:t>În ultimă instanță, eficacitatea planurilor de acțiune se va reflecta în evoluția ratelor de acoperire a negocierilor colective în următorii ani.</w:t>
      </w:r>
      <w:r w:rsidRPr="00F36655">
        <w:rPr>
          <w:noProof/>
        </w:rPr>
        <w:t xml:space="preserve"> În acest sens, este încă prea devreme pentru a trage concluzii cu privire la posibilitatea ca fiecare plan de acțiune să conducă la creșterea ratei de acoperire. </w:t>
      </w:r>
    </w:p>
    <w:p w14:paraId="3EC7D518" w14:textId="669F5CAF" w:rsidR="00E549D6" w:rsidRPr="00F36655" w:rsidRDefault="00737958" w:rsidP="00776C87">
      <w:pPr>
        <w:pStyle w:val="Text1"/>
        <w:keepNext/>
        <w:ind w:left="0"/>
        <w:rPr>
          <w:noProof/>
        </w:rPr>
      </w:pPr>
      <w:r w:rsidRPr="00F36655">
        <w:rPr>
          <w:b/>
          <w:noProof/>
        </w:rPr>
        <w:t>În același timp, se pot formula deja câteva observații preliminare cu privire la cele mai bune practici</w:t>
      </w:r>
      <w:r w:rsidRPr="00F36655">
        <w:rPr>
          <w:noProof/>
        </w:rPr>
        <w:t>:</w:t>
      </w:r>
    </w:p>
    <w:p w14:paraId="1CDAD8EC" w14:textId="36F63C0C" w:rsidR="00E243C5" w:rsidRPr="00F36655" w:rsidRDefault="007A69E0" w:rsidP="00A80474">
      <w:pPr>
        <w:pStyle w:val="Text1"/>
        <w:numPr>
          <w:ilvl w:val="0"/>
          <w:numId w:val="1"/>
        </w:numPr>
        <w:spacing w:line="240" w:lineRule="atLeast"/>
        <w:rPr>
          <w:noProof/>
        </w:rPr>
      </w:pPr>
      <w:r w:rsidRPr="00F36655">
        <w:rPr>
          <w:b/>
          <w:noProof/>
        </w:rPr>
        <w:t xml:space="preserve">Nivelul de detaliere a măsurilor instituționale. </w:t>
      </w:r>
      <w:r w:rsidRPr="00F36655">
        <w:rPr>
          <w:noProof/>
        </w:rPr>
        <w:t>Majoritatea planurilor de acțiune descriu în termeni concreți măsurile de sensibilizare și de informare avute în vedere (</w:t>
      </w:r>
      <w:r w:rsidRPr="00F36655">
        <w:rPr>
          <w:rStyle w:val="FootnoteReference"/>
          <w:noProof/>
        </w:rPr>
        <w:footnoteReference w:id="36"/>
      </w:r>
      <w:r w:rsidRPr="00F36655">
        <w:rPr>
          <w:noProof/>
        </w:rPr>
        <w:t>), care pot contribui la crearea unui climat mai favorabil negocierilor colective. Cu toate acestea, ele sunt adesea mai vagi în ceea ce privește explicarea viitoarelor schimbări instituționale care vor fi introduse în cadrul negocierilor colective (</w:t>
      </w:r>
      <w:r w:rsidRPr="00F36655">
        <w:rPr>
          <w:rStyle w:val="FootnoteReference"/>
          <w:noProof/>
        </w:rPr>
        <w:footnoteReference w:id="37"/>
      </w:r>
      <w:r w:rsidRPr="00F36655">
        <w:rPr>
          <w:noProof/>
        </w:rPr>
        <w:t xml:space="preserve">). Având în vedere că măsurile instituționale au adesea un impact pozitiv direct asupra ratelor de acoperire a negocierilor colective, ar fi preferabil ca toate planurile de acțiune să le specifice în termeni mai concreți. </w:t>
      </w:r>
    </w:p>
    <w:p w14:paraId="53F1371B" w14:textId="15DE463F" w:rsidR="00F70481" w:rsidRPr="00F36655" w:rsidRDefault="00184BAD" w:rsidP="0012560C">
      <w:pPr>
        <w:pStyle w:val="Text1"/>
        <w:numPr>
          <w:ilvl w:val="0"/>
          <w:numId w:val="1"/>
        </w:numPr>
        <w:spacing w:line="240" w:lineRule="atLeast"/>
        <w:rPr>
          <w:noProof/>
        </w:rPr>
      </w:pPr>
      <w:r w:rsidRPr="00F36655">
        <w:rPr>
          <w:b/>
          <w:noProof/>
        </w:rPr>
        <w:t>Calendarul punerii în aplicare.</w:t>
      </w:r>
      <w:r w:rsidRPr="00F36655">
        <w:rPr>
          <w:noProof/>
        </w:rPr>
        <w:t xml:space="preserve"> Toate planurile de acțiune includ un calendar general pentru punerea lor în aplicare, dar unele dintre ele nu stabilesc termene specifice pentru fiecare măsură individuală pe care o conțin (</w:t>
      </w:r>
      <w:r w:rsidRPr="00F36655">
        <w:rPr>
          <w:rStyle w:val="FootnoteReference"/>
          <w:noProof/>
        </w:rPr>
        <w:footnoteReference w:id="38"/>
      </w:r>
      <w:r w:rsidRPr="00F36655">
        <w:rPr>
          <w:noProof/>
        </w:rPr>
        <w:t>). În acest sens, stabilirea unor termene și a unor obiective intermediare poate fi considerată o bună practică, deoarece poate contribui la asigurarea unor progrese constante și permite o mai bună monitorizare a punerii în aplicare.</w:t>
      </w:r>
    </w:p>
    <w:p w14:paraId="67DBF301" w14:textId="540BBD67" w:rsidR="00F70481" w:rsidRPr="00F36655" w:rsidRDefault="00B6612C" w:rsidP="0012560C">
      <w:pPr>
        <w:pStyle w:val="Text1"/>
        <w:numPr>
          <w:ilvl w:val="0"/>
          <w:numId w:val="1"/>
        </w:numPr>
        <w:spacing w:line="240" w:lineRule="atLeast"/>
        <w:rPr>
          <w:noProof/>
        </w:rPr>
      </w:pPr>
      <w:r w:rsidRPr="00F36655">
        <w:rPr>
          <w:b/>
          <w:noProof/>
        </w:rPr>
        <w:t>Implicarea partenerilor sociali în monitorizarea punerii în aplicare.</w:t>
      </w:r>
      <w:r w:rsidRPr="00F36655">
        <w:rPr>
          <w:noProof/>
        </w:rPr>
        <w:t xml:space="preserve"> Deși toate planurile de acțiune conțin trimiteri la monitorizarea punerii lor în aplicare (în unele cazuri cu indicatori detaliați), numai unele dintre acestea prevăd în mod expres implicarea partenerilor sociali în această activitate (</w:t>
      </w:r>
      <w:r w:rsidRPr="00F36655">
        <w:rPr>
          <w:rStyle w:val="FootnoteReference"/>
          <w:noProof/>
        </w:rPr>
        <w:footnoteReference w:id="39"/>
      </w:r>
      <w:r w:rsidRPr="00F36655">
        <w:rPr>
          <w:noProof/>
        </w:rPr>
        <w:t>). Implicarea partenerilor sociali este considerată, de asemenea, o bună practică, deoarece aceștia sunt, de regulă, în măsură să aprecieze dacă măsurile cuprinse în planul de acțiune sunt puse corect în aplicare în practică.</w:t>
      </w:r>
    </w:p>
    <w:p w14:paraId="476F324C" w14:textId="77777777" w:rsidR="00655AE3" w:rsidRPr="00F36655" w:rsidRDefault="00655AE3" w:rsidP="00E34A6A">
      <w:pPr>
        <w:pStyle w:val="Text1"/>
        <w:spacing w:line="240" w:lineRule="atLeast"/>
        <w:ind w:left="0"/>
        <w:rPr>
          <w:noProof/>
        </w:rPr>
      </w:pPr>
      <w:bookmarkStart w:id="19" w:name="_Toc234832527"/>
    </w:p>
    <w:p w14:paraId="4D3B12A9" w14:textId="5FAB3DD0" w:rsidR="00655AE3" w:rsidRPr="00F36655" w:rsidRDefault="00655AE3" w:rsidP="00E34A6A">
      <w:pPr>
        <w:pStyle w:val="Heading3"/>
        <w:rPr>
          <w:rFonts w:ascii="Times New Roman" w:hAnsi="Times New Roman" w:cs="Times New Roman"/>
          <w:noProof/>
        </w:rPr>
      </w:pPr>
      <w:bookmarkStart w:id="20" w:name="_Toc235106024"/>
      <w:r w:rsidRPr="00F36655">
        <w:rPr>
          <w:rFonts w:ascii="Times New Roman" w:hAnsi="Times New Roman"/>
          <w:noProof/>
        </w:rPr>
        <w:t>CONCLUZIE</w:t>
      </w:r>
      <w:bookmarkEnd w:id="19"/>
      <w:bookmarkEnd w:id="20"/>
    </w:p>
    <w:p w14:paraId="583BECC6" w14:textId="032BE450" w:rsidR="00F55BE3" w:rsidRPr="00F36655" w:rsidRDefault="00E92EE9" w:rsidP="00737523">
      <w:pPr>
        <w:pStyle w:val="Text1"/>
        <w:spacing w:line="240" w:lineRule="atLeast"/>
        <w:ind w:left="0"/>
        <w:rPr>
          <w:noProof/>
        </w:rPr>
      </w:pPr>
      <w:r w:rsidRPr="00F36655">
        <w:rPr>
          <w:b/>
          <w:noProof/>
        </w:rPr>
        <w:t>În perioada 2021-2023, salariile minime legale au crescut în toate statele membre.</w:t>
      </w:r>
      <w:r w:rsidRPr="00F36655">
        <w:rPr>
          <w:noProof/>
        </w:rPr>
        <w:t xml:space="preserve"> În aproximativ jumătate dintre statele membre, creșterile au compensat pierderea puterii de cumpărare cauzată de inflația ridicată. De asemenea, salariile minime au cunoscut o creștere mai puternică în țările în care fuseseră mai mici, contribuind la sprijinirea convergenței ascendente a salariilor minime, în conformitate cu obiectivele directivei. </w:t>
      </w:r>
    </w:p>
    <w:p w14:paraId="57BD6B6F" w14:textId="57C3BE9E" w:rsidR="00AF4ED6" w:rsidRPr="00F36655" w:rsidRDefault="00415340" w:rsidP="00737523">
      <w:pPr>
        <w:pStyle w:val="Text1"/>
        <w:spacing w:line="240" w:lineRule="atLeast"/>
        <w:ind w:left="0"/>
        <w:rPr>
          <w:noProof/>
        </w:rPr>
      </w:pPr>
      <w:r w:rsidRPr="00F36655">
        <w:rPr>
          <w:b/>
          <w:bCs/>
          <w:noProof/>
        </w:rPr>
        <w:t>În statele membre în care protecția salariului minim este asigurată numai prin convenții colective, salariile cele mai mici convenite colectiv au variat considerabil</w:t>
      </w:r>
      <w:r w:rsidRPr="00F36655">
        <w:rPr>
          <w:noProof/>
        </w:rPr>
        <w:t xml:space="preserve">. În majoritatea țărilor, majorările celor mai scăzute salarii convenite colectiv au fost inferioare inflației pe parcursul perioadei de referință. Totuși, acest lucru a fost parțial atenuat de faptul că aceste salarii au fost, în general, relativ mai mari decât cele din țările cu salarii minime legale. </w:t>
      </w:r>
    </w:p>
    <w:p w14:paraId="7EDC383C" w14:textId="78F1AF14" w:rsidR="00F013A8" w:rsidRPr="00F36655" w:rsidRDefault="00F013A8" w:rsidP="00797E3D">
      <w:pPr>
        <w:pStyle w:val="Text1"/>
        <w:spacing w:line="240" w:lineRule="atLeast"/>
        <w:ind w:left="0"/>
        <w:rPr>
          <w:noProof/>
        </w:rPr>
      </w:pPr>
      <w:r w:rsidRPr="00F36655">
        <w:rPr>
          <w:b/>
          <w:noProof/>
        </w:rPr>
        <w:t>În prezent, există 18 state membre în care rata de acoperire a negocierilor colective se situează sub pragul de 80 %</w:t>
      </w:r>
      <w:r w:rsidRPr="00F36655">
        <w:rPr>
          <w:noProof/>
        </w:rPr>
        <w:t>. Prin urmare, aceste state membre au obligația de a elabora un plan de acțiune pentru promovarea negocierilor colective, în conformitate cu directiva. Cu toate acestea, până la 15 iunie 2026, Comisia primise planurile de acțiune din partea a doar 12 state membre.</w:t>
      </w:r>
    </w:p>
    <w:p w14:paraId="28823A8C" w14:textId="22849E6C" w:rsidR="00655AE3" w:rsidRPr="00F36655" w:rsidRDefault="0004026D" w:rsidP="00E34A6A">
      <w:pPr>
        <w:pStyle w:val="Text1"/>
        <w:spacing w:line="240" w:lineRule="atLeast"/>
        <w:ind w:left="0"/>
        <w:rPr>
          <w:noProof/>
        </w:rPr>
      </w:pPr>
      <w:r w:rsidRPr="00F36655">
        <w:rPr>
          <w:b/>
          <w:noProof/>
        </w:rPr>
        <w:t>Planurile de acțiune notificate Comisiei respectă cerințele prevăzute în directivă.</w:t>
      </w:r>
      <w:r w:rsidRPr="00F36655">
        <w:rPr>
          <w:noProof/>
        </w:rPr>
        <w:t xml:space="preserve"> Acestea au fost elaborate cu implicarea partenerilor sociali și conțin atât măsuri concrete de promovare a negocierilor colective, cât și un calendar clar pentru punerea lor în aplicare. O evaluare preliminară a identificat unele bune practici, cum ar fi introducerea unor explicații detaliate a măsurilor instituționale prevăzute. Statele membre ar putea dori să ia în considerare aceste elemente în contextul viitoarei revizuiri și actualizări a planurilor lor de acțiune.</w:t>
      </w:r>
    </w:p>
    <w:p w14:paraId="198FD46D" w14:textId="0A44C5F3" w:rsidR="00F70481" w:rsidRPr="00F36655" w:rsidRDefault="3AA77240" w:rsidP="00BA1EBA">
      <w:pPr>
        <w:pStyle w:val="Text1"/>
        <w:spacing w:line="240" w:lineRule="atLeast"/>
        <w:ind w:left="0"/>
        <w:rPr>
          <w:noProof/>
        </w:rPr>
      </w:pPr>
      <w:r w:rsidRPr="00F36655">
        <w:rPr>
          <w:noProof/>
        </w:rPr>
        <w:t xml:space="preserve">Comisia intenționează să monitorizeze îndeaproape impactul planurilor de acțiune asupra evoluției ratei de acoperire a negocierilor colective în statele membre vizate și va reevalua eficacitatea acestor planuri de acțiune în următorul său raport periodic către Parlamentul European și Consiliu, în temeiul articolului 10 alineatul (3) din directivă. </w:t>
      </w:r>
    </w:p>
    <w:p w14:paraId="51030A28" w14:textId="77777777" w:rsidR="00F70481" w:rsidRPr="00F36655" w:rsidRDefault="00F70481" w:rsidP="00506ABD">
      <w:pPr>
        <w:jc w:val="both"/>
        <w:rPr>
          <w:noProof/>
        </w:rPr>
      </w:pPr>
    </w:p>
    <w:p w14:paraId="0436CEB6" w14:textId="77777777" w:rsidR="005E54CC" w:rsidRPr="00F36655" w:rsidRDefault="005E54CC" w:rsidP="00506ABD">
      <w:pPr>
        <w:jc w:val="both"/>
        <w:rPr>
          <w:noProof/>
        </w:rPr>
      </w:pPr>
    </w:p>
    <w:p w14:paraId="5B9CA3DD" w14:textId="77777777" w:rsidR="00F70481" w:rsidRPr="00F36655" w:rsidRDefault="00F70481" w:rsidP="00506ABD">
      <w:pPr>
        <w:jc w:val="both"/>
        <w:rPr>
          <w:b/>
          <w:noProof/>
        </w:rPr>
      </w:pPr>
    </w:p>
    <w:sectPr w:rsidR="00F70481" w:rsidRPr="00F36655" w:rsidSect="008C6074">
      <w:headerReference w:type="even" r:id="rId24"/>
      <w:headerReference w:type="default" r:id="rId25"/>
      <w:footerReference w:type="even" r:id="rId26"/>
      <w:footerReference w:type="default" r:id="rId27"/>
      <w:headerReference w:type="first" r:id="rId28"/>
      <w:footerReference w:type="first" r:id="rId29"/>
      <w:pgSz w:w="11906" w:h="16838"/>
      <w:pgMar w:top="1440" w:right="1440" w:bottom="1440" w:left="1440" w:header="708" w:footer="708"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015924" w14:textId="77777777" w:rsidR="00C8555F" w:rsidRPr="00F36655" w:rsidRDefault="00C8555F" w:rsidP="00EF641F">
      <w:pPr>
        <w:spacing w:after="0" w:line="240" w:lineRule="auto"/>
      </w:pPr>
      <w:r w:rsidRPr="00F36655">
        <w:separator/>
      </w:r>
    </w:p>
  </w:endnote>
  <w:endnote w:type="continuationSeparator" w:id="0">
    <w:p w14:paraId="25D6CF66" w14:textId="77777777" w:rsidR="00C8555F" w:rsidRPr="00F36655" w:rsidRDefault="00C8555F" w:rsidP="00EF641F">
      <w:pPr>
        <w:spacing w:after="0" w:line="240" w:lineRule="auto"/>
      </w:pPr>
      <w:r w:rsidRPr="00F366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521218" w14:textId="400CA035" w:rsidR="00916CF3" w:rsidRPr="00916CF3" w:rsidRDefault="00916CF3" w:rsidP="00916CF3">
    <w:pPr>
      <w:pStyle w:val="FooterCoverPage"/>
      <w:rPr>
        <w:rFonts w:ascii="Arial" w:hAnsi="Arial" w:cs="Arial"/>
        <w:b/>
        <w:sz w:val="48"/>
      </w:rPr>
    </w:pPr>
    <w:r w:rsidRPr="00916CF3">
      <w:rPr>
        <w:rFonts w:ascii="Arial" w:hAnsi="Arial" w:cs="Arial"/>
        <w:b/>
        <w:sz w:val="48"/>
      </w:rPr>
      <w:t>RO</w:t>
    </w:r>
    <w:r w:rsidRPr="00916CF3">
      <w:rPr>
        <w:rFonts w:ascii="Arial" w:hAnsi="Arial" w:cs="Arial"/>
        <w:b/>
        <w:sz w:val="48"/>
      </w:rPr>
      <w:tab/>
    </w:r>
    <w:r w:rsidRPr="00916CF3">
      <w:rPr>
        <w:rFonts w:ascii="Arial" w:hAnsi="Arial" w:cs="Arial"/>
        <w:b/>
        <w:sz w:val="48"/>
      </w:rPr>
      <w:tab/>
    </w:r>
    <w:r w:rsidRPr="00916CF3">
      <w:tab/>
    </w:r>
    <w:r w:rsidRPr="00916CF3">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B292CC" w14:textId="3570462B" w:rsidR="00916CF3" w:rsidRPr="00916CF3" w:rsidRDefault="00916CF3" w:rsidP="00916CF3">
    <w:pPr>
      <w:pStyle w:val="FooterCoverPage"/>
      <w:rPr>
        <w:rFonts w:ascii="Arial" w:hAnsi="Arial" w:cs="Arial"/>
        <w:b/>
        <w:sz w:val="48"/>
      </w:rPr>
    </w:pPr>
    <w:r w:rsidRPr="00916CF3">
      <w:rPr>
        <w:rFonts w:ascii="Arial" w:hAnsi="Arial" w:cs="Arial"/>
        <w:b/>
        <w:sz w:val="48"/>
      </w:rPr>
      <w:t>RO</w:t>
    </w:r>
    <w:r w:rsidRPr="00916CF3">
      <w:rPr>
        <w:rFonts w:ascii="Arial" w:hAnsi="Arial" w:cs="Arial"/>
        <w:b/>
        <w:sz w:val="48"/>
      </w:rPr>
      <w:tab/>
    </w:r>
    <w:r w:rsidRPr="00916CF3">
      <w:rPr>
        <w:rFonts w:ascii="Arial" w:hAnsi="Arial" w:cs="Arial"/>
        <w:b/>
        <w:sz w:val="48"/>
      </w:rPr>
      <w:tab/>
    </w:r>
    <w:r w:rsidRPr="00916CF3">
      <w:tab/>
    </w:r>
    <w:r w:rsidRPr="00916CF3">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F09F97" w14:textId="77777777" w:rsidR="00916CF3" w:rsidRPr="00916CF3" w:rsidRDefault="00916CF3" w:rsidP="00916CF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035D99" w14:textId="77777777" w:rsidR="00EF641F" w:rsidRPr="00F36655" w:rsidRDefault="00EF641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7512399"/>
      <w:docPartObj>
        <w:docPartGallery w:val="Page Numbers (Bottom of Page)"/>
        <w:docPartUnique/>
      </w:docPartObj>
    </w:sdtPr>
    <w:sdtEndPr>
      <w:rPr>
        <w:rFonts w:ascii="Times New Roman" w:hAnsi="Times New Roman" w:cs="Times New Roman"/>
        <w:sz w:val="24"/>
        <w:szCs w:val="24"/>
      </w:rPr>
    </w:sdtEndPr>
    <w:sdtContent>
      <w:p w14:paraId="7079BD37" w14:textId="34F6FC9B" w:rsidR="00E92D7F" w:rsidRPr="00F36655" w:rsidRDefault="00E92D7F">
        <w:pPr>
          <w:pStyle w:val="Footer"/>
          <w:jc w:val="center"/>
          <w:rPr>
            <w:rFonts w:ascii="Times New Roman" w:hAnsi="Times New Roman" w:cs="Times New Roman"/>
            <w:sz w:val="24"/>
            <w:szCs w:val="24"/>
          </w:rPr>
        </w:pPr>
        <w:r w:rsidRPr="00F36655">
          <w:rPr>
            <w:rFonts w:ascii="Times New Roman" w:hAnsi="Times New Roman" w:cs="Times New Roman"/>
            <w:sz w:val="24"/>
          </w:rPr>
          <w:fldChar w:fldCharType="begin"/>
        </w:r>
        <w:r w:rsidRPr="00F36655">
          <w:rPr>
            <w:rFonts w:ascii="Times New Roman" w:hAnsi="Times New Roman" w:cs="Times New Roman"/>
            <w:sz w:val="24"/>
          </w:rPr>
          <w:instrText xml:space="preserve"> PAGE   \* MERGEFORMAT </w:instrText>
        </w:r>
        <w:r w:rsidRPr="00F36655">
          <w:rPr>
            <w:rFonts w:ascii="Times New Roman" w:hAnsi="Times New Roman" w:cs="Times New Roman"/>
            <w:sz w:val="24"/>
          </w:rPr>
          <w:fldChar w:fldCharType="separate"/>
        </w:r>
        <w:r w:rsidR="00916CF3">
          <w:rPr>
            <w:rFonts w:ascii="Times New Roman" w:hAnsi="Times New Roman" w:cs="Times New Roman"/>
            <w:noProof/>
            <w:sz w:val="24"/>
          </w:rPr>
          <w:t>2</w:t>
        </w:r>
        <w:r w:rsidRPr="00F36655">
          <w:rPr>
            <w:rFonts w:ascii="Times New Roman" w:hAnsi="Times New Roman" w:cs="Times New Roman"/>
            <w:sz w:val="24"/>
          </w:rPr>
          <w:fldChar w:fldCharType="end"/>
        </w:r>
      </w:p>
    </w:sdtContent>
  </w:sdt>
  <w:p w14:paraId="2383D560" w14:textId="77777777" w:rsidR="00EF641F" w:rsidRPr="00F36655" w:rsidRDefault="00EF641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A3384E" w14:textId="77777777" w:rsidR="00EF641F" w:rsidRPr="00F36655" w:rsidRDefault="00EF64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337016" w14:textId="77777777" w:rsidR="00C8555F" w:rsidRPr="00F36655" w:rsidRDefault="00C8555F" w:rsidP="00EF641F">
      <w:pPr>
        <w:spacing w:after="0" w:line="240" w:lineRule="auto"/>
      </w:pPr>
      <w:r w:rsidRPr="00F36655">
        <w:separator/>
      </w:r>
    </w:p>
  </w:footnote>
  <w:footnote w:type="continuationSeparator" w:id="0">
    <w:p w14:paraId="7E26F2CD" w14:textId="77777777" w:rsidR="00C8555F" w:rsidRPr="00F36655" w:rsidRDefault="00C8555F" w:rsidP="00EF641F">
      <w:pPr>
        <w:spacing w:after="0" w:line="240" w:lineRule="auto"/>
      </w:pPr>
      <w:r w:rsidRPr="00F36655">
        <w:continuationSeparator/>
      </w:r>
    </w:p>
  </w:footnote>
  <w:footnote w:id="1">
    <w:p w14:paraId="2C9CC664" w14:textId="77777777" w:rsidR="00C14D6E" w:rsidRPr="00F36655" w:rsidRDefault="00C14D6E" w:rsidP="00C14D6E">
      <w:pPr>
        <w:pStyle w:val="FootnoteText"/>
      </w:pPr>
      <w:r w:rsidRPr="00F36655">
        <w:t>(</w:t>
      </w:r>
      <w:r w:rsidRPr="00F36655">
        <w:rPr>
          <w:rStyle w:val="FootnoteReference"/>
        </w:rPr>
        <w:footnoteRef/>
      </w:r>
      <w:r w:rsidRPr="00F36655">
        <w:t xml:space="preserve">) </w:t>
      </w:r>
      <w:r w:rsidRPr="00F36655">
        <w:tab/>
        <w:t xml:space="preserve">Directiva (UE) 2022/2041 a Parlamentului European și a Consiliului din 19 octombrie 2022 privind salariile minime adecvate în Uniunea Europeană, </w:t>
      </w:r>
      <w:hyperlink r:id="rId1" w:history="1">
        <w:r w:rsidRPr="00F36655">
          <w:rPr>
            <w:rStyle w:val="Hyperlink"/>
          </w:rPr>
          <w:t>https://eur-lex.europa.eu/eli/dir/2022/2041/oj/eng</w:t>
        </w:r>
      </w:hyperlink>
      <w:r w:rsidRPr="00F36655">
        <w:t xml:space="preserve">. </w:t>
      </w:r>
    </w:p>
  </w:footnote>
  <w:footnote w:id="2">
    <w:p w14:paraId="1573B509" w14:textId="4FE5037C" w:rsidR="00C14D6E" w:rsidRPr="00F36655" w:rsidRDefault="00C14D6E" w:rsidP="00C14D6E">
      <w:pPr>
        <w:pStyle w:val="FootnoteText"/>
      </w:pPr>
      <w:r w:rsidRPr="00F36655">
        <w:t>(</w:t>
      </w:r>
      <w:r w:rsidRPr="00F36655">
        <w:rPr>
          <w:rStyle w:val="FootnoteReference"/>
        </w:rPr>
        <w:footnoteRef/>
      </w:r>
      <w:r w:rsidRPr="00F36655">
        <w:t>)</w:t>
      </w:r>
      <w:r w:rsidRPr="00F36655">
        <w:tab/>
      </w:r>
      <w:r w:rsidRPr="00F36655">
        <w:rPr>
          <w:i/>
        </w:rPr>
        <w:t xml:space="preserve">Interinstitutional Proclamation on the European Pillar of Social Rights </w:t>
      </w:r>
      <w:r w:rsidRPr="00F36655">
        <w:t xml:space="preserve">(Proclamația interinstituțională privind Pilonul european al drepturilor sociale) (2017/C 428/09), </w:t>
      </w:r>
      <w:hyperlink r:id="rId2" w:history="1">
        <w:r w:rsidRPr="00F36655">
          <w:rPr>
            <w:rStyle w:val="Hyperlink"/>
          </w:rPr>
          <w:t>https://employment-social-affairs.ec.europa.eu/policies-and-activities/european-pillar-social-rights-building-fairer-and-more-inclusive-european-union_en</w:t>
        </w:r>
      </w:hyperlink>
      <w:r w:rsidRPr="00F36655">
        <w:t>.</w:t>
      </w:r>
    </w:p>
  </w:footnote>
  <w:footnote w:id="3">
    <w:p w14:paraId="698C32D6" w14:textId="77386C6F" w:rsidR="00C21432" w:rsidRPr="00F36655" w:rsidRDefault="00C21432" w:rsidP="00C21432">
      <w:pPr>
        <w:pStyle w:val="FootnoteText"/>
      </w:pPr>
      <w:r w:rsidRPr="00F36655">
        <w:t>(</w:t>
      </w:r>
      <w:r w:rsidRPr="00F36655">
        <w:rPr>
          <w:rStyle w:val="FootnoteReference"/>
          <w:rFonts w:eastAsiaTheme="majorEastAsia"/>
        </w:rPr>
        <w:footnoteRef/>
      </w:r>
      <w:r w:rsidRPr="00F36655">
        <w:t>)</w:t>
      </w:r>
      <w:r w:rsidRPr="00F36655">
        <w:tab/>
        <w:t xml:space="preserve">Eurostat publică statistici privind salariul minim pe baza unor date comparabile și armonizate. Consultați: </w:t>
      </w:r>
      <w:hyperlink r:id="rId3" w:history="1">
        <w:r w:rsidRPr="00F36655">
          <w:rPr>
            <w:rStyle w:val="Hyperlink"/>
          </w:rPr>
          <w:t>https://ec.europa.eu/eurostat/statistics-explained/index.php?title=Minimum_wage_statistics</w:t>
        </w:r>
      </w:hyperlink>
      <w:r w:rsidRPr="00F36655">
        <w:t>.</w:t>
      </w:r>
    </w:p>
  </w:footnote>
  <w:footnote w:id="4">
    <w:p w14:paraId="6A9F53E0" w14:textId="1FC39819" w:rsidR="00B22864" w:rsidRPr="00F36655" w:rsidRDefault="00B22864">
      <w:pPr>
        <w:pStyle w:val="FootnoteText"/>
      </w:pPr>
      <w:r w:rsidRPr="00F36655">
        <w:t>(</w:t>
      </w:r>
      <w:r w:rsidRPr="00F36655">
        <w:rPr>
          <w:rStyle w:val="FootnoteReference"/>
        </w:rPr>
        <w:footnoteRef/>
      </w:r>
      <w:r w:rsidRPr="00F36655">
        <w:t xml:space="preserve">) </w:t>
      </w:r>
      <w:r w:rsidRPr="00F36655">
        <w:tab/>
        <w:t>SWD(2026)237</w:t>
      </w:r>
      <w:r w:rsidR="00F36655">
        <w:t>.</w:t>
      </w:r>
    </w:p>
  </w:footnote>
  <w:footnote w:id="5">
    <w:p w14:paraId="60984FA5" w14:textId="1A52C1AF" w:rsidR="00BF7990" w:rsidRPr="00F36655" w:rsidRDefault="00BF7990" w:rsidP="00BF7990">
      <w:pPr>
        <w:pStyle w:val="FootnoteText"/>
      </w:pPr>
      <w:r w:rsidRPr="00F36655">
        <w:t>(</w:t>
      </w:r>
      <w:r w:rsidRPr="00F36655">
        <w:rPr>
          <w:rStyle w:val="FootnoteReference"/>
        </w:rPr>
        <w:footnoteRef/>
      </w:r>
      <w:r w:rsidRPr="00F36655">
        <w:t xml:space="preserve">) </w:t>
      </w:r>
      <w:r w:rsidRPr="00F36655">
        <w:tab/>
        <w:t>Cipru a introdus salariul minim legal la nivel național în 2023. În anii 2021 și 2022, protecția salariului minim a fost asigurată prin convenții colective sau, în unele sectoare, printr-un salariu minim sectorial.</w:t>
      </w:r>
    </w:p>
  </w:footnote>
  <w:footnote w:id="6">
    <w:p w14:paraId="49E762B0" w14:textId="77777777" w:rsidR="00FC7AC4" w:rsidRPr="00F36655" w:rsidRDefault="00FC7AC4" w:rsidP="00FC7AC4">
      <w:pPr>
        <w:pStyle w:val="FootnoteText"/>
      </w:pPr>
      <w:r w:rsidRPr="00F36655">
        <w:t>(</w:t>
      </w:r>
      <w:r w:rsidRPr="00F36655">
        <w:rPr>
          <w:rStyle w:val="FootnoteReference"/>
        </w:rPr>
        <w:footnoteRef/>
      </w:r>
      <w:r w:rsidRPr="00F36655">
        <w:t>)</w:t>
      </w:r>
      <w:r w:rsidRPr="00F36655">
        <w:tab/>
        <w:t xml:space="preserve">Pentru o mai bună comparabilitate, salariile minime legale raportate au fost convertite în medii lunare ponderate ale salariului minim pe parcursul anului. </w:t>
      </w:r>
    </w:p>
  </w:footnote>
  <w:footnote w:id="7">
    <w:p w14:paraId="27434EBB" w14:textId="67055192" w:rsidR="00751143" w:rsidRPr="00F36655" w:rsidRDefault="00751143" w:rsidP="00751143">
      <w:pPr>
        <w:pStyle w:val="FootnoteText"/>
      </w:pPr>
      <w:r w:rsidRPr="00F36655">
        <w:t>(</w:t>
      </w:r>
      <w:r w:rsidRPr="00F36655">
        <w:rPr>
          <w:rStyle w:val="FootnoteReference"/>
        </w:rPr>
        <w:footnoteRef/>
      </w:r>
      <w:r w:rsidRPr="00F36655">
        <w:t xml:space="preserve">) </w:t>
      </w:r>
      <w:r w:rsidRPr="00F36655">
        <w:tab/>
        <w:t>Croația, Cipru, Cehia, Grecia, Lituania, Malta, Polonia, Portugalia și Slovacia.</w:t>
      </w:r>
    </w:p>
  </w:footnote>
  <w:footnote w:id="8">
    <w:p w14:paraId="120940AC" w14:textId="6038F3B0" w:rsidR="007B41FE" w:rsidRPr="00F36655" w:rsidRDefault="008A72AD">
      <w:pPr>
        <w:pStyle w:val="FootnoteText"/>
      </w:pPr>
      <w:r w:rsidRPr="00F36655">
        <w:t>(</w:t>
      </w:r>
      <w:r w:rsidRPr="00F36655">
        <w:rPr>
          <w:rStyle w:val="FootnoteReference"/>
        </w:rPr>
        <w:footnoteRef/>
      </w:r>
      <w:r w:rsidRPr="00F36655">
        <w:t xml:space="preserve">) </w:t>
      </w:r>
      <w:r w:rsidRPr="00F36655">
        <w:tab/>
        <w:t>Pentru Cipru și Slovenia, ratele de creștere nu au putut fi calculate, deoarece Slovenia a prezentat date doar pentru 2023, iar Cipru a introdus salariul minim legal în 2023.</w:t>
      </w:r>
    </w:p>
  </w:footnote>
  <w:footnote w:id="9">
    <w:p w14:paraId="51F6F7A2" w14:textId="38EB6CB1" w:rsidR="00765B27" w:rsidRPr="00F36655" w:rsidRDefault="00765B27" w:rsidP="00765B27">
      <w:pPr>
        <w:pStyle w:val="FootnoteText"/>
      </w:pPr>
      <w:r w:rsidRPr="00F36655">
        <w:t>(</w:t>
      </w:r>
      <w:r w:rsidRPr="00F36655">
        <w:rPr>
          <w:rStyle w:val="FootnoteReference"/>
        </w:rPr>
        <w:footnoteRef/>
      </w:r>
      <w:r w:rsidRPr="00F36655">
        <w:t>)</w:t>
      </w:r>
      <w:r w:rsidRPr="00F36655">
        <w:tab/>
        <w:t>Majorările ulterioare, intervenite după perioada de raportare, au compensat într-o măsură și mai mare pierderea puterii de cumpărare la nivelul UE. A se vedea, de exemplu, Comisia Europeană,</w:t>
      </w:r>
      <w:r w:rsidR="00F36655">
        <w:t xml:space="preserve"> </w:t>
      </w:r>
      <w:r w:rsidRPr="00F36655">
        <w:rPr>
          <w:i/>
        </w:rPr>
        <w:t>Labour market and wage developments in Europe – Annual review 2025</w:t>
      </w:r>
      <w:r w:rsidRPr="00F36655">
        <w:t>, 2025.</w:t>
      </w:r>
    </w:p>
  </w:footnote>
  <w:footnote w:id="10">
    <w:p w14:paraId="1C9F1389" w14:textId="26A761E9" w:rsidR="00194409" w:rsidRPr="00F36655" w:rsidRDefault="00194409" w:rsidP="00194409">
      <w:pPr>
        <w:pStyle w:val="FootnoteText"/>
      </w:pPr>
      <w:r w:rsidRPr="00F36655">
        <w:t>(</w:t>
      </w:r>
      <w:r w:rsidRPr="00F36655">
        <w:rPr>
          <w:rStyle w:val="FootnoteReference"/>
        </w:rPr>
        <w:footnoteRef/>
      </w:r>
      <w:r w:rsidRPr="00F36655">
        <w:t xml:space="preserve">) </w:t>
      </w:r>
      <w:r w:rsidRPr="00F36655">
        <w:tab/>
        <w:t>Slovacia, Irlanda, Bulgaria, Lituania și Cehia.</w:t>
      </w:r>
    </w:p>
  </w:footnote>
  <w:footnote w:id="11">
    <w:p w14:paraId="01ED6340" w14:textId="523C2B90" w:rsidR="006F5097" w:rsidRPr="00F36655" w:rsidRDefault="006F5097">
      <w:pPr>
        <w:pStyle w:val="FootnoteText"/>
      </w:pPr>
      <w:r w:rsidRPr="00F36655">
        <w:t>(</w:t>
      </w:r>
      <w:r w:rsidRPr="00F36655">
        <w:rPr>
          <w:rStyle w:val="FootnoteReference"/>
        </w:rPr>
        <w:footnoteRef/>
      </w:r>
      <w:r w:rsidRPr="00F36655">
        <w:t>)</w:t>
      </w:r>
      <w:r w:rsidRPr="00F36655">
        <w:tab/>
        <w:t>Datele armonizate publicate de Eurostat indică faptul că, în 2022, ponderea lucrătorilor care câștigă mai puțin de 105 % din salariul minim legal a variat de la 2,6 % în Cehia la 13,0 % în Bulgaria.</w:t>
      </w:r>
    </w:p>
  </w:footnote>
  <w:footnote w:id="12">
    <w:p w14:paraId="08C7AF17" w14:textId="4B825273" w:rsidR="000633CF" w:rsidRPr="00F36655" w:rsidRDefault="000633CF">
      <w:pPr>
        <w:pStyle w:val="FootnoteText"/>
      </w:pPr>
      <w:r w:rsidRPr="00F36655">
        <w:t>(</w:t>
      </w:r>
      <w:r w:rsidRPr="00F36655">
        <w:rPr>
          <w:rStyle w:val="FootnoteReference"/>
        </w:rPr>
        <w:footnoteRef/>
      </w:r>
      <w:r w:rsidRPr="00F36655">
        <w:t>)</w:t>
      </w:r>
      <w:r w:rsidRPr="00F36655">
        <w:tab/>
      </w:r>
      <w:bookmarkStart w:id="9" w:name="_Hlk230768633"/>
      <w:r w:rsidRPr="00F36655">
        <w:t>Eurostat definește persoanele cu salarii mici ca fiind angajații care câștigă două treimi sau mai puțin din câștigurile salariale orare brute mediane naționale. Cu toate acestea, directiva permite statelor membre să utilizeze propriile definiții.</w:t>
      </w:r>
      <w:bookmarkEnd w:id="9"/>
    </w:p>
  </w:footnote>
  <w:footnote w:id="13">
    <w:p w14:paraId="2C0EFD30" w14:textId="7FC02A11" w:rsidR="00686EEB" w:rsidRPr="00F36655" w:rsidRDefault="00686EEB" w:rsidP="00686EEB">
      <w:pPr>
        <w:pStyle w:val="FootnoteText"/>
      </w:pPr>
      <w:r w:rsidRPr="00F36655">
        <w:t>(</w:t>
      </w:r>
      <w:r w:rsidRPr="00F36655">
        <w:rPr>
          <w:rStyle w:val="FootnoteReference"/>
        </w:rPr>
        <w:footnoteRef/>
      </w:r>
      <w:r w:rsidRPr="00F36655">
        <w:t>)</w:t>
      </w:r>
      <w:r w:rsidRPr="00F36655">
        <w:tab/>
        <w:t>Italia a raportat salariul corespunzător percentilei 25 din convențiile colective selectate aplicabile persoanelor cu salarii mici, mai degrabă decât cel mai scăzut salariu.</w:t>
      </w:r>
    </w:p>
  </w:footnote>
  <w:footnote w:id="14">
    <w:p w14:paraId="116B04A1" w14:textId="19C6D7B0" w:rsidR="00A73A4C" w:rsidRPr="00F36655" w:rsidRDefault="00A73A4C">
      <w:pPr>
        <w:pStyle w:val="FootnoteText"/>
      </w:pPr>
      <w:r w:rsidRPr="00F36655">
        <w:t>(</w:t>
      </w:r>
      <w:r w:rsidRPr="00F36655">
        <w:rPr>
          <w:rStyle w:val="FootnoteReference"/>
        </w:rPr>
        <w:footnoteRef/>
      </w:r>
      <w:r w:rsidRPr="00F36655">
        <w:t>)</w:t>
      </w:r>
      <w:r w:rsidRPr="00F36655">
        <w:tab/>
        <w:t>Statele membre au identificat convenții colective aplicabile persoanelor cu salarii mici și au transmis date privind cele mai scăzute salarii stabilite prin acestea.</w:t>
      </w:r>
    </w:p>
  </w:footnote>
  <w:footnote w:id="15">
    <w:p w14:paraId="3C051143" w14:textId="77777777" w:rsidR="0073036D" w:rsidRPr="00F36655" w:rsidRDefault="0073036D" w:rsidP="0073036D">
      <w:pPr>
        <w:pStyle w:val="FootnoteText"/>
      </w:pPr>
      <w:r w:rsidRPr="00F36655">
        <w:t>(</w:t>
      </w:r>
      <w:r w:rsidRPr="00F36655">
        <w:rPr>
          <w:rStyle w:val="FootnoteReference"/>
        </w:rPr>
        <w:footnoteRef/>
      </w:r>
      <w:r w:rsidRPr="00F36655">
        <w:t xml:space="preserve">) </w:t>
      </w:r>
      <w:r w:rsidRPr="00F36655">
        <w:tab/>
        <w:t xml:space="preserve">OCDE, </w:t>
      </w:r>
      <w:r w:rsidRPr="00F36655">
        <w:rPr>
          <w:i/>
        </w:rPr>
        <w:t>OECD Employment Outlook</w:t>
      </w:r>
      <w:r w:rsidRPr="00F36655">
        <w:t xml:space="preserve"> (2023). </w:t>
      </w:r>
    </w:p>
  </w:footnote>
  <w:footnote w:id="16">
    <w:p w14:paraId="7919126D" w14:textId="77777777" w:rsidR="009B3AB1" w:rsidRPr="00F36655" w:rsidRDefault="009B3AB1" w:rsidP="009B3AB1">
      <w:pPr>
        <w:pStyle w:val="FootnoteText"/>
      </w:pPr>
      <w:r w:rsidRPr="00F36655">
        <w:t>(</w:t>
      </w:r>
      <w:r w:rsidRPr="00F36655">
        <w:rPr>
          <w:rStyle w:val="FootnoteReference"/>
        </w:rPr>
        <w:footnoteRef/>
      </w:r>
      <w:r w:rsidRPr="00F36655">
        <w:t>)</w:t>
      </w:r>
      <w:r w:rsidRPr="00F36655">
        <w:tab/>
        <w:t>Din cauza disponibilității datelor, ratele de acoperire a negocierilor colective pentru Luxemburg și Letonia în această comparație se referă la anul 2022, în timp ce rata pentru Estonia se referă la 2021.</w:t>
      </w:r>
    </w:p>
  </w:footnote>
  <w:footnote w:id="17">
    <w:p w14:paraId="6739442F" w14:textId="36011C1E" w:rsidR="00C4256D" w:rsidRPr="00F36655" w:rsidRDefault="00C4256D">
      <w:pPr>
        <w:pStyle w:val="FootnoteText"/>
      </w:pPr>
      <w:r w:rsidRPr="00F36655">
        <w:t>(</w:t>
      </w:r>
      <w:r w:rsidRPr="00F36655">
        <w:rPr>
          <w:rStyle w:val="FootnoteReference"/>
        </w:rPr>
        <w:footnoteRef/>
      </w:r>
      <w:r w:rsidRPr="00F36655">
        <w:t xml:space="preserve">) </w:t>
      </w:r>
      <w:r w:rsidRPr="00F36655">
        <w:tab/>
        <w:t>În Cipru, scăderea raportată este în concordanță cu declinul pe termen lung al gradului de sindicalizare observat în această țară. În România, creșterea raportată reflectă probabil atât evoluții instituționale, precum reformele în domeniul dialogului social, cât și diferențe legate de metodologia de măsurare. În Malta, scăderea se explică prin utilizarea unor surse de date diferite.</w:t>
      </w:r>
    </w:p>
  </w:footnote>
  <w:footnote w:id="18">
    <w:p w14:paraId="43C5CD2F" w14:textId="0B9CCB1D" w:rsidR="00D152A3" w:rsidRPr="00F36655" w:rsidRDefault="00261379" w:rsidP="001850A6">
      <w:pPr>
        <w:pStyle w:val="FootnoteText"/>
      </w:pPr>
      <w:r w:rsidRPr="00F36655">
        <w:t>(</w:t>
      </w:r>
      <w:r w:rsidRPr="00F36655">
        <w:rPr>
          <w:vertAlign w:val="superscript"/>
        </w:rPr>
        <w:footnoteRef/>
      </w:r>
      <w:r w:rsidRPr="00F36655">
        <w:t xml:space="preserve">) </w:t>
      </w:r>
      <w:r w:rsidRPr="00F36655">
        <w:tab/>
        <w:t>Bulgaria, Croația, Cipru, Cehia, Estonia, Germania, Grecia, Ungaria, Irlanda, Letonia, Lituania, Luxemburg, Malta, Țările de Jos, Polonia, România, Slovacia și Slovenia.</w:t>
      </w:r>
    </w:p>
  </w:footnote>
  <w:footnote w:id="19">
    <w:p w14:paraId="101E03A2" w14:textId="7A1F4183" w:rsidR="001C7BD5" w:rsidRPr="00F36655" w:rsidRDefault="00261379">
      <w:pPr>
        <w:pStyle w:val="FootnoteText"/>
      </w:pPr>
      <w:r w:rsidRPr="00F36655">
        <w:t>(</w:t>
      </w:r>
      <w:r w:rsidRPr="00F36655">
        <w:rPr>
          <w:vertAlign w:val="superscript"/>
        </w:rPr>
        <w:footnoteRef/>
      </w:r>
      <w:r w:rsidRPr="00F36655">
        <w:t xml:space="preserve">) </w:t>
      </w:r>
      <w:r w:rsidRPr="00F36655">
        <w:tab/>
        <w:t>Bulgaria, Cehia, Estonia, Grecia, Irlanda, Letonia, Lituania, Malta, Țările de Jos, Polonia, România și Slovacia.</w:t>
      </w:r>
    </w:p>
  </w:footnote>
  <w:footnote w:id="20">
    <w:p w14:paraId="54A1FA96" w14:textId="03E99FE0" w:rsidR="004E1D4F" w:rsidRPr="00F36655" w:rsidRDefault="004E1D4F" w:rsidP="004E1D4F">
      <w:pPr>
        <w:pStyle w:val="FootnoteText"/>
      </w:pPr>
      <w:r w:rsidRPr="00F36655">
        <w:t>(</w:t>
      </w:r>
      <w:r w:rsidRPr="00F36655">
        <w:rPr>
          <w:rStyle w:val="FootnoteReference"/>
        </w:rPr>
        <w:footnoteRef/>
      </w:r>
      <w:r w:rsidRPr="00F36655">
        <w:t>)</w:t>
      </w:r>
      <w:r w:rsidRPr="00F36655">
        <w:tab/>
        <w:t>Croația, Cipru, Germania, Luxemburg, Ungaria și Slovenia.</w:t>
      </w:r>
    </w:p>
  </w:footnote>
  <w:footnote w:id="21">
    <w:p w14:paraId="4946F577" w14:textId="34A70E4C" w:rsidR="003849E3" w:rsidRPr="00F36655" w:rsidRDefault="003849E3" w:rsidP="003849E3">
      <w:pPr>
        <w:pStyle w:val="FootnoteText"/>
      </w:pPr>
      <w:r w:rsidRPr="00F36655">
        <w:t>(</w:t>
      </w:r>
      <w:r w:rsidRPr="00F36655">
        <w:rPr>
          <w:rStyle w:val="FootnoteReference"/>
        </w:rPr>
        <w:footnoteRef/>
      </w:r>
      <w:r w:rsidRPr="00F36655">
        <w:t xml:space="preserve">) </w:t>
      </w:r>
      <w:r w:rsidRPr="00F36655">
        <w:tab/>
        <w:t>Articolul 4 alineatul (2) din directivă prevede că planurile de acțiune se stabilesc după consultarea partenerilor sociali sau prin acord cu aceștia ori, în urma unei solicitări comune a partenerilor sociali, cu respectarea acordului dintre aceștia.</w:t>
      </w:r>
    </w:p>
  </w:footnote>
  <w:footnote w:id="22">
    <w:p w14:paraId="42291053" w14:textId="462BC7F1" w:rsidR="00716DFF" w:rsidRPr="00F36655" w:rsidRDefault="00716DFF">
      <w:pPr>
        <w:pStyle w:val="FootnoteText"/>
      </w:pPr>
      <w:r w:rsidRPr="00F36655">
        <w:t>(</w:t>
      </w:r>
      <w:r w:rsidRPr="00F36655">
        <w:rPr>
          <w:rStyle w:val="FootnoteReference"/>
        </w:rPr>
        <w:footnoteRef/>
      </w:r>
      <w:r w:rsidRPr="00F36655">
        <w:t>)</w:t>
      </w:r>
      <w:r w:rsidRPr="00F36655">
        <w:tab/>
        <w:t>Bulgaria, Estonia, Grecia, Irlanda, Lituania, Țările de Jos, Polonia și Slovacia.</w:t>
      </w:r>
    </w:p>
  </w:footnote>
  <w:footnote w:id="23">
    <w:p w14:paraId="4A6B1290" w14:textId="2DAEA7B6" w:rsidR="003849E3" w:rsidRPr="00F36655" w:rsidRDefault="007C07A1">
      <w:pPr>
        <w:pStyle w:val="FootnoteText"/>
      </w:pPr>
      <w:r w:rsidRPr="00F36655">
        <w:t>(</w:t>
      </w:r>
      <w:r w:rsidRPr="00F36655">
        <w:rPr>
          <w:rStyle w:val="FootnoteReference"/>
        </w:rPr>
        <w:footnoteRef/>
      </w:r>
      <w:r w:rsidRPr="00F36655">
        <w:t>)</w:t>
      </w:r>
      <w:r w:rsidRPr="00F36655">
        <w:tab/>
        <w:t>Cehia.</w:t>
      </w:r>
    </w:p>
  </w:footnote>
  <w:footnote w:id="24">
    <w:p w14:paraId="553B5277" w14:textId="6C10FE01" w:rsidR="003849E3" w:rsidRPr="00F36655" w:rsidRDefault="007C07A1">
      <w:pPr>
        <w:pStyle w:val="FootnoteText"/>
      </w:pPr>
      <w:r w:rsidRPr="00F36655">
        <w:t>(</w:t>
      </w:r>
      <w:r w:rsidRPr="00F36655">
        <w:rPr>
          <w:rStyle w:val="FootnoteReference"/>
        </w:rPr>
        <w:footnoteRef/>
      </w:r>
      <w:r w:rsidRPr="00F36655">
        <w:t>)</w:t>
      </w:r>
      <w:r w:rsidRPr="00F36655">
        <w:tab/>
        <w:t>Letonia, Malta și România.</w:t>
      </w:r>
    </w:p>
  </w:footnote>
  <w:footnote w:id="25">
    <w:p w14:paraId="767E7410" w14:textId="5521524E" w:rsidR="0079585D" w:rsidRPr="00F36655" w:rsidRDefault="0079585D" w:rsidP="0079585D">
      <w:pPr>
        <w:pStyle w:val="FootnoteText"/>
      </w:pPr>
      <w:r w:rsidRPr="00F36655">
        <w:t>(</w:t>
      </w:r>
      <w:r w:rsidRPr="00F36655">
        <w:rPr>
          <w:rStyle w:val="FootnoteReference"/>
        </w:rPr>
        <w:footnoteRef/>
      </w:r>
      <w:r w:rsidRPr="00F36655">
        <w:t>)</w:t>
      </w:r>
      <w:r w:rsidR="00F36655">
        <w:tab/>
      </w:r>
      <w:r w:rsidRPr="00F36655">
        <w:t>Acesta este cazul planurilor de acțiune ale Bulgariei, Cehiei, Greciei, Irlandei, Maltei, Poloniei, României și Slovaciei, care urmează să fie puse în aplicare până în 2030. Planul de acțiune al Lituaniei, care a fost adoptat mai devreme decât celelalte (2024), prevede o perioadă de punere în aplicare de patru ani (2024-2028).</w:t>
      </w:r>
    </w:p>
  </w:footnote>
  <w:footnote w:id="26">
    <w:p w14:paraId="6C378D16" w14:textId="77777777" w:rsidR="0079585D" w:rsidRPr="00F36655" w:rsidRDefault="0079585D" w:rsidP="0079585D">
      <w:pPr>
        <w:pStyle w:val="FootnoteText"/>
      </w:pPr>
      <w:r w:rsidRPr="00F36655">
        <w:t>(</w:t>
      </w:r>
      <w:r w:rsidRPr="00F36655">
        <w:rPr>
          <w:rStyle w:val="FootnoteReference"/>
        </w:rPr>
        <w:footnoteRef/>
      </w:r>
      <w:r w:rsidRPr="00F36655">
        <w:t xml:space="preserve">) </w:t>
      </w:r>
      <w:r w:rsidRPr="00F36655">
        <w:tab/>
        <w:t xml:space="preserve">Estonia, Letonia și Țările de Jos. </w:t>
      </w:r>
    </w:p>
  </w:footnote>
  <w:footnote w:id="27">
    <w:p w14:paraId="2A2C67D3" w14:textId="54EE8CA7" w:rsidR="0079585D" w:rsidRPr="00F36655" w:rsidRDefault="0079585D" w:rsidP="0079585D">
      <w:pPr>
        <w:pStyle w:val="FootnoteText"/>
      </w:pPr>
      <w:r w:rsidRPr="00F36655">
        <w:t>(</w:t>
      </w:r>
      <w:r w:rsidRPr="00F36655">
        <w:rPr>
          <w:rStyle w:val="FootnoteReference"/>
        </w:rPr>
        <w:footnoteRef/>
      </w:r>
      <w:r w:rsidRPr="00F36655">
        <w:t>)</w:t>
      </w:r>
      <w:r w:rsidRPr="00F36655">
        <w:tab/>
        <w:t xml:space="preserve">Cu excepția planurilor de acțiune ale Estoniei, Letoniei și Maltei, care stabilesc doar un termen general de implementare. </w:t>
      </w:r>
    </w:p>
  </w:footnote>
  <w:footnote w:id="28">
    <w:p w14:paraId="5EB69D24" w14:textId="0040F20C" w:rsidR="00E83BB3" w:rsidRPr="00F36655" w:rsidRDefault="00E83BB3" w:rsidP="00E83BB3">
      <w:pPr>
        <w:pStyle w:val="FootnoteText"/>
      </w:pPr>
      <w:r w:rsidRPr="00F36655">
        <w:t>(</w:t>
      </w:r>
      <w:r w:rsidRPr="00F36655">
        <w:rPr>
          <w:rStyle w:val="FootnoteReference"/>
          <w:rFonts w:eastAsiaTheme="majorEastAsia"/>
        </w:rPr>
        <w:footnoteRef/>
      </w:r>
      <w:r w:rsidRPr="00F36655">
        <w:t xml:space="preserve">) </w:t>
      </w:r>
      <w:r w:rsidRPr="00F36655">
        <w:tab/>
        <w:t xml:space="preserve">Recomandarea Consiliului din 12 iunie 2023 privind consolidarea dialogului social în Uniunea Europeană (C/2023/1389), </w:t>
      </w:r>
      <w:hyperlink r:id="rId4" w:history="1">
        <w:r w:rsidRPr="00F36655">
          <w:rPr>
            <w:rStyle w:val="Hyperlink"/>
          </w:rPr>
          <w:t>https://eur-lex.europa.eu/legal-content/RO/TXT/PDF/?uri=CELEX:32023H01389</w:t>
        </w:r>
      </w:hyperlink>
      <w:r w:rsidRPr="00F36655">
        <w:t xml:space="preserve">. </w:t>
      </w:r>
    </w:p>
  </w:footnote>
  <w:footnote w:id="29">
    <w:p w14:paraId="1EB757E1" w14:textId="07DC3CC0" w:rsidR="00E83BB3" w:rsidRPr="00F36655" w:rsidRDefault="00E83BB3" w:rsidP="00E83BB3">
      <w:pPr>
        <w:pStyle w:val="FootnoteText"/>
      </w:pPr>
      <w:r w:rsidRPr="00F36655">
        <w:t>(</w:t>
      </w:r>
      <w:r w:rsidRPr="00F36655">
        <w:rPr>
          <w:rStyle w:val="FootnoteReference"/>
        </w:rPr>
        <w:footnoteRef/>
      </w:r>
      <w:r w:rsidRPr="00F36655">
        <w:t>)</w:t>
      </w:r>
      <w:r w:rsidRPr="00F36655">
        <w:tab/>
        <w:t xml:space="preserve">Decizia (UE) 2024/3134 a Consiliului din 2 decembrie 2024 privind orientările pentru politicile de ocupare a forței de muncă ale statelor membre, </w:t>
      </w:r>
      <w:hyperlink r:id="rId5" w:history="1">
        <w:r w:rsidRPr="00F36655">
          <w:rPr>
            <w:rStyle w:val="Hyperlink"/>
          </w:rPr>
          <w:t>https://eur-lex.europa.eu/legal-content/RO/TXT/PDF/?uri=OJ:L_202403134</w:t>
        </w:r>
      </w:hyperlink>
      <w:r w:rsidRPr="00F36655">
        <w:t xml:space="preserve">. </w:t>
      </w:r>
    </w:p>
  </w:footnote>
  <w:footnote w:id="30">
    <w:p w14:paraId="7C60EA95" w14:textId="27133BA3" w:rsidR="00400DDB" w:rsidRPr="00F36655" w:rsidRDefault="00400DDB" w:rsidP="00400DDB">
      <w:pPr>
        <w:pStyle w:val="FootnoteText"/>
      </w:pPr>
      <w:r w:rsidRPr="00F36655">
        <w:t>(</w:t>
      </w:r>
      <w:r w:rsidRPr="00F36655">
        <w:rPr>
          <w:rStyle w:val="FootnoteReference"/>
        </w:rPr>
        <w:footnoteRef/>
      </w:r>
      <w:r w:rsidRPr="00F36655">
        <w:t xml:space="preserve">) </w:t>
      </w:r>
      <w:r w:rsidRPr="00F36655">
        <w:tab/>
        <w:t xml:space="preserve">Bulgaria, Cehia, Grecia, Irlanda, Lituania, Malta, Polonia, România și Slovacia. </w:t>
      </w:r>
    </w:p>
  </w:footnote>
  <w:footnote w:id="31">
    <w:p w14:paraId="4B811CD3" w14:textId="322CE58E" w:rsidR="001467BB" w:rsidRPr="00F36655" w:rsidRDefault="00340C3F">
      <w:pPr>
        <w:pStyle w:val="FootnoteText"/>
      </w:pPr>
      <w:r w:rsidRPr="00F36655">
        <w:t>(</w:t>
      </w:r>
      <w:r w:rsidRPr="00F36655">
        <w:rPr>
          <w:rStyle w:val="FootnoteReference"/>
        </w:rPr>
        <w:footnoteRef/>
      </w:r>
      <w:r w:rsidRPr="00F36655">
        <w:t>) Bulgaria, Cehia, Estonia, Grecia, Irlanda, Letonia, Lituania, Malta, Țările de Jos, Polonia și Slovacia.</w:t>
      </w:r>
    </w:p>
  </w:footnote>
  <w:footnote w:id="32">
    <w:p w14:paraId="26C7ED4F" w14:textId="27E3A44C" w:rsidR="00591DF4" w:rsidRPr="00F36655" w:rsidDel="00452583" w:rsidRDefault="00591DF4">
      <w:pPr>
        <w:pStyle w:val="FootnoteText"/>
      </w:pPr>
      <w:r w:rsidRPr="00F36655">
        <w:t>(</w:t>
      </w:r>
      <w:r w:rsidRPr="00F36655">
        <w:rPr>
          <w:rStyle w:val="FootnoteReference"/>
        </w:rPr>
        <w:footnoteRef/>
      </w:r>
      <w:r w:rsidRPr="00F36655">
        <w:t xml:space="preserve">) </w:t>
      </w:r>
      <w:r w:rsidRPr="00F36655">
        <w:tab/>
        <w:t>Bulgaria, Cehia, Estonia, Irlanda, Letonia, Lituania, Țările de Jos, Polonia, România și Slovacia.</w:t>
      </w:r>
    </w:p>
  </w:footnote>
  <w:footnote w:id="33">
    <w:p w14:paraId="411C3BE2" w14:textId="771E3516" w:rsidR="00081222" w:rsidRPr="00F36655" w:rsidDel="00452583" w:rsidRDefault="00081222">
      <w:pPr>
        <w:pStyle w:val="FootnoteText"/>
      </w:pPr>
      <w:r w:rsidRPr="00F36655">
        <w:t>(</w:t>
      </w:r>
      <w:r w:rsidRPr="00F36655">
        <w:rPr>
          <w:rStyle w:val="FootnoteReference"/>
        </w:rPr>
        <w:footnoteRef/>
      </w:r>
      <w:r w:rsidRPr="00F36655">
        <w:t>)</w:t>
      </w:r>
      <w:r w:rsidRPr="00F36655">
        <w:tab/>
        <w:t>Bulgaria, Cehia, Estonia, Grecia, Irlanda, Letonia, Lituania, Țările de Jos, România și Slovacia.</w:t>
      </w:r>
    </w:p>
  </w:footnote>
  <w:footnote w:id="34">
    <w:p w14:paraId="51A67053" w14:textId="067AF8E6" w:rsidR="00941FE9" w:rsidRPr="00F36655" w:rsidRDefault="00941FE9" w:rsidP="000B172C">
      <w:pPr>
        <w:pStyle w:val="FootnoteText"/>
      </w:pPr>
      <w:r w:rsidRPr="00F36655">
        <w:t>(</w:t>
      </w:r>
      <w:r w:rsidRPr="00F36655">
        <w:rPr>
          <w:rStyle w:val="FootnoteReference"/>
        </w:rPr>
        <w:footnoteRef/>
      </w:r>
      <w:r w:rsidRPr="00F36655">
        <w:t xml:space="preserve">) </w:t>
      </w:r>
      <w:r w:rsidRPr="00F36655">
        <w:tab/>
        <w:t>Bulgaria, Irlanda, Letonia, Lituania, Țările de Jos, Polonia și România.</w:t>
      </w:r>
    </w:p>
  </w:footnote>
  <w:footnote w:id="35">
    <w:p w14:paraId="4F649FC9" w14:textId="61E56E5C" w:rsidR="00D60D21" w:rsidRPr="00F36655" w:rsidRDefault="00D60D21">
      <w:pPr>
        <w:pStyle w:val="FootnoteText"/>
      </w:pPr>
      <w:r w:rsidRPr="00F36655">
        <w:t>(</w:t>
      </w:r>
      <w:r w:rsidRPr="00F36655">
        <w:rPr>
          <w:rStyle w:val="FootnoteReference"/>
        </w:rPr>
        <w:footnoteRef/>
      </w:r>
      <w:r w:rsidRPr="00F36655">
        <w:t xml:space="preserve">) Bulgaria, Grecia, Irlanda, Țările de Jos, România și Slovacia. </w:t>
      </w:r>
    </w:p>
  </w:footnote>
  <w:footnote w:id="36">
    <w:p w14:paraId="563B95C4" w14:textId="6322C768" w:rsidR="00630E93" w:rsidRPr="00F36655" w:rsidRDefault="00630E93" w:rsidP="00630E93">
      <w:pPr>
        <w:pStyle w:val="FootnoteText"/>
      </w:pPr>
      <w:r w:rsidRPr="00F36655">
        <w:t>(</w:t>
      </w:r>
      <w:r w:rsidRPr="00F36655">
        <w:rPr>
          <w:rStyle w:val="FootnoteReference"/>
        </w:rPr>
        <w:footnoteRef/>
      </w:r>
      <w:r w:rsidRPr="00F36655">
        <w:t>)</w:t>
      </w:r>
      <w:r w:rsidRPr="00F36655">
        <w:tab/>
        <w:t xml:space="preserve">Cum ar fi campaniile de sensibilizare, inițiativele de colectare a datelor sau registrele publice ale convențiilor colective. </w:t>
      </w:r>
    </w:p>
  </w:footnote>
  <w:footnote w:id="37">
    <w:p w14:paraId="78D54524" w14:textId="47918576" w:rsidR="005376E0" w:rsidRPr="00F36655" w:rsidRDefault="006F38DF">
      <w:pPr>
        <w:pStyle w:val="FootnoteText"/>
      </w:pPr>
      <w:r w:rsidRPr="00F36655">
        <w:t>(</w:t>
      </w:r>
      <w:r w:rsidRPr="00F36655">
        <w:rPr>
          <w:rStyle w:val="FootnoteReference"/>
        </w:rPr>
        <w:footnoteRef/>
      </w:r>
      <w:r w:rsidRPr="00F36655">
        <w:t xml:space="preserve">) </w:t>
      </w:r>
      <w:r w:rsidRPr="00F36655">
        <w:tab/>
        <w:t>În timp ce unele state membre, cum ar fi Bulgaria și Grecia, precizează conținutul modificărilor normative pe care intenționează să le introducă, altele, cum ar fi Letonia, Lituania sau Slovacia, abordează această chestiune într-un mod mai puțin specific, fără a indica posibilul conținut al acestor modificări sau limitându-se să facă referire la necesitatea unor studii și analize suplimentare.</w:t>
      </w:r>
    </w:p>
  </w:footnote>
  <w:footnote w:id="38">
    <w:p w14:paraId="427DB939" w14:textId="77777777" w:rsidR="00E243C5" w:rsidRPr="00F36655" w:rsidRDefault="00E243C5" w:rsidP="00E243C5">
      <w:pPr>
        <w:pStyle w:val="FootnoteText"/>
      </w:pPr>
      <w:r w:rsidRPr="00F36655">
        <w:t>(</w:t>
      </w:r>
      <w:r w:rsidRPr="00F36655">
        <w:rPr>
          <w:rStyle w:val="FootnoteReference"/>
        </w:rPr>
        <w:footnoteRef/>
      </w:r>
      <w:r w:rsidRPr="00F36655">
        <w:t xml:space="preserve">) </w:t>
      </w:r>
      <w:r w:rsidRPr="00F36655">
        <w:tab/>
        <w:t xml:space="preserve">Acesta este cazul planurilor de acțiune ale Estoniei, Letoniei și Maltei. </w:t>
      </w:r>
    </w:p>
  </w:footnote>
  <w:footnote w:id="39">
    <w:p w14:paraId="08E8EDF1" w14:textId="57263332" w:rsidR="0047108B" w:rsidRPr="007E5C37" w:rsidRDefault="0047108B" w:rsidP="0047108B">
      <w:pPr>
        <w:pStyle w:val="FootnoteText"/>
      </w:pPr>
      <w:r w:rsidRPr="00F36655">
        <w:t>(</w:t>
      </w:r>
      <w:r w:rsidRPr="00F36655">
        <w:rPr>
          <w:rStyle w:val="FootnoteReference"/>
        </w:rPr>
        <w:footnoteRef/>
      </w:r>
      <w:r w:rsidRPr="00F36655">
        <w:t xml:space="preserve">) </w:t>
      </w:r>
      <w:r w:rsidRPr="00F36655">
        <w:tab/>
        <w:t>Grecia, Cehia, Slovacia, Polonia și România.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50E7F1" w14:textId="77777777" w:rsidR="00916CF3" w:rsidRPr="00916CF3" w:rsidRDefault="00916CF3" w:rsidP="00916CF3">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356147" w14:textId="77777777" w:rsidR="00916CF3" w:rsidRPr="00916CF3" w:rsidRDefault="00916CF3" w:rsidP="00916CF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B2580" w14:textId="77777777" w:rsidR="00916CF3" w:rsidRPr="00916CF3" w:rsidRDefault="00916CF3" w:rsidP="00916CF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29FB00" w14:textId="77777777" w:rsidR="00EF641F" w:rsidRPr="00F36655" w:rsidRDefault="00EF641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133F17" w14:textId="77777777" w:rsidR="00EF641F" w:rsidRPr="00F36655" w:rsidRDefault="00EF641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35137" w14:textId="77777777" w:rsidR="00EF641F" w:rsidRPr="00F36655" w:rsidRDefault="00EF64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FEDCFF88"/>
    <w:name w:val="ListDash4Numbering"/>
    <w:lvl w:ilvl="0">
      <w:start w:val="1"/>
      <w:numFmt w:val="bullet"/>
      <w:pStyle w:val="ListDash4"/>
      <w:lvlText w:val="–"/>
      <w:lvlJc w:val="left"/>
      <w:pPr>
        <w:tabs>
          <w:tab w:val="num" w:pos="1485"/>
        </w:tabs>
        <w:ind w:left="1485" w:hanging="283"/>
      </w:pPr>
      <w:rPr>
        <w:rFonts w:ascii="Times New Roman" w:hAnsi="Times New Roman" w:hint="default"/>
      </w:rPr>
    </w:lvl>
    <w:lvl w:ilvl="1">
      <w:start w:val="1"/>
      <w:numFmt w:val="bullet"/>
      <w:pStyle w:val="ListDash4Level2"/>
      <w:lvlText w:val="–"/>
      <w:lvlJc w:val="left"/>
      <w:pPr>
        <w:tabs>
          <w:tab w:val="num" w:pos="1769"/>
        </w:tabs>
        <w:ind w:left="1769" w:hanging="284"/>
      </w:pPr>
      <w:rPr>
        <w:rFonts w:ascii="Times New Roman" w:hAnsi="Times New Roman" w:hint="default"/>
      </w:rPr>
    </w:lvl>
    <w:lvl w:ilvl="2">
      <w:start w:val="1"/>
      <w:numFmt w:val="bullet"/>
      <w:pStyle w:val="ListDash4Level3"/>
      <w:lvlText w:val="–"/>
      <w:lvlJc w:val="left"/>
      <w:pPr>
        <w:tabs>
          <w:tab w:val="num" w:pos="2052"/>
        </w:tabs>
        <w:ind w:left="2052" w:hanging="283"/>
      </w:pPr>
      <w:rPr>
        <w:rFonts w:ascii="Times New Roman" w:hAnsi="Times New Roman" w:hint="default"/>
      </w:rPr>
    </w:lvl>
    <w:lvl w:ilvl="3">
      <w:start w:val="1"/>
      <w:numFmt w:val="bullet"/>
      <w:pStyle w:val="ListDash4Level4"/>
      <w:lvlText w:val="–"/>
      <w:lvlJc w:val="left"/>
      <w:pPr>
        <w:tabs>
          <w:tab w:val="num" w:pos="2336"/>
        </w:tabs>
        <w:ind w:left="233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EFB7115"/>
    <w:multiLevelType w:val="multilevel"/>
    <w:tmpl w:val="DA7EA5D6"/>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hint="default"/>
      </w:rPr>
    </w:lvl>
    <w:lvl w:ilvl="3">
      <w:start w:val="1"/>
      <w:numFmt w:val="bullet"/>
      <w:pStyle w:val="ListNumber3Level4"/>
      <w:lvlText w:val=""/>
      <w:lvlJc w:val="left"/>
      <w:pPr>
        <w:tabs>
          <w:tab w:val="num" w:pos="4037"/>
        </w:tabs>
        <w:ind w:left="403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20B7201"/>
    <w:multiLevelType w:val="multilevel"/>
    <w:tmpl w:val="C73E1140"/>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hint="default"/>
      </w:rPr>
    </w:lvl>
    <w:lvl w:ilvl="3">
      <w:start w:val="1"/>
      <w:numFmt w:val="bullet"/>
      <w:pStyle w:val="ListNumberLevel4"/>
      <w:lvlText w:val=""/>
      <w:lvlJc w:val="left"/>
      <w:pPr>
        <w:tabs>
          <w:tab w:val="num" w:pos="2835"/>
        </w:tabs>
        <w:ind w:left="2835"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20B8345"/>
    <w:multiLevelType w:val="multilevel"/>
    <w:tmpl w:val="035A0672"/>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hint="default"/>
      </w:rPr>
    </w:lvl>
    <w:lvl w:ilvl="3">
      <w:start w:val="1"/>
      <w:numFmt w:val="bullet"/>
      <w:pStyle w:val="TableListNumberLevel4"/>
      <w:lvlText w:val=""/>
      <w:lvlJc w:val="left"/>
      <w:pPr>
        <w:tabs>
          <w:tab w:val="num" w:pos="1814"/>
        </w:tabs>
        <w:ind w:left="1814" w:hanging="453"/>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262685D"/>
    <w:multiLevelType w:val="multilevel"/>
    <w:tmpl w:val="466645B0"/>
    <w:name w:val="ListBullet4Numbering"/>
    <w:lvl w:ilvl="0">
      <w:start w:val="1"/>
      <w:numFmt w:val="bullet"/>
      <w:pStyle w:val="ListBullet4"/>
      <w:lvlText w:val=""/>
      <w:lvlJc w:val="left"/>
      <w:pPr>
        <w:tabs>
          <w:tab w:val="num" w:pos="1485"/>
        </w:tabs>
        <w:ind w:left="1485" w:hanging="283"/>
      </w:pPr>
      <w:rPr>
        <w:rFonts w:ascii="Symbol" w:hAnsi="Symbol" w:hint="default"/>
      </w:rPr>
    </w:lvl>
    <w:lvl w:ilvl="1">
      <w:start w:val="1"/>
      <w:numFmt w:val="bullet"/>
      <w:pStyle w:val="ListBullet4Level2"/>
      <w:lvlText w:val=""/>
      <w:lvlJc w:val="left"/>
      <w:pPr>
        <w:tabs>
          <w:tab w:val="num" w:pos="1769"/>
        </w:tabs>
        <w:ind w:left="1769" w:hanging="284"/>
      </w:pPr>
      <w:rPr>
        <w:rFonts w:ascii="Symbol" w:hAnsi="Symbol" w:hint="default"/>
      </w:rPr>
    </w:lvl>
    <w:lvl w:ilvl="2">
      <w:start w:val="1"/>
      <w:numFmt w:val="bullet"/>
      <w:pStyle w:val="ListBullet4Level3"/>
      <w:lvlText w:val=""/>
      <w:lvlJc w:val="left"/>
      <w:pPr>
        <w:tabs>
          <w:tab w:val="num" w:pos="2052"/>
        </w:tabs>
        <w:ind w:left="2052" w:hanging="283"/>
      </w:pPr>
      <w:rPr>
        <w:rFonts w:ascii="Symbol" w:hAnsi="Symbol" w:hint="default"/>
      </w:rPr>
    </w:lvl>
    <w:lvl w:ilvl="3">
      <w:start w:val="1"/>
      <w:numFmt w:val="bullet"/>
      <w:pStyle w:val="ListBullet4Level4"/>
      <w:lvlText w:val=""/>
      <w:lvlJc w:val="left"/>
      <w:pPr>
        <w:tabs>
          <w:tab w:val="num" w:pos="2336"/>
        </w:tabs>
        <w:ind w:left="233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43D0A16"/>
    <w:multiLevelType w:val="multilevel"/>
    <w:tmpl w:val="2ACC3CEC"/>
    <w:name w:val="ListBullet3Numbering"/>
    <w:lvl w:ilvl="0">
      <w:start w:val="1"/>
      <w:numFmt w:val="bullet"/>
      <w:pStyle w:val="ListBullet3"/>
      <w:lvlText w:val=""/>
      <w:lvlJc w:val="left"/>
      <w:pPr>
        <w:tabs>
          <w:tab w:val="num" w:pos="1485"/>
        </w:tabs>
        <w:ind w:left="1485" w:hanging="283"/>
      </w:pPr>
      <w:rPr>
        <w:rFonts w:ascii="Symbol" w:hAnsi="Symbol" w:hint="default"/>
      </w:rPr>
    </w:lvl>
    <w:lvl w:ilvl="1">
      <w:start w:val="1"/>
      <w:numFmt w:val="bullet"/>
      <w:pStyle w:val="ListBullet3Level2"/>
      <w:lvlText w:val=""/>
      <w:lvlJc w:val="left"/>
      <w:pPr>
        <w:tabs>
          <w:tab w:val="num" w:pos="1769"/>
        </w:tabs>
        <w:ind w:left="1769" w:hanging="284"/>
      </w:pPr>
      <w:rPr>
        <w:rFonts w:ascii="Symbol" w:hAnsi="Symbol" w:hint="default"/>
      </w:rPr>
    </w:lvl>
    <w:lvl w:ilvl="2">
      <w:start w:val="1"/>
      <w:numFmt w:val="bullet"/>
      <w:pStyle w:val="ListBullet3Level3"/>
      <w:lvlText w:val=""/>
      <w:lvlJc w:val="left"/>
      <w:pPr>
        <w:tabs>
          <w:tab w:val="num" w:pos="2052"/>
        </w:tabs>
        <w:ind w:left="2052" w:hanging="283"/>
      </w:pPr>
      <w:rPr>
        <w:rFonts w:ascii="Symbol" w:hAnsi="Symbol" w:hint="default"/>
      </w:rPr>
    </w:lvl>
    <w:lvl w:ilvl="3">
      <w:start w:val="1"/>
      <w:numFmt w:val="bullet"/>
      <w:pStyle w:val="ListBullet3Level4"/>
      <w:lvlText w:val=""/>
      <w:lvlJc w:val="left"/>
      <w:pPr>
        <w:tabs>
          <w:tab w:val="num" w:pos="2336"/>
        </w:tabs>
        <w:ind w:left="233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72F0AC5"/>
    <w:multiLevelType w:val="multilevel"/>
    <w:tmpl w:val="E24873E8"/>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hint="default"/>
      </w:rPr>
    </w:lvl>
    <w:lvl w:ilvl="3">
      <w:start w:val="1"/>
      <w:numFmt w:val="bullet"/>
      <w:pStyle w:val="ListNumber2Level4"/>
      <w:lvlText w:val=""/>
      <w:lvlJc w:val="left"/>
      <w:pPr>
        <w:tabs>
          <w:tab w:val="num" w:pos="4037"/>
        </w:tabs>
        <w:ind w:left="403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C7B624F"/>
    <w:multiLevelType w:val="multilevel"/>
    <w:tmpl w:val="A5E600B4"/>
    <w:name w:val="ListDash2Numbering"/>
    <w:lvl w:ilvl="0">
      <w:start w:val="1"/>
      <w:numFmt w:val="bullet"/>
      <w:pStyle w:val="ListDash2"/>
      <w:lvlText w:val="–"/>
      <w:lvlJc w:val="left"/>
      <w:pPr>
        <w:tabs>
          <w:tab w:val="num" w:pos="1485"/>
        </w:tabs>
        <w:ind w:left="1485" w:hanging="283"/>
      </w:pPr>
      <w:rPr>
        <w:rFonts w:ascii="Times New Roman" w:hAnsi="Times New Roman" w:hint="default"/>
      </w:rPr>
    </w:lvl>
    <w:lvl w:ilvl="1">
      <w:start w:val="1"/>
      <w:numFmt w:val="bullet"/>
      <w:pStyle w:val="ListDash2Level2"/>
      <w:lvlText w:val="–"/>
      <w:lvlJc w:val="left"/>
      <w:pPr>
        <w:tabs>
          <w:tab w:val="num" w:pos="1769"/>
        </w:tabs>
        <w:ind w:left="1769" w:hanging="284"/>
      </w:pPr>
      <w:rPr>
        <w:rFonts w:ascii="Times New Roman" w:hAnsi="Times New Roman" w:hint="default"/>
      </w:rPr>
    </w:lvl>
    <w:lvl w:ilvl="2">
      <w:start w:val="1"/>
      <w:numFmt w:val="bullet"/>
      <w:pStyle w:val="ListDash2Level3"/>
      <w:lvlText w:val="–"/>
      <w:lvlJc w:val="left"/>
      <w:pPr>
        <w:tabs>
          <w:tab w:val="num" w:pos="2052"/>
        </w:tabs>
        <w:ind w:left="2052" w:hanging="283"/>
      </w:pPr>
      <w:rPr>
        <w:rFonts w:ascii="Times New Roman" w:hAnsi="Times New Roman" w:hint="default"/>
      </w:rPr>
    </w:lvl>
    <w:lvl w:ilvl="3">
      <w:start w:val="1"/>
      <w:numFmt w:val="bullet"/>
      <w:pStyle w:val="ListDash2Level4"/>
      <w:lvlText w:val="–"/>
      <w:lvlJc w:val="left"/>
      <w:pPr>
        <w:tabs>
          <w:tab w:val="num" w:pos="2336"/>
        </w:tabs>
        <w:ind w:left="233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0A34329"/>
    <w:multiLevelType w:val="hybridMultilevel"/>
    <w:tmpl w:val="33C43C3A"/>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C8DFDF8"/>
    <w:multiLevelType w:val="multilevel"/>
    <w:tmpl w:val="C7D49D80"/>
    <w:name w:val="ListBullet2Numbering"/>
    <w:lvl w:ilvl="0">
      <w:start w:val="1"/>
      <w:numFmt w:val="bullet"/>
      <w:pStyle w:val="ListBullet2"/>
      <w:lvlText w:val=""/>
      <w:lvlJc w:val="left"/>
      <w:pPr>
        <w:tabs>
          <w:tab w:val="num" w:pos="1485"/>
        </w:tabs>
        <w:ind w:left="1485" w:hanging="283"/>
      </w:pPr>
      <w:rPr>
        <w:rFonts w:ascii="Symbol" w:hAnsi="Symbol" w:hint="default"/>
      </w:rPr>
    </w:lvl>
    <w:lvl w:ilvl="1">
      <w:start w:val="1"/>
      <w:numFmt w:val="bullet"/>
      <w:pStyle w:val="ListBullet2Level2"/>
      <w:lvlText w:val=""/>
      <w:lvlJc w:val="left"/>
      <w:pPr>
        <w:tabs>
          <w:tab w:val="num" w:pos="1769"/>
        </w:tabs>
        <w:ind w:left="1769" w:hanging="284"/>
      </w:pPr>
      <w:rPr>
        <w:rFonts w:ascii="Symbol" w:hAnsi="Symbol" w:hint="default"/>
      </w:rPr>
    </w:lvl>
    <w:lvl w:ilvl="2">
      <w:start w:val="1"/>
      <w:numFmt w:val="bullet"/>
      <w:pStyle w:val="ListBullet2Level3"/>
      <w:lvlText w:val=""/>
      <w:lvlJc w:val="left"/>
      <w:pPr>
        <w:tabs>
          <w:tab w:val="num" w:pos="2052"/>
        </w:tabs>
        <w:ind w:left="2052" w:hanging="283"/>
      </w:pPr>
      <w:rPr>
        <w:rFonts w:ascii="Symbol" w:hAnsi="Symbol" w:hint="default"/>
      </w:rPr>
    </w:lvl>
    <w:lvl w:ilvl="3">
      <w:start w:val="1"/>
      <w:numFmt w:val="bullet"/>
      <w:pStyle w:val="ListBullet2Level4"/>
      <w:lvlText w:val=""/>
      <w:lvlJc w:val="left"/>
      <w:pPr>
        <w:tabs>
          <w:tab w:val="num" w:pos="2336"/>
        </w:tabs>
        <w:ind w:left="233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D293CE3"/>
    <w:multiLevelType w:val="multilevel"/>
    <w:tmpl w:val="DF148E58"/>
    <w:name w:val="LegalNumParNumbering"/>
    <w:lvl w:ilvl="0">
      <w:start w:val="1"/>
      <w:numFmt w:val="decimal"/>
      <w:pStyle w:val="LegalNumPar"/>
      <w:lvlText w:val="%1."/>
      <w:lvlJc w:val="left"/>
      <w:pPr>
        <w:tabs>
          <w:tab w:val="num" w:pos="476"/>
        </w:tabs>
        <w:ind w:left="476" w:hanging="476"/>
      </w:pPr>
    </w:lvl>
    <w:lvl w:ilvl="1">
      <w:start w:val="1"/>
      <w:numFmt w:val="lowerLetter"/>
      <w:pStyle w:val="LegalNumPar2"/>
      <w:lvlText w:val="%2."/>
      <w:lvlJc w:val="left"/>
      <w:pPr>
        <w:tabs>
          <w:tab w:val="num" w:pos="952"/>
        </w:tabs>
        <w:ind w:left="952" w:hanging="476"/>
      </w:pPr>
    </w:lvl>
    <w:lvl w:ilvl="2">
      <w:start w:val="1"/>
      <w:numFmt w:val="lowerRoman"/>
      <w:pStyle w:val="LegalNumPar3"/>
      <w:lvlText w:val="%3."/>
      <w:lvlJc w:val="left"/>
      <w:pPr>
        <w:tabs>
          <w:tab w:val="num" w:pos="1429"/>
        </w:tabs>
        <w:ind w:left="1429" w:hanging="477"/>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D293CF4"/>
    <w:multiLevelType w:val="multilevel"/>
    <w:tmpl w:val="20968CDC"/>
    <w:name w:val="ContNumNumbering"/>
    <w:lvl w:ilvl="0">
      <w:start w:val="1"/>
      <w:numFmt w:val="decimal"/>
      <w:pStyle w:val="ContNum"/>
      <w:lvlText w:val="%1."/>
      <w:lvlJc w:val="left"/>
      <w:pPr>
        <w:tabs>
          <w:tab w:val="num" w:pos="476"/>
        </w:tabs>
        <w:ind w:left="476" w:hanging="476"/>
      </w:pPr>
    </w:lvl>
    <w:lvl w:ilvl="1">
      <w:start w:val="1"/>
      <w:numFmt w:val="lowerLetter"/>
      <w:pStyle w:val="ContNumLevel2"/>
      <w:lvlText w:val="%2."/>
      <w:lvlJc w:val="left"/>
      <w:pPr>
        <w:tabs>
          <w:tab w:val="num" w:pos="952"/>
        </w:tabs>
        <w:ind w:left="952" w:hanging="476"/>
      </w:pPr>
    </w:lvl>
    <w:lvl w:ilvl="2">
      <w:start w:val="1"/>
      <w:numFmt w:val="lowerRoman"/>
      <w:pStyle w:val="ContNumLevel3"/>
      <w:lvlText w:val="%3."/>
      <w:lvlJc w:val="left"/>
      <w:pPr>
        <w:tabs>
          <w:tab w:val="num" w:pos="1429"/>
        </w:tabs>
        <w:ind w:left="1429" w:hanging="477"/>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3532395"/>
    <w:multiLevelType w:val="multilevel"/>
    <w:tmpl w:val="62CEE12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34FD041B"/>
    <w:multiLevelType w:val="hybridMultilevel"/>
    <w:tmpl w:val="4F2225DE"/>
    <w:lvl w:ilvl="0" w:tplc="1C26501E">
      <w:start w:val="1"/>
      <w:numFmt w:val="decimal"/>
      <w:lvlText w:val="%1."/>
      <w:lvlJc w:val="left"/>
      <w:pPr>
        <w:ind w:left="1020" w:hanging="360"/>
      </w:pPr>
    </w:lvl>
    <w:lvl w:ilvl="1" w:tplc="0F36ECA2">
      <w:start w:val="1"/>
      <w:numFmt w:val="decimal"/>
      <w:lvlText w:val="%2."/>
      <w:lvlJc w:val="left"/>
      <w:pPr>
        <w:ind w:left="1020" w:hanging="360"/>
      </w:pPr>
    </w:lvl>
    <w:lvl w:ilvl="2" w:tplc="A4001796">
      <w:start w:val="1"/>
      <w:numFmt w:val="decimal"/>
      <w:lvlText w:val="%3."/>
      <w:lvlJc w:val="left"/>
      <w:pPr>
        <w:ind w:left="1020" w:hanging="360"/>
      </w:pPr>
    </w:lvl>
    <w:lvl w:ilvl="3" w:tplc="5AC81362">
      <w:start w:val="1"/>
      <w:numFmt w:val="decimal"/>
      <w:lvlText w:val="%4."/>
      <w:lvlJc w:val="left"/>
      <w:pPr>
        <w:ind w:left="1020" w:hanging="360"/>
      </w:pPr>
    </w:lvl>
    <w:lvl w:ilvl="4" w:tplc="FF5E3DC4">
      <w:start w:val="1"/>
      <w:numFmt w:val="decimal"/>
      <w:lvlText w:val="%5."/>
      <w:lvlJc w:val="left"/>
      <w:pPr>
        <w:ind w:left="1020" w:hanging="360"/>
      </w:pPr>
    </w:lvl>
    <w:lvl w:ilvl="5" w:tplc="DC5EA640">
      <w:start w:val="1"/>
      <w:numFmt w:val="decimal"/>
      <w:lvlText w:val="%6."/>
      <w:lvlJc w:val="left"/>
      <w:pPr>
        <w:ind w:left="1020" w:hanging="360"/>
      </w:pPr>
    </w:lvl>
    <w:lvl w:ilvl="6" w:tplc="5586852A">
      <w:start w:val="1"/>
      <w:numFmt w:val="decimal"/>
      <w:lvlText w:val="%7."/>
      <w:lvlJc w:val="left"/>
      <w:pPr>
        <w:ind w:left="1020" w:hanging="360"/>
      </w:pPr>
    </w:lvl>
    <w:lvl w:ilvl="7" w:tplc="12E08530">
      <w:start w:val="1"/>
      <w:numFmt w:val="decimal"/>
      <w:lvlText w:val="%8."/>
      <w:lvlJc w:val="left"/>
      <w:pPr>
        <w:ind w:left="1020" w:hanging="360"/>
      </w:pPr>
    </w:lvl>
    <w:lvl w:ilvl="8" w:tplc="FFE69EDE">
      <w:start w:val="1"/>
      <w:numFmt w:val="decimal"/>
      <w:lvlText w:val="%9."/>
      <w:lvlJc w:val="left"/>
      <w:pPr>
        <w:ind w:left="1020" w:hanging="360"/>
      </w:pPr>
    </w:lvl>
  </w:abstractNum>
  <w:abstractNum w:abstractNumId="14" w15:restartNumberingAfterBreak="0">
    <w:nsid w:val="36324F1E"/>
    <w:multiLevelType w:val="multilevel"/>
    <w:tmpl w:val="C27A35E2"/>
    <w:name w:val="ListDash3Numbering"/>
    <w:lvl w:ilvl="0">
      <w:start w:val="1"/>
      <w:numFmt w:val="bullet"/>
      <w:pStyle w:val="ListDash3"/>
      <w:lvlText w:val="–"/>
      <w:lvlJc w:val="left"/>
      <w:pPr>
        <w:tabs>
          <w:tab w:val="num" w:pos="1485"/>
        </w:tabs>
        <w:ind w:left="1485" w:hanging="283"/>
      </w:pPr>
      <w:rPr>
        <w:rFonts w:ascii="Times New Roman" w:hAnsi="Times New Roman" w:hint="default"/>
      </w:rPr>
    </w:lvl>
    <w:lvl w:ilvl="1">
      <w:start w:val="1"/>
      <w:numFmt w:val="bullet"/>
      <w:pStyle w:val="ListDash3Level2"/>
      <w:lvlText w:val="–"/>
      <w:lvlJc w:val="left"/>
      <w:pPr>
        <w:tabs>
          <w:tab w:val="num" w:pos="1769"/>
        </w:tabs>
        <w:ind w:left="1769" w:hanging="284"/>
      </w:pPr>
      <w:rPr>
        <w:rFonts w:ascii="Times New Roman" w:hAnsi="Times New Roman" w:hint="default"/>
      </w:rPr>
    </w:lvl>
    <w:lvl w:ilvl="2">
      <w:start w:val="1"/>
      <w:numFmt w:val="bullet"/>
      <w:pStyle w:val="ListDash3Level3"/>
      <w:lvlText w:val="–"/>
      <w:lvlJc w:val="left"/>
      <w:pPr>
        <w:tabs>
          <w:tab w:val="num" w:pos="2052"/>
        </w:tabs>
        <w:ind w:left="2052" w:hanging="283"/>
      </w:pPr>
      <w:rPr>
        <w:rFonts w:ascii="Times New Roman" w:hAnsi="Times New Roman" w:hint="default"/>
      </w:rPr>
    </w:lvl>
    <w:lvl w:ilvl="3">
      <w:start w:val="1"/>
      <w:numFmt w:val="bullet"/>
      <w:pStyle w:val="ListDash3Level4"/>
      <w:lvlText w:val="–"/>
      <w:lvlJc w:val="left"/>
      <w:pPr>
        <w:tabs>
          <w:tab w:val="num" w:pos="2336"/>
        </w:tabs>
        <w:ind w:left="233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7CB1E1C"/>
    <w:multiLevelType w:val="multilevel"/>
    <w:tmpl w:val="9246013C"/>
    <w:name w:val="ListDash1Numbering"/>
    <w:lvl w:ilvl="0">
      <w:start w:val="1"/>
      <w:numFmt w:val="bullet"/>
      <w:pStyle w:val="ListDash1"/>
      <w:lvlText w:val="–"/>
      <w:lvlJc w:val="left"/>
      <w:pPr>
        <w:tabs>
          <w:tab w:val="num" w:pos="765"/>
        </w:tabs>
        <w:ind w:left="765" w:hanging="283"/>
      </w:pPr>
      <w:rPr>
        <w:rFonts w:ascii="Times New Roman" w:hAnsi="Times New Roman" w:hint="default"/>
      </w:rPr>
    </w:lvl>
    <w:lvl w:ilvl="1">
      <w:start w:val="1"/>
      <w:numFmt w:val="bullet"/>
      <w:pStyle w:val="ListDash1Level2"/>
      <w:lvlText w:val="–"/>
      <w:lvlJc w:val="left"/>
      <w:pPr>
        <w:tabs>
          <w:tab w:val="num" w:pos="1049"/>
        </w:tabs>
        <w:ind w:left="1049" w:hanging="284"/>
      </w:pPr>
      <w:rPr>
        <w:rFonts w:ascii="Times New Roman" w:hAnsi="Times New Roman" w:hint="default"/>
      </w:rPr>
    </w:lvl>
    <w:lvl w:ilvl="2">
      <w:start w:val="1"/>
      <w:numFmt w:val="bullet"/>
      <w:pStyle w:val="ListDash1Level3"/>
      <w:lvlText w:val="–"/>
      <w:lvlJc w:val="left"/>
      <w:pPr>
        <w:tabs>
          <w:tab w:val="num" w:pos="1332"/>
        </w:tabs>
        <w:ind w:left="1332" w:hanging="283"/>
      </w:pPr>
      <w:rPr>
        <w:rFonts w:ascii="Times New Roman" w:hAnsi="Times New Roman" w:hint="default"/>
      </w:rPr>
    </w:lvl>
    <w:lvl w:ilvl="3">
      <w:start w:val="1"/>
      <w:numFmt w:val="bullet"/>
      <w:pStyle w:val="ListDash1Level4"/>
      <w:lvlText w:val="–"/>
      <w:lvlJc w:val="left"/>
      <w:pPr>
        <w:tabs>
          <w:tab w:val="num" w:pos="1616"/>
        </w:tabs>
        <w:ind w:left="1616"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A7730C4"/>
    <w:multiLevelType w:val="multilevel"/>
    <w:tmpl w:val="77C05EB2"/>
    <w:name w:val="ListBullet1Numbering"/>
    <w:lvl w:ilvl="0">
      <w:start w:val="1"/>
      <w:numFmt w:val="bullet"/>
      <w:pStyle w:val="ListBullet1"/>
      <w:lvlText w:val=""/>
      <w:lvlJc w:val="left"/>
      <w:pPr>
        <w:tabs>
          <w:tab w:val="num" w:pos="765"/>
        </w:tabs>
        <w:ind w:left="765" w:hanging="283"/>
      </w:pPr>
      <w:rPr>
        <w:rFonts w:ascii="Symbol" w:hAnsi="Symbol" w:hint="default"/>
      </w:rPr>
    </w:lvl>
    <w:lvl w:ilvl="1">
      <w:start w:val="1"/>
      <w:numFmt w:val="bullet"/>
      <w:pStyle w:val="ListBullet1Level2"/>
      <w:lvlText w:val=""/>
      <w:lvlJc w:val="left"/>
      <w:pPr>
        <w:tabs>
          <w:tab w:val="num" w:pos="1049"/>
        </w:tabs>
        <w:ind w:left="1049" w:hanging="284"/>
      </w:pPr>
      <w:rPr>
        <w:rFonts w:ascii="Symbol" w:hAnsi="Symbol" w:hint="default"/>
      </w:rPr>
    </w:lvl>
    <w:lvl w:ilvl="2">
      <w:start w:val="1"/>
      <w:numFmt w:val="bullet"/>
      <w:pStyle w:val="ListBullet1Level3"/>
      <w:lvlText w:val=""/>
      <w:lvlJc w:val="left"/>
      <w:pPr>
        <w:tabs>
          <w:tab w:val="num" w:pos="1332"/>
        </w:tabs>
        <w:ind w:left="1332" w:hanging="283"/>
      </w:pPr>
      <w:rPr>
        <w:rFonts w:ascii="Symbol" w:hAnsi="Symbol" w:hint="default"/>
      </w:rPr>
    </w:lvl>
    <w:lvl w:ilvl="3">
      <w:start w:val="1"/>
      <w:numFmt w:val="bullet"/>
      <w:pStyle w:val="ListBullet1Level4"/>
      <w:lvlText w:val=""/>
      <w:lvlJc w:val="left"/>
      <w:pPr>
        <w:tabs>
          <w:tab w:val="num" w:pos="1616"/>
        </w:tabs>
        <w:ind w:left="1616"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C054659"/>
    <w:multiLevelType w:val="multilevel"/>
    <w:tmpl w:val="F82431D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3FE02E98"/>
    <w:multiLevelType w:val="hybridMultilevel"/>
    <w:tmpl w:val="37E49030"/>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29E662A"/>
    <w:multiLevelType w:val="multilevel"/>
    <w:tmpl w:val="168C62BC"/>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hint="default"/>
      </w:rPr>
    </w:lvl>
    <w:lvl w:ilvl="3">
      <w:start w:val="1"/>
      <w:numFmt w:val="bullet"/>
      <w:pStyle w:val="ListNumber1Level4"/>
      <w:lvlText w:val=""/>
      <w:lvlJc w:val="left"/>
      <w:pPr>
        <w:tabs>
          <w:tab w:val="num" w:pos="3317"/>
        </w:tabs>
        <w:ind w:left="331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3BC532C"/>
    <w:multiLevelType w:val="hybridMultilevel"/>
    <w:tmpl w:val="6608AF52"/>
    <w:lvl w:ilvl="0" w:tplc="38DE2A26">
      <w:numFmt w:val="bullet"/>
      <w:lvlText w:val="-"/>
      <w:lvlJc w:val="left"/>
      <w:pPr>
        <w:ind w:left="720" w:hanging="360"/>
      </w:pPr>
      <w:rPr>
        <w:rFonts w:ascii="Aptos" w:hAnsi="Apto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79A3516"/>
    <w:multiLevelType w:val="hybridMultilevel"/>
    <w:tmpl w:val="33C43C3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E1A63DF"/>
    <w:multiLevelType w:val="multilevel"/>
    <w:tmpl w:val="F2FC4A76"/>
    <w:name w:val="TableListBulletNumbering"/>
    <w:lvl w:ilvl="0">
      <w:start w:val="1"/>
      <w:numFmt w:val="bullet"/>
      <w:pStyle w:val="TableListBullet"/>
      <w:lvlText w:val=""/>
      <w:lvlJc w:val="left"/>
      <w:pPr>
        <w:tabs>
          <w:tab w:val="num" w:pos="283"/>
        </w:tabs>
        <w:ind w:left="283" w:hanging="283"/>
      </w:pPr>
      <w:rPr>
        <w:rFonts w:ascii="Symbol" w:hAnsi="Symbol" w:hint="default"/>
      </w:rPr>
    </w:lvl>
    <w:lvl w:ilvl="1">
      <w:start w:val="1"/>
      <w:numFmt w:val="bullet"/>
      <w:pStyle w:val="TableListBulletLevel2"/>
      <w:lvlText w:val=""/>
      <w:lvlJc w:val="left"/>
      <w:pPr>
        <w:tabs>
          <w:tab w:val="num" w:pos="567"/>
        </w:tabs>
        <w:ind w:left="567" w:hanging="284"/>
      </w:pPr>
      <w:rPr>
        <w:rFonts w:ascii="Symbol" w:hAnsi="Symbol" w:hint="default"/>
      </w:rPr>
    </w:lvl>
    <w:lvl w:ilvl="2">
      <w:start w:val="1"/>
      <w:numFmt w:val="bullet"/>
      <w:pStyle w:val="TableListBulletLevel3"/>
      <w:lvlText w:val=""/>
      <w:lvlJc w:val="left"/>
      <w:pPr>
        <w:tabs>
          <w:tab w:val="num" w:pos="850"/>
        </w:tabs>
        <w:ind w:left="850" w:hanging="283"/>
      </w:pPr>
      <w:rPr>
        <w:rFonts w:ascii="Symbol" w:hAnsi="Symbol" w:hint="default"/>
      </w:rPr>
    </w:lvl>
    <w:lvl w:ilvl="3">
      <w:start w:val="1"/>
      <w:numFmt w:val="bullet"/>
      <w:pStyle w:val="TableListBulletLevel4"/>
      <w:lvlText w:val=""/>
      <w:lvlJc w:val="left"/>
      <w:pPr>
        <w:tabs>
          <w:tab w:val="num" w:pos="1134"/>
        </w:tabs>
        <w:ind w:left="1134"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E1A982C"/>
    <w:multiLevelType w:val="multilevel"/>
    <w:tmpl w:val="396E80F2"/>
    <w:name w:val="ListBulletNumbering"/>
    <w:lvl w:ilvl="0">
      <w:start w:val="1"/>
      <w:numFmt w:val="bullet"/>
      <w:pStyle w:val="ListBullet"/>
      <w:lvlText w:val=""/>
      <w:lvlJc w:val="left"/>
      <w:pPr>
        <w:tabs>
          <w:tab w:val="num" w:pos="283"/>
        </w:tabs>
        <w:ind w:left="283" w:hanging="283"/>
      </w:pPr>
      <w:rPr>
        <w:rFonts w:ascii="Symbol" w:hAnsi="Symbol" w:hint="default"/>
      </w:rPr>
    </w:lvl>
    <w:lvl w:ilvl="1">
      <w:start w:val="1"/>
      <w:numFmt w:val="bullet"/>
      <w:pStyle w:val="ListBulletLevel2"/>
      <w:lvlText w:val=""/>
      <w:lvlJc w:val="left"/>
      <w:pPr>
        <w:tabs>
          <w:tab w:val="num" w:pos="567"/>
        </w:tabs>
        <w:ind w:left="567" w:hanging="284"/>
      </w:pPr>
      <w:rPr>
        <w:rFonts w:ascii="Symbol" w:hAnsi="Symbol" w:hint="default"/>
      </w:rPr>
    </w:lvl>
    <w:lvl w:ilvl="2">
      <w:start w:val="1"/>
      <w:numFmt w:val="bullet"/>
      <w:pStyle w:val="ListBulletLevel3"/>
      <w:lvlText w:val=""/>
      <w:lvlJc w:val="left"/>
      <w:pPr>
        <w:tabs>
          <w:tab w:val="num" w:pos="850"/>
        </w:tabs>
        <w:ind w:left="850" w:hanging="283"/>
      </w:pPr>
      <w:rPr>
        <w:rFonts w:ascii="Symbol" w:hAnsi="Symbol" w:hint="default"/>
      </w:rPr>
    </w:lvl>
    <w:lvl w:ilvl="3">
      <w:start w:val="1"/>
      <w:numFmt w:val="bullet"/>
      <w:pStyle w:val="ListBulletLevel4"/>
      <w:lvlText w:val=""/>
      <w:lvlJc w:val="left"/>
      <w:pPr>
        <w:tabs>
          <w:tab w:val="num" w:pos="1134"/>
        </w:tabs>
        <w:ind w:left="1134" w:hanging="284"/>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072619B"/>
    <w:multiLevelType w:val="multilevel"/>
    <w:tmpl w:val="2598B3BE"/>
    <w:name w:val="ListDashNumbering"/>
    <w:lvl w:ilvl="0">
      <w:start w:val="1"/>
      <w:numFmt w:val="bullet"/>
      <w:pStyle w:val="ListDash"/>
      <w:lvlText w:val="–"/>
      <w:lvlJc w:val="left"/>
      <w:pPr>
        <w:tabs>
          <w:tab w:val="num" w:pos="283"/>
        </w:tabs>
        <w:ind w:left="283" w:hanging="283"/>
      </w:pPr>
      <w:rPr>
        <w:rFonts w:ascii="Times New Roman" w:hAnsi="Times New Roman" w:hint="default"/>
      </w:rPr>
    </w:lvl>
    <w:lvl w:ilvl="1">
      <w:start w:val="1"/>
      <w:numFmt w:val="bullet"/>
      <w:pStyle w:val="ListDashLevel2"/>
      <w:lvlText w:val="–"/>
      <w:lvlJc w:val="left"/>
      <w:pPr>
        <w:tabs>
          <w:tab w:val="num" w:pos="567"/>
        </w:tabs>
        <w:ind w:left="567" w:hanging="284"/>
      </w:pPr>
      <w:rPr>
        <w:rFonts w:ascii="Times New Roman" w:hAnsi="Times New Roman" w:hint="default"/>
      </w:rPr>
    </w:lvl>
    <w:lvl w:ilvl="2">
      <w:start w:val="1"/>
      <w:numFmt w:val="bullet"/>
      <w:pStyle w:val="ListDashLevel3"/>
      <w:lvlText w:val="–"/>
      <w:lvlJc w:val="left"/>
      <w:pPr>
        <w:tabs>
          <w:tab w:val="num" w:pos="850"/>
        </w:tabs>
        <w:ind w:left="850" w:hanging="283"/>
      </w:pPr>
      <w:rPr>
        <w:rFonts w:ascii="Times New Roman" w:hAnsi="Times New Roman" w:hint="default"/>
      </w:rPr>
    </w:lvl>
    <w:lvl w:ilvl="3">
      <w:start w:val="1"/>
      <w:numFmt w:val="bullet"/>
      <w:pStyle w:val="ListDashLevel4"/>
      <w:lvlText w:val="–"/>
      <w:lvlJc w:val="left"/>
      <w:pPr>
        <w:tabs>
          <w:tab w:val="num" w:pos="1134"/>
        </w:tabs>
        <w:ind w:left="1134"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0729B52"/>
    <w:multiLevelType w:val="multilevel"/>
    <w:tmpl w:val="CA407E7C"/>
    <w:name w:val="TableListDashNumbering"/>
    <w:lvl w:ilvl="0">
      <w:start w:val="1"/>
      <w:numFmt w:val="bullet"/>
      <w:pStyle w:val="TableListDash"/>
      <w:lvlText w:val="–"/>
      <w:lvlJc w:val="left"/>
      <w:pPr>
        <w:tabs>
          <w:tab w:val="num" w:pos="283"/>
        </w:tabs>
        <w:ind w:left="283" w:hanging="283"/>
      </w:pPr>
      <w:rPr>
        <w:rFonts w:ascii="Times New Roman" w:hAnsi="Times New Roman" w:hint="default"/>
      </w:rPr>
    </w:lvl>
    <w:lvl w:ilvl="1">
      <w:start w:val="1"/>
      <w:numFmt w:val="bullet"/>
      <w:pStyle w:val="TableListDashLevel2"/>
      <w:lvlText w:val="–"/>
      <w:lvlJc w:val="left"/>
      <w:pPr>
        <w:tabs>
          <w:tab w:val="num" w:pos="567"/>
        </w:tabs>
        <w:ind w:left="567" w:hanging="284"/>
      </w:pPr>
      <w:rPr>
        <w:rFonts w:ascii="Times New Roman" w:hAnsi="Times New Roman" w:hint="default"/>
      </w:rPr>
    </w:lvl>
    <w:lvl w:ilvl="2">
      <w:start w:val="1"/>
      <w:numFmt w:val="bullet"/>
      <w:pStyle w:val="TableListDashLevel3"/>
      <w:lvlText w:val="–"/>
      <w:lvlJc w:val="left"/>
      <w:pPr>
        <w:tabs>
          <w:tab w:val="num" w:pos="850"/>
        </w:tabs>
        <w:ind w:left="850" w:hanging="283"/>
      </w:pPr>
      <w:rPr>
        <w:rFonts w:ascii="Times New Roman" w:hAnsi="Times New Roman" w:hint="default"/>
      </w:rPr>
    </w:lvl>
    <w:lvl w:ilvl="3">
      <w:start w:val="1"/>
      <w:numFmt w:val="bullet"/>
      <w:pStyle w:val="TableListDashLevel4"/>
      <w:lvlText w:val="–"/>
      <w:lvlJc w:val="left"/>
      <w:pPr>
        <w:tabs>
          <w:tab w:val="num" w:pos="1134"/>
        </w:tabs>
        <w:ind w:left="1134" w:hanging="284"/>
      </w:pPr>
      <w:rPr>
        <w:rFonts w:ascii="Times New Roman" w:hAnsi="Times New Roman"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53D3EFA"/>
    <w:multiLevelType w:val="hybridMultilevel"/>
    <w:tmpl w:val="A7DA005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59153DD"/>
    <w:multiLevelType w:val="multilevel"/>
    <w:tmpl w:val="F31E4AF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8D87B50"/>
    <w:multiLevelType w:val="hybridMultilevel"/>
    <w:tmpl w:val="11FC4B74"/>
    <w:lvl w:ilvl="0" w:tplc="300C9E10">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977472E"/>
    <w:multiLevelType w:val="multilevel"/>
    <w:tmpl w:val="A24CA7E8"/>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hint="default"/>
      </w:rPr>
    </w:lvl>
    <w:lvl w:ilvl="3">
      <w:start w:val="1"/>
      <w:numFmt w:val="bullet"/>
      <w:pStyle w:val="ListNumber4Level4"/>
      <w:lvlText w:val=""/>
      <w:lvlJc w:val="left"/>
      <w:pPr>
        <w:tabs>
          <w:tab w:val="num" w:pos="4037"/>
        </w:tabs>
        <w:ind w:left="4037" w:hanging="709"/>
      </w:pPr>
      <w:rPr>
        <w:rFonts w:ascii="Symbol" w:hAnsi="Symbol" w:hint="default"/>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C9970C6"/>
    <w:multiLevelType w:val="hybridMultilevel"/>
    <w:tmpl w:val="B352DC20"/>
    <w:lvl w:ilvl="0" w:tplc="C5C836E6">
      <w:numFmt w:val="bullet"/>
      <w:lvlText w:val="-"/>
      <w:lvlJc w:val="left"/>
      <w:pPr>
        <w:ind w:left="720" w:hanging="360"/>
      </w:pPr>
      <w:rPr>
        <w:rFonts w:ascii="Aptos" w:hAnsi="Aptos" w:hint="default"/>
      </w:rPr>
    </w:lvl>
    <w:lvl w:ilvl="1" w:tplc="8F346A1C">
      <w:start w:val="1"/>
      <w:numFmt w:val="bullet"/>
      <w:lvlText w:val="o"/>
      <w:lvlJc w:val="left"/>
      <w:pPr>
        <w:ind w:left="1440" w:hanging="360"/>
      </w:pPr>
      <w:rPr>
        <w:rFonts w:ascii="Courier New" w:hAnsi="Courier New" w:hint="default"/>
      </w:rPr>
    </w:lvl>
    <w:lvl w:ilvl="2" w:tplc="37008C48">
      <w:start w:val="1"/>
      <w:numFmt w:val="bullet"/>
      <w:lvlText w:val=""/>
      <w:lvlJc w:val="left"/>
      <w:pPr>
        <w:ind w:left="2160" w:hanging="360"/>
      </w:pPr>
      <w:rPr>
        <w:rFonts w:ascii="Wingdings" w:hAnsi="Wingdings" w:hint="default"/>
      </w:rPr>
    </w:lvl>
    <w:lvl w:ilvl="3" w:tplc="40E284C0" w:tentative="1">
      <w:start w:val="1"/>
      <w:numFmt w:val="bullet"/>
      <w:lvlText w:val=""/>
      <w:lvlJc w:val="left"/>
      <w:pPr>
        <w:ind w:left="2880" w:hanging="360"/>
      </w:pPr>
      <w:rPr>
        <w:rFonts w:ascii="Symbol" w:hAnsi="Symbol" w:hint="default"/>
      </w:rPr>
    </w:lvl>
    <w:lvl w:ilvl="4" w:tplc="4BFE9EB4" w:tentative="1">
      <w:start w:val="1"/>
      <w:numFmt w:val="bullet"/>
      <w:lvlText w:val="o"/>
      <w:lvlJc w:val="left"/>
      <w:pPr>
        <w:ind w:left="3600" w:hanging="360"/>
      </w:pPr>
      <w:rPr>
        <w:rFonts w:ascii="Courier New" w:hAnsi="Courier New" w:hint="default"/>
      </w:rPr>
    </w:lvl>
    <w:lvl w:ilvl="5" w:tplc="DADCBFF4" w:tentative="1">
      <w:start w:val="1"/>
      <w:numFmt w:val="bullet"/>
      <w:lvlText w:val=""/>
      <w:lvlJc w:val="left"/>
      <w:pPr>
        <w:ind w:left="4320" w:hanging="360"/>
      </w:pPr>
      <w:rPr>
        <w:rFonts w:ascii="Wingdings" w:hAnsi="Wingdings" w:hint="default"/>
      </w:rPr>
    </w:lvl>
    <w:lvl w:ilvl="6" w:tplc="90B8864A" w:tentative="1">
      <w:start w:val="1"/>
      <w:numFmt w:val="bullet"/>
      <w:lvlText w:val=""/>
      <w:lvlJc w:val="left"/>
      <w:pPr>
        <w:ind w:left="5040" w:hanging="360"/>
      </w:pPr>
      <w:rPr>
        <w:rFonts w:ascii="Symbol" w:hAnsi="Symbol" w:hint="default"/>
      </w:rPr>
    </w:lvl>
    <w:lvl w:ilvl="7" w:tplc="5F64D7D8" w:tentative="1">
      <w:start w:val="1"/>
      <w:numFmt w:val="bullet"/>
      <w:lvlText w:val="o"/>
      <w:lvlJc w:val="left"/>
      <w:pPr>
        <w:ind w:left="5760" w:hanging="360"/>
      </w:pPr>
      <w:rPr>
        <w:rFonts w:ascii="Courier New" w:hAnsi="Courier New" w:hint="default"/>
      </w:rPr>
    </w:lvl>
    <w:lvl w:ilvl="8" w:tplc="2A126216" w:tentative="1">
      <w:start w:val="1"/>
      <w:numFmt w:val="bullet"/>
      <w:lvlText w:val=""/>
      <w:lvlJc w:val="left"/>
      <w:pPr>
        <w:ind w:left="6480" w:hanging="360"/>
      </w:pPr>
      <w:rPr>
        <w:rFonts w:ascii="Wingdings" w:hAnsi="Wingdings" w:hint="default"/>
      </w:rPr>
    </w:lvl>
  </w:abstractNum>
  <w:abstractNum w:abstractNumId="31" w15:restartNumberingAfterBreak="0">
    <w:nsid w:val="6F78200A"/>
    <w:multiLevelType w:val="hybridMultilevel"/>
    <w:tmpl w:val="45E2576A"/>
    <w:lvl w:ilvl="0" w:tplc="38DE2A26">
      <w:numFmt w:val="bullet"/>
      <w:lvlText w:val="-"/>
      <w:lvlJc w:val="left"/>
      <w:pPr>
        <w:ind w:left="720" w:hanging="360"/>
      </w:pPr>
      <w:rPr>
        <w:rFonts w:ascii="Aptos" w:hAnsi="Aptos" w:hint="default"/>
      </w:rPr>
    </w:lvl>
    <w:lvl w:ilvl="1" w:tplc="5B74E3BC">
      <w:start w:val="1"/>
      <w:numFmt w:val="bullet"/>
      <w:lvlText w:val="o"/>
      <w:lvlJc w:val="left"/>
      <w:pPr>
        <w:ind w:left="1440" w:hanging="360"/>
      </w:pPr>
      <w:rPr>
        <w:rFonts w:ascii="Courier New" w:hAnsi="Courier New" w:hint="default"/>
      </w:rPr>
    </w:lvl>
    <w:lvl w:ilvl="2" w:tplc="5544A372" w:tentative="1">
      <w:start w:val="1"/>
      <w:numFmt w:val="bullet"/>
      <w:lvlText w:val=""/>
      <w:lvlJc w:val="left"/>
      <w:pPr>
        <w:ind w:left="2160" w:hanging="360"/>
      </w:pPr>
      <w:rPr>
        <w:rFonts w:ascii="Wingdings" w:hAnsi="Wingdings" w:hint="default"/>
      </w:rPr>
    </w:lvl>
    <w:lvl w:ilvl="3" w:tplc="E3FCBCFC" w:tentative="1">
      <w:start w:val="1"/>
      <w:numFmt w:val="bullet"/>
      <w:lvlText w:val=""/>
      <w:lvlJc w:val="left"/>
      <w:pPr>
        <w:ind w:left="2880" w:hanging="360"/>
      </w:pPr>
      <w:rPr>
        <w:rFonts w:ascii="Symbol" w:hAnsi="Symbol" w:hint="default"/>
      </w:rPr>
    </w:lvl>
    <w:lvl w:ilvl="4" w:tplc="B8F2CA64" w:tentative="1">
      <w:start w:val="1"/>
      <w:numFmt w:val="bullet"/>
      <w:lvlText w:val="o"/>
      <w:lvlJc w:val="left"/>
      <w:pPr>
        <w:ind w:left="3600" w:hanging="360"/>
      </w:pPr>
      <w:rPr>
        <w:rFonts w:ascii="Courier New" w:hAnsi="Courier New" w:hint="default"/>
      </w:rPr>
    </w:lvl>
    <w:lvl w:ilvl="5" w:tplc="0110183C" w:tentative="1">
      <w:start w:val="1"/>
      <w:numFmt w:val="bullet"/>
      <w:lvlText w:val=""/>
      <w:lvlJc w:val="left"/>
      <w:pPr>
        <w:ind w:left="4320" w:hanging="360"/>
      </w:pPr>
      <w:rPr>
        <w:rFonts w:ascii="Wingdings" w:hAnsi="Wingdings" w:hint="default"/>
      </w:rPr>
    </w:lvl>
    <w:lvl w:ilvl="6" w:tplc="0DEA2332" w:tentative="1">
      <w:start w:val="1"/>
      <w:numFmt w:val="bullet"/>
      <w:lvlText w:val=""/>
      <w:lvlJc w:val="left"/>
      <w:pPr>
        <w:ind w:left="5040" w:hanging="360"/>
      </w:pPr>
      <w:rPr>
        <w:rFonts w:ascii="Symbol" w:hAnsi="Symbol" w:hint="default"/>
      </w:rPr>
    </w:lvl>
    <w:lvl w:ilvl="7" w:tplc="C2526510" w:tentative="1">
      <w:start w:val="1"/>
      <w:numFmt w:val="bullet"/>
      <w:lvlText w:val="o"/>
      <w:lvlJc w:val="left"/>
      <w:pPr>
        <w:ind w:left="5760" w:hanging="360"/>
      </w:pPr>
      <w:rPr>
        <w:rFonts w:ascii="Courier New" w:hAnsi="Courier New" w:hint="default"/>
      </w:rPr>
    </w:lvl>
    <w:lvl w:ilvl="8" w:tplc="732A93FE" w:tentative="1">
      <w:start w:val="1"/>
      <w:numFmt w:val="bullet"/>
      <w:lvlText w:val=""/>
      <w:lvlJc w:val="left"/>
      <w:pPr>
        <w:ind w:left="6480" w:hanging="360"/>
      </w:pPr>
      <w:rPr>
        <w:rFonts w:ascii="Wingdings" w:hAnsi="Wingdings" w:hint="default"/>
      </w:rPr>
    </w:lvl>
  </w:abstractNum>
  <w:abstractNum w:abstractNumId="32" w15:restartNumberingAfterBreak="0">
    <w:nsid w:val="799647B4"/>
    <w:multiLevelType w:val="hybridMultilevel"/>
    <w:tmpl w:val="A7DA0050"/>
    <w:lvl w:ilvl="0" w:tplc="339AF10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28"/>
  </w:num>
  <w:num w:numId="2">
    <w:abstractNumId w:val="0"/>
  </w:num>
  <w:num w:numId="3">
    <w:abstractNumId w:val="14"/>
  </w:num>
  <w:num w:numId="4">
    <w:abstractNumId w:val="7"/>
  </w:num>
  <w:num w:numId="5">
    <w:abstractNumId w:val="15"/>
  </w:num>
  <w:num w:numId="6">
    <w:abstractNumId w:val="24"/>
  </w:num>
  <w:num w:numId="7">
    <w:abstractNumId w:val="29"/>
  </w:num>
  <w:num w:numId="8">
    <w:abstractNumId w:val="1"/>
  </w:num>
  <w:num w:numId="9">
    <w:abstractNumId w:val="6"/>
  </w:num>
  <w:num w:numId="10">
    <w:abstractNumId w:val="19"/>
  </w:num>
  <w:num w:numId="11">
    <w:abstractNumId w:val="2"/>
  </w:num>
  <w:num w:numId="12">
    <w:abstractNumId w:val="4"/>
  </w:num>
  <w:num w:numId="13">
    <w:abstractNumId w:val="5"/>
  </w:num>
  <w:num w:numId="14">
    <w:abstractNumId w:val="9"/>
  </w:num>
  <w:num w:numId="15">
    <w:abstractNumId w:val="16"/>
  </w:num>
  <w:num w:numId="16">
    <w:abstractNumId w:val="23"/>
  </w:num>
  <w:num w:numId="17">
    <w:abstractNumId w:val="10"/>
  </w:num>
  <w:num w:numId="18">
    <w:abstractNumId w:val="11"/>
  </w:num>
  <w:num w:numId="19">
    <w:abstractNumId w:val="33"/>
  </w:num>
  <w:num w:numId="20">
    <w:abstractNumId w:val="22"/>
  </w:num>
  <w:num w:numId="21">
    <w:abstractNumId w:val="25"/>
  </w:num>
  <w:num w:numId="22">
    <w:abstractNumId w:val="3"/>
  </w:num>
  <w:num w:numId="23">
    <w:abstractNumId w:val="8"/>
  </w:num>
  <w:num w:numId="24">
    <w:abstractNumId w:val="18"/>
  </w:num>
  <w:num w:numId="25">
    <w:abstractNumId w:val="31"/>
  </w:num>
  <w:num w:numId="26">
    <w:abstractNumId w:val="13"/>
  </w:num>
  <w:num w:numId="27">
    <w:abstractNumId w:val="27"/>
  </w:num>
  <w:num w:numId="28">
    <w:abstractNumId w:val="17"/>
  </w:num>
  <w:num w:numId="29">
    <w:abstractNumId w:val="12"/>
  </w:num>
  <w:num w:numId="30">
    <w:abstractNumId w:val="32"/>
  </w:num>
  <w:num w:numId="31">
    <w:abstractNumId w:val="26"/>
  </w:num>
  <w:num w:numId="32">
    <w:abstractNumId w:val="30"/>
  </w:num>
  <w:num w:numId="33">
    <w:abstractNumId w:val="21"/>
  </w:num>
  <w:num w:numId="34">
    <w:abstractNumId w:val="2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CORRIGENDUM" w:val="&lt;UNUSED&gt;"/>
    <w:docVar w:name="LW_COVERPAGE_EXISTS" w:val="True"/>
    <w:docVar w:name="LW_COVERPAGE_GUID" w:val="2538CAD8-3D19-4000-A891-13D416801133"/>
    <w:docVar w:name="LW_COVERPAGE_TYPE" w:val="1"/>
    <w:docVar w:name="LW_CROSSREFERENCE" w:val="{SWD(2026) 237 final}"/>
    <w:docVar w:name="LW_DocType" w:val="NORMAL"/>
    <w:docVar w:name="LW_EMISSION" w:val="23.7.2026"/>
    <w:docVar w:name="LW_EMISSION_ISODATE" w:val="2026-07-23"/>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38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datele \u537?i informa\u539?iile transmise de statele membre cu privire la protec\u539?ia salariului minim \u537?i la planurile de ac\u539?iune pentru promovarea negocierilor colective, în temeiul articolului 10 alineatul (3) din Directiva (UE) 2022/2041"/>
    <w:docVar w:name="LW_TYPE.DOC.CP" w:val="RAPORT AL COMISIEI C\u258?TRE PARLAMENTUL EUROPEAN \u536?I CONSILIU"/>
    <w:docVar w:name="LwApiVersions" w:val="LW4CoDe 1.24.5.0; LW 9.2, Build 20251112"/>
  </w:docVars>
  <w:rsids>
    <w:rsidRoot w:val="00DB629A"/>
    <w:rsid w:val="000000DD"/>
    <w:rsid w:val="00000447"/>
    <w:rsid w:val="000007C6"/>
    <w:rsid w:val="00000947"/>
    <w:rsid w:val="00000A3E"/>
    <w:rsid w:val="00000A7A"/>
    <w:rsid w:val="00000B95"/>
    <w:rsid w:val="00000C16"/>
    <w:rsid w:val="00000E4F"/>
    <w:rsid w:val="0000122F"/>
    <w:rsid w:val="000015BB"/>
    <w:rsid w:val="0000168B"/>
    <w:rsid w:val="00001837"/>
    <w:rsid w:val="00001959"/>
    <w:rsid w:val="000019A7"/>
    <w:rsid w:val="000019E6"/>
    <w:rsid w:val="00001B12"/>
    <w:rsid w:val="00001B17"/>
    <w:rsid w:val="00001B2E"/>
    <w:rsid w:val="00001C51"/>
    <w:rsid w:val="00001F9F"/>
    <w:rsid w:val="000020B4"/>
    <w:rsid w:val="000020EF"/>
    <w:rsid w:val="000022BA"/>
    <w:rsid w:val="00002315"/>
    <w:rsid w:val="0000243A"/>
    <w:rsid w:val="00002623"/>
    <w:rsid w:val="00002C35"/>
    <w:rsid w:val="00002CBB"/>
    <w:rsid w:val="00002CE0"/>
    <w:rsid w:val="00003624"/>
    <w:rsid w:val="000036DD"/>
    <w:rsid w:val="00003C73"/>
    <w:rsid w:val="00003D3B"/>
    <w:rsid w:val="00003DAE"/>
    <w:rsid w:val="00003DE5"/>
    <w:rsid w:val="00003E4B"/>
    <w:rsid w:val="0000422B"/>
    <w:rsid w:val="0000435A"/>
    <w:rsid w:val="000043E8"/>
    <w:rsid w:val="000046D6"/>
    <w:rsid w:val="000047F2"/>
    <w:rsid w:val="00004865"/>
    <w:rsid w:val="00004DE0"/>
    <w:rsid w:val="0000506E"/>
    <w:rsid w:val="00005073"/>
    <w:rsid w:val="0000564C"/>
    <w:rsid w:val="00005666"/>
    <w:rsid w:val="000059DB"/>
    <w:rsid w:val="00006022"/>
    <w:rsid w:val="0000609E"/>
    <w:rsid w:val="000065F5"/>
    <w:rsid w:val="000068DE"/>
    <w:rsid w:val="00006BFD"/>
    <w:rsid w:val="00006CDE"/>
    <w:rsid w:val="00007742"/>
    <w:rsid w:val="00007812"/>
    <w:rsid w:val="00007835"/>
    <w:rsid w:val="00007C97"/>
    <w:rsid w:val="00007E7A"/>
    <w:rsid w:val="000101EB"/>
    <w:rsid w:val="000103E4"/>
    <w:rsid w:val="0001044B"/>
    <w:rsid w:val="00010562"/>
    <w:rsid w:val="0001057B"/>
    <w:rsid w:val="000106A2"/>
    <w:rsid w:val="000108AF"/>
    <w:rsid w:val="000109F9"/>
    <w:rsid w:val="00010AD0"/>
    <w:rsid w:val="00010BFD"/>
    <w:rsid w:val="00010E10"/>
    <w:rsid w:val="00010F35"/>
    <w:rsid w:val="00011043"/>
    <w:rsid w:val="0001115B"/>
    <w:rsid w:val="00011376"/>
    <w:rsid w:val="00011447"/>
    <w:rsid w:val="000114A5"/>
    <w:rsid w:val="00011735"/>
    <w:rsid w:val="00011A26"/>
    <w:rsid w:val="00011F38"/>
    <w:rsid w:val="000120D7"/>
    <w:rsid w:val="0001216F"/>
    <w:rsid w:val="00012356"/>
    <w:rsid w:val="000123F2"/>
    <w:rsid w:val="00012426"/>
    <w:rsid w:val="00012909"/>
    <w:rsid w:val="00012B16"/>
    <w:rsid w:val="00012BD1"/>
    <w:rsid w:val="0001361F"/>
    <w:rsid w:val="0001373E"/>
    <w:rsid w:val="000138CC"/>
    <w:rsid w:val="00013A3A"/>
    <w:rsid w:val="00013A83"/>
    <w:rsid w:val="00013A9A"/>
    <w:rsid w:val="00013DE9"/>
    <w:rsid w:val="00014B83"/>
    <w:rsid w:val="00014C73"/>
    <w:rsid w:val="00014E98"/>
    <w:rsid w:val="0001509F"/>
    <w:rsid w:val="000152C1"/>
    <w:rsid w:val="00015702"/>
    <w:rsid w:val="00015720"/>
    <w:rsid w:val="0001582D"/>
    <w:rsid w:val="00015945"/>
    <w:rsid w:val="0001636E"/>
    <w:rsid w:val="000163AD"/>
    <w:rsid w:val="00016AA2"/>
    <w:rsid w:val="00016FB6"/>
    <w:rsid w:val="00017180"/>
    <w:rsid w:val="000172B6"/>
    <w:rsid w:val="00017711"/>
    <w:rsid w:val="000177ED"/>
    <w:rsid w:val="00017CC3"/>
    <w:rsid w:val="00017F0B"/>
    <w:rsid w:val="00020316"/>
    <w:rsid w:val="0002040C"/>
    <w:rsid w:val="0002067D"/>
    <w:rsid w:val="000207AB"/>
    <w:rsid w:val="00020D7F"/>
    <w:rsid w:val="00021033"/>
    <w:rsid w:val="0002140A"/>
    <w:rsid w:val="00021785"/>
    <w:rsid w:val="0002192A"/>
    <w:rsid w:val="0002196B"/>
    <w:rsid w:val="00021E21"/>
    <w:rsid w:val="000224F3"/>
    <w:rsid w:val="000227A1"/>
    <w:rsid w:val="00022A37"/>
    <w:rsid w:val="00022ADA"/>
    <w:rsid w:val="00022B40"/>
    <w:rsid w:val="00022EE4"/>
    <w:rsid w:val="0002307E"/>
    <w:rsid w:val="000231A8"/>
    <w:rsid w:val="00023292"/>
    <w:rsid w:val="000236F4"/>
    <w:rsid w:val="0002374E"/>
    <w:rsid w:val="000238EB"/>
    <w:rsid w:val="00023C9C"/>
    <w:rsid w:val="00023DB6"/>
    <w:rsid w:val="00023F74"/>
    <w:rsid w:val="00024223"/>
    <w:rsid w:val="000243A2"/>
    <w:rsid w:val="0002455E"/>
    <w:rsid w:val="000248AB"/>
    <w:rsid w:val="00024E89"/>
    <w:rsid w:val="00024F36"/>
    <w:rsid w:val="00024F74"/>
    <w:rsid w:val="000252A8"/>
    <w:rsid w:val="00025333"/>
    <w:rsid w:val="0002563E"/>
    <w:rsid w:val="000257F6"/>
    <w:rsid w:val="00025841"/>
    <w:rsid w:val="000258EC"/>
    <w:rsid w:val="000259FD"/>
    <w:rsid w:val="00025B6B"/>
    <w:rsid w:val="00025E7B"/>
    <w:rsid w:val="000260A6"/>
    <w:rsid w:val="000263EB"/>
    <w:rsid w:val="0002642B"/>
    <w:rsid w:val="00026430"/>
    <w:rsid w:val="000268D1"/>
    <w:rsid w:val="00026934"/>
    <w:rsid w:val="00026AD9"/>
    <w:rsid w:val="00026AFA"/>
    <w:rsid w:val="00026C58"/>
    <w:rsid w:val="00026C6B"/>
    <w:rsid w:val="00026CF0"/>
    <w:rsid w:val="00026DC4"/>
    <w:rsid w:val="00026DD4"/>
    <w:rsid w:val="00026F8B"/>
    <w:rsid w:val="0002702F"/>
    <w:rsid w:val="0002709B"/>
    <w:rsid w:val="000271D9"/>
    <w:rsid w:val="0002732E"/>
    <w:rsid w:val="000276D4"/>
    <w:rsid w:val="00027778"/>
    <w:rsid w:val="000277D6"/>
    <w:rsid w:val="00027A0E"/>
    <w:rsid w:val="00027B3A"/>
    <w:rsid w:val="0003001C"/>
    <w:rsid w:val="00030075"/>
    <w:rsid w:val="00030111"/>
    <w:rsid w:val="00030444"/>
    <w:rsid w:val="00030875"/>
    <w:rsid w:val="00030A8D"/>
    <w:rsid w:val="00030BB1"/>
    <w:rsid w:val="000312A7"/>
    <w:rsid w:val="000314AA"/>
    <w:rsid w:val="000314B8"/>
    <w:rsid w:val="000314FE"/>
    <w:rsid w:val="0003152F"/>
    <w:rsid w:val="00031584"/>
    <w:rsid w:val="0003169D"/>
    <w:rsid w:val="00031870"/>
    <w:rsid w:val="00031888"/>
    <w:rsid w:val="0003193F"/>
    <w:rsid w:val="00031C23"/>
    <w:rsid w:val="00031EC8"/>
    <w:rsid w:val="000322C8"/>
    <w:rsid w:val="0003248A"/>
    <w:rsid w:val="0003271B"/>
    <w:rsid w:val="0003283E"/>
    <w:rsid w:val="00032B1F"/>
    <w:rsid w:val="00032F73"/>
    <w:rsid w:val="00033674"/>
    <w:rsid w:val="000339AF"/>
    <w:rsid w:val="00033BF0"/>
    <w:rsid w:val="00033E51"/>
    <w:rsid w:val="00033F17"/>
    <w:rsid w:val="00034182"/>
    <w:rsid w:val="0003418B"/>
    <w:rsid w:val="000341BB"/>
    <w:rsid w:val="0003425B"/>
    <w:rsid w:val="0003438B"/>
    <w:rsid w:val="00034A9B"/>
    <w:rsid w:val="00034E49"/>
    <w:rsid w:val="00034EAB"/>
    <w:rsid w:val="00034FCC"/>
    <w:rsid w:val="00035689"/>
    <w:rsid w:val="000357A7"/>
    <w:rsid w:val="0003596C"/>
    <w:rsid w:val="00035986"/>
    <w:rsid w:val="000359F8"/>
    <w:rsid w:val="00035AFB"/>
    <w:rsid w:val="00035C6F"/>
    <w:rsid w:val="000364BD"/>
    <w:rsid w:val="00036727"/>
    <w:rsid w:val="00036B42"/>
    <w:rsid w:val="00036DFA"/>
    <w:rsid w:val="00036FC7"/>
    <w:rsid w:val="00037C4F"/>
    <w:rsid w:val="00037DD7"/>
    <w:rsid w:val="00037DFC"/>
    <w:rsid w:val="00037F79"/>
    <w:rsid w:val="00037FEB"/>
    <w:rsid w:val="00040233"/>
    <w:rsid w:val="0004026D"/>
    <w:rsid w:val="0004035A"/>
    <w:rsid w:val="00040443"/>
    <w:rsid w:val="00040682"/>
    <w:rsid w:val="000406D1"/>
    <w:rsid w:val="00040965"/>
    <w:rsid w:val="00040DF8"/>
    <w:rsid w:val="0004124B"/>
    <w:rsid w:val="00041254"/>
    <w:rsid w:val="000412C3"/>
    <w:rsid w:val="00041307"/>
    <w:rsid w:val="0004198C"/>
    <w:rsid w:val="00041AAC"/>
    <w:rsid w:val="0004241C"/>
    <w:rsid w:val="000424B1"/>
    <w:rsid w:val="000424EE"/>
    <w:rsid w:val="0004255B"/>
    <w:rsid w:val="00042894"/>
    <w:rsid w:val="00042F14"/>
    <w:rsid w:val="00042F87"/>
    <w:rsid w:val="0004303D"/>
    <w:rsid w:val="00043105"/>
    <w:rsid w:val="000436B0"/>
    <w:rsid w:val="000436C9"/>
    <w:rsid w:val="000437A6"/>
    <w:rsid w:val="00043963"/>
    <w:rsid w:val="00043BE9"/>
    <w:rsid w:val="00043CCF"/>
    <w:rsid w:val="00043CED"/>
    <w:rsid w:val="00043FD3"/>
    <w:rsid w:val="00044B10"/>
    <w:rsid w:val="00044B57"/>
    <w:rsid w:val="00044C56"/>
    <w:rsid w:val="00044D25"/>
    <w:rsid w:val="00044E41"/>
    <w:rsid w:val="00044FEB"/>
    <w:rsid w:val="0004511B"/>
    <w:rsid w:val="00045915"/>
    <w:rsid w:val="00045C89"/>
    <w:rsid w:val="00045F83"/>
    <w:rsid w:val="00046079"/>
    <w:rsid w:val="00046104"/>
    <w:rsid w:val="00046448"/>
    <w:rsid w:val="000469AC"/>
    <w:rsid w:val="00046B7D"/>
    <w:rsid w:val="00046EE9"/>
    <w:rsid w:val="00047176"/>
    <w:rsid w:val="00047234"/>
    <w:rsid w:val="000475C5"/>
    <w:rsid w:val="00047801"/>
    <w:rsid w:val="0004785A"/>
    <w:rsid w:val="00047AAE"/>
    <w:rsid w:val="00047CD7"/>
    <w:rsid w:val="00047D4B"/>
    <w:rsid w:val="00047DC6"/>
    <w:rsid w:val="00047E7B"/>
    <w:rsid w:val="0005003B"/>
    <w:rsid w:val="000500AF"/>
    <w:rsid w:val="00050141"/>
    <w:rsid w:val="00050201"/>
    <w:rsid w:val="000504D8"/>
    <w:rsid w:val="000505C7"/>
    <w:rsid w:val="000508BE"/>
    <w:rsid w:val="000508EB"/>
    <w:rsid w:val="00050A84"/>
    <w:rsid w:val="00050A8F"/>
    <w:rsid w:val="00050CBE"/>
    <w:rsid w:val="00050CF9"/>
    <w:rsid w:val="00050DD1"/>
    <w:rsid w:val="00050E72"/>
    <w:rsid w:val="000515B2"/>
    <w:rsid w:val="000519EA"/>
    <w:rsid w:val="00051FC2"/>
    <w:rsid w:val="00052232"/>
    <w:rsid w:val="00052405"/>
    <w:rsid w:val="00052885"/>
    <w:rsid w:val="00052957"/>
    <w:rsid w:val="00052993"/>
    <w:rsid w:val="00052A4D"/>
    <w:rsid w:val="00052AE5"/>
    <w:rsid w:val="00052EFB"/>
    <w:rsid w:val="00052F96"/>
    <w:rsid w:val="00052FF0"/>
    <w:rsid w:val="0005303C"/>
    <w:rsid w:val="000531FA"/>
    <w:rsid w:val="00053458"/>
    <w:rsid w:val="000535BD"/>
    <w:rsid w:val="00053C5E"/>
    <w:rsid w:val="00053CB9"/>
    <w:rsid w:val="00053D78"/>
    <w:rsid w:val="00053DB6"/>
    <w:rsid w:val="000540BC"/>
    <w:rsid w:val="000540FB"/>
    <w:rsid w:val="00054266"/>
    <w:rsid w:val="00054404"/>
    <w:rsid w:val="00054463"/>
    <w:rsid w:val="000546CF"/>
    <w:rsid w:val="000546E8"/>
    <w:rsid w:val="000548DC"/>
    <w:rsid w:val="00054910"/>
    <w:rsid w:val="000549B0"/>
    <w:rsid w:val="00054AC3"/>
    <w:rsid w:val="00054BD3"/>
    <w:rsid w:val="00054D0B"/>
    <w:rsid w:val="00055240"/>
    <w:rsid w:val="0005529E"/>
    <w:rsid w:val="00055319"/>
    <w:rsid w:val="00055521"/>
    <w:rsid w:val="000556DF"/>
    <w:rsid w:val="00055839"/>
    <w:rsid w:val="000558A7"/>
    <w:rsid w:val="00055923"/>
    <w:rsid w:val="00055B85"/>
    <w:rsid w:val="00055C41"/>
    <w:rsid w:val="00055FC6"/>
    <w:rsid w:val="00056224"/>
    <w:rsid w:val="0005626B"/>
    <w:rsid w:val="000562F9"/>
    <w:rsid w:val="000565D7"/>
    <w:rsid w:val="00056752"/>
    <w:rsid w:val="00056BFC"/>
    <w:rsid w:val="00056C03"/>
    <w:rsid w:val="00056EF0"/>
    <w:rsid w:val="00057021"/>
    <w:rsid w:val="0005750B"/>
    <w:rsid w:val="00057582"/>
    <w:rsid w:val="000577D9"/>
    <w:rsid w:val="00057A48"/>
    <w:rsid w:val="00057C40"/>
    <w:rsid w:val="00057D53"/>
    <w:rsid w:val="00057FF4"/>
    <w:rsid w:val="000603C0"/>
    <w:rsid w:val="00060469"/>
    <w:rsid w:val="0006064F"/>
    <w:rsid w:val="00060673"/>
    <w:rsid w:val="00060AD1"/>
    <w:rsid w:val="00060C6D"/>
    <w:rsid w:val="00060E26"/>
    <w:rsid w:val="00060F17"/>
    <w:rsid w:val="0006124C"/>
    <w:rsid w:val="00061295"/>
    <w:rsid w:val="00061497"/>
    <w:rsid w:val="000619F7"/>
    <w:rsid w:val="00061B2E"/>
    <w:rsid w:val="00061BE1"/>
    <w:rsid w:val="00061F37"/>
    <w:rsid w:val="000623E5"/>
    <w:rsid w:val="0006255C"/>
    <w:rsid w:val="00062947"/>
    <w:rsid w:val="0006299B"/>
    <w:rsid w:val="00062A31"/>
    <w:rsid w:val="00062ABA"/>
    <w:rsid w:val="00062D85"/>
    <w:rsid w:val="0006323D"/>
    <w:rsid w:val="00063311"/>
    <w:rsid w:val="0006337C"/>
    <w:rsid w:val="000633CF"/>
    <w:rsid w:val="00063587"/>
    <w:rsid w:val="0006359B"/>
    <w:rsid w:val="00063EBD"/>
    <w:rsid w:val="00063EE0"/>
    <w:rsid w:val="00063FF4"/>
    <w:rsid w:val="000640A3"/>
    <w:rsid w:val="00064104"/>
    <w:rsid w:val="00064132"/>
    <w:rsid w:val="00064345"/>
    <w:rsid w:val="0006439C"/>
    <w:rsid w:val="000644A3"/>
    <w:rsid w:val="000645E6"/>
    <w:rsid w:val="00064751"/>
    <w:rsid w:val="00064AB2"/>
    <w:rsid w:val="00064AF8"/>
    <w:rsid w:val="00064C5D"/>
    <w:rsid w:val="00064DE6"/>
    <w:rsid w:val="00064F02"/>
    <w:rsid w:val="00065216"/>
    <w:rsid w:val="0006530B"/>
    <w:rsid w:val="0006545C"/>
    <w:rsid w:val="000655F3"/>
    <w:rsid w:val="00065871"/>
    <w:rsid w:val="00065880"/>
    <w:rsid w:val="00065D7D"/>
    <w:rsid w:val="00065F32"/>
    <w:rsid w:val="00065FAB"/>
    <w:rsid w:val="00066055"/>
    <w:rsid w:val="00066066"/>
    <w:rsid w:val="00066086"/>
    <w:rsid w:val="00066137"/>
    <w:rsid w:val="00066340"/>
    <w:rsid w:val="000663A9"/>
    <w:rsid w:val="000664F7"/>
    <w:rsid w:val="000665BE"/>
    <w:rsid w:val="00066763"/>
    <w:rsid w:val="000667B4"/>
    <w:rsid w:val="00066A73"/>
    <w:rsid w:val="00066CDF"/>
    <w:rsid w:val="00066D73"/>
    <w:rsid w:val="00066D80"/>
    <w:rsid w:val="000670DA"/>
    <w:rsid w:val="000670F6"/>
    <w:rsid w:val="00067404"/>
    <w:rsid w:val="0006776F"/>
    <w:rsid w:val="00067B0D"/>
    <w:rsid w:val="00067B43"/>
    <w:rsid w:val="00067F0A"/>
    <w:rsid w:val="00070668"/>
    <w:rsid w:val="0007074D"/>
    <w:rsid w:val="00070782"/>
    <w:rsid w:val="0007079D"/>
    <w:rsid w:val="0007081C"/>
    <w:rsid w:val="000709B9"/>
    <w:rsid w:val="00070B93"/>
    <w:rsid w:val="00070D9C"/>
    <w:rsid w:val="000710A6"/>
    <w:rsid w:val="000710C3"/>
    <w:rsid w:val="0007175D"/>
    <w:rsid w:val="000718D6"/>
    <w:rsid w:val="00071A42"/>
    <w:rsid w:val="00071AA5"/>
    <w:rsid w:val="00071C55"/>
    <w:rsid w:val="00072166"/>
    <w:rsid w:val="00072458"/>
    <w:rsid w:val="0007274D"/>
    <w:rsid w:val="00072824"/>
    <w:rsid w:val="00072849"/>
    <w:rsid w:val="00072A13"/>
    <w:rsid w:val="00072CD1"/>
    <w:rsid w:val="00072EFE"/>
    <w:rsid w:val="000730BD"/>
    <w:rsid w:val="0007326C"/>
    <w:rsid w:val="000738ED"/>
    <w:rsid w:val="000739FB"/>
    <w:rsid w:val="00073F52"/>
    <w:rsid w:val="0007435D"/>
    <w:rsid w:val="00074520"/>
    <w:rsid w:val="00074554"/>
    <w:rsid w:val="00074685"/>
    <w:rsid w:val="000749A6"/>
    <w:rsid w:val="000749F5"/>
    <w:rsid w:val="00074ADE"/>
    <w:rsid w:val="00074E86"/>
    <w:rsid w:val="000753A2"/>
    <w:rsid w:val="0007548C"/>
    <w:rsid w:val="0007585C"/>
    <w:rsid w:val="00075A15"/>
    <w:rsid w:val="00075A21"/>
    <w:rsid w:val="00075BB6"/>
    <w:rsid w:val="0007629D"/>
    <w:rsid w:val="000766B4"/>
    <w:rsid w:val="00076809"/>
    <w:rsid w:val="00076A10"/>
    <w:rsid w:val="00076B79"/>
    <w:rsid w:val="00076D1F"/>
    <w:rsid w:val="00077278"/>
    <w:rsid w:val="000774B9"/>
    <w:rsid w:val="00077730"/>
    <w:rsid w:val="00077EDE"/>
    <w:rsid w:val="00077F2B"/>
    <w:rsid w:val="0008050D"/>
    <w:rsid w:val="00080698"/>
    <w:rsid w:val="0008079B"/>
    <w:rsid w:val="00080EF6"/>
    <w:rsid w:val="00080FF4"/>
    <w:rsid w:val="00081222"/>
    <w:rsid w:val="00081485"/>
    <w:rsid w:val="000814B0"/>
    <w:rsid w:val="0008150F"/>
    <w:rsid w:val="0008169A"/>
    <w:rsid w:val="00081BA6"/>
    <w:rsid w:val="00081CF6"/>
    <w:rsid w:val="00082084"/>
    <w:rsid w:val="000822BE"/>
    <w:rsid w:val="00082326"/>
    <w:rsid w:val="000824BA"/>
    <w:rsid w:val="00082705"/>
    <w:rsid w:val="000827D2"/>
    <w:rsid w:val="000827F2"/>
    <w:rsid w:val="00082895"/>
    <w:rsid w:val="00082A4D"/>
    <w:rsid w:val="00082D3D"/>
    <w:rsid w:val="00082EA5"/>
    <w:rsid w:val="00082F3B"/>
    <w:rsid w:val="00082FB1"/>
    <w:rsid w:val="00083064"/>
    <w:rsid w:val="0008336E"/>
    <w:rsid w:val="00083373"/>
    <w:rsid w:val="0008368C"/>
    <w:rsid w:val="000836B3"/>
    <w:rsid w:val="000838DB"/>
    <w:rsid w:val="00083DE5"/>
    <w:rsid w:val="00083F37"/>
    <w:rsid w:val="00084179"/>
    <w:rsid w:val="00084876"/>
    <w:rsid w:val="0008487B"/>
    <w:rsid w:val="00084BB6"/>
    <w:rsid w:val="00084DCB"/>
    <w:rsid w:val="00084F13"/>
    <w:rsid w:val="00084FB3"/>
    <w:rsid w:val="00084FBF"/>
    <w:rsid w:val="000850C9"/>
    <w:rsid w:val="000850DF"/>
    <w:rsid w:val="00085591"/>
    <w:rsid w:val="000855A0"/>
    <w:rsid w:val="000857A1"/>
    <w:rsid w:val="00085819"/>
    <w:rsid w:val="00085998"/>
    <w:rsid w:val="00085B9D"/>
    <w:rsid w:val="00085C62"/>
    <w:rsid w:val="0008615C"/>
    <w:rsid w:val="000867F6"/>
    <w:rsid w:val="00086FCA"/>
    <w:rsid w:val="00087185"/>
    <w:rsid w:val="000873EA"/>
    <w:rsid w:val="00087484"/>
    <w:rsid w:val="00087563"/>
    <w:rsid w:val="000877F4"/>
    <w:rsid w:val="00087983"/>
    <w:rsid w:val="00087A8A"/>
    <w:rsid w:val="00087A91"/>
    <w:rsid w:val="00087CBB"/>
    <w:rsid w:val="000901B9"/>
    <w:rsid w:val="000903CB"/>
    <w:rsid w:val="00090536"/>
    <w:rsid w:val="00090720"/>
    <w:rsid w:val="00090B45"/>
    <w:rsid w:val="00090EAB"/>
    <w:rsid w:val="00091595"/>
    <w:rsid w:val="000917CB"/>
    <w:rsid w:val="00091914"/>
    <w:rsid w:val="00091990"/>
    <w:rsid w:val="00091BE6"/>
    <w:rsid w:val="00091E78"/>
    <w:rsid w:val="00091F95"/>
    <w:rsid w:val="000920F5"/>
    <w:rsid w:val="00092118"/>
    <w:rsid w:val="00092508"/>
    <w:rsid w:val="00092611"/>
    <w:rsid w:val="00092BD9"/>
    <w:rsid w:val="00092C8D"/>
    <w:rsid w:val="000931A5"/>
    <w:rsid w:val="000931B8"/>
    <w:rsid w:val="00093263"/>
    <w:rsid w:val="00093806"/>
    <w:rsid w:val="00093831"/>
    <w:rsid w:val="000939AC"/>
    <w:rsid w:val="00093CBA"/>
    <w:rsid w:val="00094099"/>
    <w:rsid w:val="000940C7"/>
    <w:rsid w:val="000940E1"/>
    <w:rsid w:val="000940F4"/>
    <w:rsid w:val="000941E1"/>
    <w:rsid w:val="000945F2"/>
    <w:rsid w:val="0009480B"/>
    <w:rsid w:val="00094C63"/>
    <w:rsid w:val="00094F03"/>
    <w:rsid w:val="000950C4"/>
    <w:rsid w:val="000951EF"/>
    <w:rsid w:val="00095353"/>
    <w:rsid w:val="0009545D"/>
    <w:rsid w:val="0009578E"/>
    <w:rsid w:val="000959AD"/>
    <w:rsid w:val="00095C4F"/>
    <w:rsid w:val="00095DC8"/>
    <w:rsid w:val="00095EAA"/>
    <w:rsid w:val="000962F9"/>
    <w:rsid w:val="000964A8"/>
    <w:rsid w:val="00096505"/>
    <w:rsid w:val="000966C2"/>
    <w:rsid w:val="00096743"/>
    <w:rsid w:val="000968FA"/>
    <w:rsid w:val="0009695E"/>
    <w:rsid w:val="000969A2"/>
    <w:rsid w:val="00096AEA"/>
    <w:rsid w:val="00096B6C"/>
    <w:rsid w:val="00096BE0"/>
    <w:rsid w:val="00096DAD"/>
    <w:rsid w:val="00096F5B"/>
    <w:rsid w:val="00096FF3"/>
    <w:rsid w:val="00097074"/>
    <w:rsid w:val="0009732A"/>
    <w:rsid w:val="0009736A"/>
    <w:rsid w:val="000975D7"/>
    <w:rsid w:val="00097688"/>
    <w:rsid w:val="000979AD"/>
    <w:rsid w:val="00097B5F"/>
    <w:rsid w:val="00097DCE"/>
    <w:rsid w:val="000A001F"/>
    <w:rsid w:val="000A00C5"/>
    <w:rsid w:val="000A017C"/>
    <w:rsid w:val="000A0227"/>
    <w:rsid w:val="000A04C6"/>
    <w:rsid w:val="000A0781"/>
    <w:rsid w:val="000A0924"/>
    <w:rsid w:val="000A0CAC"/>
    <w:rsid w:val="000A0DAB"/>
    <w:rsid w:val="000A1027"/>
    <w:rsid w:val="000A10DB"/>
    <w:rsid w:val="000A1306"/>
    <w:rsid w:val="000A1907"/>
    <w:rsid w:val="000A1991"/>
    <w:rsid w:val="000A1996"/>
    <w:rsid w:val="000A1A0D"/>
    <w:rsid w:val="000A1A20"/>
    <w:rsid w:val="000A1EA9"/>
    <w:rsid w:val="000A2242"/>
    <w:rsid w:val="000A2553"/>
    <w:rsid w:val="000A2578"/>
    <w:rsid w:val="000A2C4C"/>
    <w:rsid w:val="000A3054"/>
    <w:rsid w:val="000A321D"/>
    <w:rsid w:val="000A32A2"/>
    <w:rsid w:val="000A338D"/>
    <w:rsid w:val="000A36FC"/>
    <w:rsid w:val="000A373F"/>
    <w:rsid w:val="000A385D"/>
    <w:rsid w:val="000A3B5F"/>
    <w:rsid w:val="000A3B6E"/>
    <w:rsid w:val="000A3E19"/>
    <w:rsid w:val="000A3ECE"/>
    <w:rsid w:val="000A40AE"/>
    <w:rsid w:val="000A4188"/>
    <w:rsid w:val="000A429E"/>
    <w:rsid w:val="000A446D"/>
    <w:rsid w:val="000A46FD"/>
    <w:rsid w:val="000A4947"/>
    <w:rsid w:val="000A4B6C"/>
    <w:rsid w:val="000A4BF9"/>
    <w:rsid w:val="000A4BFB"/>
    <w:rsid w:val="000A5328"/>
    <w:rsid w:val="000A542B"/>
    <w:rsid w:val="000A54FE"/>
    <w:rsid w:val="000A55FF"/>
    <w:rsid w:val="000A5716"/>
    <w:rsid w:val="000A5870"/>
    <w:rsid w:val="000A58F2"/>
    <w:rsid w:val="000A58F4"/>
    <w:rsid w:val="000A5DE8"/>
    <w:rsid w:val="000A6042"/>
    <w:rsid w:val="000A64CA"/>
    <w:rsid w:val="000A6632"/>
    <w:rsid w:val="000A679E"/>
    <w:rsid w:val="000A683D"/>
    <w:rsid w:val="000A6CAA"/>
    <w:rsid w:val="000A7204"/>
    <w:rsid w:val="000A72AE"/>
    <w:rsid w:val="000A72AF"/>
    <w:rsid w:val="000A742C"/>
    <w:rsid w:val="000A74B7"/>
    <w:rsid w:val="000A7537"/>
    <w:rsid w:val="000A778D"/>
    <w:rsid w:val="000B0814"/>
    <w:rsid w:val="000B08FE"/>
    <w:rsid w:val="000B0963"/>
    <w:rsid w:val="000B098E"/>
    <w:rsid w:val="000B0DCD"/>
    <w:rsid w:val="000B0F99"/>
    <w:rsid w:val="000B0FCE"/>
    <w:rsid w:val="000B1010"/>
    <w:rsid w:val="000B1036"/>
    <w:rsid w:val="000B117D"/>
    <w:rsid w:val="000B11B5"/>
    <w:rsid w:val="000B1249"/>
    <w:rsid w:val="000B16FD"/>
    <w:rsid w:val="000B171A"/>
    <w:rsid w:val="000B172C"/>
    <w:rsid w:val="000B1840"/>
    <w:rsid w:val="000B1C4D"/>
    <w:rsid w:val="000B1E4B"/>
    <w:rsid w:val="000B2485"/>
    <w:rsid w:val="000B2804"/>
    <w:rsid w:val="000B2918"/>
    <w:rsid w:val="000B2A5E"/>
    <w:rsid w:val="000B2B21"/>
    <w:rsid w:val="000B2B50"/>
    <w:rsid w:val="000B2F9A"/>
    <w:rsid w:val="000B3381"/>
    <w:rsid w:val="000B33FA"/>
    <w:rsid w:val="000B3614"/>
    <w:rsid w:val="000B3830"/>
    <w:rsid w:val="000B3ABB"/>
    <w:rsid w:val="000B3B7F"/>
    <w:rsid w:val="000B3D58"/>
    <w:rsid w:val="000B3D61"/>
    <w:rsid w:val="000B3D87"/>
    <w:rsid w:val="000B3E71"/>
    <w:rsid w:val="000B3F10"/>
    <w:rsid w:val="000B3F79"/>
    <w:rsid w:val="000B4322"/>
    <w:rsid w:val="000B4413"/>
    <w:rsid w:val="000B47FD"/>
    <w:rsid w:val="000B4A5C"/>
    <w:rsid w:val="000B4C49"/>
    <w:rsid w:val="000B53BB"/>
    <w:rsid w:val="000B58DC"/>
    <w:rsid w:val="000B59CC"/>
    <w:rsid w:val="000B5ED8"/>
    <w:rsid w:val="000B6B43"/>
    <w:rsid w:val="000B6D0E"/>
    <w:rsid w:val="000B714A"/>
    <w:rsid w:val="000B7409"/>
    <w:rsid w:val="000B7636"/>
    <w:rsid w:val="000B7B36"/>
    <w:rsid w:val="000B7B88"/>
    <w:rsid w:val="000B7DCA"/>
    <w:rsid w:val="000B7E5D"/>
    <w:rsid w:val="000B7F2D"/>
    <w:rsid w:val="000C046A"/>
    <w:rsid w:val="000C0608"/>
    <w:rsid w:val="000C06A4"/>
    <w:rsid w:val="000C09E3"/>
    <w:rsid w:val="000C0AC8"/>
    <w:rsid w:val="000C0ACB"/>
    <w:rsid w:val="000C0DEA"/>
    <w:rsid w:val="000C10DE"/>
    <w:rsid w:val="000C148E"/>
    <w:rsid w:val="000C1730"/>
    <w:rsid w:val="000C1B22"/>
    <w:rsid w:val="000C1EFC"/>
    <w:rsid w:val="000C20FC"/>
    <w:rsid w:val="000C226F"/>
    <w:rsid w:val="000C2293"/>
    <w:rsid w:val="000C25D2"/>
    <w:rsid w:val="000C277F"/>
    <w:rsid w:val="000C286C"/>
    <w:rsid w:val="000C2C44"/>
    <w:rsid w:val="000C2E07"/>
    <w:rsid w:val="000C2ECF"/>
    <w:rsid w:val="000C2FB2"/>
    <w:rsid w:val="000C358D"/>
    <w:rsid w:val="000C359E"/>
    <w:rsid w:val="000C35E7"/>
    <w:rsid w:val="000C3CA8"/>
    <w:rsid w:val="000C3E67"/>
    <w:rsid w:val="000C4ACF"/>
    <w:rsid w:val="000C4DCC"/>
    <w:rsid w:val="000C4E19"/>
    <w:rsid w:val="000C552F"/>
    <w:rsid w:val="000C559B"/>
    <w:rsid w:val="000C569D"/>
    <w:rsid w:val="000C5AB7"/>
    <w:rsid w:val="000C5D75"/>
    <w:rsid w:val="000C5E62"/>
    <w:rsid w:val="000C6172"/>
    <w:rsid w:val="000C67A4"/>
    <w:rsid w:val="000C68AF"/>
    <w:rsid w:val="000C6C61"/>
    <w:rsid w:val="000C6D65"/>
    <w:rsid w:val="000C6FB7"/>
    <w:rsid w:val="000C71A9"/>
    <w:rsid w:val="000C730C"/>
    <w:rsid w:val="000C742F"/>
    <w:rsid w:val="000C7476"/>
    <w:rsid w:val="000C7654"/>
    <w:rsid w:val="000C786E"/>
    <w:rsid w:val="000C789E"/>
    <w:rsid w:val="000C7C24"/>
    <w:rsid w:val="000C7EC9"/>
    <w:rsid w:val="000D0697"/>
    <w:rsid w:val="000D0A01"/>
    <w:rsid w:val="000D0B62"/>
    <w:rsid w:val="000D0C63"/>
    <w:rsid w:val="000D0E40"/>
    <w:rsid w:val="000D0EAA"/>
    <w:rsid w:val="000D149E"/>
    <w:rsid w:val="000D19AC"/>
    <w:rsid w:val="000D1A51"/>
    <w:rsid w:val="000D1BA4"/>
    <w:rsid w:val="000D1D22"/>
    <w:rsid w:val="000D1E35"/>
    <w:rsid w:val="000D277D"/>
    <w:rsid w:val="000D2A97"/>
    <w:rsid w:val="000D2E46"/>
    <w:rsid w:val="000D2EFE"/>
    <w:rsid w:val="000D33A1"/>
    <w:rsid w:val="000D3644"/>
    <w:rsid w:val="000D37E9"/>
    <w:rsid w:val="000D3B9D"/>
    <w:rsid w:val="000D3BAC"/>
    <w:rsid w:val="000D3F02"/>
    <w:rsid w:val="000D3FC0"/>
    <w:rsid w:val="000D40A4"/>
    <w:rsid w:val="000D411D"/>
    <w:rsid w:val="000D43D2"/>
    <w:rsid w:val="000D460F"/>
    <w:rsid w:val="000D48D1"/>
    <w:rsid w:val="000D4B70"/>
    <w:rsid w:val="000D4CD9"/>
    <w:rsid w:val="000D54EA"/>
    <w:rsid w:val="000D55D1"/>
    <w:rsid w:val="000D58E6"/>
    <w:rsid w:val="000D5A19"/>
    <w:rsid w:val="000D5C9F"/>
    <w:rsid w:val="000D625F"/>
    <w:rsid w:val="000D643C"/>
    <w:rsid w:val="000D65A0"/>
    <w:rsid w:val="000D67B6"/>
    <w:rsid w:val="000D6BEA"/>
    <w:rsid w:val="000D6BF3"/>
    <w:rsid w:val="000D7186"/>
    <w:rsid w:val="000D725F"/>
    <w:rsid w:val="000D74A6"/>
    <w:rsid w:val="000D7517"/>
    <w:rsid w:val="000D75B0"/>
    <w:rsid w:val="000D7BF9"/>
    <w:rsid w:val="000D7C36"/>
    <w:rsid w:val="000E062C"/>
    <w:rsid w:val="000E0724"/>
    <w:rsid w:val="000E097A"/>
    <w:rsid w:val="000E0B89"/>
    <w:rsid w:val="000E0BDA"/>
    <w:rsid w:val="000E0FAE"/>
    <w:rsid w:val="000E127E"/>
    <w:rsid w:val="000E16C3"/>
    <w:rsid w:val="000E16CE"/>
    <w:rsid w:val="000E1793"/>
    <w:rsid w:val="000E1B5A"/>
    <w:rsid w:val="000E1C3A"/>
    <w:rsid w:val="000E1C93"/>
    <w:rsid w:val="000E2098"/>
    <w:rsid w:val="000E218C"/>
    <w:rsid w:val="000E2370"/>
    <w:rsid w:val="000E28D6"/>
    <w:rsid w:val="000E2A02"/>
    <w:rsid w:val="000E2D0E"/>
    <w:rsid w:val="000E2ED8"/>
    <w:rsid w:val="000E3107"/>
    <w:rsid w:val="000E3280"/>
    <w:rsid w:val="000E334A"/>
    <w:rsid w:val="000E35C9"/>
    <w:rsid w:val="000E3602"/>
    <w:rsid w:val="000E38F7"/>
    <w:rsid w:val="000E39F4"/>
    <w:rsid w:val="000E3BF4"/>
    <w:rsid w:val="000E3C6A"/>
    <w:rsid w:val="000E3D23"/>
    <w:rsid w:val="000E4024"/>
    <w:rsid w:val="000E418F"/>
    <w:rsid w:val="000E4195"/>
    <w:rsid w:val="000E42AE"/>
    <w:rsid w:val="000E4342"/>
    <w:rsid w:val="000E4406"/>
    <w:rsid w:val="000E46E8"/>
    <w:rsid w:val="000E498C"/>
    <w:rsid w:val="000E4A65"/>
    <w:rsid w:val="000E4A76"/>
    <w:rsid w:val="000E5157"/>
    <w:rsid w:val="000E52F0"/>
    <w:rsid w:val="000E5355"/>
    <w:rsid w:val="000E5539"/>
    <w:rsid w:val="000E55D2"/>
    <w:rsid w:val="000E5727"/>
    <w:rsid w:val="000E590B"/>
    <w:rsid w:val="000E5CB1"/>
    <w:rsid w:val="000E5DEC"/>
    <w:rsid w:val="000E5EDE"/>
    <w:rsid w:val="000E5F22"/>
    <w:rsid w:val="000E5F78"/>
    <w:rsid w:val="000E5FFD"/>
    <w:rsid w:val="000E6503"/>
    <w:rsid w:val="000E68E5"/>
    <w:rsid w:val="000E6AD9"/>
    <w:rsid w:val="000E6CBD"/>
    <w:rsid w:val="000E70A2"/>
    <w:rsid w:val="000E71E5"/>
    <w:rsid w:val="000E71F7"/>
    <w:rsid w:val="000E7393"/>
    <w:rsid w:val="000E7584"/>
    <w:rsid w:val="000E75E7"/>
    <w:rsid w:val="000E76BA"/>
    <w:rsid w:val="000E788B"/>
    <w:rsid w:val="000E79B3"/>
    <w:rsid w:val="000E7AF8"/>
    <w:rsid w:val="000E7B0C"/>
    <w:rsid w:val="000E7E59"/>
    <w:rsid w:val="000F043A"/>
    <w:rsid w:val="000F05A5"/>
    <w:rsid w:val="000F0790"/>
    <w:rsid w:val="000F089B"/>
    <w:rsid w:val="000F08CB"/>
    <w:rsid w:val="000F0BF4"/>
    <w:rsid w:val="000F0C71"/>
    <w:rsid w:val="000F0DC1"/>
    <w:rsid w:val="000F0DCC"/>
    <w:rsid w:val="000F0DF6"/>
    <w:rsid w:val="000F0F01"/>
    <w:rsid w:val="000F0FB9"/>
    <w:rsid w:val="000F1488"/>
    <w:rsid w:val="000F148A"/>
    <w:rsid w:val="000F148C"/>
    <w:rsid w:val="000F1C0A"/>
    <w:rsid w:val="000F1C26"/>
    <w:rsid w:val="000F1E83"/>
    <w:rsid w:val="000F2144"/>
    <w:rsid w:val="000F2152"/>
    <w:rsid w:val="000F223E"/>
    <w:rsid w:val="000F2825"/>
    <w:rsid w:val="000F28A0"/>
    <w:rsid w:val="000F299C"/>
    <w:rsid w:val="000F29E9"/>
    <w:rsid w:val="000F2A7D"/>
    <w:rsid w:val="000F2C25"/>
    <w:rsid w:val="000F2CB0"/>
    <w:rsid w:val="000F2E03"/>
    <w:rsid w:val="000F2ED7"/>
    <w:rsid w:val="000F3570"/>
    <w:rsid w:val="000F3606"/>
    <w:rsid w:val="000F37EF"/>
    <w:rsid w:val="000F3C6D"/>
    <w:rsid w:val="000F429D"/>
    <w:rsid w:val="000F43D4"/>
    <w:rsid w:val="000F4444"/>
    <w:rsid w:val="000F448D"/>
    <w:rsid w:val="000F487F"/>
    <w:rsid w:val="000F48D0"/>
    <w:rsid w:val="000F4CF0"/>
    <w:rsid w:val="000F53E5"/>
    <w:rsid w:val="000F5438"/>
    <w:rsid w:val="000F56E0"/>
    <w:rsid w:val="000F5837"/>
    <w:rsid w:val="000F5EDD"/>
    <w:rsid w:val="000F6126"/>
    <w:rsid w:val="000F61AD"/>
    <w:rsid w:val="000F61F3"/>
    <w:rsid w:val="000F63A4"/>
    <w:rsid w:val="000F6491"/>
    <w:rsid w:val="000F65E3"/>
    <w:rsid w:val="000F6BDA"/>
    <w:rsid w:val="000F6CBC"/>
    <w:rsid w:val="000F6E60"/>
    <w:rsid w:val="000F6EDC"/>
    <w:rsid w:val="000F6F95"/>
    <w:rsid w:val="000F6FD1"/>
    <w:rsid w:val="000F7368"/>
    <w:rsid w:val="000F7399"/>
    <w:rsid w:val="000F73FD"/>
    <w:rsid w:val="000F7519"/>
    <w:rsid w:val="000F7563"/>
    <w:rsid w:val="000F75A3"/>
    <w:rsid w:val="000F7790"/>
    <w:rsid w:val="000F782F"/>
    <w:rsid w:val="000F7B1D"/>
    <w:rsid w:val="000F7C44"/>
    <w:rsid w:val="00100573"/>
    <w:rsid w:val="0010075C"/>
    <w:rsid w:val="0010082A"/>
    <w:rsid w:val="00100BA7"/>
    <w:rsid w:val="00100C2F"/>
    <w:rsid w:val="00100EFC"/>
    <w:rsid w:val="0010106A"/>
    <w:rsid w:val="00101761"/>
    <w:rsid w:val="00101795"/>
    <w:rsid w:val="001018EA"/>
    <w:rsid w:val="001019F9"/>
    <w:rsid w:val="00101B9A"/>
    <w:rsid w:val="00101BBD"/>
    <w:rsid w:val="00101FCD"/>
    <w:rsid w:val="0010216C"/>
    <w:rsid w:val="00102186"/>
    <w:rsid w:val="00102236"/>
    <w:rsid w:val="001023BD"/>
    <w:rsid w:val="0010285D"/>
    <w:rsid w:val="00102862"/>
    <w:rsid w:val="00102D9A"/>
    <w:rsid w:val="00102DA5"/>
    <w:rsid w:val="00102E46"/>
    <w:rsid w:val="00102EB6"/>
    <w:rsid w:val="0010377D"/>
    <w:rsid w:val="00103AA6"/>
    <w:rsid w:val="00103B7E"/>
    <w:rsid w:val="00103BDA"/>
    <w:rsid w:val="00103E6B"/>
    <w:rsid w:val="00103ECD"/>
    <w:rsid w:val="00104037"/>
    <w:rsid w:val="00104061"/>
    <w:rsid w:val="001040D1"/>
    <w:rsid w:val="00104390"/>
    <w:rsid w:val="0010463E"/>
    <w:rsid w:val="001046F5"/>
    <w:rsid w:val="00104951"/>
    <w:rsid w:val="00104CE8"/>
    <w:rsid w:val="0010507C"/>
    <w:rsid w:val="0010548F"/>
    <w:rsid w:val="001054B7"/>
    <w:rsid w:val="0010564C"/>
    <w:rsid w:val="0010585F"/>
    <w:rsid w:val="001058B9"/>
    <w:rsid w:val="00105974"/>
    <w:rsid w:val="00105C66"/>
    <w:rsid w:val="00105C71"/>
    <w:rsid w:val="00105CED"/>
    <w:rsid w:val="00105F1A"/>
    <w:rsid w:val="00105F46"/>
    <w:rsid w:val="00106058"/>
    <w:rsid w:val="001061F0"/>
    <w:rsid w:val="0010620B"/>
    <w:rsid w:val="00106694"/>
    <w:rsid w:val="00106C0C"/>
    <w:rsid w:val="00107121"/>
    <w:rsid w:val="001072B0"/>
    <w:rsid w:val="001072E0"/>
    <w:rsid w:val="00107367"/>
    <w:rsid w:val="001075D2"/>
    <w:rsid w:val="0010773E"/>
    <w:rsid w:val="00107D24"/>
    <w:rsid w:val="001106AE"/>
    <w:rsid w:val="001106FA"/>
    <w:rsid w:val="001107C7"/>
    <w:rsid w:val="0011080A"/>
    <w:rsid w:val="00110963"/>
    <w:rsid w:val="00110C27"/>
    <w:rsid w:val="00111106"/>
    <w:rsid w:val="00111529"/>
    <w:rsid w:val="00111694"/>
    <w:rsid w:val="001116B8"/>
    <w:rsid w:val="00111856"/>
    <w:rsid w:val="00111A73"/>
    <w:rsid w:val="00111C0B"/>
    <w:rsid w:val="00111D0C"/>
    <w:rsid w:val="00111D45"/>
    <w:rsid w:val="00111EC8"/>
    <w:rsid w:val="00111F8E"/>
    <w:rsid w:val="0011252E"/>
    <w:rsid w:val="00112A82"/>
    <w:rsid w:val="00112AE4"/>
    <w:rsid w:val="00112D78"/>
    <w:rsid w:val="001135F7"/>
    <w:rsid w:val="0011365E"/>
    <w:rsid w:val="00113CAC"/>
    <w:rsid w:val="00114351"/>
    <w:rsid w:val="001143BB"/>
    <w:rsid w:val="001143C2"/>
    <w:rsid w:val="0011446F"/>
    <w:rsid w:val="00114524"/>
    <w:rsid w:val="001146BF"/>
    <w:rsid w:val="001148A6"/>
    <w:rsid w:val="00114EBC"/>
    <w:rsid w:val="001152D2"/>
    <w:rsid w:val="00115464"/>
    <w:rsid w:val="0011558F"/>
    <w:rsid w:val="001156D3"/>
    <w:rsid w:val="00115B2B"/>
    <w:rsid w:val="00115F70"/>
    <w:rsid w:val="00116394"/>
    <w:rsid w:val="001166A8"/>
    <w:rsid w:val="00116C4A"/>
    <w:rsid w:val="001178B2"/>
    <w:rsid w:val="00117AA4"/>
    <w:rsid w:val="00117B6B"/>
    <w:rsid w:val="00117B97"/>
    <w:rsid w:val="00117DA1"/>
    <w:rsid w:val="00117E7A"/>
    <w:rsid w:val="00120A3D"/>
    <w:rsid w:val="001211ED"/>
    <w:rsid w:val="0012124C"/>
    <w:rsid w:val="00121506"/>
    <w:rsid w:val="00121634"/>
    <w:rsid w:val="00121782"/>
    <w:rsid w:val="00121A25"/>
    <w:rsid w:val="00121A6B"/>
    <w:rsid w:val="00121D82"/>
    <w:rsid w:val="00121FA2"/>
    <w:rsid w:val="001220CA"/>
    <w:rsid w:val="00122229"/>
    <w:rsid w:val="0012236A"/>
    <w:rsid w:val="001224DD"/>
    <w:rsid w:val="0012271D"/>
    <w:rsid w:val="00122A50"/>
    <w:rsid w:val="00122ACA"/>
    <w:rsid w:val="00122F59"/>
    <w:rsid w:val="001235DF"/>
    <w:rsid w:val="00123812"/>
    <w:rsid w:val="0012387A"/>
    <w:rsid w:val="00123988"/>
    <w:rsid w:val="00123BC0"/>
    <w:rsid w:val="00123E46"/>
    <w:rsid w:val="00124250"/>
    <w:rsid w:val="00124CCF"/>
    <w:rsid w:val="00124E06"/>
    <w:rsid w:val="0012512E"/>
    <w:rsid w:val="001251D9"/>
    <w:rsid w:val="0012537C"/>
    <w:rsid w:val="0012560C"/>
    <w:rsid w:val="001257AB"/>
    <w:rsid w:val="0012597A"/>
    <w:rsid w:val="00125A1D"/>
    <w:rsid w:val="00125C32"/>
    <w:rsid w:val="00125DD8"/>
    <w:rsid w:val="0012616B"/>
    <w:rsid w:val="001262B4"/>
    <w:rsid w:val="00126375"/>
    <w:rsid w:val="00126852"/>
    <w:rsid w:val="00126B3E"/>
    <w:rsid w:val="00126B9C"/>
    <w:rsid w:val="00126F15"/>
    <w:rsid w:val="00126F2F"/>
    <w:rsid w:val="0012704C"/>
    <w:rsid w:val="00127446"/>
    <w:rsid w:val="00127895"/>
    <w:rsid w:val="001278E8"/>
    <w:rsid w:val="00127B62"/>
    <w:rsid w:val="00127DC6"/>
    <w:rsid w:val="00127FC0"/>
    <w:rsid w:val="00127FDD"/>
    <w:rsid w:val="001301CE"/>
    <w:rsid w:val="001303BB"/>
    <w:rsid w:val="001303D5"/>
    <w:rsid w:val="0013043E"/>
    <w:rsid w:val="001307FD"/>
    <w:rsid w:val="00130AA0"/>
    <w:rsid w:val="00130AFB"/>
    <w:rsid w:val="00130C74"/>
    <w:rsid w:val="00130EFF"/>
    <w:rsid w:val="001311B0"/>
    <w:rsid w:val="00131397"/>
    <w:rsid w:val="001317ED"/>
    <w:rsid w:val="0013196E"/>
    <w:rsid w:val="00131A62"/>
    <w:rsid w:val="00131B2F"/>
    <w:rsid w:val="00131B6F"/>
    <w:rsid w:val="00131EAA"/>
    <w:rsid w:val="00132060"/>
    <w:rsid w:val="00132315"/>
    <w:rsid w:val="001323CA"/>
    <w:rsid w:val="00132556"/>
    <w:rsid w:val="00132740"/>
    <w:rsid w:val="00132D93"/>
    <w:rsid w:val="00132EF5"/>
    <w:rsid w:val="001330A0"/>
    <w:rsid w:val="00133105"/>
    <w:rsid w:val="00133336"/>
    <w:rsid w:val="001335EB"/>
    <w:rsid w:val="00133657"/>
    <w:rsid w:val="00133BD1"/>
    <w:rsid w:val="00133F13"/>
    <w:rsid w:val="00133F48"/>
    <w:rsid w:val="00134354"/>
    <w:rsid w:val="001344BA"/>
    <w:rsid w:val="0013456F"/>
    <w:rsid w:val="0013475E"/>
    <w:rsid w:val="001347FA"/>
    <w:rsid w:val="0013492E"/>
    <w:rsid w:val="00134B71"/>
    <w:rsid w:val="00134C18"/>
    <w:rsid w:val="00135254"/>
    <w:rsid w:val="001355B2"/>
    <w:rsid w:val="001357BE"/>
    <w:rsid w:val="00135880"/>
    <w:rsid w:val="00135959"/>
    <w:rsid w:val="00135FB5"/>
    <w:rsid w:val="00136567"/>
    <w:rsid w:val="001367B0"/>
    <w:rsid w:val="001369DC"/>
    <w:rsid w:val="00136AB3"/>
    <w:rsid w:val="00136B0C"/>
    <w:rsid w:val="001374FD"/>
    <w:rsid w:val="001375B7"/>
    <w:rsid w:val="00137784"/>
    <w:rsid w:val="001377BC"/>
    <w:rsid w:val="0013781F"/>
    <w:rsid w:val="001378AA"/>
    <w:rsid w:val="00137D29"/>
    <w:rsid w:val="0014030D"/>
    <w:rsid w:val="001405A6"/>
    <w:rsid w:val="00140923"/>
    <w:rsid w:val="00140A46"/>
    <w:rsid w:val="00140FBB"/>
    <w:rsid w:val="00141189"/>
    <w:rsid w:val="001414DA"/>
    <w:rsid w:val="001416FD"/>
    <w:rsid w:val="00141CC7"/>
    <w:rsid w:val="00141EB1"/>
    <w:rsid w:val="0014207C"/>
    <w:rsid w:val="001422D1"/>
    <w:rsid w:val="00142AE3"/>
    <w:rsid w:val="00142C36"/>
    <w:rsid w:val="00142FB0"/>
    <w:rsid w:val="0014373E"/>
    <w:rsid w:val="00143772"/>
    <w:rsid w:val="001438C0"/>
    <w:rsid w:val="00143D3C"/>
    <w:rsid w:val="00143E7A"/>
    <w:rsid w:val="00143F59"/>
    <w:rsid w:val="0014412E"/>
    <w:rsid w:val="00144185"/>
    <w:rsid w:val="00144B0A"/>
    <w:rsid w:val="00144D1E"/>
    <w:rsid w:val="00145027"/>
    <w:rsid w:val="0014518E"/>
    <w:rsid w:val="00145292"/>
    <w:rsid w:val="001454A0"/>
    <w:rsid w:val="001457DA"/>
    <w:rsid w:val="00145AED"/>
    <w:rsid w:val="00145E75"/>
    <w:rsid w:val="001463A1"/>
    <w:rsid w:val="001467B3"/>
    <w:rsid w:val="001467BB"/>
    <w:rsid w:val="00146AB5"/>
    <w:rsid w:val="00146B70"/>
    <w:rsid w:val="00146E46"/>
    <w:rsid w:val="00146E7E"/>
    <w:rsid w:val="00147696"/>
    <w:rsid w:val="001476D7"/>
    <w:rsid w:val="00147852"/>
    <w:rsid w:val="00147889"/>
    <w:rsid w:val="001479FB"/>
    <w:rsid w:val="00150360"/>
    <w:rsid w:val="00150958"/>
    <w:rsid w:val="0015098F"/>
    <w:rsid w:val="00150D8B"/>
    <w:rsid w:val="00150DD8"/>
    <w:rsid w:val="00150DFC"/>
    <w:rsid w:val="00150E0C"/>
    <w:rsid w:val="00150FD1"/>
    <w:rsid w:val="0015102D"/>
    <w:rsid w:val="001510BA"/>
    <w:rsid w:val="0015156B"/>
    <w:rsid w:val="0015162E"/>
    <w:rsid w:val="00151649"/>
    <w:rsid w:val="001516FD"/>
    <w:rsid w:val="00151951"/>
    <w:rsid w:val="0015198C"/>
    <w:rsid w:val="00151B9B"/>
    <w:rsid w:val="00151E92"/>
    <w:rsid w:val="00152012"/>
    <w:rsid w:val="0015209F"/>
    <w:rsid w:val="00152366"/>
    <w:rsid w:val="00152371"/>
    <w:rsid w:val="001524C4"/>
    <w:rsid w:val="00152652"/>
    <w:rsid w:val="00152954"/>
    <w:rsid w:val="00152AC6"/>
    <w:rsid w:val="00153B6B"/>
    <w:rsid w:val="00153E46"/>
    <w:rsid w:val="00153F96"/>
    <w:rsid w:val="00154015"/>
    <w:rsid w:val="0015438C"/>
    <w:rsid w:val="0015438E"/>
    <w:rsid w:val="001543EF"/>
    <w:rsid w:val="001546CA"/>
    <w:rsid w:val="00154824"/>
    <w:rsid w:val="00154D93"/>
    <w:rsid w:val="001550B6"/>
    <w:rsid w:val="00155207"/>
    <w:rsid w:val="00155221"/>
    <w:rsid w:val="00155456"/>
    <w:rsid w:val="00155838"/>
    <w:rsid w:val="00155A67"/>
    <w:rsid w:val="00155E9A"/>
    <w:rsid w:val="00156088"/>
    <w:rsid w:val="001563AA"/>
    <w:rsid w:val="0015646F"/>
    <w:rsid w:val="00156481"/>
    <w:rsid w:val="00156705"/>
    <w:rsid w:val="00156DB3"/>
    <w:rsid w:val="00156F85"/>
    <w:rsid w:val="0015706B"/>
    <w:rsid w:val="001572B8"/>
    <w:rsid w:val="00157332"/>
    <w:rsid w:val="00157459"/>
    <w:rsid w:val="0015755D"/>
    <w:rsid w:val="00157760"/>
    <w:rsid w:val="0015779C"/>
    <w:rsid w:val="00157AF0"/>
    <w:rsid w:val="00157C9E"/>
    <w:rsid w:val="00157CBD"/>
    <w:rsid w:val="00157ED9"/>
    <w:rsid w:val="00157F92"/>
    <w:rsid w:val="0016058A"/>
    <w:rsid w:val="001607F4"/>
    <w:rsid w:val="00160BC9"/>
    <w:rsid w:val="001611A8"/>
    <w:rsid w:val="00161235"/>
    <w:rsid w:val="001612B6"/>
    <w:rsid w:val="00161596"/>
    <w:rsid w:val="001615E0"/>
    <w:rsid w:val="00161C6E"/>
    <w:rsid w:val="00162122"/>
    <w:rsid w:val="00162148"/>
    <w:rsid w:val="0016235D"/>
    <w:rsid w:val="001626EE"/>
    <w:rsid w:val="00162B3A"/>
    <w:rsid w:val="00162DFA"/>
    <w:rsid w:val="0016302B"/>
    <w:rsid w:val="001631E6"/>
    <w:rsid w:val="00163379"/>
    <w:rsid w:val="00163390"/>
    <w:rsid w:val="00163414"/>
    <w:rsid w:val="00163574"/>
    <w:rsid w:val="0016379B"/>
    <w:rsid w:val="00163F0B"/>
    <w:rsid w:val="00164259"/>
    <w:rsid w:val="0016442A"/>
    <w:rsid w:val="001648FD"/>
    <w:rsid w:val="00164974"/>
    <w:rsid w:val="001650F9"/>
    <w:rsid w:val="001651C8"/>
    <w:rsid w:val="0016522D"/>
    <w:rsid w:val="0016529B"/>
    <w:rsid w:val="0016559E"/>
    <w:rsid w:val="0016563E"/>
    <w:rsid w:val="001656AD"/>
    <w:rsid w:val="00165874"/>
    <w:rsid w:val="00165CC6"/>
    <w:rsid w:val="00165E70"/>
    <w:rsid w:val="001660B0"/>
    <w:rsid w:val="001662A5"/>
    <w:rsid w:val="0016671A"/>
    <w:rsid w:val="001668E9"/>
    <w:rsid w:val="001669C4"/>
    <w:rsid w:val="00166B24"/>
    <w:rsid w:val="00167014"/>
    <w:rsid w:val="00167147"/>
    <w:rsid w:val="001672BC"/>
    <w:rsid w:val="0016775E"/>
    <w:rsid w:val="0016776D"/>
    <w:rsid w:val="001677B2"/>
    <w:rsid w:val="00167A41"/>
    <w:rsid w:val="00167B68"/>
    <w:rsid w:val="00170017"/>
    <w:rsid w:val="00170102"/>
    <w:rsid w:val="00170113"/>
    <w:rsid w:val="00170130"/>
    <w:rsid w:val="00170866"/>
    <w:rsid w:val="001708A2"/>
    <w:rsid w:val="00170976"/>
    <w:rsid w:val="00170B0B"/>
    <w:rsid w:val="00170CE9"/>
    <w:rsid w:val="00170E4A"/>
    <w:rsid w:val="001711C0"/>
    <w:rsid w:val="0017178B"/>
    <w:rsid w:val="00171AC0"/>
    <w:rsid w:val="00171AD4"/>
    <w:rsid w:val="00171AF4"/>
    <w:rsid w:val="00171C4D"/>
    <w:rsid w:val="00171D45"/>
    <w:rsid w:val="00171DCF"/>
    <w:rsid w:val="00171F5E"/>
    <w:rsid w:val="001721CA"/>
    <w:rsid w:val="00172208"/>
    <w:rsid w:val="00172C53"/>
    <w:rsid w:val="00172FBA"/>
    <w:rsid w:val="001731B0"/>
    <w:rsid w:val="0017328D"/>
    <w:rsid w:val="00173300"/>
    <w:rsid w:val="0017363D"/>
    <w:rsid w:val="00173B32"/>
    <w:rsid w:val="00173BC6"/>
    <w:rsid w:val="00173E65"/>
    <w:rsid w:val="00173EA7"/>
    <w:rsid w:val="00173F10"/>
    <w:rsid w:val="00173FAA"/>
    <w:rsid w:val="00174029"/>
    <w:rsid w:val="00174084"/>
    <w:rsid w:val="001746BE"/>
    <w:rsid w:val="00174EA6"/>
    <w:rsid w:val="0017509D"/>
    <w:rsid w:val="00175251"/>
    <w:rsid w:val="001752EA"/>
    <w:rsid w:val="00175344"/>
    <w:rsid w:val="00175346"/>
    <w:rsid w:val="00175648"/>
    <w:rsid w:val="00175734"/>
    <w:rsid w:val="00175A35"/>
    <w:rsid w:val="00175ECB"/>
    <w:rsid w:val="00175FDF"/>
    <w:rsid w:val="00176157"/>
    <w:rsid w:val="0017621E"/>
    <w:rsid w:val="0017641C"/>
    <w:rsid w:val="00176513"/>
    <w:rsid w:val="00176FE9"/>
    <w:rsid w:val="00177161"/>
    <w:rsid w:val="00177559"/>
    <w:rsid w:val="00177834"/>
    <w:rsid w:val="00177C76"/>
    <w:rsid w:val="00177E0E"/>
    <w:rsid w:val="00180008"/>
    <w:rsid w:val="001801BC"/>
    <w:rsid w:val="00180424"/>
    <w:rsid w:val="00180603"/>
    <w:rsid w:val="001806CA"/>
    <w:rsid w:val="00180996"/>
    <w:rsid w:val="00180A18"/>
    <w:rsid w:val="00180EAB"/>
    <w:rsid w:val="00180EAE"/>
    <w:rsid w:val="0018111A"/>
    <w:rsid w:val="001813DD"/>
    <w:rsid w:val="001814C2"/>
    <w:rsid w:val="00181719"/>
    <w:rsid w:val="001817F2"/>
    <w:rsid w:val="00181A57"/>
    <w:rsid w:val="00181A76"/>
    <w:rsid w:val="00181F2A"/>
    <w:rsid w:val="001820DE"/>
    <w:rsid w:val="001824B9"/>
    <w:rsid w:val="00182677"/>
    <w:rsid w:val="00183106"/>
    <w:rsid w:val="001831A3"/>
    <w:rsid w:val="00183356"/>
    <w:rsid w:val="00183367"/>
    <w:rsid w:val="001834BF"/>
    <w:rsid w:val="00183A1F"/>
    <w:rsid w:val="00183D31"/>
    <w:rsid w:val="00183EED"/>
    <w:rsid w:val="00184092"/>
    <w:rsid w:val="001842E8"/>
    <w:rsid w:val="001846A6"/>
    <w:rsid w:val="001848A5"/>
    <w:rsid w:val="001848FD"/>
    <w:rsid w:val="00184BAD"/>
    <w:rsid w:val="00184FF4"/>
    <w:rsid w:val="001850A6"/>
    <w:rsid w:val="00185107"/>
    <w:rsid w:val="00185294"/>
    <w:rsid w:val="001854C5"/>
    <w:rsid w:val="001854DF"/>
    <w:rsid w:val="00185957"/>
    <w:rsid w:val="00185BCF"/>
    <w:rsid w:val="00185C29"/>
    <w:rsid w:val="00185F85"/>
    <w:rsid w:val="0018665D"/>
    <w:rsid w:val="00186737"/>
    <w:rsid w:val="001867EF"/>
    <w:rsid w:val="00186B20"/>
    <w:rsid w:val="001870CF"/>
    <w:rsid w:val="001870E8"/>
    <w:rsid w:val="00187412"/>
    <w:rsid w:val="001876B8"/>
    <w:rsid w:val="001876B9"/>
    <w:rsid w:val="001876D9"/>
    <w:rsid w:val="0018789A"/>
    <w:rsid w:val="00187C75"/>
    <w:rsid w:val="00187DC6"/>
    <w:rsid w:val="00190001"/>
    <w:rsid w:val="001904CE"/>
    <w:rsid w:val="001905DC"/>
    <w:rsid w:val="00190704"/>
    <w:rsid w:val="00190A26"/>
    <w:rsid w:val="00190ADF"/>
    <w:rsid w:val="0019102F"/>
    <w:rsid w:val="001910D3"/>
    <w:rsid w:val="0019135D"/>
    <w:rsid w:val="001913AB"/>
    <w:rsid w:val="00191448"/>
    <w:rsid w:val="00191503"/>
    <w:rsid w:val="00191756"/>
    <w:rsid w:val="00191949"/>
    <w:rsid w:val="00191971"/>
    <w:rsid w:val="00191972"/>
    <w:rsid w:val="00191E9A"/>
    <w:rsid w:val="00191F53"/>
    <w:rsid w:val="00192404"/>
    <w:rsid w:val="00192462"/>
    <w:rsid w:val="00192896"/>
    <w:rsid w:val="001929D9"/>
    <w:rsid w:val="00192D10"/>
    <w:rsid w:val="00192EEB"/>
    <w:rsid w:val="00192F84"/>
    <w:rsid w:val="00193164"/>
    <w:rsid w:val="001933B8"/>
    <w:rsid w:val="00193449"/>
    <w:rsid w:val="0019359C"/>
    <w:rsid w:val="0019371B"/>
    <w:rsid w:val="0019394E"/>
    <w:rsid w:val="00193EA8"/>
    <w:rsid w:val="00194409"/>
    <w:rsid w:val="00194709"/>
    <w:rsid w:val="00194A46"/>
    <w:rsid w:val="00194B88"/>
    <w:rsid w:val="00194CE3"/>
    <w:rsid w:val="00194CFC"/>
    <w:rsid w:val="00194F61"/>
    <w:rsid w:val="00194F9D"/>
    <w:rsid w:val="0019503A"/>
    <w:rsid w:val="001952E0"/>
    <w:rsid w:val="00195317"/>
    <w:rsid w:val="0019538D"/>
    <w:rsid w:val="00195443"/>
    <w:rsid w:val="00195892"/>
    <w:rsid w:val="001959E6"/>
    <w:rsid w:val="00195C45"/>
    <w:rsid w:val="00195CB7"/>
    <w:rsid w:val="00195D03"/>
    <w:rsid w:val="0019604B"/>
    <w:rsid w:val="001962BD"/>
    <w:rsid w:val="001962C4"/>
    <w:rsid w:val="00196698"/>
    <w:rsid w:val="001969CE"/>
    <w:rsid w:val="00196A13"/>
    <w:rsid w:val="00196A43"/>
    <w:rsid w:val="00196C23"/>
    <w:rsid w:val="00197115"/>
    <w:rsid w:val="001973BE"/>
    <w:rsid w:val="001973FE"/>
    <w:rsid w:val="00197413"/>
    <w:rsid w:val="00197559"/>
    <w:rsid w:val="00197944"/>
    <w:rsid w:val="00197AC6"/>
    <w:rsid w:val="001A0047"/>
    <w:rsid w:val="001A05CE"/>
    <w:rsid w:val="001A0753"/>
    <w:rsid w:val="001A0F47"/>
    <w:rsid w:val="001A119A"/>
    <w:rsid w:val="001A1337"/>
    <w:rsid w:val="001A1395"/>
    <w:rsid w:val="001A13E2"/>
    <w:rsid w:val="001A14CF"/>
    <w:rsid w:val="001A16C1"/>
    <w:rsid w:val="001A1A69"/>
    <w:rsid w:val="001A1BA2"/>
    <w:rsid w:val="001A1CC9"/>
    <w:rsid w:val="001A211D"/>
    <w:rsid w:val="001A2126"/>
    <w:rsid w:val="001A21C4"/>
    <w:rsid w:val="001A223A"/>
    <w:rsid w:val="001A228F"/>
    <w:rsid w:val="001A23F1"/>
    <w:rsid w:val="001A24A2"/>
    <w:rsid w:val="001A29EF"/>
    <w:rsid w:val="001A2DF5"/>
    <w:rsid w:val="001A2E8C"/>
    <w:rsid w:val="001A2F29"/>
    <w:rsid w:val="001A31D9"/>
    <w:rsid w:val="001A32A9"/>
    <w:rsid w:val="001A344E"/>
    <w:rsid w:val="001A359A"/>
    <w:rsid w:val="001A3642"/>
    <w:rsid w:val="001A36B2"/>
    <w:rsid w:val="001A3BA5"/>
    <w:rsid w:val="001A3ECA"/>
    <w:rsid w:val="001A3EE5"/>
    <w:rsid w:val="001A3FE1"/>
    <w:rsid w:val="001A401C"/>
    <w:rsid w:val="001A42A1"/>
    <w:rsid w:val="001A4989"/>
    <w:rsid w:val="001A49C0"/>
    <w:rsid w:val="001A4A33"/>
    <w:rsid w:val="001A4A66"/>
    <w:rsid w:val="001A4C5D"/>
    <w:rsid w:val="001A4D3C"/>
    <w:rsid w:val="001A54AD"/>
    <w:rsid w:val="001A554A"/>
    <w:rsid w:val="001A5A0E"/>
    <w:rsid w:val="001A5DE6"/>
    <w:rsid w:val="001A5E23"/>
    <w:rsid w:val="001A6366"/>
    <w:rsid w:val="001A64BD"/>
    <w:rsid w:val="001A64F2"/>
    <w:rsid w:val="001A663E"/>
    <w:rsid w:val="001A6677"/>
    <w:rsid w:val="001A671F"/>
    <w:rsid w:val="001A68F2"/>
    <w:rsid w:val="001A6CF4"/>
    <w:rsid w:val="001A6D0A"/>
    <w:rsid w:val="001A705E"/>
    <w:rsid w:val="001A796E"/>
    <w:rsid w:val="001A7A3D"/>
    <w:rsid w:val="001A7A9F"/>
    <w:rsid w:val="001A7D4E"/>
    <w:rsid w:val="001A7F76"/>
    <w:rsid w:val="001B050E"/>
    <w:rsid w:val="001B059E"/>
    <w:rsid w:val="001B09AC"/>
    <w:rsid w:val="001B0A11"/>
    <w:rsid w:val="001B0A79"/>
    <w:rsid w:val="001B0E68"/>
    <w:rsid w:val="001B1044"/>
    <w:rsid w:val="001B1190"/>
    <w:rsid w:val="001B11DB"/>
    <w:rsid w:val="001B1278"/>
    <w:rsid w:val="001B12E9"/>
    <w:rsid w:val="001B15FE"/>
    <w:rsid w:val="001B1A1A"/>
    <w:rsid w:val="001B1A28"/>
    <w:rsid w:val="001B1B5E"/>
    <w:rsid w:val="001B258B"/>
    <w:rsid w:val="001B25A1"/>
    <w:rsid w:val="001B25B2"/>
    <w:rsid w:val="001B2667"/>
    <w:rsid w:val="001B27B3"/>
    <w:rsid w:val="001B3108"/>
    <w:rsid w:val="001B31E2"/>
    <w:rsid w:val="001B3AC3"/>
    <w:rsid w:val="001B3D83"/>
    <w:rsid w:val="001B423C"/>
    <w:rsid w:val="001B4327"/>
    <w:rsid w:val="001B437D"/>
    <w:rsid w:val="001B475A"/>
    <w:rsid w:val="001B4AC9"/>
    <w:rsid w:val="001B4AF5"/>
    <w:rsid w:val="001B4D07"/>
    <w:rsid w:val="001B4D3E"/>
    <w:rsid w:val="001B4D55"/>
    <w:rsid w:val="001B4D77"/>
    <w:rsid w:val="001B52AA"/>
    <w:rsid w:val="001B5556"/>
    <w:rsid w:val="001B5784"/>
    <w:rsid w:val="001B5888"/>
    <w:rsid w:val="001B5AE7"/>
    <w:rsid w:val="001B5B79"/>
    <w:rsid w:val="001B5EAE"/>
    <w:rsid w:val="001B6095"/>
    <w:rsid w:val="001B6288"/>
    <w:rsid w:val="001B63CB"/>
    <w:rsid w:val="001B648D"/>
    <w:rsid w:val="001B6551"/>
    <w:rsid w:val="001B6620"/>
    <w:rsid w:val="001B6680"/>
    <w:rsid w:val="001B6ED2"/>
    <w:rsid w:val="001B712C"/>
    <w:rsid w:val="001B7211"/>
    <w:rsid w:val="001B7346"/>
    <w:rsid w:val="001B745D"/>
    <w:rsid w:val="001B76E1"/>
    <w:rsid w:val="001B78A5"/>
    <w:rsid w:val="001B78A7"/>
    <w:rsid w:val="001B79B2"/>
    <w:rsid w:val="001B7D8A"/>
    <w:rsid w:val="001B7F5A"/>
    <w:rsid w:val="001C03C9"/>
    <w:rsid w:val="001C0C6C"/>
    <w:rsid w:val="001C127E"/>
    <w:rsid w:val="001C1463"/>
    <w:rsid w:val="001C1B95"/>
    <w:rsid w:val="001C201B"/>
    <w:rsid w:val="001C2038"/>
    <w:rsid w:val="001C2258"/>
    <w:rsid w:val="001C23CA"/>
    <w:rsid w:val="001C2410"/>
    <w:rsid w:val="001C2513"/>
    <w:rsid w:val="001C2567"/>
    <w:rsid w:val="001C2731"/>
    <w:rsid w:val="001C2C0B"/>
    <w:rsid w:val="001C2D02"/>
    <w:rsid w:val="001C30BD"/>
    <w:rsid w:val="001C3966"/>
    <w:rsid w:val="001C3AC4"/>
    <w:rsid w:val="001C3E49"/>
    <w:rsid w:val="001C3E5C"/>
    <w:rsid w:val="001C3E98"/>
    <w:rsid w:val="001C432A"/>
    <w:rsid w:val="001C4893"/>
    <w:rsid w:val="001C4900"/>
    <w:rsid w:val="001C492B"/>
    <w:rsid w:val="001C4A2E"/>
    <w:rsid w:val="001C4BB4"/>
    <w:rsid w:val="001C4D0A"/>
    <w:rsid w:val="001C4EF3"/>
    <w:rsid w:val="001C4F25"/>
    <w:rsid w:val="001C4F78"/>
    <w:rsid w:val="001C4FD0"/>
    <w:rsid w:val="001C504F"/>
    <w:rsid w:val="001C5599"/>
    <w:rsid w:val="001C5763"/>
    <w:rsid w:val="001C59FF"/>
    <w:rsid w:val="001C5A25"/>
    <w:rsid w:val="001C5B73"/>
    <w:rsid w:val="001C5BCC"/>
    <w:rsid w:val="001C62BA"/>
    <w:rsid w:val="001C6543"/>
    <w:rsid w:val="001C670F"/>
    <w:rsid w:val="001C6FEB"/>
    <w:rsid w:val="001C73F0"/>
    <w:rsid w:val="001C74A4"/>
    <w:rsid w:val="001C771F"/>
    <w:rsid w:val="001C7BD5"/>
    <w:rsid w:val="001C7DC1"/>
    <w:rsid w:val="001C7EC9"/>
    <w:rsid w:val="001C7EE1"/>
    <w:rsid w:val="001D0106"/>
    <w:rsid w:val="001D0267"/>
    <w:rsid w:val="001D0268"/>
    <w:rsid w:val="001D05CA"/>
    <w:rsid w:val="001D0807"/>
    <w:rsid w:val="001D08CA"/>
    <w:rsid w:val="001D0A64"/>
    <w:rsid w:val="001D0B55"/>
    <w:rsid w:val="001D0C4D"/>
    <w:rsid w:val="001D0F5D"/>
    <w:rsid w:val="001D0FF5"/>
    <w:rsid w:val="001D12AD"/>
    <w:rsid w:val="001D1A7E"/>
    <w:rsid w:val="001D1AF8"/>
    <w:rsid w:val="001D1B44"/>
    <w:rsid w:val="001D208C"/>
    <w:rsid w:val="001D216E"/>
    <w:rsid w:val="001D2F46"/>
    <w:rsid w:val="001D2F9F"/>
    <w:rsid w:val="001D3AE1"/>
    <w:rsid w:val="001D3D2E"/>
    <w:rsid w:val="001D3D98"/>
    <w:rsid w:val="001D3DF6"/>
    <w:rsid w:val="001D3E22"/>
    <w:rsid w:val="001D4001"/>
    <w:rsid w:val="001D40D7"/>
    <w:rsid w:val="001D4326"/>
    <w:rsid w:val="001D43DA"/>
    <w:rsid w:val="001D46D7"/>
    <w:rsid w:val="001D4708"/>
    <w:rsid w:val="001D48F2"/>
    <w:rsid w:val="001D4A61"/>
    <w:rsid w:val="001D4BDB"/>
    <w:rsid w:val="001D4C02"/>
    <w:rsid w:val="001D4C7B"/>
    <w:rsid w:val="001D4F9D"/>
    <w:rsid w:val="001D5122"/>
    <w:rsid w:val="001D536E"/>
    <w:rsid w:val="001D5600"/>
    <w:rsid w:val="001D5629"/>
    <w:rsid w:val="001D573F"/>
    <w:rsid w:val="001D58CD"/>
    <w:rsid w:val="001D5D3C"/>
    <w:rsid w:val="001D5FCA"/>
    <w:rsid w:val="001D617F"/>
    <w:rsid w:val="001D63DC"/>
    <w:rsid w:val="001D647D"/>
    <w:rsid w:val="001D6539"/>
    <w:rsid w:val="001D6794"/>
    <w:rsid w:val="001D6809"/>
    <w:rsid w:val="001D6C0B"/>
    <w:rsid w:val="001D6DC7"/>
    <w:rsid w:val="001D70C9"/>
    <w:rsid w:val="001D71D1"/>
    <w:rsid w:val="001D72E9"/>
    <w:rsid w:val="001D7514"/>
    <w:rsid w:val="001D75E7"/>
    <w:rsid w:val="001D783E"/>
    <w:rsid w:val="001D792F"/>
    <w:rsid w:val="001D7AA3"/>
    <w:rsid w:val="001D7C96"/>
    <w:rsid w:val="001D7D6D"/>
    <w:rsid w:val="001D7DB4"/>
    <w:rsid w:val="001E066F"/>
    <w:rsid w:val="001E09AD"/>
    <w:rsid w:val="001E1091"/>
    <w:rsid w:val="001E10F7"/>
    <w:rsid w:val="001E1535"/>
    <w:rsid w:val="001E16E3"/>
    <w:rsid w:val="001E1E74"/>
    <w:rsid w:val="001E2074"/>
    <w:rsid w:val="001E2107"/>
    <w:rsid w:val="001E21F0"/>
    <w:rsid w:val="001E2312"/>
    <w:rsid w:val="001E2B56"/>
    <w:rsid w:val="001E2C6D"/>
    <w:rsid w:val="001E2C6E"/>
    <w:rsid w:val="001E2E76"/>
    <w:rsid w:val="001E339C"/>
    <w:rsid w:val="001E3483"/>
    <w:rsid w:val="001E34A1"/>
    <w:rsid w:val="001E36D3"/>
    <w:rsid w:val="001E39D1"/>
    <w:rsid w:val="001E3AA3"/>
    <w:rsid w:val="001E4158"/>
    <w:rsid w:val="001E4455"/>
    <w:rsid w:val="001E48A0"/>
    <w:rsid w:val="001E4D21"/>
    <w:rsid w:val="001E50CE"/>
    <w:rsid w:val="001E5105"/>
    <w:rsid w:val="001E52B9"/>
    <w:rsid w:val="001E5470"/>
    <w:rsid w:val="001E6145"/>
    <w:rsid w:val="001E6160"/>
    <w:rsid w:val="001E629C"/>
    <w:rsid w:val="001E634A"/>
    <w:rsid w:val="001E69B7"/>
    <w:rsid w:val="001E6A99"/>
    <w:rsid w:val="001E6D7F"/>
    <w:rsid w:val="001E6D80"/>
    <w:rsid w:val="001E6E17"/>
    <w:rsid w:val="001E6F89"/>
    <w:rsid w:val="001E6FBD"/>
    <w:rsid w:val="001E713C"/>
    <w:rsid w:val="001E763A"/>
    <w:rsid w:val="001E77B6"/>
    <w:rsid w:val="001E7DFA"/>
    <w:rsid w:val="001E7E8D"/>
    <w:rsid w:val="001F03A3"/>
    <w:rsid w:val="001F04A9"/>
    <w:rsid w:val="001F0692"/>
    <w:rsid w:val="001F0B72"/>
    <w:rsid w:val="001F0CB8"/>
    <w:rsid w:val="001F0DA1"/>
    <w:rsid w:val="001F0DA7"/>
    <w:rsid w:val="001F102E"/>
    <w:rsid w:val="001F1612"/>
    <w:rsid w:val="001F1656"/>
    <w:rsid w:val="001F1C55"/>
    <w:rsid w:val="001F1D03"/>
    <w:rsid w:val="001F1D56"/>
    <w:rsid w:val="001F1D98"/>
    <w:rsid w:val="001F1EF2"/>
    <w:rsid w:val="001F235D"/>
    <w:rsid w:val="001F25D1"/>
    <w:rsid w:val="001F2908"/>
    <w:rsid w:val="001F2FC3"/>
    <w:rsid w:val="001F3150"/>
    <w:rsid w:val="001F34C0"/>
    <w:rsid w:val="001F36A9"/>
    <w:rsid w:val="001F3CB9"/>
    <w:rsid w:val="001F3D36"/>
    <w:rsid w:val="001F3D8F"/>
    <w:rsid w:val="001F3F4B"/>
    <w:rsid w:val="001F4254"/>
    <w:rsid w:val="001F489C"/>
    <w:rsid w:val="001F49F3"/>
    <w:rsid w:val="001F4A01"/>
    <w:rsid w:val="001F4C5F"/>
    <w:rsid w:val="001F4EB7"/>
    <w:rsid w:val="001F56D2"/>
    <w:rsid w:val="001F5B00"/>
    <w:rsid w:val="001F5CFC"/>
    <w:rsid w:val="001F5F41"/>
    <w:rsid w:val="001F6418"/>
    <w:rsid w:val="001F65F3"/>
    <w:rsid w:val="001F67FE"/>
    <w:rsid w:val="001F68E3"/>
    <w:rsid w:val="001F6A8B"/>
    <w:rsid w:val="001F6B7D"/>
    <w:rsid w:val="001F6C62"/>
    <w:rsid w:val="001F6D52"/>
    <w:rsid w:val="001F6EF2"/>
    <w:rsid w:val="001F7312"/>
    <w:rsid w:val="001F79BC"/>
    <w:rsid w:val="001F7B4A"/>
    <w:rsid w:val="002001DE"/>
    <w:rsid w:val="002002F3"/>
    <w:rsid w:val="0020038B"/>
    <w:rsid w:val="002006A7"/>
    <w:rsid w:val="00200711"/>
    <w:rsid w:val="00200917"/>
    <w:rsid w:val="00200961"/>
    <w:rsid w:val="00200B0B"/>
    <w:rsid w:val="00200B35"/>
    <w:rsid w:val="002013B6"/>
    <w:rsid w:val="00201440"/>
    <w:rsid w:val="0020152E"/>
    <w:rsid w:val="00201736"/>
    <w:rsid w:val="00201A82"/>
    <w:rsid w:val="00201BCE"/>
    <w:rsid w:val="00201BF9"/>
    <w:rsid w:val="00201D0D"/>
    <w:rsid w:val="00201E40"/>
    <w:rsid w:val="00201F4D"/>
    <w:rsid w:val="002022C6"/>
    <w:rsid w:val="002023A9"/>
    <w:rsid w:val="002023BE"/>
    <w:rsid w:val="0020248C"/>
    <w:rsid w:val="00202576"/>
    <w:rsid w:val="00202636"/>
    <w:rsid w:val="00202940"/>
    <w:rsid w:val="00202DCB"/>
    <w:rsid w:val="00202F13"/>
    <w:rsid w:val="00203065"/>
    <w:rsid w:val="00203841"/>
    <w:rsid w:val="00203AE9"/>
    <w:rsid w:val="00203C4F"/>
    <w:rsid w:val="00203E61"/>
    <w:rsid w:val="00203E92"/>
    <w:rsid w:val="002041FB"/>
    <w:rsid w:val="0020429A"/>
    <w:rsid w:val="00204820"/>
    <w:rsid w:val="00204A6A"/>
    <w:rsid w:val="00204A71"/>
    <w:rsid w:val="00204BCD"/>
    <w:rsid w:val="00204D4D"/>
    <w:rsid w:val="00205042"/>
    <w:rsid w:val="00205111"/>
    <w:rsid w:val="002051CE"/>
    <w:rsid w:val="00205942"/>
    <w:rsid w:val="00205ABB"/>
    <w:rsid w:val="00205AD9"/>
    <w:rsid w:val="00205F67"/>
    <w:rsid w:val="0020605D"/>
    <w:rsid w:val="002069F2"/>
    <w:rsid w:val="00206BE4"/>
    <w:rsid w:val="002072AB"/>
    <w:rsid w:val="002079CB"/>
    <w:rsid w:val="00207B82"/>
    <w:rsid w:val="00207EBF"/>
    <w:rsid w:val="00210064"/>
    <w:rsid w:val="00210087"/>
    <w:rsid w:val="0021018C"/>
    <w:rsid w:val="0021020F"/>
    <w:rsid w:val="0021045F"/>
    <w:rsid w:val="002104B5"/>
    <w:rsid w:val="002104E8"/>
    <w:rsid w:val="00210714"/>
    <w:rsid w:val="002108C0"/>
    <w:rsid w:val="00210A0E"/>
    <w:rsid w:val="00210C43"/>
    <w:rsid w:val="00210E12"/>
    <w:rsid w:val="00210F8F"/>
    <w:rsid w:val="002112E9"/>
    <w:rsid w:val="00211D7E"/>
    <w:rsid w:val="00211F6F"/>
    <w:rsid w:val="00211FCC"/>
    <w:rsid w:val="002121C3"/>
    <w:rsid w:val="00212321"/>
    <w:rsid w:val="00212337"/>
    <w:rsid w:val="002124C8"/>
    <w:rsid w:val="002126C4"/>
    <w:rsid w:val="00212D01"/>
    <w:rsid w:val="00213337"/>
    <w:rsid w:val="00213BAE"/>
    <w:rsid w:val="0021427D"/>
    <w:rsid w:val="0021440D"/>
    <w:rsid w:val="00214555"/>
    <w:rsid w:val="002145C7"/>
    <w:rsid w:val="00214647"/>
    <w:rsid w:val="00214F77"/>
    <w:rsid w:val="0021513F"/>
    <w:rsid w:val="002155AD"/>
    <w:rsid w:val="00215646"/>
    <w:rsid w:val="002157E8"/>
    <w:rsid w:val="00215C63"/>
    <w:rsid w:val="00215E36"/>
    <w:rsid w:val="002160D3"/>
    <w:rsid w:val="0021644B"/>
    <w:rsid w:val="00216517"/>
    <w:rsid w:val="002168D4"/>
    <w:rsid w:val="00216CF1"/>
    <w:rsid w:val="00216FF2"/>
    <w:rsid w:val="00217070"/>
    <w:rsid w:val="0021727B"/>
    <w:rsid w:val="00217535"/>
    <w:rsid w:val="0021768F"/>
    <w:rsid w:val="0021793B"/>
    <w:rsid w:val="00217B15"/>
    <w:rsid w:val="00217C63"/>
    <w:rsid w:val="00217CCF"/>
    <w:rsid w:val="00217E6B"/>
    <w:rsid w:val="00220029"/>
    <w:rsid w:val="00220099"/>
    <w:rsid w:val="00220180"/>
    <w:rsid w:val="002205AD"/>
    <w:rsid w:val="0022076B"/>
    <w:rsid w:val="00220892"/>
    <w:rsid w:val="00220D87"/>
    <w:rsid w:val="002210AC"/>
    <w:rsid w:val="002213B7"/>
    <w:rsid w:val="002214C4"/>
    <w:rsid w:val="0022159D"/>
    <w:rsid w:val="00221A75"/>
    <w:rsid w:val="00221B10"/>
    <w:rsid w:val="00221B5F"/>
    <w:rsid w:val="00221FA5"/>
    <w:rsid w:val="0022201B"/>
    <w:rsid w:val="00222192"/>
    <w:rsid w:val="002221B9"/>
    <w:rsid w:val="0022223B"/>
    <w:rsid w:val="0022291D"/>
    <w:rsid w:val="0022294E"/>
    <w:rsid w:val="002229B8"/>
    <w:rsid w:val="002229D3"/>
    <w:rsid w:val="00222A71"/>
    <w:rsid w:val="00222B8A"/>
    <w:rsid w:val="00222D67"/>
    <w:rsid w:val="00222E94"/>
    <w:rsid w:val="00223158"/>
    <w:rsid w:val="002232C2"/>
    <w:rsid w:val="00223453"/>
    <w:rsid w:val="00223715"/>
    <w:rsid w:val="002239D8"/>
    <w:rsid w:val="00223E63"/>
    <w:rsid w:val="00223EA7"/>
    <w:rsid w:val="00224237"/>
    <w:rsid w:val="002245ED"/>
    <w:rsid w:val="00224825"/>
    <w:rsid w:val="00224892"/>
    <w:rsid w:val="00224CDC"/>
    <w:rsid w:val="00224CF0"/>
    <w:rsid w:val="00224F96"/>
    <w:rsid w:val="0022521C"/>
    <w:rsid w:val="00225724"/>
    <w:rsid w:val="002257E6"/>
    <w:rsid w:val="00225975"/>
    <w:rsid w:val="002259F0"/>
    <w:rsid w:val="00225BC4"/>
    <w:rsid w:val="00225DE2"/>
    <w:rsid w:val="00225EF9"/>
    <w:rsid w:val="00225FC9"/>
    <w:rsid w:val="0022612B"/>
    <w:rsid w:val="0022626C"/>
    <w:rsid w:val="00226307"/>
    <w:rsid w:val="0022636F"/>
    <w:rsid w:val="00226631"/>
    <w:rsid w:val="002267E9"/>
    <w:rsid w:val="00226876"/>
    <w:rsid w:val="00226F52"/>
    <w:rsid w:val="00227025"/>
    <w:rsid w:val="0022717F"/>
    <w:rsid w:val="0022777A"/>
    <w:rsid w:val="0022792C"/>
    <w:rsid w:val="00227A9B"/>
    <w:rsid w:val="00227C17"/>
    <w:rsid w:val="00227C34"/>
    <w:rsid w:val="00227D76"/>
    <w:rsid w:val="00227EAD"/>
    <w:rsid w:val="0023014E"/>
    <w:rsid w:val="0023042E"/>
    <w:rsid w:val="00230668"/>
    <w:rsid w:val="00230967"/>
    <w:rsid w:val="00230ADA"/>
    <w:rsid w:val="00230B06"/>
    <w:rsid w:val="00230BB0"/>
    <w:rsid w:val="00230F41"/>
    <w:rsid w:val="00231323"/>
    <w:rsid w:val="00231374"/>
    <w:rsid w:val="002315F6"/>
    <w:rsid w:val="0023167E"/>
    <w:rsid w:val="00231966"/>
    <w:rsid w:val="00231EB7"/>
    <w:rsid w:val="00231F89"/>
    <w:rsid w:val="0023201F"/>
    <w:rsid w:val="00232249"/>
    <w:rsid w:val="00232745"/>
    <w:rsid w:val="00232D7C"/>
    <w:rsid w:val="00232DC2"/>
    <w:rsid w:val="00232E93"/>
    <w:rsid w:val="00232EAE"/>
    <w:rsid w:val="00232F59"/>
    <w:rsid w:val="00232FAF"/>
    <w:rsid w:val="002333BD"/>
    <w:rsid w:val="002338C3"/>
    <w:rsid w:val="00233D73"/>
    <w:rsid w:val="002341B5"/>
    <w:rsid w:val="002348A7"/>
    <w:rsid w:val="002349D7"/>
    <w:rsid w:val="00234BF0"/>
    <w:rsid w:val="00234CF7"/>
    <w:rsid w:val="00234D9D"/>
    <w:rsid w:val="00235628"/>
    <w:rsid w:val="00235C73"/>
    <w:rsid w:val="00235DF4"/>
    <w:rsid w:val="002361D8"/>
    <w:rsid w:val="00236271"/>
    <w:rsid w:val="002364E8"/>
    <w:rsid w:val="0023658A"/>
    <w:rsid w:val="002365AE"/>
    <w:rsid w:val="00236777"/>
    <w:rsid w:val="00236922"/>
    <w:rsid w:val="00236B00"/>
    <w:rsid w:val="00236FC7"/>
    <w:rsid w:val="002371A1"/>
    <w:rsid w:val="00237277"/>
    <w:rsid w:val="002374C0"/>
    <w:rsid w:val="0023786E"/>
    <w:rsid w:val="002378E9"/>
    <w:rsid w:val="00237B57"/>
    <w:rsid w:val="00237BFD"/>
    <w:rsid w:val="00237D0B"/>
    <w:rsid w:val="00240654"/>
    <w:rsid w:val="002407C8"/>
    <w:rsid w:val="00240920"/>
    <w:rsid w:val="00240A24"/>
    <w:rsid w:val="00240BE6"/>
    <w:rsid w:val="00240C35"/>
    <w:rsid w:val="00240E76"/>
    <w:rsid w:val="0024101C"/>
    <w:rsid w:val="00241030"/>
    <w:rsid w:val="0024110E"/>
    <w:rsid w:val="002412BB"/>
    <w:rsid w:val="002414EF"/>
    <w:rsid w:val="002414FE"/>
    <w:rsid w:val="002416B7"/>
    <w:rsid w:val="0024193B"/>
    <w:rsid w:val="002419E3"/>
    <w:rsid w:val="00241E3C"/>
    <w:rsid w:val="00241EB5"/>
    <w:rsid w:val="002425E3"/>
    <w:rsid w:val="002427B1"/>
    <w:rsid w:val="002427C5"/>
    <w:rsid w:val="002429CD"/>
    <w:rsid w:val="00242F0A"/>
    <w:rsid w:val="00242F56"/>
    <w:rsid w:val="00243094"/>
    <w:rsid w:val="002430D8"/>
    <w:rsid w:val="00243183"/>
    <w:rsid w:val="0024358F"/>
    <w:rsid w:val="00243651"/>
    <w:rsid w:val="00243687"/>
    <w:rsid w:val="00243ACC"/>
    <w:rsid w:val="00243B0C"/>
    <w:rsid w:val="00243BBF"/>
    <w:rsid w:val="00243FB1"/>
    <w:rsid w:val="0024430F"/>
    <w:rsid w:val="00244336"/>
    <w:rsid w:val="00244356"/>
    <w:rsid w:val="002444E4"/>
    <w:rsid w:val="0024476C"/>
    <w:rsid w:val="00244785"/>
    <w:rsid w:val="002447EF"/>
    <w:rsid w:val="00244868"/>
    <w:rsid w:val="00244923"/>
    <w:rsid w:val="00244BBF"/>
    <w:rsid w:val="00244ECD"/>
    <w:rsid w:val="0024526D"/>
    <w:rsid w:val="002452D1"/>
    <w:rsid w:val="002453B0"/>
    <w:rsid w:val="00245A35"/>
    <w:rsid w:val="00245B3E"/>
    <w:rsid w:val="00245B6B"/>
    <w:rsid w:val="00245D76"/>
    <w:rsid w:val="002465A7"/>
    <w:rsid w:val="00246728"/>
    <w:rsid w:val="00246C11"/>
    <w:rsid w:val="00246CB1"/>
    <w:rsid w:val="00246DDA"/>
    <w:rsid w:val="00246F00"/>
    <w:rsid w:val="00246FCE"/>
    <w:rsid w:val="0024768E"/>
    <w:rsid w:val="0024771E"/>
    <w:rsid w:val="00247D64"/>
    <w:rsid w:val="00247F54"/>
    <w:rsid w:val="0025002A"/>
    <w:rsid w:val="00250184"/>
    <w:rsid w:val="002502B1"/>
    <w:rsid w:val="00250537"/>
    <w:rsid w:val="0025067F"/>
    <w:rsid w:val="00250698"/>
    <w:rsid w:val="002506D8"/>
    <w:rsid w:val="002507A1"/>
    <w:rsid w:val="00250E40"/>
    <w:rsid w:val="00251242"/>
    <w:rsid w:val="00251245"/>
    <w:rsid w:val="00251279"/>
    <w:rsid w:val="002512C4"/>
    <w:rsid w:val="002518AA"/>
    <w:rsid w:val="00251B11"/>
    <w:rsid w:val="00251E1F"/>
    <w:rsid w:val="002526D0"/>
    <w:rsid w:val="00252914"/>
    <w:rsid w:val="002529BB"/>
    <w:rsid w:val="00252BA0"/>
    <w:rsid w:val="00252FFD"/>
    <w:rsid w:val="002533C6"/>
    <w:rsid w:val="002533E3"/>
    <w:rsid w:val="00253435"/>
    <w:rsid w:val="0025374B"/>
    <w:rsid w:val="002541D4"/>
    <w:rsid w:val="00254313"/>
    <w:rsid w:val="00254499"/>
    <w:rsid w:val="0025473A"/>
    <w:rsid w:val="00254AB9"/>
    <w:rsid w:val="00254B63"/>
    <w:rsid w:val="00254B91"/>
    <w:rsid w:val="00254CBC"/>
    <w:rsid w:val="00254F8F"/>
    <w:rsid w:val="0025550C"/>
    <w:rsid w:val="002555B1"/>
    <w:rsid w:val="002556BA"/>
    <w:rsid w:val="00255FF2"/>
    <w:rsid w:val="00256199"/>
    <w:rsid w:val="00256507"/>
    <w:rsid w:val="00256C78"/>
    <w:rsid w:val="00256CEC"/>
    <w:rsid w:val="0025715E"/>
    <w:rsid w:val="002574D0"/>
    <w:rsid w:val="00257725"/>
    <w:rsid w:val="00257728"/>
    <w:rsid w:val="00257945"/>
    <w:rsid w:val="0025794D"/>
    <w:rsid w:val="00257DFD"/>
    <w:rsid w:val="00257EBC"/>
    <w:rsid w:val="002601E7"/>
    <w:rsid w:val="0026085E"/>
    <w:rsid w:val="0026090F"/>
    <w:rsid w:val="00260C5C"/>
    <w:rsid w:val="00260E71"/>
    <w:rsid w:val="00261177"/>
    <w:rsid w:val="002612C7"/>
    <w:rsid w:val="00261379"/>
    <w:rsid w:val="00261ABE"/>
    <w:rsid w:val="00261B46"/>
    <w:rsid w:val="00261D2D"/>
    <w:rsid w:val="002620FD"/>
    <w:rsid w:val="002621C3"/>
    <w:rsid w:val="002622AF"/>
    <w:rsid w:val="002624DF"/>
    <w:rsid w:val="002624FC"/>
    <w:rsid w:val="002628A1"/>
    <w:rsid w:val="00262952"/>
    <w:rsid w:val="002629FB"/>
    <w:rsid w:val="00262AA8"/>
    <w:rsid w:val="00262B7F"/>
    <w:rsid w:val="00262D44"/>
    <w:rsid w:val="00262DF8"/>
    <w:rsid w:val="00263953"/>
    <w:rsid w:val="00263C5A"/>
    <w:rsid w:val="00263FB4"/>
    <w:rsid w:val="0026441B"/>
    <w:rsid w:val="0026445C"/>
    <w:rsid w:val="00264988"/>
    <w:rsid w:val="00264AC0"/>
    <w:rsid w:val="00264B9F"/>
    <w:rsid w:val="00264CE1"/>
    <w:rsid w:val="00264EE1"/>
    <w:rsid w:val="00264F49"/>
    <w:rsid w:val="00264F8F"/>
    <w:rsid w:val="002650B1"/>
    <w:rsid w:val="00265189"/>
    <w:rsid w:val="00265390"/>
    <w:rsid w:val="002655FB"/>
    <w:rsid w:val="00265629"/>
    <w:rsid w:val="002657D5"/>
    <w:rsid w:val="002658A1"/>
    <w:rsid w:val="0026591B"/>
    <w:rsid w:val="00265E59"/>
    <w:rsid w:val="00265E95"/>
    <w:rsid w:val="00266053"/>
    <w:rsid w:val="002660D5"/>
    <w:rsid w:val="002661B3"/>
    <w:rsid w:val="0026682C"/>
    <w:rsid w:val="00266871"/>
    <w:rsid w:val="00266D66"/>
    <w:rsid w:val="00266D86"/>
    <w:rsid w:val="00266DF5"/>
    <w:rsid w:val="00266E33"/>
    <w:rsid w:val="00266FE8"/>
    <w:rsid w:val="00267104"/>
    <w:rsid w:val="00267244"/>
    <w:rsid w:val="00267674"/>
    <w:rsid w:val="002676B2"/>
    <w:rsid w:val="00267883"/>
    <w:rsid w:val="0026795B"/>
    <w:rsid w:val="0026797B"/>
    <w:rsid w:val="00267EE7"/>
    <w:rsid w:val="00270002"/>
    <w:rsid w:val="0027023D"/>
    <w:rsid w:val="002702E4"/>
    <w:rsid w:val="002704E9"/>
    <w:rsid w:val="00270510"/>
    <w:rsid w:val="00270717"/>
    <w:rsid w:val="002709F9"/>
    <w:rsid w:val="00270A51"/>
    <w:rsid w:val="00270B7D"/>
    <w:rsid w:val="00270C9D"/>
    <w:rsid w:val="00270DCB"/>
    <w:rsid w:val="00270E83"/>
    <w:rsid w:val="00270F6D"/>
    <w:rsid w:val="002710E9"/>
    <w:rsid w:val="00271442"/>
    <w:rsid w:val="002714AE"/>
    <w:rsid w:val="002715B1"/>
    <w:rsid w:val="00271C7A"/>
    <w:rsid w:val="00271E21"/>
    <w:rsid w:val="0027200B"/>
    <w:rsid w:val="00272271"/>
    <w:rsid w:val="0027230B"/>
    <w:rsid w:val="00272468"/>
    <w:rsid w:val="00272AB8"/>
    <w:rsid w:val="00272D00"/>
    <w:rsid w:val="00272D58"/>
    <w:rsid w:val="00272DB7"/>
    <w:rsid w:val="00273081"/>
    <w:rsid w:val="0027323B"/>
    <w:rsid w:val="002738DA"/>
    <w:rsid w:val="002738ED"/>
    <w:rsid w:val="00273997"/>
    <w:rsid w:val="00273BFF"/>
    <w:rsid w:val="00273DA1"/>
    <w:rsid w:val="00273EF8"/>
    <w:rsid w:val="00274051"/>
    <w:rsid w:val="00274140"/>
    <w:rsid w:val="00274BE0"/>
    <w:rsid w:val="00274F0C"/>
    <w:rsid w:val="00275909"/>
    <w:rsid w:val="002759AB"/>
    <w:rsid w:val="00275BA2"/>
    <w:rsid w:val="00275BC6"/>
    <w:rsid w:val="00275C6A"/>
    <w:rsid w:val="00275D05"/>
    <w:rsid w:val="00275DB7"/>
    <w:rsid w:val="00275F55"/>
    <w:rsid w:val="00276487"/>
    <w:rsid w:val="00276497"/>
    <w:rsid w:val="00276560"/>
    <w:rsid w:val="002765D2"/>
    <w:rsid w:val="002768A3"/>
    <w:rsid w:val="00276C9C"/>
    <w:rsid w:val="002771BA"/>
    <w:rsid w:val="0027738C"/>
    <w:rsid w:val="002777D5"/>
    <w:rsid w:val="00277923"/>
    <w:rsid w:val="002779EC"/>
    <w:rsid w:val="00277A8A"/>
    <w:rsid w:val="00277D4F"/>
    <w:rsid w:val="00280193"/>
    <w:rsid w:val="002801D2"/>
    <w:rsid w:val="00280EFB"/>
    <w:rsid w:val="00281251"/>
    <w:rsid w:val="00281311"/>
    <w:rsid w:val="00281394"/>
    <w:rsid w:val="00281647"/>
    <w:rsid w:val="00281663"/>
    <w:rsid w:val="00281C89"/>
    <w:rsid w:val="00281E8F"/>
    <w:rsid w:val="00282502"/>
    <w:rsid w:val="002825EA"/>
    <w:rsid w:val="00282672"/>
    <w:rsid w:val="002828CB"/>
    <w:rsid w:val="00283103"/>
    <w:rsid w:val="00283131"/>
    <w:rsid w:val="00283347"/>
    <w:rsid w:val="00283437"/>
    <w:rsid w:val="0028357F"/>
    <w:rsid w:val="00283672"/>
    <w:rsid w:val="00283928"/>
    <w:rsid w:val="00283970"/>
    <w:rsid w:val="00283A32"/>
    <w:rsid w:val="00283A90"/>
    <w:rsid w:val="00283AA2"/>
    <w:rsid w:val="00283C09"/>
    <w:rsid w:val="00283E74"/>
    <w:rsid w:val="00284075"/>
    <w:rsid w:val="00284366"/>
    <w:rsid w:val="00284734"/>
    <w:rsid w:val="00284978"/>
    <w:rsid w:val="00284A03"/>
    <w:rsid w:val="00284BDE"/>
    <w:rsid w:val="00284CC9"/>
    <w:rsid w:val="00284D8C"/>
    <w:rsid w:val="00284F95"/>
    <w:rsid w:val="00285039"/>
    <w:rsid w:val="00285103"/>
    <w:rsid w:val="002851E3"/>
    <w:rsid w:val="002853F3"/>
    <w:rsid w:val="00285429"/>
    <w:rsid w:val="00285552"/>
    <w:rsid w:val="0028566B"/>
    <w:rsid w:val="002857A1"/>
    <w:rsid w:val="00285B55"/>
    <w:rsid w:val="00285C5A"/>
    <w:rsid w:val="00285CD2"/>
    <w:rsid w:val="00285E11"/>
    <w:rsid w:val="00286034"/>
    <w:rsid w:val="002860E7"/>
    <w:rsid w:val="00286634"/>
    <w:rsid w:val="0028676A"/>
    <w:rsid w:val="00286959"/>
    <w:rsid w:val="00286D25"/>
    <w:rsid w:val="00286DF6"/>
    <w:rsid w:val="00286F77"/>
    <w:rsid w:val="0028708D"/>
    <w:rsid w:val="00287437"/>
    <w:rsid w:val="00287594"/>
    <w:rsid w:val="0028780F"/>
    <w:rsid w:val="00290435"/>
    <w:rsid w:val="00290439"/>
    <w:rsid w:val="0029072F"/>
    <w:rsid w:val="00290855"/>
    <w:rsid w:val="0029091D"/>
    <w:rsid w:val="00290B0E"/>
    <w:rsid w:val="00290D7C"/>
    <w:rsid w:val="00290F58"/>
    <w:rsid w:val="00290F93"/>
    <w:rsid w:val="002910C4"/>
    <w:rsid w:val="0029174F"/>
    <w:rsid w:val="00291D27"/>
    <w:rsid w:val="00292263"/>
    <w:rsid w:val="002922B0"/>
    <w:rsid w:val="002925E3"/>
    <w:rsid w:val="00292CB3"/>
    <w:rsid w:val="00292FF8"/>
    <w:rsid w:val="002934E5"/>
    <w:rsid w:val="00293764"/>
    <w:rsid w:val="00293DA2"/>
    <w:rsid w:val="00293E1A"/>
    <w:rsid w:val="00293FAA"/>
    <w:rsid w:val="00294035"/>
    <w:rsid w:val="00294496"/>
    <w:rsid w:val="0029450C"/>
    <w:rsid w:val="00294549"/>
    <w:rsid w:val="00294644"/>
    <w:rsid w:val="00294666"/>
    <w:rsid w:val="00294781"/>
    <w:rsid w:val="0029482C"/>
    <w:rsid w:val="00294A98"/>
    <w:rsid w:val="00294C74"/>
    <w:rsid w:val="00294CEB"/>
    <w:rsid w:val="00294D2C"/>
    <w:rsid w:val="00295034"/>
    <w:rsid w:val="0029508D"/>
    <w:rsid w:val="00295099"/>
    <w:rsid w:val="002953E9"/>
    <w:rsid w:val="0029543C"/>
    <w:rsid w:val="00295863"/>
    <w:rsid w:val="002959B1"/>
    <w:rsid w:val="00295B58"/>
    <w:rsid w:val="00295C91"/>
    <w:rsid w:val="00295E9C"/>
    <w:rsid w:val="00295EFC"/>
    <w:rsid w:val="002963DA"/>
    <w:rsid w:val="00296406"/>
    <w:rsid w:val="002967F0"/>
    <w:rsid w:val="00296AB4"/>
    <w:rsid w:val="00297064"/>
    <w:rsid w:val="0029718A"/>
    <w:rsid w:val="0029723E"/>
    <w:rsid w:val="00297261"/>
    <w:rsid w:val="0029745A"/>
    <w:rsid w:val="002974BD"/>
    <w:rsid w:val="00297569"/>
    <w:rsid w:val="0029768D"/>
    <w:rsid w:val="00297B47"/>
    <w:rsid w:val="002A010F"/>
    <w:rsid w:val="002A0119"/>
    <w:rsid w:val="002A05E4"/>
    <w:rsid w:val="002A0825"/>
    <w:rsid w:val="002A0A52"/>
    <w:rsid w:val="002A0AED"/>
    <w:rsid w:val="002A0DD0"/>
    <w:rsid w:val="002A0ED7"/>
    <w:rsid w:val="002A118D"/>
    <w:rsid w:val="002A1293"/>
    <w:rsid w:val="002A172A"/>
    <w:rsid w:val="002A1AEF"/>
    <w:rsid w:val="002A2025"/>
    <w:rsid w:val="002A20D4"/>
    <w:rsid w:val="002A2127"/>
    <w:rsid w:val="002A231F"/>
    <w:rsid w:val="002A2455"/>
    <w:rsid w:val="002A2570"/>
    <w:rsid w:val="002A2779"/>
    <w:rsid w:val="002A2811"/>
    <w:rsid w:val="002A29F4"/>
    <w:rsid w:val="002A2BF6"/>
    <w:rsid w:val="002A2FA6"/>
    <w:rsid w:val="002A2FA7"/>
    <w:rsid w:val="002A3146"/>
    <w:rsid w:val="002A3409"/>
    <w:rsid w:val="002A34CE"/>
    <w:rsid w:val="002A34EB"/>
    <w:rsid w:val="002A35D5"/>
    <w:rsid w:val="002A3819"/>
    <w:rsid w:val="002A3B90"/>
    <w:rsid w:val="002A3D23"/>
    <w:rsid w:val="002A3DD6"/>
    <w:rsid w:val="002A3FB6"/>
    <w:rsid w:val="002A421A"/>
    <w:rsid w:val="002A4321"/>
    <w:rsid w:val="002A4448"/>
    <w:rsid w:val="002A455E"/>
    <w:rsid w:val="002A48CF"/>
    <w:rsid w:val="002A4A62"/>
    <w:rsid w:val="002A4B63"/>
    <w:rsid w:val="002A4D82"/>
    <w:rsid w:val="002A4E1A"/>
    <w:rsid w:val="002A5416"/>
    <w:rsid w:val="002A5478"/>
    <w:rsid w:val="002A584D"/>
    <w:rsid w:val="002A59AE"/>
    <w:rsid w:val="002A5C48"/>
    <w:rsid w:val="002A601E"/>
    <w:rsid w:val="002A6115"/>
    <w:rsid w:val="002A61C7"/>
    <w:rsid w:val="002A622B"/>
    <w:rsid w:val="002A6876"/>
    <w:rsid w:val="002A6930"/>
    <w:rsid w:val="002A6B70"/>
    <w:rsid w:val="002A6C20"/>
    <w:rsid w:val="002A6CAF"/>
    <w:rsid w:val="002A72A9"/>
    <w:rsid w:val="002A7407"/>
    <w:rsid w:val="002A7416"/>
    <w:rsid w:val="002A75B2"/>
    <w:rsid w:val="002A777D"/>
    <w:rsid w:val="002A7CDB"/>
    <w:rsid w:val="002A7DCB"/>
    <w:rsid w:val="002B01F9"/>
    <w:rsid w:val="002B03E8"/>
    <w:rsid w:val="002B0777"/>
    <w:rsid w:val="002B08AE"/>
    <w:rsid w:val="002B0A7A"/>
    <w:rsid w:val="002B11E7"/>
    <w:rsid w:val="002B1268"/>
    <w:rsid w:val="002B198C"/>
    <w:rsid w:val="002B1AF6"/>
    <w:rsid w:val="002B1CC6"/>
    <w:rsid w:val="002B1CE8"/>
    <w:rsid w:val="002B1EE2"/>
    <w:rsid w:val="002B1F70"/>
    <w:rsid w:val="002B2179"/>
    <w:rsid w:val="002B22C6"/>
    <w:rsid w:val="002B2321"/>
    <w:rsid w:val="002B274B"/>
    <w:rsid w:val="002B28A2"/>
    <w:rsid w:val="002B3204"/>
    <w:rsid w:val="002B38FE"/>
    <w:rsid w:val="002B3E31"/>
    <w:rsid w:val="002B3F59"/>
    <w:rsid w:val="002B4250"/>
    <w:rsid w:val="002B42C7"/>
    <w:rsid w:val="002B457C"/>
    <w:rsid w:val="002B47DA"/>
    <w:rsid w:val="002B557A"/>
    <w:rsid w:val="002B55B7"/>
    <w:rsid w:val="002B587A"/>
    <w:rsid w:val="002B697E"/>
    <w:rsid w:val="002B6A6C"/>
    <w:rsid w:val="002B6BC7"/>
    <w:rsid w:val="002B6E62"/>
    <w:rsid w:val="002B6E9F"/>
    <w:rsid w:val="002B7020"/>
    <w:rsid w:val="002B71A6"/>
    <w:rsid w:val="002B731A"/>
    <w:rsid w:val="002B746A"/>
    <w:rsid w:val="002B74B3"/>
    <w:rsid w:val="002B7594"/>
    <w:rsid w:val="002B772E"/>
    <w:rsid w:val="002B7808"/>
    <w:rsid w:val="002B7D8A"/>
    <w:rsid w:val="002B7DBE"/>
    <w:rsid w:val="002B7E11"/>
    <w:rsid w:val="002B7EEE"/>
    <w:rsid w:val="002B7F7C"/>
    <w:rsid w:val="002B7FAF"/>
    <w:rsid w:val="002B7FFB"/>
    <w:rsid w:val="002C025C"/>
    <w:rsid w:val="002C03CF"/>
    <w:rsid w:val="002C053E"/>
    <w:rsid w:val="002C071A"/>
    <w:rsid w:val="002C072A"/>
    <w:rsid w:val="002C0730"/>
    <w:rsid w:val="002C078B"/>
    <w:rsid w:val="002C0F41"/>
    <w:rsid w:val="002C107A"/>
    <w:rsid w:val="002C109F"/>
    <w:rsid w:val="002C1509"/>
    <w:rsid w:val="002C1587"/>
    <w:rsid w:val="002C1732"/>
    <w:rsid w:val="002C1C0E"/>
    <w:rsid w:val="002C1F8A"/>
    <w:rsid w:val="002C22E3"/>
    <w:rsid w:val="002C2A91"/>
    <w:rsid w:val="002C2AD6"/>
    <w:rsid w:val="002C2B1A"/>
    <w:rsid w:val="002C2B93"/>
    <w:rsid w:val="002C2C8E"/>
    <w:rsid w:val="002C2DEC"/>
    <w:rsid w:val="002C2E8D"/>
    <w:rsid w:val="002C3143"/>
    <w:rsid w:val="002C324F"/>
    <w:rsid w:val="002C32C3"/>
    <w:rsid w:val="002C348D"/>
    <w:rsid w:val="002C3559"/>
    <w:rsid w:val="002C35AF"/>
    <w:rsid w:val="002C393A"/>
    <w:rsid w:val="002C3C36"/>
    <w:rsid w:val="002C3FCF"/>
    <w:rsid w:val="002C41BD"/>
    <w:rsid w:val="002C430B"/>
    <w:rsid w:val="002C4575"/>
    <w:rsid w:val="002C4583"/>
    <w:rsid w:val="002C473A"/>
    <w:rsid w:val="002C47E6"/>
    <w:rsid w:val="002C49F8"/>
    <w:rsid w:val="002C4B27"/>
    <w:rsid w:val="002C4CBB"/>
    <w:rsid w:val="002C5033"/>
    <w:rsid w:val="002C507E"/>
    <w:rsid w:val="002C51D6"/>
    <w:rsid w:val="002C5358"/>
    <w:rsid w:val="002C5784"/>
    <w:rsid w:val="002C592F"/>
    <w:rsid w:val="002C5959"/>
    <w:rsid w:val="002C5A51"/>
    <w:rsid w:val="002C5EE8"/>
    <w:rsid w:val="002C6067"/>
    <w:rsid w:val="002C6075"/>
    <w:rsid w:val="002C60A4"/>
    <w:rsid w:val="002C6230"/>
    <w:rsid w:val="002C643D"/>
    <w:rsid w:val="002C6909"/>
    <w:rsid w:val="002C710A"/>
    <w:rsid w:val="002C724A"/>
    <w:rsid w:val="002C74DC"/>
    <w:rsid w:val="002C7DBD"/>
    <w:rsid w:val="002D000B"/>
    <w:rsid w:val="002D001C"/>
    <w:rsid w:val="002D01B4"/>
    <w:rsid w:val="002D076C"/>
    <w:rsid w:val="002D08FC"/>
    <w:rsid w:val="002D0CD9"/>
    <w:rsid w:val="002D14A5"/>
    <w:rsid w:val="002D1674"/>
    <w:rsid w:val="002D170E"/>
    <w:rsid w:val="002D1742"/>
    <w:rsid w:val="002D17F8"/>
    <w:rsid w:val="002D1B23"/>
    <w:rsid w:val="002D1C68"/>
    <w:rsid w:val="002D1FE4"/>
    <w:rsid w:val="002D217B"/>
    <w:rsid w:val="002D251C"/>
    <w:rsid w:val="002D2618"/>
    <w:rsid w:val="002D2C0F"/>
    <w:rsid w:val="002D2CDC"/>
    <w:rsid w:val="002D2DFB"/>
    <w:rsid w:val="002D2E86"/>
    <w:rsid w:val="002D2F16"/>
    <w:rsid w:val="002D35EC"/>
    <w:rsid w:val="002D36E0"/>
    <w:rsid w:val="002D36EB"/>
    <w:rsid w:val="002D39BF"/>
    <w:rsid w:val="002D3AE6"/>
    <w:rsid w:val="002D3AEF"/>
    <w:rsid w:val="002D3E9D"/>
    <w:rsid w:val="002D3EDD"/>
    <w:rsid w:val="002D4024"/>
    <w:rsid w:val="002D42E5"/>
    <w:rsid w:val="002D42EB"/>
    <w:rsid w:val="002D4462"/>
    <w:rsid w:val="002D456E"/>
    <w:rsid w:val="002D493D"/>
    <w:rsid w:val="002D4B93"/>
    <w:rsid w:val="002D4DC8"/>
    <w:rsid w:val="002D508A"/>
    <w:rsid w:val="002D525E"/>
    <w:rsid w:val="002D5920"/>
    <w:rsid w:val="002D5D5B"/>
    <w:rsid w:val="002D624D"/>
    <w:rsid w:val="002D638C"/>
    <w:rsid w:val="002D6704"/>
    <w:rsid w:val="002D6793"/>
    <w:rsid w:val="002D67E4"/>
    <w:rsid w:val="002D696D"/>
    <w:rsid w:val="002D6A8C"/>
    <w:rsid w:val="002D71E5"/>
    <w:rsid w:val="002D7396"/>
    <w:rsid w:val="002D7470"/>
    <w:rsid w:val="002D764D"/>
    <w:rsid w:val="002D7893"/>
    <w:rsid w:val="002D78B3"/>
    <w:rsid w:val="002D7C49"/>
    <w:rsid w:val="002D7C90"/>
    <w:rsid w:val="002E0245"/>
    <w:rsid w:val="002E02F5"/>
    <w:rsid w:val="002E03ED"/>
    <w:rsid w:val="002E07C1"/>
    <w:rsid w:val="002E0818"/>
    <w:rsid w:val="002E0A6D"/>
    <w:rsid w:val="002E0AF1"/>
    <w:rsid w:val="002E0B61"/>
    <w:rsid w:val="002E0C52"/>
    <w:rsid w:val="002E0DCF"/>
    <w:rsid w:val="002E0F02"/>
    <w:rsid w:val="002E12C3"/>
    <w:rsid w:val="002E158A"/>
    <w:rsid w:val="002E1692"/>
    <w:rsid w:val="002E1724"/>
    <w:rsid w:val="002E178B"/>
    <w:rsid w:val="002E1D3A"/>
    <w:rsid w:val="002E20B2"/>
    <w:rsid w:val="002E215C"/>
    <w:rsid w:val="002E23B2"/>
    <w:rsid w:val="002E2650"/>
    <w:rsid w:val="002E2AE6"/>
    <w:rsid w:val="002E2C6D"/>
    <w:rsid w:val="002E2EF0"/>
    <w:rsid w:val="002E2FB0"/>
    <w:rsid w:val="002E2FB5"/>
    <w:rsid w:val="002E349F"/>
    <w:rsid w:val="002E37C5"/>
    <w:rsid w:val="002E4590"/>
    <w:rsid w:val="002E483D"/>
    <w:rsid w:val="002E4C60"/>
    <w:rsid w:val="002E529A"/>
    <w:rsid w:val="002E545E"/>
    <w:rsid w:val="002E55A3"/>
    <w:rsid w:val="002E56A8"/>
    <w:rsid w:val="002E58B0"/>
    <w:rsid w:val="002E5DA5"/>
    <w:rsid w:val="002E5E5A"/>
    <w:rsid w:val="002E5ED7"/>
    <w:rsid w:val="002E684C"/>
    <w:rsid w:val="002E6907"/>
    <w:rsid w:val="002E6A38"/>
    <w:rsid w:val="002E71D3"/>
    <w:rsid w:val="002E71E7"/>
    <w:rsid w:val="002E7603"/>
    <w:rsid w:val="002E7670"/>
    <w:rsid w:val="002E7823"/>
    <w:rsid w:val="002E784E"/>
    <w:rsid w:val="002E7BF9"/>
    <w:rsid w:val="002E7CAF"/>
    <w:rsid w:val="002E7DEF"/>
    <w:rsid w:val="002E7FB9"/>
    <w:rsid w:val="002F025D"/>
    <w:rsid w:val="002F0349"/>
    <w:rsid w:val="002F045A"/>
    <w:rsid w:val="002F0718"/>
    <w:rsid w:val="002F0869"/>
    <w:rsid w:val="002F09BE"/>
    <w:rsid w:val="002F0A9E"/>
    <w:rsid w:val="002F0D3F"/>
    <w:rsid w:val="002F12CB"/>
    <w:rsid w:val="002F1639"/>
    <w:rsid w:val="002F1761"/>
    <w:rsid w:val="002F207B"/>
    <w:rsid w:val="002F249C"/>
    <w:rsid w:val="002F24BE"/>
    <w:rsid w:val="002F24BF"/>
    <w:rsid w:val="002F26A5"/>
    <w:rsid w:val="002F29A4"/>
    <w:rsid w:val="002F2A9F"/>
    <w:rsid w:val="002F2CA7"/>
    <w:rsid w:val="002F2EAE"/>
    <w:rsid w:val="002F2F60"/>
    <w:rsid w:val="002F3042"/>
    <w:rsid w:val="002F31D6"/>
    <w:rsid w:val="002F338C"/>
    <w:rsid w:val="002F362E"/>
    <w:rsid w:val="002F3994"/>
    <w:rsid w:val="002F39F4"/>
    <w:rsid w:val="002F3A86"/>
    <w:rsid w:val="002F3F19"/>
    <w:rsid w:val="002F3F38"/>
    <w:rsid w:val="002F402A"/>
    <w:rsid w:val="002F4133"/>
    <w:rsid w:val="002F41AA"/>
    <w:rsid w:val="002F42F0"/>
    <w:rsid w:val="002F431B"/>
    <w:rsid w:val="002F476D"/>
    <w:rsid w:val="002F4AB4"/>
    <w:rsid w:val="002F4BE6"/>
    <w:rsid w:val="002F4F04"/>
    <w:rsid w:val="002F522A"/>
    <w:rsid w:val="002F5719"/>
    <w:rsid w:val="002F5B80"/>
    <w:rsid w:val="002F5D4C"/>
    <w:rsid w:val="002F5D70"/>
    <w:rsid w:val="002F5EEA"/>
    <w:rsid w:val="002F5FF4"/>
    <w:rsid w:val="002F64D3"/>
    <w:rsid w:val="002F652E"/>
    <w:rsid w:val="002F6694"/>
    <w:rsid w:val="002F68C0"/>
    <w:rsid w:val="002F6E54"/>
    <w:rsid w:val="002F7184"/>
    <w:rsid w:val="002F79EF"/>
    <w:rsid w:val="002F7B9E"/>
    <w:rsid w:val="002F7DCD"/>
    <w:rsid w:val="00300215"/>
    <w:rsid w:val="003006A8"/>
    <w:rsid w:val="0030075A"/>
    <w:rsid w:val="00300BCB"/>
    <w:rsid w:val="00300E4A"/>
    <w:rsid w:val="0030105A"/>
    <w:rsid w:val="00301215"/>
    <w:rsid w:val="00301581"/>
    <w:rsid w:val="00301834"/>
    <w:rsid w:val="00301AAF"/>
    <w:rsid w:val="00301C95"/>
    <w:rsid w:val="00301CAB"/>
    <w:rsid w:val="003024C6"/>
    <w:rsid w:val="0030269B"/>
    <w:rsid w:val="003027F9"/>
    <w:rsid w:val="00302976"/>
    <w:rsid w:val="00302BCB"/>
    <w:rsid w:val="00302C8D"/>
    <w:rsid w:val="00302C91"/>
    <w:rsid w:val="00302CB8"/>
    <w:rsid w:val="00302D6D"/>
    <w:rsid w:val="00302DFE"/>
    <w:rsid w:val="00302F14"/>
    <w:rsid w:val="0030327C"/>
    <w:rsid w:val="0030330A"/>
    <w:rsid w:val="003033AB"/>
    <w:rsid w:val="003035B5"/>
    <w:rsid w:val="003035B7"/>
    <w:rsid w:val="003036C4"/>
    <w:rsid w:val="003039A8"/>
    <w:rsid w:val="00303A5E"/>
    <w:rsid w:val="00303B4C"/>
    <w:rsid w:val="00303C51"/>
    <w:rsid w:val="00303C6B"/>
    <w:rsid w:val="00303DDE"/>
    <w:rsid w:val="00304501"/>
    <w:rsid w:val="0030452D"/>
    <w:rsid w:val="00304651"/>
    <w:rsid w:val="00304E5B"/>
    <w:rsid w:val="00304E7D"/>
    <w:rsid w:val="003050A8"/>
    <w:rsid w:val="003051DB"/>
    <w:rsid w:val="0030577C"/>
    <w:rsid w:val="003060D8"/>
    <w:rsid w:val="003061F1"/>
    <w:rsid w:val="003062A5"/>
    <w:rsid w:val="00306AFE"/>
    <w:rsid w:val="00306BF7"/>
    <w:rsid w:val="00306C31"/>
    <w:rsid w:val="00306F3E"/>
    <w:rsid w:val="00306F5A"/>
    <w:rsid w:val="003072A1"/>
    <w:rsid w:val="00307405"/>
    <w:rsid w:val="0030748D"/>
    <w:rsid w:val="00307766"/>
    <w:rsid w:val="00307ACC"/>
    <w:rsid w:val="00307CC4"/>
    <w:rsid w:val="00307D00"/>
    <w:rsid w:val="00307E0A"/>
    <w:rsid w:val="00307FB5"/>
    <w:rsid w:val="003100C0"/>
    <w:rsid w:val="00310153"/>
    <w:rsid w:val="0031025C"/>
    <w:rsid w:val="003104FC"/>
    <w:rsid w:val="003108D5"/>
    <w:rsid w:val="00310ACC"/>
    <w:rsid w:val="00310D67"/>
    <w:rsid w:val="003110C3"/>
    <w:rsid w:val="0031119E"/>
    <w:rsid w:val="0031127D"/>
    <w:rsid w:val="003112B6"/>
    <w:rsid w:val="003112C0"/>
    <w:rsid w:val="003115A2"/>
    <w:rsid w:val="003115F0"/>
    <w:rsid w:val="003115FC"/>
    <w:rsid w:val="0031188C"/>
    <w:rsid w:val="00311D95"/>
    <w:rsid w:val="00311E4D"/>
    <w:rsid w:val="00311F90"/>
    <w:rsid w:val="00311FA3"/>
    <w:rsid w:val="0031210B"/>
    <w:rsid w:val="00312130"/>
    <w:rsid w:val="003121EC"/>
    <w:rsid w:val="00312309"/>
    <w:rsid w:val="00312761"/>
    <w:rsid w:val="003128AF"/>
    <w:rsid w:val="003129A6"/>
    <w:rsid w:val="00312B7C"/>
    <w:rsid w:val="00312D12"/>
    <w:rsid w:val="00312F67"/>
    <w:rsid w:val="003130C7"/>
    <w:rsid w:val="003132DC"/>
    <w:rsid w:val="00313576"/>
    <w:rsid w:val="0031389C"/>
    <w:rsid w:val="00313A16"/>
    <w:rsid w:val="00314156"/>
    <w:rsid w:val="0031432F"/>
    <w:rsid w:val="003143F6"/>
    <w:rsid w:val="003146FC"/>
    <w:rsid w:val="003147AA"/>
    <w:rsid w:val="003147BA"/>
    <w:rsid w:val="00314A01"/>
    <w:rsid w:val="00314C48"/>
    <w:rsid w:val="00314E5E"/>
    <w:rsid w:val="00314F93"/>
    <w:rsid w:val="00314FBE"/>
    <w:rsid w:val="00315042"/>
    <w:rsid w:val="0031532E"/>
    <w:rsid w:val="00315395"/>
    <w:rsid w:val="003153AB"/>
    <w:rsid w:val="00315485"/>
    <w:rsid w:val="00315609"/>
    <w:rsid w:val="00315746"/>
    <w:rsid w:val="003157F4"/>
    <w:rsid w:val="00315AE6"/>
    <w:rsid w:val="00315D54"/>
    <w:rsid w:val="00316046"/>
    <w:rsid w:val="0031614E"/>
    <w:rsid w:val="00316567"/>
    <w:rsid w:val="0031656E"/>
    <w:rsid w:val="00316738"/>
    <w:rsid w:val="0031678F"/>
    <w:rsid w:val="0031694F"/>
    <w:rsid w:val="00316A34"/>
    <w:rsid w:val="00316C09"/>
    <w:rsid w:val="00316EA7"/>
    <w:rsid w:val="00316F51"/>
    <w:rsid w:val="003173A4"/>
    <w:rsid w:val="00317642"/>
    <w:rsid w:val="00317E49"/>
    <w:rsid w:val="00317F6E"/>
    <w:rsid w:val="00320048"/>
    <w:rsid w:val="0032021D"/>
    <w:rsid w:val="003203CD"/>
    <w:rsid w:val="003204F4"/>
    <w:rsid w:val="00320579"/>
    <w:rsid w:val="003205AB"/>
    <w:rsid w:val="003206AC"/>
    <w:rsid w:val="00320709"/>
    <w:rsid w:val="00320AEF"/>
    <w:rsid w:val="00320E45"/>
    <w:rsid w:val="003211E9"/>
    <w:rsid w:val="00321283"/>
    <w:rsid w:val="003216A1"/>
    <w:rsid w:val="003218AC"/>
    <w:rsid w:val="00321D9C"/>
    <w:rsid w:val="00321F6C"/>
    <w:rsid w:val="0032217F"/>
    <w:rsid w:val="003222B7"/>
    <w:rsid w:val="0032270F"/>
    <w:rsid w:val="00322831"/>
    <w:rsid w:val="0032293C"/>
    <w:rsid w:val="00322B2E"/>
    <w:rsid w:val="00322C34"/>
    <w:rsid w:val="00322DE1"/>
    <w:rsid w:val="00322E17"/>
    <w:rsid w:val="00322EC1"/>
    <w:rsid w:val="003230EB"/>
    <w:rsid w:val="003230F8"/>
    <w:rsid w:val="00323365"/>
    <w:rsid w:val="00323388"/>
    <w:rsid w:val="003234DC"/>
    <w:rsid w:val="0032378E"/>
    <w:rsid w:val="003237E3"/>
    <w:rsid w:val="00323813"/>
    <w:rsid w:val="00323E7E"/>
    <w:rsid w:val="00323FFA"/>
    <w:rsid w:val="00324273"/>
    <w:rsid w:val="00324307"/>
    <w:rsid w:val="00324421"/>
    <w:rsid w:val="003244DA"/>
    <w:rsid w:val="003246F4"/>
    <w:rsid w:val="00324927"/>
    <w:rsid w:val="00324A27"/>
    <w:rsid w:val="0032539C"/>
    <w:rsid w:val="003253F2"/>
    <w:rsid w:val="0032561E"/>
    <w:rsid w:val="003257BC"/>
    <w:rsid w:val="00325B77"/>
    <w:rsid w:val="003262D0"/>
    <w:rsid w:val="00326371"/>
    <w:rsid w:val="003267E1"/>
    <w:rsid w:val="00326853"/>
    <w:rsid w:val="003269A0"/>
    <w:rsid w:val="00326C76"/>
    <w:rsid w:val="00326E82"/>
    <w:rsid w:val="0032725A"/>
    <w:rsid w:val="003275BF"/>
    <w:rsid w:val="00327650"/>
    <w:rsid w:val="00327652"/>
    <w:rsid w:val="00327705"/>
    <w:rsid w:val="0032799E"/>
    <w:rsid w:val="00327DEB"/>
    <w:rsid w:val="00327ED0"/>
    <w:rsid w:val="00327FA4"/>
    <w:rsid w:val="003300B8"/>
    <w:rsid w:val="00330218"/>
    <w:rsid w:val="00330236"/>
    <w:rsid w:val="003305E1"/>
    <w:rsid w:val="0033062C"/>
    <w:rsid w:val="0033093E"/>
    <w:rsid w:val="00330A4D"/>
    <w:rsid w:val="00330B4D"/>
    <w:rsid w:val="00330C1E"/>
    <w:rsid w:val="0033114B"/>
    <w:rsid w:val="00331377"/>
    <w:rsid w:val="0033145F"/>
    <w:rsid w:val="00331A7D"/>
    <w:rsid w:val="00331B2C"/>
    <w:rsid w:val="00331FF5"/>
    <w:rsid w:val="00332150"/>
    <w:rsid w:val="00332349"/>
    <w:rsid w:val="00332389"/>
    <w:rsid w:val="00332435"/>
    <w:rsid w:val="00332700"/>
    <w:rsid w:val="0033288A"/>
    <w:rsid w:val="00332A70"/>
    <w:rsid w:val="00332B01"/>
    <w:rsid w:val="00332BE8"/>
    <w:rsid w:val="00332F6D"/>
    <w:rsid w:val="00333769"/>
    <w:rsid w:val="00333AA1"/>
    <w:rsid w:val="00333B20"/>
    <w:rsid w:val="00333C9F"/>
    <w:rsid w:val="00333FA5"/>
    <w:rsid w:val="00334037"/>
    <w:rsid w:val="003345AE"/>
    <w:rsid w:val="00334612"/>
    <w:rsid w:val="00334670"/>
    <w:rsid w:val="00334B26"/>
    <w:rsid w:val="00334BF2"/>
    <w:rsid w:val="00335056"/>
    <w:rsid w:val="00335198"/>
    <w:rsid w:val="003351FE"/>
    <w:rsid w:val="00335271"/>
    <w:rsid w:val="003352CA"/>
    <w:rsid w:val="003358A1"/>
    <w:rsid w:val="003359A3"/>
    <w:rsid w:val="00335AEA"/>
    <w:rsid w:val="00335B82"/>
    <w:rsid w:val="00335BF9"/>
    <w:rsid w:val="00335CE1"/>
    <w:rsid w:val="00335DE6"/>
    <w:rsid w:val="003363AC"/>
    <w:rsid w:val="003364DE"/>
    <w:rsid w:val="00336803"/>
    <w:rsid w:val="0033682A"/>
    <w:rsid w:val="00336AC9"/>
    <w:rsid w:val="00336DC2"/>
    <w:rsid w:val="0033720F"/>
    <w:rsid w:val="0033724E"/>
    <w:rsid w:val="0033727D"/>
    <w:rsid w:val="00337331"/>
    <w:rsid w:val="003377D7"/>
    <w:rsid w:val="00337AD8"/>
    <w:rsid w:val="00337DA5"/>
    <w:rsid w:val="0034019F"/>
    <w:rsid w:val="003401A0"/>
    <w:rsid w:val="00340320"/>
    <w:rsid w:val="003404E7"/>
    <w:rsid w:val="003405FF"/>
    <w:rsid w:val="00340639"/>
    <w:rsid w:val="003408C6"/>
    <w:rsid w:val="0034097B"/>
    <w:rsid w:val="00340B77"/>
    <w:rsid w:val="00340BCE"/>
    <w:rsid w:val="00340C00"/>
    <w:rsid w:val="00340C3F"/>
    <w:rsid w:val="00340C72"/>
    <w:rsid w:val="00340DCF"/>
    <w:rsid w:val="00340DDB"/>
    <w:rsid w:val="00340EE2"/>
    <w:rsid w:val="00340FE1"/>
    <w:rsid w:val="00341796"/>
    <w:rsid w:val="003417F9"/>
    <w:rsid w:val="00341A40"/>
    <w:rsid w:val="00341CE1"/>
    <w:rsid w:val="00341F65"/>
    <w:rsid w:val="00342116"/>
    <w:rsid w:val="00342190"/>
    <w:rsid w:val="0034219C"/>
    <w:rsid w:val="00342284"/>
    <w:rsid w:val="003422E7"/>
    <w:rsid w:val="00342414"/>
    <w:rsid w:val="0034291E"/>
    <w:rsid w:val="003429C4"/>
    <w:rsid w:val="00342AC8"/>
    <w:rsid w:val="00342B8F"/>
    <w:rsid w:val="00342CD6"/>
    <w:rsid w:val="00342D2B"/>
    <w:rsid w:val="00342EFF"/>
    <w:rsid w:val="00343279"/>
    <w:rsid w:val="00343581"/>
    <w:rsid w:val="003436E0"/>
    <w:rsid w:val="00343814"/>
    <w:rsid w:val="00343C1C"/>
    <w:rsid w:val="00343DD9"/>
    <w:rsid w:val="0034411F"/>
    <w:rsid w:val="003443C9"/>
    <w:rsid w:val="003447BE"/>
    <w:rsid w:val="003449B0"/>
    <w:rsid w:val="00344BC0"/>
    <w:rsid w:val="00344CAD"/>
    <w:rsid w:val="00344EAB"/>
    <w:rsid w:val="00344FDB"/>
    <w:rsid w:val="00344FE3"/>
    <w:rsid w:val="0034501E"/>
    <w:rsid w:val="0034507F"/>
    <w:rsid w:val="003450AE"/>
    <w:rsid w:val="00345666"/>
    <w:rsid w:val="003456FF"/>
    <w:rsid w:val="00345B8E"/>
    <w:rsid w:val="00345CA6"/>
    <w:rsid w:val="00345D95"/>
    <w:rsid w:val="00345DFF"/>
    <w:rsid w:val="00345FF7"/>
    <w:rsid w:val="003466DA"/>
    <w:rsid w:val="003467AF"/>
    <w:rsid w:val="003468A6"/>
    <w:rsid w:val="00346EFE"/>
    <w:rsid w:val="0034715C"/>
    <w:rsid w:val="0034729B"/>
    <w:rsid w:val="0034764F"/>
    <w:rsid w:val="00347672"/>
    <w:rsid w:val="003476FC"/>
    <w:rsid w:val="003478DE"/>
    <w:rsid w:val="00347C3B"/>
    <w:rsid w:val="00347F1A"/>
    <w:rsid w:val="00347F82"/>
    <w:rsid w:val="0035008A"/>
    <w:rsid w:val="0035045A"/>
    <w:rsid w:val="0035047F"/>
    <w:rsid w:val="003504BD"/>
    <w:rsid w:val="00350668"/>
    <w:rsid w:val="0035090E"/>
    <w:rsid w:val="00350AB0"/>
    <w:rsid w:val="00350B84"/>
    <w:rsid w:val="00350C93"/>
    <w:rsid w:val="00350DC2"/>
    <w:rsid w:val="00350E1F"/>
    <w:rsid w:val="00350F35"/>
    <w:rsid w:val="0035171D"/>
    <w:rsid w:val="00351838"/>
    <w:rsid w:val="00351908"/>
    <w:rsid w:val="00351B4A"/>
    <w:rsid w:val="00351C59"/>
    <w:rsid w:val="00351F42"/>
    <w:rsid w:val="00351FDA"/>
    <w:rsid w:val="003520CA"/>
    <w:rsid w:val="00352334"/>
    <w:rsid w:val="0035245C"/>
    <w:rsid w:val="003525AF"/>
    <w:rsid w:val="00352A60"/>
    <w:rsid w:val="00352C17"/>
    <w:rsid w:val="00352C94"/>
    <w:rsid w:val="00352FCC"/>
    <w:rsid w:val="00353035"/>
    <w:rsid w:val="003530E3"/>
    <w:rsid w:val="003531CD"/>
    <w:rsid w:val="003533B3"/>
    <w:rsid w:val="003535A8"/>
    <w:rsid w:val="00353653"/>
    <w:rsid w:val="0035380C"/>
    <w:rsid w:val="0035394A"/>
    <w:rsid w:val="00353A29"/>
    <w:rsid w:val="00353B58"/>
    <w:rsid w:val="00353C28"/>
    <w:rsid w:val="00353CDA"/>
    <w:rsid w:val="00353E4F"/>
    <w:rsid w:val="00353FE2"/>
    <w:rsid w:val="003540D7"/>
    <w:rsid w:val="003542D0"/>
    <w:rsid w:val="00354316"/>
    <w:rsid w:val="003548AB"/>
    <w:rsid w:val="00354AA9"/>
    <w:rsid w:val="00354ACA"/>
    <w:rsid w:val="0035527A"/>
    <w:rsid w:val="0035560B"/>
    <w:rsid w:val="00355696"/>
    <w:rsid w:val="0035598F"/>
    <w:rsid w:val="00355B17"/>
    <w:rsid w:val="00355B85"/>
    <w:rsid w:val="00355CA2"/>
    <w:rsid w:val="00355DFF"/>
    <w:rsid w:val="00355FC5"/>
    <w:rsid w:val="00356039"/>
    <w:rsid w:val="0035605E"/>
    <w:rsid w:val="0035647D"/>
    <w:rsid w:val="0035655C"/>
    <w:rsid w:val="00356628"/>
    <w:rsid w:val="00356666"/>
    <w:rsid w:val="003568C5"/>
    <w:rsid w:val="00356D59"/>
    <w:rsid w:val="00356DE9"/>
    <w:rsid w:val="003571EA"/>
    <w:rsid w:val="0035720B"/>
    <w:rsid w:val="00357AC1"/>
    <w:rsid w:val="00357D15"/>
    <w:rsid w:val="00357F68"/>
    <w:rsid w:val="00357FA0"/>
    <w:rsid w:val="00360597"/>
    <w:rsid w:val="003605E9"/>
    <w:rsid w:val="00360847"/>
    <w:rsid w:val="00360BEF"/>
    <w:rsid w:val="00360DAE"/>
    <w:rsid w:val="00360E30"/>
    <w:rsid w:val="00360FE3"/>
    <w:rsid w:val="00361064"/>
    <w:rsid w:val="003611E0"/>
    <w:rsid w:val="0036154C"/>
    <w:rsid w:val="0036156D"/>
    <w:rsid w:val="0036156E"/>
    <w:rsid w:val="003618E0"/>
    <w:rsid w:val="00361934"/>
    <w:rsid w:val="00361A0F"/>
    <w:rsid w:val="00361CC5"/>
    <w:rsid w:val="00361E9B"/>
    <w:rsid w:val="00361EF4"/>
    <w:rsid w:val="00361FA2"/>
    <w:rsid w:val="003620E5"/>
    <w:rsid w:val="00362433"/>
    <w:rsid w:val="0036266F"/>
    <w:rsid w:val="00362B2A"/>
    <w:rsid w:val="00362C06"/>
    <w:rsid w:val="00362D01"/>
    <w:rsid w:val="00362DDA"/>
    <w:rsid w:val="00362FEE"/>
    <w:rsid w:val="00363274"/>
    <w:rsid w:val="00363554"/>
    <w:rsid w:val="00363665"/>
    <w:rsid w:val="003636E3"/>
    <w:rsid w:val="003639B1"/>
    <w:rsid w:val="00363C62"/>
    <w:rsid w:val="00363DA7"/>
    <w:rsid w:val="00363DA9"/>
    <w:rsid w:val="0036482A"/>
    <w:rsid w:val="0036498F"/>
    <w:rsid w:val="00364A75"/>
    <w:rsid w:val="00364B4E"/>
    <w:rsid w:val="00364C35"/>
    <w:rsid w:val="00364FAD"/>
    <w:rsid w:val="00364FDD"/>
    <w:rsid w:val="0036564C"/>
    <w:rsid w:val="00365689"/>
    <w:rsid w:val="00365A4F"/>
    <w:rsid w:val="003662F3"/>
    <w:rsid w:val="0036632A"/>
    <w:rsid w:val="0036635C"/>
    <w:rsid w:val="0036639D"/>
    <w:rsid w:val="00366411"/>
    <w:rsid w:val="003665F5"/>
    <w:rsid w:val="00366730"/>
    <w:rsid w:val="00366940"/>
    <w:rsid w:val="00366A38"/>
    <w:rsid w:val="00366AA0"/>
    <w:rsid w:val="00367093"/>
    <w:rsid w:val="00367246"/>
    <w:rsid w:val="003672AA"/>
    <w:rsid w:val="00367354"/>
    <w:rsid w:val="00367477"/>
    <w:rsid w:val="00367846"/>
    <w:rsid w:val="00367CAB"/>
    <w:rsid w:val="00367EE6"/>
    <w:rsid w:val="00367F6A"/>
    <w:rsid w:val="00370318"/>
    <w:rsid w:val="00370415"/>
    <w:rsid w:val="00370525"/>
    <w:rsid w:val="00370531"/>
    <w:rsid w:val="00370879"/>
    <w:rsid w:val="00370AA1"/>
    <w:rsid w:val="00370D00"/>
    <w:rsid w:val="00370D52"/>
    <w:rsid w:val="00370FB6"/>
    <w:rsid w:val="00370FD4"/>
    <w:rsid w:val="0037106A"/>
    <w:rsid w:val="00371280"/>
    <w:rsid w:val="0037146C"/>
    <w:rsid w:val="003714B5"/>
    <w:rsid w:val="00371749"/>
    <w:rsid w:val="00371863"/>
    <w:rsid w:val="0037192A"/>
    <w:rsid w:val="00371D8D"/>
    <w:rsid w:val="00371E9E"/>
    <w:rsid w:val="00371F01"/>
    <w:rsid w:val="00372109"/>
    <w:rsid w:val="00372199"/>
    <w:rsid w:val="0037227C"/>
    <w:rsid w:val="003723D6"/>
    <w:rsid w:val="003725F7"/>
    <w:rsid w:val="003727EE"/>
    <w:rsid w:val="0037280F"/>
    <w:rsid w:val="003728E1"/>
    <w:rsid w:val="00373027"/>
    <w:rsid w:val="00373034"/>
    <w:rsid w:val="003731C6"/>
    <w:rsid w:val="003731F8"/>
    <w:rsid w:val="003736F1"/>
    <w:rsid w:val="00373709"/>
    <w:rsid w:val="0037374E"/>
    <w:rsid w:val="00373808"/>
    <w:rsid w:val="00373B1B"/>
    <w:rsid w:val="00373F36"/>
    <w:rsid w:val="003742B8"/>
    <w:rsid w:val="0037432A"/>
    <w:rsid w:val="003743F9"/>
    <w:rsid w:val="003743FA"/>
    <w:rsid w:val="00374676"/>
    <w:rsid w:val="00374894"/>
    <w:rsid w:val="00374ACA"/>
    <w:rsid w:val="00374D36"/>
    <w:rsid w:val="003751AE"/>
    <w:rsid w:val="0037558D"/>
    <w:rsid w:val="003755F8"/>
    <w:rsid w:val="003756FD"/>
    <w:rsid w:val="00375750"/>
    <w:rsid w:val="0037575E"/>
    <w:rsid w:val="00375818"/>
    <w:rsid w:val="00375B16"/>
    <w:rsid w:val="00375D0A"/>
    <w:rsid w:val="00375F26"/>
    <w:rsid w:val="00376130"/>
    <w:rsid w:val="0037617F"/>
    <w:rsid w:val="003761C9"/>
    <w:rsid w:val="0037634B"/>
    <w:rsid w:val="003766FE"/>
    <w:rsid w:val="00376942"/>
    <w:rsid w:val="00376ABB"/>
    <w:rsid w:val="00376AE7"/>
    <w:rsid w:val="00376AEC"/>
    <w:rsid w:val="00376B57"/>
    <w:rsid w:val="00377513"/>
    <w:rsid w:val="00377585"/>
    <w:rsid w:val="00377605"/>
    <w:rsid w:val="00377625"/>
    <w:rsid w:val="00377AC2"/>
    <w:rsid w:val="00377AE5"/>
    <w:rsid w:val="00377B1F"/>
    <w:rsid w:val="00377F14"/>
    <w:rsid w:val="0038040B"/>
    <w:rsid w:val="0038059B"/>
    <w:rsid w:val="00380659"/>
    <w:rsid w:val="00380B51"/>
    <w:rsid w:val="00380DD1"/>
    <w:rsid w:val="003810EF"/>
    <w:rsid w:val="00381389"/>
    <w:rsid w:val="00381464"/>
    <w:rsid w:val="00381702"/>
    <w:rsid w:val="00381981"/>
    <w:rsid w:val="00381983"/>
    <w:rsid w:val="00381A71"/>
    <w:rsid w:val="00381B87"/>
    <w:rsid w:val="003824AA"/>
    <w:rsid w:val="00382A3F"/>
    <w:rsid w:val="00382A85"/>
    <w:rsid w:val="00382AFB"/>
    <w:rsid w:val="00382BE4"/>
    <w:rsid w:val="0038311F"/>
    <w:rsid w:val="0038318B"/>
    <w:rsid w:val="003831CB"/>
    <w:rsid w:val="00383282"/>
    <w:rsid w:val="00383515"/>
    <w:rsid w:val="003835C8"/>
    <w:rsid w:val="00383BF8"/>
    <w:rsid w:val="003842EA"/>
    <w:rsid w:val="003846DB"/>
    <w:rsid w:val="00384726"/>
    <w:rsid w:val="00384817"/>
    <w:rsid w:val="003849E3"/>
    <w:rsid w:val="00384C87"/>
    <w:rsid w:val="00384D2C"/>
    <w:rsid w:val="00385050"/>
    <w:rsid w:val="003852EB"/>
    <w:rsid w:val="0038536B"/>
    <w:rsid w:val="003853FF"/>
    <w:rsid w:val="00385470"/>
    <w:rsid w:val="003854DC"/>
    <w:rsid w:val="0038572E"/>
    <w:rsid w:val="00385891"/>
    <w:rsid w:val="003859D1"/>
    <w:rsid w:val="00385A5A"/>
    <w:rsid w:val="00385A96"/>
    <w:rsid w:val="00385E8C"/>
    <w:rsid w:val="00385FB6"/>
    <w:rsid w:val="0038610C"/>
    <w:rsid w:val="00386563"/>
    <w:rsid w:val="003869BF"/>
    <w:rsid w:val="00386B62"/>
    <w:rsid w:val="00386C15"/>
    <w:rsid w:val="00387756"/>
    <w:rsid w:val="003878F6"/>
    <w:rsid w:val="003900E4"/>
    <w:rsid w:val="00390182"/>
    <w:rsid w:val="003906F9"/>
    <w:rsid w:val="003908AF"/>
    <w:rsid w:val="00390A6F"/>
    <w:rsid w:val="00390E65"/>
    <w:rsid w:val="00390EEA"/>
    <w:rsid w:val="00390FCA"/>
    <w:rsid w:val="0039105E"/>
    <w:rsid w:val="0039109A"/>
    <w:rsid w:val="003910D7"/>
    <w:rsid w:val="00391140"/>
    <w:rsid w:val="003912A9"/>
    <w:rsid w:val="003912F6"/>
    <w:rsid w:val="003915E8"/>
    <w:rsid w:val="00391989"/>
    <w:rsid w:val="00391A01"/>
    <w:rsid w:val="00391E7B"/>
    <w:rsid w:val="003920F8"/>
    <w:rsid w:val="00392106"/>
    <w:rsid w:val="0039214F"/>
    <w:rsid w:val="0039224B"/>
    <w:rsid w:val="003922BF"/>
    <w:rsid w:val="00392503"/>
    <w:rsid w:val="00392758"/>
    <w:rsid w:val="00392F39"/>
    <w:rsid w:val="003932CC"/>
    <w:rsid w:val="0039352F"/>
    <w:rsid w:val="003935ED"/>
    <w:rsid w:val="0039363A"/>
    <w:rsid w:val="003936C4"/>
    <w:rsid w:val="003936EE"/>
    <w:rsid w:val="00393739"/>
    <w:rsid w:val="0039382C"/>
    <w:rsid w:val="0039386C"/>
    <w:rsid w:val="00393870"/>
    <w:rsid w:val="00393C9B"/>
    <w:rsid w:val="00393EDB"/>
    <w:rsid w:val="003940F8"/>
    <w:rsid w:val="00394130"/>
    <w:rsid w:val="00394220"/>
    <w:rsid w:val="0039494E"/>
    <w:rsid w:val="00395229"/>
    <w:rsid w:val="0039548D"/>
    <w:rsid w:val="00395638"/>
    <w:rsid w:val="003958EC"/>
    <w:rsid w:val="00395EBB"/>
    <w:rsid w:val="00395EEF"/>
    <w:rsid w:val="00395EF1"/>
    <w:rsid w:val="0039633B"/>
    <w:rsid w:val="003965C3"/>
    <w:rsid w:val="00396971"/>
    <w:rsid w:val="00396AA4"/>
    <w:rsid w:val="00396DDA"/>
    <w:rsid w:val="00396F76"/>
    <w:rsid w:val="00397287"/>
    <w:rsid w:val="0039728A"/>
    <w:rsid w:val="003972B1"/>
    <w:rsid w:val="00397688"/>
    <w:rsid w:val="003976A2"/>
    <w:rsid w:val="00397780"/>
    <w:rsid w:val="003978D5"/>
    <w:rsid w:val="00397B66"/>
    <w:rsid w:val="00397BE8"/>
    <w:rsid w:val="00397C00"/>
    <w:rsid w:val="00397C3F"/>
    <w:rsid w:val="003A02BC"/>
    <w:rsid w:val="003A0582"/>
    <w:rsid w:val="003A05BA"/>
    <w:rsid w:val="003A067C"/>
    <w:rsid w:val="003A06C9"/>
    <w:rsid w:val="003A0892"/>
    <w:rsid w:val="003A0A17"/>
    <w:rsid w:val="003A0BF6"/>
    <w:rsid w:val="003A0D2C"/>
    <w:rsid w:val="003A0EFA"/>
    <w:rsid w:val="003A107E"/>
    <w:rsid w:val="003A10D2"/>
    <w:rsid w:val="003A16B6"/>
    <w:rsid w:val="003A16E2"/>
    <w:rsid w:val="003A17C4"/>
    <w:rsid w:val="003A1B35"/>
    <w:rsid w:val="003A1E42"/>
    <w:rsid w:val="003A1FDD"/>
    <w:rsid w:val="003A2005"/>
    <w:rsid w:val="003A2425"/>
    <w:rsid w:val="003A2504"/>
    <w:rsid w:val="003A2508"/>
    <w:rsid w:val="003A2732"/>
    <w:rsid w:val="003A294D"/>
    <w:rsid w:val="003A2B5E"/>
    <w:rsid w:val="003A2D0F"/>
    <w:rsid w:val="003A2F37"/>
    <w:rsid w:val="003A2F71"/>
    <w:rsid w:val="003A33CC"/>
    <w:rsid w:val="003A3608"/>
    <w:rsid w:val="003A3791"/>
    <w:rsid w:val="003A384F"/>
    <w:rsid w:val="003A3883"/>
    <w:rsid w:val="003A3D16"/>
    <w:rsid w:val="003A42C8"/>
    <w:rsid w:val="003A495D"/>
    <w:rsid w:val="003A49FE"/>
    <w:rsid w:val="003A4A9B"/>
    <w:rsid w:val="003A4B0E"/>
    <w:rsid w:val="003A4DB5"/>
    <w:rsid w:val="003A518B"/>
    <w:rsid w:val="003A520C"/>
    <w:rsid w:val="003A529A"/>
    <w:rsid w:val="003A52E6"/>
    <w:rsid w:val="003A5669"/>
    <w:rsid w:val="003A5933"/>
    <w:rsid w:val="003A5B5E"/>
    <w:rsid w:val="003A5DF0"/>
    <w:rsid w:val="003A61C1"/>
    <w:rsid w:val="003A633D"/>
    <w:rsid w:val="003A683C"/>
    <w:rsid w:val="003A6876"/>
    <w:rsid w:val="003A6B01"/>
    <w:rsid w:val="003A6C1D"/>
    <w:rsid w:val="003A6E5E"/>
    <w:rsid w:val="003A6EE9"/>
    <w:rsid w:val="003A6F1F"/>
    <w:rsid w:val="003A74DD"/>
    <w:rsid w:val="003A7AAD"/>
    <w:rsid w:val="003A7E5B"/>
    <w:rsid w:val="003B0202"/>
    <w:rsid w:val="003B0294"/>
    <w:rsid w:val="003B035E"/>
    <w:rsid w:val="003B040E"/>
    <w:rsid w:val="003B08E3"/>
    <w:rsid w:val="003B0AE4"/>
    <w:rsid w:val="003B0EE2"/>
    <w:rsid w:val="003B0F06"/>
    <w:rsid w:val="003B1117"/>
    <w:rsid w:val="003B12E1"/>
    <w:rsid w:val="003B12FC"/>
    <w:rsid w:val="003B19A1"/>
    <w:rsid w:val="003B1B3A"/>
    <w:rsid w:val="003B1BFD"/>
    <w:rsid w:val="003B1D84"/>
    <w:rsid w:val="003B20D4"/>
    <w:rsid w:val="003B259D"/>
    <w:rsid w:val="003B27E8"/>
    <w:rsid w:val="003B28D0"/>
    <w:rsid w:val="003B2A5B"/>
    <w:rsid w:val="003B2C4C"/>
    <w:rsid w:val="003B2D76"/>
    <w:rsid w:val="003B2FC9"/>
    <w:rsid w:val="003B319F"/>
    <w:rsid w:val="003B31C6"/>
    <w:rsid w:val="003B347E"/>
    <w:rsid w:val="003B35CF"/>
    <w:rsid w:val="003B35EC"/>
    <w:rsid w:val="003B3643"/>
    <w:rsid w:val="003B371C"/>
    <w:rsid w:val="003B374F"/>
    <w:rsid w:val="003B3904"/>
    <w:rsid w:val="003B3BED"/>
    <w:rsid w:val="003B4018"/>
    <w:rsid w:val="003B4520"/>
    <w:rsid w:val="003B49AC"/>
    <w:rsid w:val="003B4BFC"/>
    <w:rsid w:val="003B4D23"/>
    <w:rsid w:val="003B5313"/>
    <w:rsid w:val="003B5439"/>
    <w:rsid w:val="003B5801"/>
    <w:rsid w:val="003B5F80"/>
    <w:rsid w:val="003B602F"/>
    <w:rsid w:val="003B60AD"/>
    <w:rsid w:val="003B6122"/>
    <w:rsid w:val="003B6350"/>
    <w:rsid w:val="003B6657"/>
    <w:rsid w:val="003B66DE"/>
    <w:rsid w:val="003B6B4D"/>
    <w:rsid w:val="003B6BEB"/>
    <w:rsid w:val="003B6E41"/>
    <w:rsid w:val="003B7095"/>
    <w:rsid w:val="003B72D4"/>
    <w:rsid w:val="003B73BF"/>
    <w:rsid w:val="003B75CF"/>
    <w:rsid w:val="003B7C3B"/>
    <w:rsid w:val="003B7E2B"/>
    <w:rsid w:val="003C0133"/>
    <w:rsid w:val="003C07E7"/>
    <w:rsid w:val="003C0A57"/>
    <w:rsid w:val="003C117C"/>
    <w:rsid w:val="003C1248"/>
    <w:rsid w:val="003C13FC"/>
    <w:rsid w:val="003C1502"/>
    <w:rsid w:val="003C184A"/>
    <w:rsid w:val="003C191C"/>
    <w:rsid w:val="003C1BAB"/>
    <w:rsid w:val="003C1DDD"/>
    <w:rsid w:val="003C1E5D"/>
    <w:rsid w:val="003C1F46"/>
    <w:rsid w:val="003C2166"/>
    <w:rsid w:val="003C2193"/>
    <w:rsid w:val="003C21CE"/>
    <w:rsid w:val="003C2209"/>
    <w:rsid w:val="003C2438"/>
    <w:rsid w:val="003C2499"/>
    <w:rsid w:val="003C28FE"/>
    <w:rsid w:val="003C2E53"/>
    <w:rsid w:val="003C366B"/>
    <w:rsid w:val="003C3724"/>
    <w:rsid w:val="003C3F2D"/>
    <w:rsid w:val="003C40D2"/>
    <w:rsid w:val="003C4114"/>
    <w:rsid w:val="003C41D2"/>
    <w:rsid w:val="003C426F"/>
    <w:rsid w:val="003C437B"/>
    <w:rsid w:val="003C4E05"/>
    <w:rsid w:val="003C4F37"/>
    <w:rsid w:val="003C4FCE"/>
    <w:rsid w:val="003C5216"/>
    <w:rsid w:val="003C5ADD"/>
    <w:rsid w:val="003C5E27"/>
    <w:rsid w:val="003C6170"/>
    <w:rsid w:val="003C6A1D"/>
    <w:rsid w:val="003C6CDC"/>
    <w:rsid w:val="003C70F4"/>
    <w:rsid w:val="003C7102"/>
    <w:rsid w:val="003C7534"/>
    <w:rsid w:val="003C763C"/>
    <w:rsid w:val="003C77DE"/>
    <w:rsid w:val="003C7D74"/>
    <w:rsid w:val="003C7D7C"/>
    <w:rsid w:val="003C7DDD"/>
    <w:rsid w:val="003D0285"/>
    <w:rsid w:val="003D08F8"/>
    <w:rsid w:val="003D09DF"/>
    <w:rsid w:val="003D0ADA"/>
    <w:rsid w:val="003D0AEB"/>
    <w:rsid w:val="003D1028"/>
    <w:rsid w:val="003D122D"/>
    <w:rsid w:val="003D1281"/>
    <w:rsid w:val="003D160F"/>
    <w:rsid w:val="003D1BE8"/>
    <w:rsid w:val="003D1E0D"/>
    <w:rsid w:val="003D23A3"/>
    <w:rsid w:val="003D25F8"/>
    <w:rsid w:val="003D28B5"/>
    <w:rsid w:val="003D3009"/>
    <w:rsid w:val="003D33EA"/>
    <w:rsid w:val="003D37E9"/>
    <w:rsid w:val="003D3889"/>
    <w:rsid w:val="003D4736"/>
    <w:rsid w:val="003D4965"/>
    <w:rsid w:val="003D4A30"/>
    <w:rsid w:val="003D4C9A"/>
    <w:rsid w:val="003D4D94"/>
    <w:rsid w:val="003D50F9"/>
    <w:rsid w:val="003D5215"/>
    <w:rsid w:val="003D5594"/>
    <w:rsid w:val="003D56EC"/>
    <w:rsid w:val="003D5752"/>
    <w:rsid w:val="003D5A3E"/>
    <w:rsid w:val="003D5BF6"/>
    <w:rsid w:val="003D5CE3"/>
    <w:rsid w:val="003D5D30"/>
    <w:rsid w:val="003D5FC4"/>
    <w:rsid w:val="003D60CA"/>
    <w:rsid w:val="003D67A4"/>
    <w:rsid w:val="003D692B"/>
    <w:rsid w:val="003D697C"/>
    <w:rsid w:val="003D69AB"/>
    <w:rsid w:val="003D6BF9"/>
    <w:rsid w:val="003D6E61"/>
    <w:rsid w:val="003D6F49"/>
    <w:rsid w:val="003D70E3"/>
    <w:rsid w:val="003D710C"/>
    <w:rsid w:val="003D7126"/>
    <w:rsid w:val="003D77BB"/>
    <w:rsid w:val="003D79D9"/>
    <w:rsid w:val="003D7AD2"/>
    <w:rsid w:val="003D7D29"/>
    <w:rsid w:val="003E031A"/>
    <w:rsid w:val="003E049A"/>
    <w:rsid w:val="003E0671"/>
    <w:rsid w:val="003E06ED"/>
    <w:rsid w:val="003E07FF"/>
    <w:rsid w:val="003E0836"/>
    <w:rsid w:val="003E08B2"/>
    <w:rsid w:val="003E0A26"/>
    <w:rsid w:val="003E0D68"/>
    <w:rsid w:val="003E0E62"/>
    <w:rsid w:val="003E0E79"/>
    <w:rsid w:val="003E0F4E"/>
    <w:rsid w:val="003E11F7"/>
    <w:rsid w:val="003E12F1"/>
    <w:rsid w:val="003E1461"/>
    <w:rsid w:val="003E16C4"/>
    <w:rsid w:val="003E1938"/>
    <w:rsid w:val="003E1B45"/>
    <w:rsid w:val="003E1E5D"/>
    <w:rsid w:val="003E21CE"/>
    <w:rsid w:val="003E256D"/>
    <w:rsid w:val="003E2629"/>
    <w:rsid w:val="003E2C3E"/>
    <w:rsid w:val="003E2EF5"/>
    <w:rsid w:val="003E333F"/>
    <w:rsid w:val="003E34D8"/>
    <w:rsid w:val="003E364B"/>
    <w:rsid w:val="003E3C5B"/>
    <w:rsid w:val="003E3DA6"/>
    <w:rsid w:val="003E3ECB"/>
    <w:rsid w:val="003E3F9F"/>
    <w:rsid w:val="003E4151"/>
    <w:rsid w:val="003E4511"/>
    <w:rsid w:val="003E46B6"/>
    <w:rsid w:val="003E480F"/>
    <w:rsid w:val="003E4884"/>
    <w:rsid w:val="003E51DB"/>
    <w:rsid w:val="003E524A"/>
    <w:rsid w:val="003E5803"/>
    <w:rsid w:val="003E6295"/>
    <w:rsid w:val="003E6754"/>
    <w:rsid w:val="003E68A7"/>
    <w:rsid w:val="003E6997"/>
    <w:rsid w:val="003E69F9"/>
    <w:rsid w:val="003E6A2A"/>
    <w:rsid w:val="003E6A5E"/>
    <w:rsid w:val="003E6DDC"/>
    <w:rsid w:val="003E711E"/>
    <w:rsid w:val="003E761E"/>
    <w:rsid w:val="003E780F"/>
    <w:rsid w:val="003E786E"/>
    <w:rsid w:val="003E78F8"/>
    <w:rsid w:val="003E7ADD"/>
    <w:rsid w:val="003E7DE3"/>
    <w:rsid w:val="003E7E91"/>
    <w:rsid w:val="003E7FB8"/>
    <w:rsid w:val="003F0017"/>
    <w:rsid w:val="003F00FB"/>
    <w:rsid w:val="003F01CC"/>
    <w:rsid w:val="003F02BF"/>
    <w:rsid w:val="003F0676"/>
    <w:rsid w:val="003F06B9"/>
    <w:rsid w:val="003F0878"/>
    <w:rsid w:val="003F0D32"/>
    <w:rsid w:val="003F0DDA"/>
    <w:rsid w:val="003F0FAC"/>
    <w:rsid w:val="003F1166"/>
    <w:rsid w:val="003F17A2"/>
    <w:rsid w:val="003F1D30"/>
    <w:rsid w:val="003F1EFF"/>
    <w:rsid w:val="003F1FDE"/>
    <w:rsid w:val="003F2000"/>
    <w:rsid w:val="003F22E7"/>
    <w:rsid w:val="003F239E"/>
    <w:rsid w:val="003F247D"/>
    <w:rsid w:val="003F27F9"/>
    <w:rsid w:val="003F298B"/>
    <w:rsid w:val="003F29A3"/>
    <w:rsid w:val="003F2C0B"/>
    <w:rsid w:val="003F2E71"/>
    <w:rsid w:val="003F3210"/>
    <w:rsid w:val="003F3389"/>
    <w:rsid w:val="003F37B8"/>
    <w:rsid w:val="003F3AB1"/>
    <w:rsid w:val="003F3B11"/>
    <w:rsid w:val="003F3BA8"/>
    <w:rsid w:val="003F3DFD"/>
    <w:rsid w:val="003F411C"/>
    <w:rsid w:val="003F41CE"/>
    <w:rsid w:val="003F423F"/>
    <w:rsid w:val="003F45A7"/>
    <w:rsid w:val="003F4738"/>
    <w:rsid w:val="003F4E51"/>
    <w:rsid w:val="003F5093"/>
    <w:rsid w:val="003F5435"/>
    <w:rsid w:val="003F5467"/>
    <w:rsid w:val="003F56A7"/>
    <w:rsid w:val="003F571C"/>
    <w:rsid w:val="003F58A6"/>
    <w:rsid w:val="003F59B7"/>
    <w:rsid w:val="003F5C13"/>
    <w:rsid w:val="003F5F2F"/>
    <w:rsid w:val="003F623A"/>
    <w:rsid w:val="003F65DE"/>
    <w:rsid w:val="003F6859"/>
    <w:rsid w:val="003F696A"/>
    <w:rsid w:val="003F6A7A"/>
    <w:rsid w:val="003F6A7C"/>
    <w:rsid w:val="003F6E87"/>
    <w:rsid w:val="003F6F7B"/>
    <w:rsid w:val="003F7320"/>
    <w:rsid w:val="003F760E"/>
    <w:rsid w:val="003F76A2"/>
    <w:rsid w:val="003F7A8F"/>
    <w:rsid w:val="003F7AAA"/>
    <w:rsid w:val="003F7B51"/>
    <w:rsid w:val="0040000A"/>
    <w:rsid w:val="00400079"/>
    <w:rsid w:val="00400171"/>
    <w:rsid w:val="004007D8"/>
    <w:rsid w:val="00400AA4"/>
    <w:rsid w:val="00400DDB"/>
    <w:rsid w:val="00400E65"/>
    <w:rsid w:val="0040134F"/>
    <w:rsid w:val="0040162C"/>
    <w:rsid w:val="00401778"/>
    <w:rsid w:val="00401941"/>
    <w:rsid w:val="00401A70"/>
    <w:rsid w:val="00401AAE"/>
    <w:rsid w:val="00401AE6"/>
    <w:rsid w:val="00401F96"/>
    <w:rsid w:val="00402425"/>
    <w:rsid w:val="00402A5C"/>
    <w:rsid w:val="00402C0E"/>
    <w:rsid w:val="00402DDC"/>
    <w:rsid w:val="00402E29"/>
    <w:rsid w:val="00403029"/>
    <w:rsid w:val="00403525"/>
    <w:rsid w:val="00403A85"/>
    <w:rsid w:val="00403C25"/>
    <w:rsid w:val="00403E85"/>
    <w:rsid w:val="00404977"/>
    <w:rsid w:val="004049A0"/>
    <w:rsid w:val="00404B0C"/>
    <w:rsid w:val="00404D22"/>
    <w:rsid w:val="00404F56"/>
    <w:rsid w:val="00405139"/>
    <w:rsid w:val="004051C4"/>
    <w:rsid w:val="00405252"/>
    <w:rsid w:val="004052F8"/>
    <w:rsid w:val="00405876"/>
    <w:rsid w:val="00405CCE"/>
    <w:rsid w:val="00405EED"/>
    <w:rsid w:val="00406066"/>
    <w:rsid w:val="0040606C"/>
    <w:rsid w:val="004060BB"/>
    <w:rsid w:val="00406117"/>
    <w:rsid w:val="0040615D"/>
    <w:rsid w:val="004068F5"/>
    <w:rsid w:val="00406B3D"/>
    <w:rsid w:val="00406DBC"/>
    <w:rsid w:val="00406E87"/>
    <w:rsid w:val="00406F1C"/>
    <w:rsid w:val="00407009"/>
    <w:rsid w:val="00407296"/>
    <w:rsid w:val="0040735E"/>
    <w:rsid w:val="00407380"/>
    <w:rsid w:val="0040751A"/>
    <w:rsid w:val="00407633"/>
    <w:rsid w:val="0040776F"/>
    <w:rsid w:val="004078BD"/>
    <w:rsid w:val="00407A22"/>
    <w:rsid w:val="00407AEB"/>
    <w:rsid w:val="00407B5A"/>
    <w:rsid w:val="00407B83"/>
    <w:rsid w:val="00407C64"/>
    <w:rsid w:val="00407F20"/>
    <w:rsid w:val="00410453"/>
    <w:rsid w:val="0041051C"/>
    <w:rsid w:val="00410531"/>
    <w:rsid w:val="00410878"/>
    <w:rsid w:val="00410A52"/>
    <w:rsid w:val="00410BD8"/>
    <w:rsid w:val="00410D84"/>
    <w:rsid w:val="00410DFD"/>
    <w:rsid w:val="0041103C"/>
    <w:rsid w:val="00411144"/>
    <w:rsid w:val="00411174"/>
    <w:rsid w:val="004111CD"/>
    <w:rsid w:val="0041137F"/>
    <w:rsid w:val="00411518"/>
    <w:rsid w:val="00411709"/>
    <w:rsid w:val="00411B5E"/>
    <w:rsid w:val="00411BC4"/>
    <w:rsid w:val="00411D70"/>
    <w:rsid w:val="00411DDF"/>
    <w:rsid w:val="00411E22"/>
    <w:rsid w:val="004120B2"/>
    <w:rsid w:val="00412318"/>
    <w:rsid w:val="00412567"/>
    <w:rsid w:val="004126EF"/>
    <w:rsid w:val="00412805"/>
    <w:rsid w:val="0041285C"/>
    <w:rsid w:val="00412C2F"/>
    <w:rsid w:val="00412CC8"/>
    <w:rsid w:val="00412F80"/>
    <w:rsid w:val="0041378A"/>
    <w:rsid w:val="004137A8"/>
    <w:rsid w:val="00413B63"/>
    <w:rsid w:val="00413C4A"/>
    <w:rsid w:val="00413CE4"/>
    <w:rsid w:val="00414186"/>
    <w:rsid w:val="004142B2"/>
    <w:rsid w:val="004143E9"/>
    <w:rsid w:val="004146E3"/>
    <w:rsid w:val="0041496C"/>
    <w:rsid w:val="00414CDC"/>
    <w:rsid w:val="00414E13"/>
    <w:rsid w:val="00415340"/>
    <w:rsid w:val="004158E8"/>
    <w:rsid w:val="00415926"/>
    <w:rsid w:val="00415A97"/>
    <w:rsid w:val="00415F9B"/>
    <w:rsid w:val="00416093"/>
    <w:rsid w:val="00416695"/>
    <w:rsid w:val="00416859"/>
    <w:rsid w:val="004169AC"/>
    <w:rsid w:val="00416B76"/>
    <w:rsid w:val="00416F7A"/>
    <w:rsid w:val="00417119"/>
    <w:rsid w:val="0041744D"/>
    <w:rsid w:val="00417497"/>
    <w:rsid w:val="0041750A"/>
    <w:rsid w:val="00417632"/>
    <w:rsid w:val="00417C37"/>
    <w:rsid w:val="00417CA0"/>
    <w:rsid w:val="00417D9E"/>
    <w:rsid w:val="00417E8C"/>
    <w:rsid w:val="004206E8"/>
    <w:rsid w:val="00420840"/>
    <w:rsid w:val="00420896"/>
    <w:rsid w:val="00420D85"/>
    <w:rsid w:val="00420DE0"/>
    <w:rsid w:val="004211B4"/>
    <w:rsid w:val="004213AF"/>
    <w:rsid w:val="00421411"/>
    <w:rsid w:val="0042170D"/>
    <w:rsid w:val="00421A69"/>
    <w:rsid w:val="00421AD1"/>
    <w:rsid w:val="00421BCE"/>
    <w:rsid w:val="00421C07"/>
    <w:rsid w:val="00421C93"/>
    <w:rsid w:val="00421DE0"/>
    <w:rsid w:val="0042200E"/>
    <w:rsid w:val="00422421"/>
    <w:rsid w:val="0042265E"/>
    <w:rsid w:val="00422A1E"/>
    <w:rsid w:val="00422A94"/>
    <w:rsid w:val="00422C9E"/>
    <w:rsid w:val="00422EB0"/>
    <w:rsid w:val="00423271"/>
    <w:rsid w:val="004232AD"/>
    <w:rsid w:val="004232F6"/>
    <w:rsid w:val="0042332B"/>
    <w:rsid w:val="004233B1"/>
    <w:rsid w:val="004233C0"/>
    <w:rsid w:val="004234F5"/>
    <w:rsid w:val="00423AFA"/>
    <w:rsid w:val="00423FB3"/>
    <w:rsid w:val="0042423C"/>
    <w:rsid w:val="00424341"/>
    <w:rsid w:val="00424414"/>
    <w:rsid w:val="00424440"/>
    <w:rsid w:val="004245DE"/>
    <w:rsid w:val="004246C0"/>
    <w:rsid w:val="0042470A"/>
    <w:rsid w:val="0042490F"/>
    <w:rsid w:val="0042495A"/>
    <w:rsid w:val="00424C19"/>
    <w:rsid w:val="00424DA8"/>
    <w:rsid w:val="00424E32"/>
    <w:rsid w:val="00424EAE"/>
    <w:rsid w:val="00424F13"/>
    <w:rsid w:val="00425157"/>
    <w:rsid w:val="00425428"/>
    <w:rsid w:val="00425885"/>
    <w:rsid w:val="00425BB7"/>
    <w:rsid w:val="0042635C"/>
    <w:rsid w:val="004264C6"/>
    <w:rsid w:val="00426518"/>
    <w:rsid w:val="00426829"/>
    <w:rsid w:val="00426AA3"/>
    <w:rsid w:val="00426F09"/>
    <w:rsid w:val="004270AC"/>
    <w:rsid w:val="00427298"/>
    <w:rsid w:val="004272D5"/>
    <w:rsid w:val="00427496"/>
    <w:rsid w:val="004274C2"/>
    <w:rsid w:val="0042766F"/>
    <w:rsid w:val="00427813"/>
    <w:rsid w:val="00427820"/>
    <w:rsid w:val="0042783E"/>
    <w:rsid w:val="0042789B"/>
    <w:rsid w:val="004279F5"/>
    <w:rsid w:val="00427BD3"/>
    <w:rsid w:val="00427E0C"/>
    <w:rsid w:val="00430289"/>
    <w:rsid w:val="00430C37"/>
    <w:rsid w:val="00430EF5"/>
    <w:rsid w:val="00430FD3"/>
    <w:rsid w:val="004319C0"/>
    <w:rsid w:val="00432269"/>
    <w:rsid w:val="0043252F"/>
    <w:rsid w:val="004325BB"/>
    <w:rsid w:val="0043285B"/>
    <w:rsid w:val="00432D9F"/>
    <w:rsid w:val="00432FF7"/>
    <w:rsid w:val="0043307A"/>
    <w:rsid w:val="00433099"/>
    <w:rsid w:val="0043310B"/>
    <w:rsid w:val="004331BE"/>
    <w:rsid w:val="004335A6"/>
    <w:rsid w:val="004335CA"/>
    <w:rsid w:val="00433A61"/>
    <w:rsid w:val="00433F51"/>
    <w:rsid w:val="00433FC8"/>
    <w:rsid w:val="00434220"/>
    <w:rsid w:val="00434313"/>
    <w:rsid w:val="00434355"/>
    <w:rsid w:val="00434423"/>
    <w:rsid w:val="004345CB"/>
    <w:rsid w:val="0043498B"/>
    <w:rsid w:val="00434A72"/>
    <w:rsid w:val="00434C98"/>
    <w:rsid w:val="00434D03"/>
    <w:rsid w:val="00435246"/>
    <w:rsid w:val="00435381"/>
    <w:rsid w:val="00435663"/>
    <w:rsid w:val="00436440"/>
    <w:rsid w:val="00436503"/>
    <w:rsid w:val="00436514"/>
    <w:rsid w:val="00436542"/>
    <w:rsid w:val="00436880"/>
    <w:rsid w:val="00436A9E"/>
    <w:rsid w:val="004374D3"/>
    <w:rsid w:val="004376FC"/>
    <w:rsid w:val="00437749"/>
    <w:rsid w:val="00437A90"/>
    <w:rsid w:val="00437DD3"/>
    <w:rsid w:val="00441396"/>
    <w:rsid w:val="00441613"/>
    <w:rsid w:val="00441755"/>
    <w:rsid w:val="004417F0"/>
    <w:rsid w:val="00442072"/>
    <w:rsid w:val="0044224C"/>
    <w:rsid w:val="0044246D"/>
    <w:rsid w:val="0044257B"/>
    <w:rsid w:val="004425F9"/>
    <w:rsid w:val="004426B7"/>
    <w:rsid w:val="00442825"/>
    <w:rsid w:val="00442887"/>
    <w:rsid w:val="004428B8"/>
    <w:rsid w:val="00442DC2"/>
    <w:rsid w:val="00442ED6"/>
    <w:rsid w:val="004430A1"/>
    <w:rsid w:val="004430C9"/>
    <w:rsid w:val="0044388C"/>
    <w:rsid w:val="00443A32"/>
    <w:rsid w:val="00444096"/>
    <w:rsid w:val="004441EE"/>
    <w:rsid w:val="00444704"/>
    <w:rsid w:val="00444C03"/>
    <w:rsid w:val="00444C6F"/>
    <w:rsid w:val="00444D0D"/>
    <w:rsid w:val="00444E0E"/>
    <w:rsid w:val="00444E11"/>
    <w:rsid w:val="00445124"/>
    <w:rsid w:val="00445270"/>
    <w:rsid w:val="00445569"/>
    <w:rsid w:val="00445822"/>
    <w:rsid w:val="00445B7C"/>
    <w:rsid w:val="00445EB9"/>
    <w:rsid w:val="0044624F"/>
    <w:rsid w:val="00446264"/>
    <w:rsid w:val="004462EE"/>
    <w:rsid w:val="00446673"/>
    <w:rsid w:val="00446B5D"/>
    <w:rsid w:val="00446BD2"/>
    <w:rsid w:val="00446C00"/>
    <w:rsid w:val="00446D66"/>
    <w:rsid w:val="0044700E"/>
    <w:rsid w:val="004470EE"/>
    <w:rsid w:val="0044710D"/>
    <w:rsid w:val="00447159"/>
    <w:rsid w:val="00447240"/>
    <w:rsid w:val="00447287"/>
    <w:rsid w:val="00447535"/>
    <w:rsid w:val="0044789E"/>
    <w:rsid w:val="0044790B"/>
    <w:rsid w:val="00447AA4"/>
    <w:rsid w:val="00447BAE"/>
    <w:rsid w:val="00447C48"/>
    <w:rsid w:val="00447CDD"/>
    <w:rsid w:val="00447EB4"/>
    <w:rsid w:val="00447FA1"/>
    <w:rsid w:val="0045010F"/>
    <w:rsid w:val="00450266"/>
    <w:rsid w:val="0045031C"/>
    <w:rsid w:val="00450446"/>
    <w:rsid w:val="00450CBF"/>
    <w:rsid w:val="00450D08"/>
    <w:rsid w:val="00450E21"/>
    <w:rsid w:val="00451759"/>
    <w:rsid w:val="004518B0"/>
    <w:rsid w:val="00451B69"/>
    <w:rsid w:val="00451B7C"/>
    <w:rsid w:val="00451C68"/>
    <w:rsid w:val="00451CF7"/>
    <w:rsid w:val="00451DD5"/>
    <w:rsid w:val="00452583"/>
    <w:rsid w:val="00453028"/>
    <w:rsid w:val="0045319D"/>
    <w:rsid w:val="004532C1"/>
    <w:rsid w:val="004532DD"/>
    <w:rsid w:val="00453B75"/>
    <w:rsid w:val="00453BF1"/>
    <w:rsid w:val="00453C1D"/>
    <w:rsid w:val="00453DA9"/>
    <w:rsid w:val="00453EC7"/>
    <w:rsid w:val="00453F6D"/>
    <w:rsid w:val="00454134"/>
    <w:rsid w:val="00454192"/>
    <w:rsid w:val="00454670"/>
    <w:rsid w:val="004546B2"/>
    <w:rsid w:val="004547DF"/>
    <w:rsid w:val="00454D19"/>
    <w:rsid w:val="00454F31"/>
    <w:rsid w:val="00454FA1"/>
    <w:rsid w:val="00455145"/>
    <w:rsid w:val="00455334"/>
    <w:rsid w:val="0045607B"/>
    <w:rsid w:val="0045623C"/>
    <w:rsid w:val="0045643F"/>
    <w:rsid w:val="004564F8"/>
    <w:rsid w:val="0045650E"/>
    <w:rsid w:val="00456696"/>
    <w:rsid w:val="00456A4B"/>
    <w:rsid w:val="00456EF5"/>
    <w:rsid w:val="0045747C"/>
    <w:rsid w:val="00457606"/>
    <w:rsid w:val="004576D9"/>
    <w:rsid w:val="00457A27"/>
    <w:rsid w:val="00457B57"/>
    <w:rsid w:val="00457C7F"/>
    <w:rsid w:val="00457FF4"/>
    <w:rsid w:val="004604BE"/>
    <w:rsid w:val="00460DA6"/>
    <w:rsid w:val="00460F6D"/>
    <w:rsid w:val="00461014"/>
    <w:rsid w:val="004610A5"/>
    <w:rsid w:val="00461156"/>
    <w:rsid w:val="0046117B"/>
    <w:rsid w:val="0046131D"/>
    <w:rsid w:val="00461695"/>
    <w:rsid w:val="004617EA"/>
    <w:rsid w:val="00461990"/>
    <w:rsid w:val="00461DCE"/>
    <w:rsid w:val="00462196"/>
    <w:rsid w:val="0046224A"/>
    <w:rsid w:val="004622E0"/>
    <w:rsid w:val="004623AC"/>
    <w:rsid w:val="004627C3"/>
    <w:rsid w:val="00462836"/>
    <w:rsid w:val="004628C2"/>
    <w:rsid w:val="00462B5B"/>
    <w:rsid w:val="00462B6D"/>
    <w:rsid w:val="00462CC1"/>
    <w:rsid w:val="00462FD9"/>
    <w:rsid w:val="00463118"/>
    <w:rsid w:val="004635DC"/>
    <w:rsid w:val="004637B8"/>
    <w:rsid w:val="00463CD8"/>
    <w:rsid w:val="00463FC4"/>
    <w:rsid w:val="0046440D"/>
    <w:rsid w:val="004644F6"/>
    <w:rsid w:val="004645C8"/>
    <w:rsid w:val="00464825"/>
    <w:rsid w:val="004648CC"/>
    <w:rsid w:val="00464B40"/>
    <w:rsid w:val="00464D37"/>
    <w:rsid w:val="00465108"/>
    <w:rsid w:val="00465291"/>
    <w:rsid w:val="0046534D"/>
    <w:rsid w:val="00465809"/>
    <w:rsid w:val="00465B7B"/>
    <w:rsid w:val="00465C10"/>
    <w:rsid w:val="00465C33"/>
    <w:rsid w:val="00465D78"/>
    <w:rsid w:val="00466051"/>
    <w:rsid w:val="0046625A"/>
    <w:rsid w:val="00466349"/>
    <w:rsid w:val="0046639F"/>
    <w:rsid w:val="004666BD"/>
    <w:rsid w:val="00466712"/>
    <w:rsid w:val="0046672A"/>
    <w:rsid w:val="004667D3"/>
    <w:rsid w:val="00466AC7"/>
    <w:rsid w:val="00466BD2"/>
    <w:rsid w:val="00466CE1"/>
    <w:rsid w:val="00466D47"/>
    <w:rsid w:val="00466FCF"/>
    <w:rsid w:val="00467071"/>
    <w:rsid w:val="004671C3"/>
    <w:rsid w:val="0046767F"/>
    <w:rsid w:val="004676DA"/>
    <w:rsid w:val="00467B4E"/>
    <w:rsid w:val="00467F14"/>
    <w:rsid w:val="00470072"/>
    <w:rsid w:val="00470141"/>
    <w:rsid w:val="004702B6"/>
    <w:rsid w:val="0047084E"/>
    <w:rsid w:val="00470DAE"/>
    <w:rsid w:val="0047108B"/>
    <w:rsid w:val="004712B0"/>
    <w:rsid w:val="0047132F"/>
    <w:rsid w:val="00471DDC"/>
    <w:rsid w:val="00471F9A"/>
    <w:rsid w:val="004725A3"/>
    <w:rsid w:val="004725E0"/>
    <w:rsid w:val="00472690"/>
    <w:rsid w:val="004726CA"/>
    <w:rsid w:val="004728A4"/>
    <w:rsid w:val="004729F0"/>
    <w:rsid w:val="00472AA8"/>
    <w:rsid w:val="00472B2B"/>
    <w:rsid w:val="00472E65"/>
    <w:rsid w:val="00472EA2"/>
    <w:rsid w:val="0047324D"/>
    <w:rsid w:val="004733BE"/>
    <w:rsid w:val="00473728"/>
    <w:rsid w:val="00473AD1"/>
    <w:rsid w:val="00473D35"/>
    <w:rsid w:val="00473D92"/>
    <w:rsid w:val="00473DD8"/>
    <w:rsid w:val="00473E55"/>
    <w:rsid w:val="004743AB"/>
    <w:rsid w:val="004743BB"/>
    <w:rsid w:val="004745A8"/>
    <w:rsid w:val="00474869"/>
    <w:rsid w:val="004748BD"/>
    <w:rsid w:val="004748F5"/>
    <w:rsid w:val="00474D88"/>
    <w:rsid w:val="00474E85"/>
    <w:rsid w:val="00474FAB"/>
    <w:rsid w:val="00475087"/>
    <w:rsid w:val="00475225"/>
    <w:rsid w:val="004752C5"/>
    <w:rsid w:val="00475520"/>
    <w:rsid w:val="0047555E"/>
    <w:rsid w:val="00475900"/>
    <w:rsid w:val="00475DCF"/>
    <w:rsid w:val="00475EDF"/>
    <w:rsid w:val="00475F22"/>
    <w:rsid w:val="0047672A"/>
    <w:rsid w:val="00476D34"/>
    <w:rsid w:val="00476FFE"/>
    <w:rsid w:val="00477014"/>
    <w:rsid w:val="00477240"/>
    <w:rsid w:val="0047739A"/>
    <w:rsid w:val="004774AC"/>
    <w:rsid w:val="004774B9"/>
    <w:rsid w:val="004774BC"/>
    <w:rsid w:val="0047752C"/>
    <w:rsid w:val="00477AE7"/>
    <w:rsid w:val="00477DC7"/>
    <w:rsid w:val="00480175"/>
    <w:rsid w:val="00480184"/>
    <w:rsid w:val="00480A3E"/>
    <w:rsid w:val="00480B2D"/>
    <w:rsid w:val="00480C58"/>
    <w:rsid w:val="00480C63"/>
    <w:rsid w:val="004810BB"/>
    <w:rsid w:val="0048114A"/>
    <w:rsid w:val="00481180"/>
    <w:rsid w:val="004816B2"/>
    <w:rsid w:val="004818C5"/>
    <w:rsid w:val="00481AB0"/>
    <w:rsid w:val="00481D74"/>
    <w:rsid w:val="00481E1B"/>
    <w:rsid w:val="004820C2"/>
    <w:rsid w:val="00482100"/>
    <w:rsid w:val="00482415"/>
    <w:rsid w:val="00482572"/>
    <w:rsid w:val="00482648"/>
    <w:rsid w:val="00482AB7"/>
    <w:rsid w:val="00482D38"/>
    <w:rsid w:val="00483283"/>
    <w:rsid w:val="004833A8"/>
    <w:rsid w:val="00483516"/>
    <w:rsid w:val="0048362B"/>
    <w:rsid w:val="00483669"/>
    <w:rsid w:val="00483679"/>
    <w:rsid w:val="004837E6"/>
    <w:rsid w:val="004839FF"/>
    <w:rsid w:val="00483BB1"/>
    <w:rsid w:val="00483D8D"/>
    <w:rsid w:val="00483E9E"/>
    <w:rsid w:val="004841CD"/>
    <w:rsid w:val="004841FB"/>
    <w:rsid w:val="00484708"/>
    <w:rsid w:val="0048471F"/>
    <w:rsid w:val="004847EA"/>
    <w:rsid w:val="00484D93"/>
    <w:rsid w:val="00484EE2"/>
    <w:rsid w:val="004851B5"/>
    <w:rsid w:val="004858C4"/>
    <w:rsid w:val="00485BFD"/>
    <w:rsid w:val="004863F0"/>
    <w:rsid w:val="00486556"/>
    <w:rsid w:val="004865C7"/>
    <w:rsid w:val="004867E0"/>
    <w:rsid w:val="004869EA"/>
    <w:rsid w:val="00486DAB"/>
    <w:rsid w:val="004873AC"/>
    <w:rsid w:val="00487434"/>
    <w:rsid w:val="004874AA"/>
    <w:rsid w:val="00487722"/>
    <w:rsid w:val="0048777E"/>
    <w:rsid w:val="00487901"/>
    <w:rsid w:val="004879A8"/>
    <w:rsid w:val="00487AA9"/>
    <w:rsid w:val="00487BCE"/>
    <w:rsid w:val="00487E76"/>
    <w:rsid w:val="00487F6B"/>
    <w:rsid w:val="0049020A"/>
    <w:rsid w:val="00490667"/>
    <w:rsid w:val="0049069B"/>
    <w:rsid w:val="004906CE"/>
    <w:rsid w:val="00490747"/>
    <w:rsid w:val="00490877"/>
    <w:rsid w:val="004909E2"/>
    <w:rsid w:val="00490A7D"/>
    <w:rsid w:val="00490C73"/>
    <w:rsid w:val="00490D52"/>
    <w:rsid w:val="004911DA"/>
    <w:rsid w:val="00491BE8"/>
    <w:rsid w:val="00491C2F"/>
    <w:rsid w:val="00491FA1"/>
    <w:rsid w:val="004925C2"/>
    <w:rsid w:val="004925C6"/>
    <w:rsid w:val="004928AE"/>
    <w:rsid w:val="0049293A"/>
    <w:rsid w:val="00492E3C"/>
    <w:rsid w:val="00492F07"/>
    <w:rsid w:val="004931CF"/>
    <w:rsid w:val="00493323"/>
    <w:rsid w:val="004933B5"/>
    <w:rsid w:val="004937BF"/>
    <w:rsid w:val="00493EAA"/>
    <w:rsid w:val="004942FD"/>
    <w:rsid w:val="0049466F"/>
    <w:rsid w:val="00494677"/>
    <w:rsid w:val="0049484A"/>
    <w:rsid w:val="00494A07"/>
    <w:rsid w:val="00494D52"/>
    <w:rsid w:val="00494DDD"/>
    <w:rsid w:val="00494E9C"/>
    <w:rsid w:val="00494F12"/>
    <w:rsid w:val="00494F46"/>
    <w:rsid w:val="00494F47"/>
    <w:rsid w:val="0049501E"/>
    <w:rsid w:val="0049508E"/>
    <w:rsid w:val="004951E7"/>
    <w:rsid w:val="004955BC"/>
    <w:rsid w:val="00495D9F"/>
    <w:rsid w:val="00495DF9"/>
    <w:rsid w:val="00495E23"/>
    <w:rsid w:val="0049600D"/>
    <w:rsid w:val="0049600E"/>
    <w:rsid w:val="0049610F"/>
    <w:rsid w:val="004964A4"/>
    <w:rsid w:val="00496732"/>
    <w:rsid w:val="004968C9"/>
    <w:rsid w:val="00496AAA"/>
    <w:rsid w:val="00496B58"/>
    <w:rsid w:val="00496CFD"/>
    <w:rsid w:val="0049711D"/>
    <w:rsid w:val="0049782C"/>
    <w:rsid w:val="00497895"/>
    <w:rsid w:val="00497A90"/>
    <w:rsid w:val="00497BC0"/>
    <w:rsid w:val="00497D20"/>
    <w:rsid w:val="00497D51"/>
    <w:rsid w:val="00497D52"/>
    <w:rsid w:val="00497D6E"/>
    <w:rsid w:val="00497E07"/>
    <w:rsid w:val="00497F0C"/>
    <w:rsid w:val="004A005B"/>
    <w:rsid w:val="004A0491"/>
    <w:rsid w:val="004A0514"/>
    <w:rsid w:val="004A0525"/>
    <w:rsid w:val="004A0611"/>
    <w:rsid w:val="004A0A45"/>
    <w:rsid w:val="004A0AED"/>
    <w:rsid w:val="004A0E02"/>
    <w:rsid w:val="004A0FC4"/>
    <w:rsid w:val="004A1167"/>
    <w:rsid w:val="004A16ED"/>
    <w:rsid w:val="004A1735"/>
    <w:rsid w:val="004A1C11"/>
    <w:rsid w:val="004A1CD2"/>
    <w:rsid w:val="004A1D4A"/>
    <w:rsid w:val="004A1DC8"/>
    <w:rsid w:val="004A203E"/>
    <w:rsid w:val="004A205C"/>
    <w:rsid w:val="004A23A8"/>
    <w:rsid w:val="004A273C"/>
    <w:rsid w:val="004A28FE"/>
    <w:rsid w:val="004A2A23"/>
    <w:rsid w:val="004A2B5E"/>
    <w:rsid w:val="004A2E31"/>
    <w:rsid w:val="004A3374"/>
    <w:rsid w:val="004A377C"/>
    <w:rsid w:val="004A3C52"/>
    <w:rsid w:val="004A3D66"/>
    <w:rsid w:val="004A433A"/>
    <w:rsid w:val="004A43E3"/>
    <w:rsid w:val="004A4414"/>
    <w:rsid w:val="004A4796"/>
    <w:rsid w:val="004A4896"/>
    <w:rsid w:val="004A48EC"/>
    <w:rsid w:val="004A49CD"/>
    <w:rsid w:val="004A4BED"/>
    <w:rsid w:val="004A4C98"/>
    <w:rsid w:val="004A51FB"/>
    <w:rsid w:val="004A52B2"/>
    <w:rsid w:val="004A52CF"/>
    <w:rsid w:val="004A5374"/>
    <w:rsid w:val="004A54A7"/>
    <w:rsid w:val="004A56D9"/>
    <w:rsid w:val="004A5B7F"/>
    <w:rsid w:val="004A5CD4"/>
    <w:rsid w:val="004A5D8C"/>
    <w:rsid w:val="004A6045"/>
    <w:rsid w:val="004A6301"/>
    <w:rsid w:val="004A6541"/>
    <w:rsid w:val="004A657B"/>
    <w:rsid w:val="004A664F"/>
    <w:rsid w:val="004A6843"/>
    <w:rsid w:val="004A6D27"/>
    <w:rsid w:val="004A6F03"/>
    <w:rsid w:val="004A7256"/>
    <w:rsid w:val="004A7269"/>
    <w:rsid w:val="004A74B2"/>
    <w:rsid w:val="004A78EC"/>
    <w:rsid w:val="004A7966"/>
    <w:rsid w:val="004A7CB5"/>
    <w:rsid w:val="004B0199"/>
    <w:rsid w:val="004B0293"/>
    <w:rsid w:val="004B02EC"/>
    <w:rsid w:val="004B0942"/>
    <w:rsid w:val="004B0A83"/>
    <w:rsid w:val="004B0F3B"/>
    <w:rsid w:val="004B0F86"/>
    <w:rsid w:val="004B0FEF"/>
    <w:rsid w:val="004B113C"/>
    <w:rsid w:val="004B1408"/>
    <w:rsid w:val="004B1489"/>
    <w:rsid w:val="004B175C"/>
    <w:rsid w:val="004B1BA7"/>
    <w:rsid w:val="004B1C3D"/>
    <w:rsid w:val="004B1CE3"/>
    <w:rsid w:val="004B1E6E"/>
    <w:rsid w:val="004B21C4"/>
    <w:rsid w:val="004B2707"/>
    <w:rsid w:val="004B27F6"/>
    <w:rsid w:val="004B2CD7"/>
    <w:rsid w:val="004B2CDC"/>
    <w:rsid w:val="004B2D1B"/>
    <w:rsid w:val="004B2E15"/>
    <w:rsid w:val="004B31E8"/>
    <w:rsid w:val="004B322E"/>
    <w:rsid w:val="004B3398"/>
    <w:rsid w:val="004B33F4"/>
    <w:rsid w:val="004B3A40"/>
    <w:rsid w:val="004B3AD5"/>
    <w:rsid w:val="004B3CB0"/>
    <w:rsid w:val="004B3D03"/>
    <w:rsid w:val="004B4278"/>
    <w:rsid w:val="004B4386"/>
    <w:rsid w:val="004B4773"/>
    <w:rsid w:val="004B47FB"/>
    <w:rsid w:val="004B48E6"/>
    <w:rsid w:val="004B4B58"/>
    <w:rsid w:val="004B4E3B"/>
    <w:rsid w:val="004B4EEB"/>
    <w:rsid w:val="004B4F2D"/>
    <w:rsid w:val="004B5186"/>
    <w:rsid w:val="004B51BF"/>
    <w:rsid w:val="004B5429"/>
    <w:rsid w:val="004B5501"/>
    <w:rsid w:val="004B565A"/>
    <w:rsid w:val="004B5809"/>
    <w:rsid w:val="004B5841"/>
    <w:rsid w:val="004B5A79"/>
    <w:rsid w:val="004B5BD1"/>
    <w:rsid w:val="004B5D8C"/>
    <w:rsid w:val="004B615F"/>
    <w:rsid w:val="004B61BA"/>
    <w:rsid w:val="004B6542"/>
    <w:rsid w:val="004B65B5"/>
    <w:rsid w:val="004B65BF"/>
    <w:rsid w:val="004B67F3"/>
    <w:rsid w:val="004B6C00"/>
    <w:rsid w:val="004B6E70"/>
    <w:rsid w:val="004B71AA"/>
    <w:rsid w:val="004B76B8"/>
    <w:rsid w:val="004B7F6A"/>
    <w:rsid w:val="004C0977"/>
    <w:rsid w:val="004C0D5B"/>
    <w:rsid w:val="004C0E57"/>
    <w:rsid w:val="004C0E84"/>
    <w:rsid w:val="004C1099"/>
    <w:rsid w:val="004C12BF"/>
    <w:rsid w:val="004C1B56"/>
    <w:rsid w:val="004C20C9"/>
    <w:rsid w:val="004C214B"/>
    <w:rsid w:val="004C22C4"/>
    <w:rsid w:val="004C22CD"/>
    <w:rsid w:val="004C2960"/>
    <w:rsid w:val="004C2989"/>
    <w:rsid w:val="004C2FC2"/>
    <w:rsid w:val="004C2FD8"/>
    <w:rsid w:val="004C30E2"/>
    <w:rsid w:val="004C3163"/>
    <w:rsid w:val="004C3182"/>
    <w:rsid w:val="004C37AE"/>
    <w:rsid w:val="004C39F0"/>
    <w:rsid w:val="004C3B67"/>
    <w:rsid w:val="004C3C65"/>
    <w:rsid w:val="004C3D77"/>
    <w:rsid w:val="004C3DA9"/>
    <w:rsid w:val="004C3EA4"/>
    <w:rsid w:val="004C3F47"/>
    <w:rsid w:val="004C3F78"/>
    <w:rsid w:val="004C4340"/>
    <w:rsid w:val="004C43D4"/>
    <w:rsid w:val="004C473B"/>
    <w:rsid w:val="004C484E"/>
    <w:rsid w:val="004C4AF9"/>
    <w:rsid w:val="004C4E06"/>
    <w:rsid w:val="004C5083"/>
    <w:rsid w:val="004C51FA"/>
    <w:rsid w:val="004C52AB"/>
    <w:rsid w:val="004C53EC"/>
    <w:rsid w:val="004C5818"/>
    <w:rsid w:val="004C59A2"/>
    <w:rsid w:val="004C5B0F"/>
    <w:rsid w:val="004C5CF1"/>
    <w:rsid w:val="004C5FAC"/>
    <w:rsid w:val="004C6385"/>
    <w:rsid w:val="004C65DD"/>
    <w:rsid w:val="004C6620"/>
    <w:rsid w:val="004C68C6"/>
    <w:rsid w:val="004C6A4F"/>
    <w:rsid w:val="004C6BB1"/>
    <w:rsid w:val="004C6CF3"/>
    <w:rsid w:val="004C6D09"/>
    <w:rsid w:val="004C6D87"/>
    <w:rsid w:val="004C6EE0"/>
    <w:rsid w:val="004C7337"/>
    <w:rsid w:val="004C77C9"/>
    <w:rsid w:val="004C78CD"/>
    <w:rsid w:val="004C7A23"/>
    <w:rsid w:val="004D025F"/>
    <w:rsid w:val="004D06A8"/>
    <w:rsid w:val="004D0B3A"/>
    <w:rsid w:val="004D0C6F"/>
    <w:rsid w:val="004D0F91"/>
    <w:rsid w:val="004D10C6"/>
    <w:rsid w:val="004D1206"/>
    <w:rsid w:val="004D136E"/>
    <w:rsid w:val="004D151F"/>
    <w:rsid w:val="004D166B"/>
    <w:rsid w:val="004D17CC"/>
    <w:rsid w:val="004D194E"/>
    <w:rsid w:val="004D1991"/>
    <w:rsid w:val="004D1A97"/>
    <w:rsid w:val="004D2210"/>
    <w:rsid w:val="004D2901"/>
    <w:rsid w:val="004D2C80"/>
    <w:rsid w:val="004D2E20"/>
    <w:rsid w:val="004D2F03"/>
    <w:rsid w:val="004D32AF"/>
    <w:rsid w:val="004D361F"/>
    <w:rsid w:val="004D3826"/>
    <w:rsid w:val="004D4067"/>
    <w:rsid w:val="004D45CC"/>
    <w:rsid w:val="004D478C"/>
    <w:rsid w:val="004D4A6F"/>
    <w:rsid w:val="004D4BC6"/>
    <w:rsid w:val="004D4C10"/>
    <w:rsid w:val="004D4D62"/>
    <w:rsid w:val="004D50DE"/>
    <w:rsid w:val="004D5316"/>
    <w:rsid w:val="004D57F8"/>
    <w:rsid w:val="004D588A"/>
    <w:rsid w:val="004D596D"/>
    <w:rsid w:val="004D5DC7"/>
    <w:rsid w:val="004D5EAD"/>
    <w:rsid w:val="004D6423"/>
    <w:rsid w:val="004D67D7"/>
    <w:rsid w:val="004D6875"/>
    <w:rsid w:val="004D6923"/>
    <w:rsid w:val="004D6A74"/>
    <w:rsid w:val="004D6A90"/>
    <w:rsid w:val="004D6BE5"/>
    <w:rsid w:val="004D70C5"/>
    <w:rsid w:val="004D7154"/>
    <w:rsid w:val="004D7421"/>
    <w:rsid w:val="004D7877"/>
    <w:rsid w:val="004D7DAB"/>
    <w:rsid w:val="004D7E95"/>
    <w:rsid w:val="004D7ECF"/>
    <w:rsid w:val="004D7F23"/>
    <w:rsid w:val="004D7FC7"/>
    <w:rsid w:val="004E006B"/>
    <w:rsid w:val="004E00A7"/>
    <w:rsid w:val="004E0470"/>
    <w:rsid w:val="004E093D"/>
    <w:rsid w:val="004E0A54"/>
    <w:rsid w:val="004E0B86"/>
    <w:rsid w:val="004E0B9D"/>
    <w:rsid w:val="004E129E"/>
    <w:rsid w:val="004E17B8"/>
    <w:rsid w:val="004E1AC0"/>
    <w:rsid w:val="004E1D4F"/>
    <w:rsid w:val="004E1FF8"/>
    <w:rsid w:val="004E215A"/>
    <w:rsid w:val="004E2308"/>
    <w:rsid w:val="004E23E0"/>
    <w:rsid w:val="004E2451"/>
    <w:rsid w:val="004E2915"/>
    <w:rsid w:val="004E2DAB"/>
    <w:rsid w:val="004E2EBF"/>
    <w:rsid w:val="004E30AF"/>
    <w:rsid w:val="004E30E2"/>
    <w:rsid w:val="004E3460"/>
    <w:rsid w:val="004E384B"/>
    <w:rsid w:val="004E38A7"/>
    <w:rsid w:val="004E3A5E"/>
    <w:rsid w:val="004E4039"/>
    <w:rsid w:val="004E453E"/>
    <w:rsid w:val="004E456D"/>
    <w:rsid w:val="004E45DB"/>
    <w:rsid w:val="004E4D72"/>
    <w:rsid w:val="004E4E6A"/>
    <w:rsid w:val="004E5000"/>
    <w:rsid w:val="004E508A"/>
    <w:rsid w:val="004E5483"/>
    <w:rsid w:val="004E55A5"/>
    <w:rsid w:val="004E5656"/>
    <w:rsid w:val="004E57A9"/>
    <w:rsid w:val="004E5A86"/>
    <w:rsid w:val="004E612B"/>
    <w:rsid w:val="004E6143"/>
    <w:rsid w:val="004E6773"/>
    <w:rsid w:val="004E6ED1"/>
    <w:rsid w:val="004E71AF"/>
    <w:rsid w:val="004E77E8"/>
    <w:rsid w:val="004E780A"/>
    <w:rsid w:val="004E7917"/>
    <w:rsid w:val="004E7BA5"/>
    <w:rsid w:val="004E7E40"/>
    <w:rsid w:val="004F04D4"/>
    <w:rsid w:val="004F08E4"/>
    <w:rsid w:val="004F0A2A"/>
    <w:rsid w:val="004F0CE9"/>
    <w:rsid w:val="004F0D32"/>
    <w:rsid w:val="004F0D98"/>
    <w:rsid w:val="004F196B"/>
    <w:rsid w:val="004F2235"/>
    <w:rsid w:val="004F2354"/>
    <w:rsid w:val="004F24BB"/>
    <w:rsid w:val="004F2580"/>
    <w:rsid w:val="004F270D"/>
    <w:rsid w:val="004F28CC"/>
    <w:rsid w:val="004F2B7B"/>
    <w:rsid w:val="004F3162"/>
    <w:rsid w:val="004F3176"/>
    <w:rsid w:val="004F3468"/>
    <w:rsid w:val="004F376F"/>
    <w:rsid w:val="004F38A0"/>
    <w:rsid w:val="004F3A9B"/>
    <w:rsid w:val="004F3D7D"/>
    <w:rsid w:val="004F403A"/>
    <w:rsid w:val="004F408A"/>
    <w:rsid w:val="004F4156"/>
    <w:rsid w:val="004F439F"/>
    <w:rsid w:val="004F45AC"/>
    <w:rsid w:val="004F45F0"/>
    <w:rsid w:val="004F48BB"/>
    <w:rsid w:val="004F48DC"/>
    <w:rsid w:val="004F4BE5"/>
    <w:rsid w:val="004F5057"/>
    <w:rsid w:val="004F516A"/>
    <w:rsid w:val="004F5254"/>
    <w:rsid w:val="004F5720"/>
    <w:rsid w:val="004F5751"/>
    <w:rsid w:val="004F598C"/>
    <w:rsid w:val="004F5A5F"/>
    <w:rsid w:val="004F5BC4"/>
    <w:rsid w:val="004F5BFF"/>
    <w:rsid w:val="004F5C97"/>
    <w:rsid w:val="004F5F01"/>
    <w:rsid w:val="004F6330"/>
    <w:rsid w:val="004F651E"/>
    <w:rsid w:val="004F6644"/>
    <w:rsid w:val="004F6765"/>
    <w:rsid w:val="004F6787"/>
    <w:rsid w:val="004F68F7"/>
    <w:rsid w:val="004F6CC9"/>
    <w:rsid w:val="004F6D3B"/>
    <w:rsid w:val="004F700A"/>
    <w:rsid w:val="004F7204"/>
    <w:rsid w:val="004F742A"/>
    <w:rsid w:val="004F7496"/>
    <w:rsid w:val="004F75B9"/>
    <w:rsid w:val="004F7A9F"/>
    <w:rsid w:val="004F7AC0"/>
    <w:rsid w:val="004F7C74"/>
    <w:rsid w:val="004F7D9C"/>
    <w:rsid w:val="004F7DC5"/>
    <w:rsid w:val="004F7DE8"/>
    <w:rsid w:val="004F7E4A"/>
    <w:rsid w:val="004F7FC6"/>
    <w:rsid w:val="00500077"/>
    <w:rsid w:val="0050043F"/>
    <w:rsid w:val="00500500"/>
    <w:rsid w:val="00500795"/>
    <w:rsid w:val="00500860"/>
    <w:rsid w:val="00500882"/>
    <w:rsid w:val="00500B83"/>
    <w:rsid w:val="00500CCA"/>
    <w:rsid w:val="00500F4D"/>
    <w:rsid w:val="0050100C"/>
    <w:rsid w:val="0050107A"/>
    <w:rsid w:val="00501089"/>
    <w:rsid w:val="0050129F"/>
    <w:rsid w:val="00501320"/>
    <w:rsid w:val="005018AC"/>
    <w:rsid w:val="00501BCC"/>
    <w:rsid w:val="00501CD9"/>
    <w:rsid w:val="00501DC6"/>
    <w:rsid w:val="00501E45"/>
    <w:rsid w:val="005020B1"/>
    <w:rsid w:val="0050217C"/>
    <w:rsid w:val="0050280E"/>
    <w:rsid w:val="0050294B"/>
    <w:rsid w:val="00502FF1"/>
    <w:rsid w:val="005036C5"/>
    <w:rsid w:val="005036C7"/>
    <w:rsid w:val="0050385F"/>
    <w:rsid w:val="00503E35"/>
    <w:rsid w:val="0050404B"/>
    <w:rsid w:val="0050427B"/>
    <w:rsid w:val="005044AE"/>
    <w:rsid w:val="005046AE"/>
    <w:rsid w:val="0050482F"/>
    <w:rsid w:val="005048EC"/>
    <w:rsid w:val="00504C0D"/>
    <w:rsid w:val="00504DF4"/>
    <w:rsid w:val="005052D9"/>
    <w:rsid w:val="00505403"/>
    <w:rsid w:val="0050541F"/>
    <w:rsid w:val="005054FB"/>
    <w:rsid w:val="0050572F"/>
    <w:rsid w:val="00505833"/>
    <w:rsid w:val="00505DC2"/>
    <w:rsid w:val="00505EA2"/>
    <w:rsid w:val="00505F58"/>
    <w:rsid w:val="005060F1"/>
    <w:rsid w:val="005061CF"/>
    <w:rsid w:val="005062C9"/>
    <w:rsid w:val="00506571"/>
    <w:rsid w:val="0050667B"/>
    <w:rsid w:val="00506A77"/>
    <w:rsid w:val="00506ABD"/>
    <w:rsid w:val="00506D86"/>
    <w:rsid w:val="00506F25"/>
    <w:rsid w:val="00506F41"/>
    <w:rsid w:val="00506FA0"/>
    <w:rsid w:val="00506FAF"/>
    <w:rsid w:val="00507006"/>
    <w:rsid w:val="0050722F"/>
    <w:rsid w:val="005074D6"/>
    <w:rsid w:val="00507640"/>
    <w:rsid w:val="00507CA6"/>
    <w:rsid w:val="00507DE0"/>
    <w:rsid w:val="00507F86"/>
    <w:rsid w:val="00510002"/>
    <w:rsid w:val="005101A6"/>
    <w:rsid w:val="0051025C"/>
    <w:rsid w:val="005104EC"/>
    <w:rsid w:val="0051066E"/>
    <w:rsid w:val="00510941"/>
    <w:rsid w:val="0051096B"/>
    <w:rsid w:val="00510F3B"/>
    <w:rsid w:val="005110DF"/>
    <w:rsid w:val="005111BD"/>
    <w:rsid w:val="00511328"/>
    <w:rsid w:val="00511760"/>
    <w:rsid w:val="00511B7A"/>
    <w:rsid w:val="00511EA9"/>
    <w:rsid w:val="005120D5"/>
    <w:rsid w:val="00512106"/>
    <w:rsid w:val="00512169"/>
    <w:rsid w:val="005121AB"/>
    <w:rsid w:val="00512263"/>
    <w:rsid w:val="005123B4"/>
    <w:rsid w:val="005123D8"/>
    <w:rsid w:val="0051276D"/>
    <w:rsid w:val="00512E2E"/>
    <w:rsid w:val="00512E5C"/>
    <w:rsid w:val="00512F97"/>
    <w:rsid w:val="00513437"/>
    <w:rsid w:val="0051408E"/>
    <w:rsid w:val="00514186"/>
    <w:rsid w:val="005148ED"/>
    <w:rsid w:val="00514959"/>
    <w:rsid w:val="00514BEF"/>
    <w:rsid w:val="00514C0D"/>
    <w:rsid w:val="00514D76"/>
    <w:rsid w:val="0051521A"/>
    <w:rsid w:val="00515479"/>
    <w:rsid w:val="00515535"/>
    <w:rsid w:val="005155CF"/>
    <w:rsid w:val="00515640"/>
    <w:rsid w:val="0051569E"/>
    <w:rsid w:val="00515984"/>
    <w:rsid w:val="00515AB1"/>
    <w:rsid w:val="00515CEA"/>
    <w:rsid w:val="00515EAC"/>
    <w:rsid w:val="00515F4E"/>
    <w:rsid w:val="00516335"/>
    <w:rsid w:val="005164A8"/>
    <w:rsid w:val="005167DF"/>
    <w:rsid w:val="005167F7"/>
    <w:rsid w:val="00516950"/>
    <w:rsid w:val="00516B44"/>
    <w:rsid w:val="00516D3E"/>
    <w:rsid w:val="00516E1A"/>
    <w:rsid w:val="0051758A"/>
    <w:rsid w:val="00517594"/>
    <w:rsid w:val="00517938"/>
    <w:rsid w:val="00517AFE"/>
    <w:rsid w:val="00517B70"/>
    <w:rsid w:val="00517D39"/>
    <w:rsid w:val="00517F22"/>
    <w:rsid w:val="005203EF"/>
    <w:rsid w:val="00520492"/>
    <w:rsid w:val="00520695"/>
    <w:rsid w:val="00520792"/>
    <w:rsid w:val="005211C5"/>
    <w:rsid w:val="00521292"/>
    <w:rsid w:val="00521658"/>
    <w:rsid w:val="00521660"/>
    <w:rsid w:val="00521B76"/>
    <w:rsid w:val="00521D2C"/>
    <w:rsid w:val="00521DA5"/>
    <w:rsid w:val="005220CA"/>
    <w:rsid w:val="00522196"/>
    <w:rsid w:val="00522276"/>
    <w:rsid w:val="005223C7"/>
    <w:rsid w:val="005227FB"/>
    <w:rsid w:val="0052287D"/>
    <w:rsid w:val="005229E8"/>
    <w:rsid w:val="00523308"/>
    <w:rsid w:val="005233B7"/>
    <w:rsid w:val="0052390A"/>
    <w:rsid w:val="00523957"/>
    <w:rsid w:val="00523DF9"/>
    <w:rsid w:val="00523E35"/>
    <w:rsid w:val="00523FB7"/>
    <w:rsid w:val="00523FDD"/>
    <w:rsid w:val="00524442"/>
    <w:rsid w:val="00524756"/>
    <w:rsid w:val="00524820"/>
    <w:rsid w:val="00524955"/>
    <w:rsid w:val="00524A10"/>
    <w:rsid w:val="00524C8C"/>
    <w:rsid w:val="00524CFC"/>
    <w:rsid w:val="00524E96"/>
    <w:rsid w:val="00524ED6"/>
    <w:rsid w:val="0052509B"/>
    <w:rsid w:val="0052547D"/>
    <w:rsid w:val="00525857"/>
    <w:rsid w:val="00525C07"/>
    <w:rsid w:val="00525CFE"/>
    <w:rsid w:val="00525EAC"/>
    <w:rsid w:val="00526725"/>
    <w:rsid w:val="00526783"/>
    <w:rsid w:val="005267CD"/>
    <w:rsid w:val="00526A90"/>
    <w:rsid w:val="00526ACC"/>
    <w:rsid w:val="00526C47"/>
    <w:rsid w:val="00526E04"/>
    <w:rsid w:val="00527106"/>
    <w:rsid w:val="00527312"/>
    <w:rsid w:val="005273C0"/>
    <w:rsid w:val="005277BF"/>
    <w:rsid w:val="005277D8"/>
    <w:rsid w:val="00527BFE"/>
    <w:rsid w:val="00530047"/>
    <w:rsid w:val="00530192"/>
    <w:rsid w:val="005304C1"/>
    <w:rsid w:val="00530DE4"/>
    <w:rsid w:val="00530F10"/>
    <w:rsid w:val="0053105F"/>
    <w:rsid w:val="00531125"/>
    <w:rsid w:val="00531560"/>
    <w:rsid w:val="00531E45"/>
    <w:rsid w:val="00531ED6"/>
    <w:rsid w:val="00531F53"/>
    <w:rsid w:val="00531F6A"/>
    <w:rsid w:val="00532186"/>
    <w:rsid w:val="005325ED"/>
    <w:rsid w:val="0053266D"/>
    <w:rsid w:val="00532892"/>
    <w:rsid w:val="00532B13"/>
    <w:rsid w:val="00532C0D"/>
    <w:rsid w:val="00532D17"/>
    <w:rsid w:val="00532EC0"/>
    <w:rsid w:val="00533553"/>
    <w:rsid w:val="005335AC"/>
    <w:rsid w:val="0053362B"/>
    <w:rsid w:val="00533947"/>
    <w:rsid w:val="00533996"/>
    <w:rsid w:val="00533B79"/>
    <w:rsid w:val="0053416E"/>
    <w:rsid w:val="005341AB"/>
    <w:rsid w:val="005342A1"/>
    <w:rsid w:val="005342B3"/>
    <w:rsid w:val="00534410"/>
    <w:rsid w:val="00534503"/>
    <w:rsid w:val="00534585"/>
    <w:rsid w:val="0053468B"/>
    <w:rsid w:val="00534807"/>
    <w:rsid w:val="00534CA1"/>
    <w:rsid w:val="005351D4"/>
    <w:rsid w:val="005352F9"/>
    <w:rsid w:val="0053531C"/>
    <w:rsid w:val="00535375"/>
    <w:rsid w:val="005353F2"/>
    <w:rsid w:val="005354CD"/>
    <w:rsid w:val="00535546"/>
    <w:rsid w:val="00536171"/>
    <w:rsid w:val="005363DB"/>
    <w:rsid w:val="005366D7"/>
    <w:rsid w:val="0053672D"/>
    <w:rsid w:val="00536D3A"/>
    <w:rsid w:val="00536DF5"/>
    <w:rsid w:val="005373AC"/>
    <w:rsid w:val="00537475"/>
    <w:rsid w:val="005376E0"/>
    <w:rsid w:val="00537F38"/>
    <w:rsid w:val="00540174"/>
    <w:rsid w:val="0054030A"/>
    <w:rsid w:val="00540709"/>
    <w:rsid w:val="00540899"/>
    <w:rsid w:val="0054097E"/>
    <w:rsid w:val="00540A8E"/>
    <w:rsid w:val="00540AAF"/>
    <w:rsid w:val="00540ABD"/>
    <w:rsid w:val="00540C6C"/>
    <w:rsid w:val="00540DED"/>
    <w:rsid w:val="00541147"/>
    <w:rsid w:val="00541294"/>
    <w:rsid w:val="005412C6"/>
    <w:rsid w:val="00541363"/>
    <w:rsid w:val="00541380"/>
    <w:rsid w:val="00541526"/>
    <w:rsid w:val="005416FB"/>
    <w:rsid w:val="005418D6"/>
    <w:rsid w:val="0054198E"/>
    <w:rsid w:val="00541E37"/>
    <w:rsid w:val="00542177"/>
    <w:rsid w:val="005421B1"/>
    <w:rsid w:val="005426E7"/>
    <w:rsid w:val="00543162"/>
    <w:rsid w:val="00543564"/>
    <w:rsid w:val="0054387F"/>
    <w:rsid w:val="00543AB0"/>
    <w:rsid w:val="00543CF3"/>
    <w:rsid w:val="00543D3B"/>
    <w:rsid w:val="00543D5E"/>
    <w:rsid w:val="00543D99"/>
    <w:rsid w:val="00543DE3"/>
    <w:rsid w:val="0054408A"/>
    <w:rsid w:val="005441E2"/>
    <w:rsid w:val="005443E5"/>
    <w:rsid w:val="00544542"/>
    <w:rsid w:val="00544AD6"/>
    <w:rsid w:val="0054514B"/>
    <w:rsid w:val="0054525E"/>
    <w:rsid w:val="005454DC"/>
    <w:rsid w:val="00545A65"/>
    <w:rsid w:val="00545AE1"/>
    <w:rsid w:val="00545B36"/>
    <w:rsid w:val="00545DFD"/>
    <w:rsid w:val="00545F41"/>
    <w:rsid w:val="005460E2"/>
    <w:rsid w:val="005461A0"/>
    <w:rsid w:val="005461EC"/>
    <w:rsid w:val="005464C6"/>
    <w:rsid w:val="0054653D"/>
    <w:rsid w:val="00546C1A"/>
    <w:rsid w:val="00546CEE"/>
    <w:rsid w:val="005471EF"/>
    <w:rsid w:val="005473B9"/>
    <w:rsid w:val="005473C5"/>
    <w:rsid w:val="00547434"/>
    <w:rsid w:val="0054749F"/>
    <w:rsid w:val="005475D0"/>
    <w:rsid w:val="00547642"/>
    <w:rsid w:val="0054794C"/>
    <w:rsid w:val="00547A16"/>
    <w:rsid w:val="00547ADB"/>
    <w:rsid w:val="00547CE0"/>
    <w:rsid w:val="0055008D"/>
    <w:rsid w:val="005501B6"/>
    <w:rsid w:val="0055025A"/>
    <w:rsid w:val="005504AD"/>
    <w:rsid w:val="0055088A"/>
    <w:rsid w:val="00550DC4"/>
    <w:rsid w:val="00550EE5"/>
    <w:rsid w:val="00551246"/>
    <w:rsid w:val="0055165B"/>
    <w:rsid w:val="005516BF"/>
    <w:rsid w:val="005516EE"/>
    <w:rsid w:val="005519AA"/>
    <w:rsid w:val="00551B00"/>
    <w:rsid w:val="00551F0A"/>
    <w:rsid w:val="005520B8"/>
    <w:rsid w:val="005524E9"/>
    <w:rsid w:val="005526B6"/>
    <w:rsid w:val="00552BD1"/>
    <w:rsid w:val="00552D11"/>
    <w:rsid w:val="00552DC8"/>
    <w:rsid w:val="00552F38"/>
    <w:rsid w:val="0055336E"/>
    <w:rsid w:val="00553454"/>
    <w:rsid w:val="005536D6"/>
    <w:rsid w:val="005540D3"/>
    <w:rsid w:val="00554274"/>
    <w:rsid w:val="0055480C"/>
    <w:rsid w:val="00554D14"/>
    <w:rsid w:val="00554DFF"/>
    <w:rsid w:val="00554E78"/>
    <w:rsid w:val="00554ED3"/>
    <w:rsid w:val="00555AB4"/>
    <w:rsid w:val="00555D16"/>
    <w:rsid w:val="005563A7"/>
    <w:rsid w:val="005566DC"/>
    <w:rsid w:val="00557144"/>
    <w:rsid w:val="00557164"/>
    <w:rsid w:val="00557262"/>
    <w:rsid w:val="0055734D"/>
    <w:rsid w:val="005574EA"/>
    <w:rsid w:val="00557A11"/>
    <w:rsid w:val="00557E68"/>
    <w:rsid w:val="00557E78"/>
    <w:rsid w:val="00557FCD"/>
    <w:rsid w:val="00560090"/>
    <w:rsid w:val="0056026E"/>
    <w:rsid w:val="005604E5"/>
    <w:rsid w:val="00561036"/>
    <w:rsid w:val="0056132E"/>
    <w:rsid w:val="005614F8"/>
    <w:rsid w:val="00561807"/>
    <w:rsid w:val="00561820"/>
    <w:rsid w:val="00561D73"/>
    <w:rsid w:val="00562000"/>
    <w:rsid w:val="005620C1"/>
    <w:rsid w:val="0056233C"/>
    <w:rsid w:val="005624B9"/>
    <w:rsid w:val="00563408"/>
    <w:rsid w:val="00563477"/>
    <w:rsid w:val="00563657"/>
    <w:rsid w:val="00563C48"/>
    <w:rsid w:val="00563D99"/>
    <w:rsid w:val="00563EC6"/>
    <w:rsid w:val="00564288"/>
    <w:rsid w:val="0056430D"/>
    <w:rsid w:val="005647C5"/>
    <w:rsid w:val="00564871"/>
    <w:rsid w:val="00564A2F"/>
    <w:rsid w:val="00564E46"/>
    <w:rsid w:val="00564E81"/>
    <w:rsid w:val="00564F9F"/>
    <w:rsid w:val="00564FD8"/>
    <w:rsid w:val="00565785"/>
    <w:rsid w:val="00565BC7"/>
    <w:rsid w:val="0056639A"/>
    <w:rsid w:val="005663B5"/>
    <w:rsid w:val="00566D20"/>
    <w:rsid w:val="0056734C"/>
    <w:rsid w:val="0056762E"/>
    <w:rsid w:val="005676C2"/>
    <w:rsid w:val="0056775A"/>
    <w:rsid w:val="005677EC"/>
    <w:rsid w:val="00567945"/>
    <w:rsid w:val="00567C80"/>
    <w:rsid w:val="00567D5E"/>
    <w:rsid w:val="00567ECF"/>
    <w:rsid w:val="00567F47"/>
    <w:rsid w:val="0057030D"/>
    <w:rsid w:val="0057032B"/>
    <w:rsid w:val="00570603"/>
    <w:rsid w:val="0057065E"/>
    <w:rsid w:val="0057096F"/>
    <w:rsid w:val="00570CEE"/>
    <w:rsid w:val="00570DE4"/>
    <w:rsid w:val="00570E92"/>
    <w:rsid w:val="00570F36"/>
    <w:rsid w:val="005710B0"/>
    <w:rsid w:val="005710F8"/>
    <w:rsid w:val="005712CE"/>
    <w:rsid w:val="00571368"/>
    <w:rsid w:val="005713C3"/>
    <w:rsid w:val="005713E0"/>
    <w:rsid w:val="00571430"/>
    <w:rsid w:val="005714EB"/>
    <w:rsid w:val="00571912"/>
    <w:rsid w:val="00571BCF"/>
    <w:rsid w:val="00571FCD"/>
    <w:rsid w:val="0057206E"/>
    <w:rsid w:val="005726C7"/>
    <w:rsid w:val="005726F9"/>
    <w:rsid w:val="005726FE"/>
    <w:rsid w:val="0057282F"/>
    <w:rsid w:val="00572A0A"/>
    <w:rsid w:val="00572D78"/>
    <w:rsid w:val="00572E54"/>
    <w:rsid w:val="00572EA1"/>
    <w:rsid w:val="0057301C"/>
    <w:rsid w:val="00573705"/>
    <w:rsid w:val="00573808"/>
    <w:rsid w:val="00573B55"/>
    <w:rsid w:val="0057408E"/>
    <w:rsid w:val="0057434A"/>
    <w:rsid w:val="0057438D"/>
    <w:rsid w:val="00574451"/>
    <w:rsid w:val="005744CD"/>
    <w:rsid w:val="00574AD5"/>
    <w:rsid w:val="00574B27"/>
    <w:rsid w:val="00574F7E"/>
    <w:rsid w:val="00575010"/>
    <w:rsid w:val="00575232"/>
    <w:rsid w:val="00575250"/>
    <w:rsid w:val="0057538D"/>
    <w:rsid w:val="005753AC"/>
    <w:rsid w:val="005755AF"/>
    <w:rsid w:val="005756B4"/>
    <w:rsid w:val="005757FE"/>
    <w:rsid w:val="0057594E"/>
    <w:rsid w:val="00575B57"/>
    <w:rsid w:val="00575BE6"/>
    <w:rsid w:val="00575E4E"/>
    <w:rsid w:val="00575FAF"/>
    <w:rsid w:val="00576739"/>
    <w:rsid w:val="005768CB"/>
    <w:rsid w:val="00576906"/>
    <w:rsid w:val="00576BCF"/>
    <w:rsid w:val="00576C91"/>
    <w:rsid w:val="00576CDD"/>
    <w:rsid w:val="00576E95"/>
    <w:rsid w:val="00577105"/>
    <w:rsid w:val="005775F5"/>
    <w:rsid w:val="005778BF"/>
    <w:rsid w:val="0057798B"/>
    <w:rsid w:val="00577BE1"/>
    <w:rsid w:val="00577F88"/>
    <w:rsid w:val="00580177"/>
    <w:rsid w:val="0058023E"/>
    <w:rsid w:val="00580373"/>
    <w:rsid w:val="005803A5"/>
    <w:rsid w:val="00580431"/>
    <w:rsid w:val="00580610"/>
    <w:rsid w:val="005807F6"/>
    <w:rsid w:val="00580916"/>
    <w:rsid w:val="00580ACB"/>
    <w:rsid w:val="00580C0A"/>
    <w:rsid w:val="00580E45"/>
    <w:rsid w:val="00581063"/>
    <w:rsid w:val="0058108A"/>
    <w:rsid w:val="0058111D"/>
    <w:rsid w:val="0058111E"/>
    <w:rsid w:val="0058164B"/>
    <w:rsid w:val="0058170D"/>
    <w:rsid w:val="00581EE7"/>
    <w:rsid w:val="00581FFB"/>
    <w:rsid w:val="0058226A"/>
    <w:rsid w:val="005823FC"/>
    <w:rsid w:val="00582460"/>
    <w:rsid w:val="005825AA"/>
    <w:rsid w:val="00582650"/>
    <w:rsid w:val="00582E27"/>
    <w:rsid w:val="00582E70"/>
    <w:rsid w:val="00582EBB"/>
    <w:rsid w:val="00582EC9"/>
    <w:rsid w:val="005831E8"/>
    <w:rsid w:val="00583351"/>
    <w:rsid w:val="00583415"/>
    <w:rsid w:val="0058361A"/>
    <w:rsid w:val="0058363C"/>
    <w:rsid w:val="0058365E"/>
    <w:rsid w:val="0058392C"/>
    <w:rsid w:val="005839A6"/>
    <w:rsid w:val="00583C87"/>
    <w:rsid w:val="005842D7"/>
    <w:rsid w:val="005845C4"/>
    <w:rsid w:val="00584941"/>
    <w:rsid w:val="005849F9"/>
    <w:rsid w:val="00584C81"/>
    <w:rsid w:val="00584E06"/>
    <w:rsid w:val="00585140"/>
    <w:rsid w:val="00585382"/>
    <w:rsid w:val="005853CD"/>
    <w:rsid w:val="00585447"/>
    <w:rsid w:val="0058553B"/>
    <w:rsid w:val="005855A3"/>
    <w:rsid w:val="00585799"/>
    <w:rsid w:val="0058593C"/>
    <w:rsid w:val="00585C43"/>
    <w:rsid w:val="00585D4B"/>
    <w:rsid w:val="00586190"/>
    <w:rsid w:val="005862B5"/>
    <w:rsid w:val="00586302"/>
    <w:rsid w:val="00586614"/>
    <w:rsid w:val="0058663F"/>
    <w:rsid w:val="005866F2"/>
    <w:rsid w:val="00586745"/>
    <w:rsid w:val="005867A4"/>
    <w:rsid w:val="005867DC"/>
    <w:rsid w:val="005869AA"/>
    <w:rsid w:val="00586E2F"/>
    <w:rsid w:val="00586EA7"/>
    <w:rsid w:val="00586F6C"/>
    <w:rsid w:val="00587797"/>
    <w:rsid w:val="00587A59"/>
    <w:rsid w:val="0059003A"/>
    <w:rsid w:val="00590154"/>
    <w:rsid w:val="0059021C"/>
    <w:rsid w:val="005902AD"/>
    <w:rsid w:val="0059055E"/>
    <w:rsid w:val="00590BAE"/>
    <w:rsid w:val="00590DFF"/>
    <w:rsid w:val="00590FCA"/>
    <w:rsid w:val="005911C4"/>
    <w:rsid w:val="005912AA"/>
    <w:rsid w:val="005912F0"/>
    <w:rsid w:val="00591321"/>
    <w:rsid w:val="00591346"/>
    <w:rsid w:val="00591467"/>
    <w:rsid w:val="005914D5"/>
    <w:rsid w:val="00591DF4"/>
    <w:rsid w:val="00592011"/>
    <w:rsid w:val="00592183"/>
    <w:rsid w:val="0059230A"/>
    <w:rsid w:val="0059241F"/>
    <w:rsid w:val="0059294A"/>
    <w:rsid w:val="00592B19"/>
    <w:rsid w:val="00592EA1"/>
    <w:rsid w:val="005933F2"/>
    <w:rsid w:val="00593597"/>
    <w:rsid w:val="0059364C"/>
    <w:rsid w:val="00593AA9"/>
    <w:rsid w:val="00594041"/>
    <w:rsid w:val="00594424"/>
    <w:rsid w:val="00594A9D"/>
    <w:rsid w:val="00594E2D"/>
    <w:rsid w:val="00595334"/>
    <w:rsid w:val="00595387"/>
    <w:rsid w:val="0059546F"/>
    <w:rsid w:val="00595CA0"/>
    <w:rsid w:val="00595D0F"/>
    <w:rsid w:val="00595DEA"/>
    <w:rsid w:val="00595E3A"/>
    <w:rsid w:val="00595F7B"/>
    <w:rsid w:val="00595F7D"/>
    <w:rsid w:val="00595FC2"/>
    <w:rsid w:val="0059625E"/>
    <w:rsid w:val="005963B1"/>
    <w:rsid w:val="005963B4"/>
    <w:rsid w:val="00596456"/>
    <w:rsid w:val="00596751"/>
    <w:rsid w:val="005968FE"/>
    <w:rsid w:val="005969EE"/>
    <w:rsid w:val="00596A30"/>
    <w:rsid w:val="00596DF2"/>
    <w:rsid w:val="00596FD1"/>
    <w:rsid w:val="005971FA"/>
    <w:rsid w:val="0059730D"/>
    <w:rsid w:val="005973F1"/>
    <w:rsid w:val="00597817"/>
    <w:rsid w:val="00597AB7"/>
    <w:rsid w:val="00597CB8"/>
    <w:rsid w:val="00597DF9"/>
    <w:rsid w:val="005A0152"/>
    <w:rsid w:val="005A051D"/>
    <w:rsid w:val="005A0679"/>
    <w:rsid w:val="005A082C"/>
    <w:rsid w:val="005A0CA6"/>
    <w:rsid w:val="005A124D"/>
    <w:rsid w:val="005A137B"/>
    <w:rsid w:val="005A1641"/>
    <w:rsid w:val="005A171B"/>
    <w:rsid w:val="005A1DF2"/>
    <w:rsid w:val="005A1FDD"/>
    <w:rsid w:val="005A20E9"/>
    <w:rsid w:val="005A21A5"/>
    <w:rsid w:val="005A2269"/>
    <w:rsid w:val="005A2432"/>
    <w:rsid w:val="005A24CE"/>
    <w:rsid w:val="005A2772"/>
    <w:rsid w:val="005A2776"/>
    <w:rsid w:val="005A2AA2"/>
    <w:rsid w:val="005A2C75"/>
    <w:rsid w:val="005A2EC9"/>
    <w:rsid w:val="005A2FF5"/>
    <w:rsid w:val="005A30E2"/>
    <w:rsid w:val="005A3110"/>
    <w:rsid w:val="005A34B1"/>
    <w:rsid w:val="005A3510"/>
    <w:rsid w:val="005A35E1"/>
    <w:rsid w:val="005A3BE2"/>
    <w:rsid w:val="005A4011"/>
    <w:rsid w:val="005A4329"/>
    <w:rsid w:val="005A4503"/>
    <w:rsid w:val="005A473C"/>
    <w:rsid w:val="005A4890"/>
    <w:rsid w:val="005A4B04"/>
    <w:rsid w:val="005A4BFA"/>
    <w:rsid w:val="005A4D94"/>
    <w:rsid w:val="005A4E3D"/>
    <w:rsid w:val="005A51F9"/>
    <w:rsid w:val="005A52F9"/>
    <w:rsid w:val="005A537E"/>
    <w:rsid w:val="005A5552"/>
    <w:rsid w:val="005A55BB"/>
    <w:rsid w:val="005A5662"/>
    <w:rsid w:val="005A5664"/>
    <w:rsid w:val="005A5A23"/>
    <w:rsid w:val="005A5BF3"/>
    <w:rsid w:val="005A616E"/>
    <w:rsid w:val="005A625C"/>
    <w:rsid w:val="005A6516"/>
    <w:rsid w:val="005A693D"/>
    <w:rsid w:val="005A6DA4"/>
    <w:rsid w:val="005A70F6"/>
    <w:rsid w:val="005A7225"/>
    <w:rsid w:val="005A7233"/>
    <w:rsid w:val="005A7516"/>
    <w:rsid w:val="005A7835"/>
    <w:rsid w:val="005A792E"/>
    <w:rsid w:val="005A7931"/>
    <w:rsid w:val="005A79AC"/>
    <w:rsid w:val="005A7B36"/>
    <w:rsid w:val="005A7FC3"/>
    <w:rsid w:val="005B003D"/>
    <w:rsid w:val="005B0259"/>
    <w:rsid w:val="005B07A8"/>
    <w:rsid w:val="005B0D07"/>
    <w:rsid w:val="005B1030"/>
    <w:rsid w:val="005B1072"/>
    <w:rsid w:val="005B1337"/>
    <w:rsid w:val="005B1516"/>
    <w:rsid w:val="005B1713"/>
    <w:rsid w:val="005B18C1"/>
    <w:rsid w:val="005B19C8"/>
    <w:rsid w:val="005B1A31"/>
    <w:rsid w:val="005B2354"/>
    <w:rsid w:val="005B258E"/>
    <w:rsid w:val="005B262B"/>
    <w:rsid w:val="005B28EC"/>
    <w:rsid w:val="005B2D43"/>
    <w:rsid w:val="005B2DA1"/>
    <w:rsid w:val="005B2E3D"/>
    <w:rsid w:val="005B2EDE"/>
    <w:rsid w:val="005B2F0B"/>
    <w:rsid w:val="005B3110"/>
    <w:rsid w:val="005B3348"/>
    <w:rsid w:val="005B3515"/>
    <w:rsid w:val="005B3726"/>
    <w:rsid w:val="005B3A79"/>
    <w:rsid w:val="005B3BAC"/>
    <w:rsid w:val="005B3FB2"/>
    <w:rsid w:val="005B4377"/>
    <w:rsid w:val="005B4452"/>
    <w:rsid w:val="005B4454"/>
    <w:rsid w:val="005B4531"/>
    <w:rsid w:val="005B4557"/>
    <w:rsid w:val="005B4603"/>
    <w:rsid w:val="005B47D5"/>
    <w:rsid w:val="005B4AB9"/>
    <w:rsid w:val="005B4C7C"/>
    <w:rsid w:val="005B4E76"/>
    <w:rsid w:val="005B4F11"/>
    <w:rsid w:val="005B4F48"/>
    <w:rsid w:val="005B502A"/>
    <w:rsid w:val="005B518D"/>
    <w:rsid w:val="005B53A7"/>
    <w:rsid w:val="005B53B8"/>
    <w:rsid w:val="005B53E8"/>
    <w:rsid w:val="005B5542"/>
    <w:rsid w:val="005B5C3A"/>
    <w:rsid w:val="005B5E0D"/>
    <w:rsid w:val="005B5F1B"/>
    <w:rsid w:val="005B61E5"/>
    <w:rsid w:val="005B62A2"/>
    <w:rsid w:val="005B6789"/>
    <w:rsid w:val="005B6814"/>
    <w:rsid w:val="005B6E9B"/>
    <w:rsid w:val="005B71DA"/>
    <w:rsid w:val="005B7324"/>
    <w:rsid w:val="005B7555"/>
    <w:rsid w:val="005B75EB"/>
    <w:rsid w:val="005B77A2"/>
    <w:rsid w:val="005B7A92"/>
    <w:rsid w:val="005B7BC4"/>
    <w:rsid w:val="005B7ED7"/>
    <w:rsid w:val="005B7FD2"/>
    <w:rsid w:val="005C0475"/>
    <w:rsid w:val="005C0AD8"/>
    <w:rsid w:val="005C0ADF"/>
    <w:rsid w:val="005C0D38"/>
    <w:rsid w:val="005C1388"/>
    <w:rsid w:val="005C1396"/>
    <w:rsid w:val="005C1766"/>
    <w:rsid w:val="005C191C"/>
    <w:rsid w:val="005C19DE"/>
    <w:rsid w:val="005C1B66"/>
    <w:rsid w:val="005C1C76"/>
    <w:rsid w:val="005C1E4A"/>
    <w:rsid w:val="005C1E89"/>
    <w:rsid w:val="005C2743"/>
    <w:rsid w:val="005C2BDD"/>
    <w:rsid w:val="005C2D8B"/>
    <w:rsid w:val="005C3D7D"/>
    <w:rsid w:val="005C42BA"/>
    <w:rsid w:val="005C44F0"/>
    <w:rsid w:val="005C464D"/>
    <w:rsid w:val="005C4A40"/>
    <w:rsid w:val="005C4BBE"/>
    <w:rsid w:val="005C4C50"/>
    <w:rsid w:val="005C4F5B"/>
    <w:rsid w:val="005C502B"/>
    <w:rsid w:val="005C50D2"/>
    <w:rsid w:val="005C51DB"/>
    <w:rsid w:val="005C5265"/>
    <w:rsid w:val="005C5285"/>
    <w:rsid w:val="005C52E3"/>
    <w:rsid w:val="005C564E"/>
    <w:rsid w:val="005C570C"/>
    <w:rsid w:val="005C5729"/>
    <w:rsid w:val="005C5A7E"/>
    <w:rsid w:val="005C5AD7"/>
    <w:rsid w:val="005C6027"/>
    <w:rsid w:val="005C63EB"/>
    <w:rsid w:val="005C6521"/>
    <w:rsid w:val="005C65F5"/>
    <w:rsid w:val="005C6AA5"/>
    <w:rsid w:val="005C6FE6"/>
    <w:rsid w:val="005C722B"/>
    <w:rsid w:val="005C7471"/>
    <w:rsid w:val="005C750F"/>
    <w:rsid w:val="005C7763"/>
    <w:rsid w:val="005C783F"/>
    <w:rsid w:val="005C7AEE"/>
    <w:rsid w:val="005C7B16"/>
    <w:rsid w:val="005D0182"/>
    <w:rsid w:val="005D01A1"/>
    <w:rsid w:val="005D032F"/>
    <w:rsid w:val="005D0D1A"/>
    <w:rsid w:val="005D0DA1"/>
    <w:rsid w:val="005D10E0"/>
    <w:rsid w:val="005D12E3"/>
    <w:rsid w:val="005D1346"/>
    <w:rsid w:val="005D18FE"/>
    <w:rsid w:val="005D1AA8"/>
    <w:rsid w:val="005D1E95"/>
    <w:rsid w:val="005D1EE3"/>
    <w:rsid w:val="005D1F64"/>
    <w:rsid w:val="005D25C0"/>
    <w:rsid w:val="005D2B02"/>
    <w:rsid w:val="005D2BAA"/>
    <w:rsid w:val="005D2D56"/>
    <w:rsid w:val="005D2DAA"/>
    <w:rsid w:val="005D2F79"/>
    <w:rsid w:val="005D2F87"/>
    <w:rsid w:val="005D3121"/>
    <w:rsid w:val="005D31BF"/>
    <w:rsid w:val="005D31C9"/>
    <w:rsid w:val="005D3427"/>
    <w:rsid w:val="005D3599"/>
    <w:rsid w:val="005D35E5"/>
    <w:rsid w:val="005D36D6"/>
    <w:rsid w:val="005D3814"/>
    <w:rsid w:val="005D3961"/>
    <w:rsid w:val="005D397B"/>
    <w:rsid w:val="005D3B11"/>
    <w:rsid w:val="005D48E9"/>
    <w:rsid w:val="005D4B7D"/>
    <w:rsid w:val="005D4DA0"/>
    <w:rsid w:val="005D4E44"/>
    <w:rsid w:val="005D5145"/>
    <w:rsid w:val="005D51CD"/>
    <w:rsid w:val="005D534B"/>
    <w:rsid w:val="005D55A8"/>
    <w:rsid w:val="005D55F3"/>
    <w:rsid w:val="005D5B00"/>
    <w:rsid w:val="005D5CE8"/>
    <w:rsid w:val="005D5E15"/>
    <w:rsid w:val="005D5F5E"/>
    <w:rsid w:val="005D61CD"/>
    <w:rsid w:val="005D6551"/>
    <w:rsid w:val="005D66A7"/>
    <w:rsid w:val="005D7393"/>
    <w:rsid w:val="005D73C8"/>
    <w:rsid w:val="005D740B"/>
    <w:rsid w:val="005D76EE"/>
    <w:rsid w:val="005D78E5"/>
    <w:rsid w:val="005D7AEF"/>
    <w:rsid w:val="005D7C48"/>
    <w:rsid w:val="005D7C84"/>
    <w:rsid w:val="005D7E3D"/>
    <w:rsid w:val="005E0033"/>
    <w:rsid w:val="005E00A9"/>
    <w:rsid w:val="005E0564"/>
    <w:rsid w:val="005E06F7"/>
    <w:rsid w:val="005E07E6"/>
    <w:rsid w:val="005E08B4"/>
    <w:rsid w:val="005E0C87"/>
    <w:rsid w:val="005E0D75"/>
    <w:rsid w:val="005E0D8E"/>
    <w:rsid w:val="005E0EB4"/>
    <w:rsid w:val="005E10A2"/>
    <w:rsid w:val="005E11E4"/>
    <w:rsid w:val="005E11E8"/>
    <w:rsid w:val="005E1413"/>
    <w:rsid w:val="005E18CF"/>
    <w:rsid w:val="005E1931"/>
    <w:rsid w:val="005E19B4"/>
    <w:rsid w:val="005E1AB3"/>
    <w:rsid w:val="005E216C"/>
    <w:rsid w:val="005E2307"/>
    <w:rsid w:val="005E2462"/>
    <w:rsid w:val="005E247A"/>
    <w:rsid w:val="005E2804"/>
    <w:rsid w:val="005E28BF"/>
    <w:rsid w:val="005E293F"/>
    <w:rsid w:val="005E2CC6"/>
    <w:rsid w:val="005E2CCB"/>
    <w:rsid w:val="005E30CC"/>
    <w:rsid w:val="005E31DF"/>
    <w:rsid w:val="005E3251"/>
    <w:rsid w:val="005E3583"/>
    <w:rsid w:val="005E38E6"/>
    <w:rsid w:val="005E3AAC"/>
    <w:rsid w:val="005E3ABE"/>
    <w:rsid w:val="005E3DC8"/>
    <w:rsid w:val="005E3DEA"/>
    <w:rsid w:val="005E3F99"/>
    <w:rsid w:val="005E4619"/>
    <w:rsid w:val="005E4788"/>
    <w:rsid w:val="005E4892"/>
    <w:rsid w:val="005E4B5A"/>
    <w:rsid w:val="005E4DD4"/>
    <w:rsid w:val="005E4E7A"/>
    <w:rsid w:val="005E4EEB"/>
    <w:rsid w:val="005E535C"/>
    <w:rsid w:val="005E5491"/>
    <w:rsid w:val="005E54CC"/>
    <w:rsid w:val="005E5769"/>
    <w:rsid w:val="005E5D31"/>
    <w:rsid w:val="005E5E9E"/>
    <w:rsid w:val="005E5FF7"/>
    <w:rsid w:val="005E623C"/>
    <w:rsid w:val="005E689F"/>
    <w:rsid w:val="005E69D4"/>
    <w:rsid w:val="005E6CBA"/>
    <w:rsid w:val="005E6DA4"/>
    <w:rsid w:val="005E6F6A"/>
    <w:rsid w:val="005E6FD5"/>
    <w:rsid w:val="005E700E"/>
    <w:rsid w:val="005E7308"/>
    <w:rsid w:val="005E734F"/>
    <w:rsid w:val="005E7536"/>
    <w:rsid w:val="005E7670"/>
    <w:rsid w:val="005E78A8"/>
    <w:rsid w:val="005E7A67"/>
    <w:rsid w:val="005E7DB1"/>
    <w:rsid w:val="005E7F68"/>
    <w:rsid w:val="005F0015"/>
    <w:rsid w:val="005F0157"/>
    <w:rsid w:val="005F0209"/>
    <w:rsid w:val="005F034A"/>
    <w:rsid w:val="005F036F"/>
    <w:rsid w:val="005F0376"/>
    <w:rsid w:val="005F0378"/>
    <w:rsid w:val="005F045C"/>
    <w:rsid w:val="005F0515"/>
    <w:rsid w:val="005F08B5"/>
    <w:rsid w:val="005F0957"/>
    <w:rsid w:val="005F09B9"/>
    <w:rsid w:val="005F0B85"/>
    <w:rsid w:val="005F0BFD"/>
    <w:rsid w:val="005F0D80"/>
    <w:rsid w:val="005F11AB"/>
    <w:rsid w:val="005F152A"/>
    <w:rsid w:val="005F16DB"/>
    <w:rsid w:val="005F1902"/>
    <w:rsid w:val="005F1D8C"/>
    <w:rsid w:val="005F201C"/>
    <w:rsid w:val="005F20CF"/>
    <w:rsid w:val="005F22CA"/>
    <w:rsid w:val="005F22F8"/>
    <w:rsid w:val="005F2339"/>
    <w:rsid w:val="005F24D5"/>
    <w:rsid w:val="005F2D9E"/>
    <w:rsid w:val="005F2DAA"/>
    <w:rsid w:val="005F2E10"/>
    <w:rsid w:val="005F2F49"/>
    <w:rsid w:val="005F2F52"/>
    <w:rsid w:val="005F30A9"/>
    <w:rsid w:val="005F350E"/>
    <w:rsid w:val="005F35C6"/>
    <w:rsid w:val="005F3B32"/>
    <w:rsid w:val="005F3EBB"/>
    <w:rsid w:val="005F3EE7"/>
    <w:rsid w:val="005F4730"/>
    <w:rsid w:val="005F4813"/>
    <w:rsid w:val="005F52FD"/>
    <w:rsid w:val="005F5300"/>
    <w:rsid w:val="005F5429"/>
    <w:rsid w:val="005F5467"/>
    <w:rsid w:val="005F597F"/>
    <w:rsid w:val="005F5A93"/>
    <w:rsid w:val="005F5BFB"/>
    <w:rsid w:val="005F5E05"/>
    <w:rsid w:val="005F60B3"/>
    <w:rsid w:val="005F657E"/>
    <w:rsid w:val="005F6944"/>
    <w:rsid w:val="005F6AB7"/>
    <w:rsid w:val="005F6E41"/>
    <w:rsid w:val="005F6FC3"/>
    <w:rsid w:val="005F7193"/>
    <w:rsid w:val="005F71BF"/>
    <w:rsid w:val="005F7707"/>
    <w:rsid w:val="005F779B"/>
    <w:rsid w:val="005F7876"/>
    <w:rsid w:val="005F79AE"/>
    <w:rsid w:val="005F7A0F"/>
    <w:rsid w:val="005F7A2E"/>
    <w:rsid w:val="005F7BDA"/>
    <w:rsid w:val="005F7EFB"/>
    <w:rsid w:val="006003C8"/>
    <w:rsid w:val="00600619"/>
    <w:rsid w:val="00600841"/>
    <w:rsid w:val="00600888"/>
    <w:rsid w:val="006008B8"/>
    <w:rsid w:val="00600FDD"/>
    <w:rsid w:val="0060166D"/>
    <w:rsid w:val="006016ED"/>
    <w:rsid w:val="00601A7E"/>
    <w:rsid w:val="00601BF1"/>
    <w:rsid w:val="00601D98"/>
    <w:rsid w:val="00601E7E"/>
    <w:rsid w:val="00602047"/>
    <w:rsid w:val="006021B0"/>
    <w:rsid w:val="0060224E"/>
    <w:rsid w:val="006023AF"/>
    <w:rsid w:val="006027A6"/>
    <w:rsid w:val="00602CEA"/>
    <w:rsid w:val="00602D59"/>
    <w:rsid w:val="00602D92"/>
    <w:rsid w:val="00602FC7"/>
    <w:rsid w:val="0060326C"/>
    <w:rsid w:val="0060353C"/>
    <w:rsid w:val="00603544"/>
    <w:rsid w:val="00603B81"/>
    <w:rsid w:val="006040F6"/>
    <w:rsid w:val="0060410A"/>
    <w:rsid w:val="006047CD"/>
    <w:rsid w:val="006047ED"/>
    <w:rsid w:val="006048A1"/>
    <w:rsid w:val="0060497A"/>
    <w:rsid w:val="00604A30"/>
    <w:rsid w:val="00604B92"/>
    <w:rsid w:val="00604DF4"/>
    <w:rsid w:val="00604EF7"/>
    <w:rsid w:val="006050D5"/>
    <w:rsid w:val="006053EB"/>
    <w:rsid w:val="006058B2"/>
    <w:rsid w:val="00605A61"/>
    <w:rsid w:val="00605D44"/>
    <w:rsid w:val="006061FA"/>
    <w:rsid w:val="0060643C"/>
    <w:rsid w:val="00606D97"/>
    <w:rsid w:val="00606DBD"/>
    <w:rsid w:val="00606E08"/>
    <w:rsid w:val="00606ED4"/>
    <w:rsid w:val="00606F7E"/>
    <w:rsid w:val="00606F9A"/>
    <w:rsid w:val="00607198"/>
    <w:rsid w:val="00607240"/>
    <w:rsid w:val="0060747A"/>
    <w:rsid w:val="00607595"/>
    <w:rsid w:val="006075FF"/>
    <w:rsid w:val="00607801"/>
    <w:rsid w:val="00607969"/>
    <w:rsid w:val="00607B01"/>
    <w:rsid w:val="00607DE7"/>
    <w:rsid w:val="00610197"/>
    <w:rsid w:val="00610258"/>
    <w:rsid w:val="00610774"/>
    <w:rsid w:val="00610A63"/>
    <w:rsid w:val="00610BCF"/>
    <w:rsid w:val="00610CC8"/>
    <w:rsid w:val="006112D5"/>
    <w:rsid w:val="0061136B"/>
    <w:rsid w:val="00611603"/>
    <w:rsid w:val="00611A77"/>
    <w:rsid w:val="00611C53"/>
    <w:rsid w:val="00611D5C"/>
    <w:rsid w:val="006124CE"/>
    <w:rsid w:val="00612646"/>
    <w:rsid w:val="00612B9D"/>
    <w:rsid w:val="006130E5"/>
    <w:rsid w:val="00613350"/>
    <w:rsid w:val="00613583"/>
    <w:rsid w:val="00613742"/>
    <w:rsid w:val="006137A9"/>
    <w:rsid w:val="00613B48"/>
    <w:rsid w:val="00613C3E"/>
    <w:rsid w:val="00613DD4"/>
    <w:rsid w:val="006140A2"/>
    <w:rsid w:val="00614BFD"/>
    <w:rsid w:val="00614DC0"/>
    <w:rsid w:val="00614E29"/>
    <w:rsid w:val="006151E0"/>
    <w:rsid w:val="00615329"/>
    <w:rsid w:val="00615444"/>
    <w:rsid w:val="006155BD"/>
    <w:rsid w:val="006156C1"/>
    <w:rsid w:val="00615BB5"/>
    <w:rsid w:val="00615EDF"/>
    <w:rsid w:val="006161D6"/>
    <w:rsid w:val="006163B7"/>
    <w:rsid w:val="00616538"/>
    <w:rsid w:val="00616625"/>
    <w:rsid w:val="00616F4C"/>
    <w:rsid w:val="00617102"/>
    <w:rsid w:val="006171B2"/>
    <w:rsid w:val="006174AB"/>
    <w:rsid w:val="006176D7"/>
    <w:rsid w:val="006178CD"/>
    <w:rsid w:val="00617957"/>
    <w:rsid w:val="00617CA6"/>
    <w:rsid w:val="00617E32"/>
    <w:rsid w:val="006200D2"/>
    <w:rsid w:val="0062012C"/>
    <w:rsid w:val="00620512"/>
    <w:rsid w:val="00620725"/>
    <w:rsid w:val="00620BEE"/>
    <w:rsid w:val="006211E7"/>
    <w:rsid w:val="006214B3"/>
    <w:rsid w:val="0062169B"/>
    <w:rsid w:val="0062180B"/>
    <w:rsid w:val="0062189D"/>
    <w:rsid w:val="00621D52"/>
    <w:rsid w:val="00621E7C"/>
    <w:rsid w:val="00621EE3"/>
    <w:rsid w:val="00622294"/>
    <w:rsid w:val="00622398"/>
    <w:rsid w:val="006223D4"/>
    <w:rsid w:val="006224F4"/>
    <w:rsid w:val="00622588"/>
    <w:rsid w:val="0062272B"/>
    <w:rsid w:val="00622839"/>
    <w:rsid w:val="00622AAA"/>
    <w:rsid w:val="00622B37"/>
    <w:rsid w:val="00622C41"/>
    <w:rsid w:val="00622E77"/>
    <w:rsid w:val="00622F43"/>
    <w:rsid w:val="0062319A"/>
    <w:rsid w:val="006232D7"/>
    <w:rsid w:val="006232F3"/>
    <w:rsid w:val="00623710"/>
    <w:rsid w:val="00623BED"/>
    <w:rsid w:val="00623C36"/>
    <w:rsid w:val="00623DBD"/>
    <w:rsid w:val="00623E03"/>
    <w:rsid w:val="00623E4C"/>
    <w:rsid w:val="00623F1B"/>
    <w:rsid w:val="006241E2"/>
    <w:rsid w:val="00624534"/>
    <w:rsid w:val="0062499B"/>
    <w:rsid w:val="00624B65"/>
    <w:rsid w:val="00624CA8"/>
    <w:rsid w:val="006251BD"/>
    <w:rsid w:val="006253CF"/>
    <w:rsid w:val="00625401"/>
    <w:rsid w:val="0062558F"/>
    <w:rsid w:val="0062567A"/>
    <w:rsid w:val="006258C0"/>
    <w:rsid w:val="00625930"/>
    <w:rsid w:val="006259A7"/>
    <w:rsid w:val="006259B3"/>
    <w:rsid w:val="00625C09"/>
    <w:rsid w:val="00625D58"/>
    <w:rsid w:val="00626854"/>
    <w:rsid w:val="00626B73"/>
    <w:rsid w:val="0062735C"/>
    <w:rsid w:val="00627A00"/>
    <w:rsid w:val="00627A6B"/>
    <w:rsid w:val="00627E72"/>
    <w:rsid w:val="00630045"/>
    <w:rsid w:val="0063011A"/>
    <w:rsid w:val="0063041D"/>
    <w:rsid w:val="00630852"/>
    <w:rsid w:val="0063096C"/>
    <w:rsid w:val="00630BA1"/>
    <w:rsid w:val="00630D56"/>
    <w:rsid w:val="00630E93"/>
    <w:rsid w:val="0063130A"/>
    <w:rsid w:val="0063143E"/>
    <w:rsid w:val="006314D6"/>
    <w:rsid w:val="00631AF2"/>
    <w:rsid w:val="006322B5"/>
    <w:rsid w:val="0063269B"/>
    <w:rsid w:val="006329A7"/>
    <w:rsid w:val="00632B49"/>
    <w:rsid w:val="00632C09"/>
    <w:rsid w:val="00632D3F"/>
    <w:rsid w:val="00633095"/>
    <w:rsid w:val="006334CA"/>
    <w:rsid w:val="0063399A"/>
    <w:rsid w:val="006339C4"/>
    <w:rsid w:val="006339EF"/>
    <w:rsid w:val="00633A57"/>
    <w:rsid w:val="00633BEA"/>
    <w:rsid w:val="00633C91"/>
    <w:rsid w:val="0063406C"/>
    <w:rsid w:val="00634072"/>
    <w:rsid w:val="006343F1"/>
    <w:rsid w:val="00634598"/>
    <w:rsid w:val="00634779"/>
    <w:rsid w:val="006347D4"/>
    <w:rsid w:val="00634CC0"/>
    <w:rsid w:val="0063512B"/>
    <w:rsid w:val="00635465"/>
    <w:rsid w:val="00635603"/>
    <w:rsid w:val="00635696"/>
    <w:rsid w:val="00635743"/>
    <w:rsid w:val="00635906"/>
    <w:rsid w:val="00635C6E"/>
    <w:rsid w:val="00635CDE"/>
    <w:rsid w:val="00635D92"/>
    <w:rsid w:val="00635E3A"/>
    <w:rsid w:val="006360B4"/>
    <w:rsid w:val="006360D8"/>
    <w:rsid w:val="00636423"/>
    <w:rsid w:val="006365F5"/>
    <w:rsid w:val="00636A3B"/>
    <w:rsid w:val="00636FF9"/>
    <w:rsid w:val="00637156"/>
    <w:rsid w:val="006371A6"/>
    <w:rsid w:val="00637273"/>
    <w:rsid w:val="006375C7"/>
    <w:rsid w:val="0063775A"/>
    <w:rsid w:val="00637875"/>
    <w:rsid w:val="00637B70"/>
    <w:rsid w:val="00637E7C"/>
    <w:rsid w:val="0064032B"/>
    <w:rsid w:val="00640563"/>
    <w:rsid w:val="00640878"/>
    <w:rsid w:val="00640C07"/>
    <w:rsid w:val="00640DF1"/>
    <w:rsid w:val="00640F8B"/>
    <w:rsid w:val="00641316"/>
    <w:rsid w:val="006416A5"/>
    <w:rsid w:val="00641724"/>
    <w:rsid w:val="0064187F"/>
    <w:rsid w:val="00641EC9"/>
    <w:rsid w:val="00641FA9"/>
    <w:rsid w:val="006424E5"/>
    <w:rsid w:val="00642732"/>
    <w:rsid w:val="00642A4A"/>
    <w:rsid w:val="00642B14"/>
    <w:rsid w:val="00642E45"/>
    <w:rsid w:val="00642E74"/>
    <w:rsid w:val="0064331A"/>
    <w:rsid w:val="00643780"/>
    <w:rsid w:val="00643833"/>
    <w:rsid w:val="00643B9A"/>
    <w:rsid w:val="00644018"/>
    <w:rsid w:val="0064408D"/>
    <w:rsid w:val="00644561"/>
    <w:rsid w:val="00644566"/>
    <w:rsid w:val="006447C1"/>
    <w:rsid w:val="006448B8"/>
    <w:rsid w:val="00644A7B"/>
    <w:rsid w:val="00644C63"/>
    <w:rsid w:val="00644D5F"/>
    <w:rsid w:val="00644EAC"/>
    <w:rsid w:val="00645051"/>
    <w:rsid w:val="00645993"/>
    <w:rsid w:val="00645C67"/>
    <w:rsid w:val="00645DAB"/>
    <w:rsid w:val="00645F72"/>
    <w:rsid w:val="0064602C"/>
    <w:rsid w:val="00646156"/>
    <w:rsid w:val="00646371"/>
    <w:rsid w:val="0064675B"/>
    <w:rsid w:val="0064680D"/>
    <w:rsid w:val="00646B60"/>
    <w:rsid w:val="00646BE7"/>
    <w:rsid w:val="00646D92"/>
    <w:rsid w:val="00646D9B"/>
    <w:rsid w:val="006471BA"/>
    <w:rsid w:val="006471F1"/>
    <w:rsid w:val="00647350"/>
    <w:rsid w:val="006476F0"/>
    <w:rsid w:val="00647711"/>
    <w:rsid w:val="0064781D"/>
    <w:rsid w:val="00647827"/>
    <w:rsid w:val="006479FB"/>
    <w:rsid w:val="00647C1F"/>
    <w:rsid w:val="00647D25"/>
    <w:rsid w:val="00647EC8"/>
    <w:rsid w:val="00650121"/>
    <w:rsid w:val="006501DD"/>
    <w:rsid w:val="006504B1"/>
    <w:rsid w:val="006505F3"/>
    <w:rsid w:val="006509E6"/>
    <w:rsid w:val="00650A17"/>
    <w:rsid w:val="00650ADA"/>
    <w:rsid w:val="00650C7B"/>
    <w:rsid w:val="006511A2"/>
    <w:rsid w:val="006511FB"/>
    <w:rsid w:val="006513F1"/>
    <w:rsid w:val="0065162C"/>
    <w:rsid w:val="00651671"/>
    <w:rsid w:val="00651A62"/>
    <w:rsid w:val="00652320"/>
    <w:rsid w:val="006524BE"/>
    <w:rsid w:val="00652665"/>
    <w:rsid w:val="006526D9"/>
    <w:rsid w:val="00652A5A"/>
    <w:rsid w:val="00652BD3"/>
    <w:rsid w:val="00653084"/>
    <w:rsid w:val="00653108"/>
    <w:rsid w:val="00653867"/>
    <w:rsid w:val="00653897"/>
    <w:rsid w:val="00653A41"/>
    <w:rsid w:val="00654017"/>
    <w:rsid w:val="00654058"/>
    <w:rsid w:val="006542EE"/>
    <w:rsid w:val="0065431E"/>
    <w:rsid w:val="00654679"/>
    <w:rsid w:val="00654747"/>
    <w:rsid w:val="00654A6F"/>
    <w:rsid w:val="00654B81"/>
    <w:rsid w:val="00654C82"/>
    <w:rsid w:val="00655151"/>
    <w:rsid w:val="006553C1"/>
    <w:rsid w:val="006555E5"/>
    <w:rsid w:val="00655618"/>
    <w:rsid w:val="00655676"/>
    <w:rsid w:val="00655682"/>
    <w:rsid w:val="006558DC"/>
    <w:rsid w:val="00655AE3"/>
    <w:rsid w:val="00655D28"/>
    <w:rsid w:val="00655DE2"/>
    <w:rsid w:val="00655FD4"/>
    <w:rsid w:val="00655FDF"/>
    <w:rsid w:val="00656543"/>
    <w:rsid w:val="006567AF"/>
    <w:rsid w:val="006567D6"/>
    <w:rsid w:val="00656A93"/>
    <w:rsid w:val="00656C03"/>
    <w:rsid w:val="00656C74"/>
    <w:rsid w:val="00657096"/>
    <w:rsid w:val="006572AF"/>
    <w:rsid w:val="00657B22"/>
    <w:rsid w:val="00657EBD"/>
    <w:rsid w:val="00660068"/>
    <w:rsid w:val="00660096"/>
    <w:rsid w:val="00660683"/>
    <w:rsid w:val="0066086D"/>
    <w:rsid w:val="006609B1"/>
    <w:rsid w:val="00660C6A"/>
    <w:rsid w:val="00660E2F"/>
    <w:rsid w:val="00660EE1"/>
    <w:rsid w:val="006610FE"/>
    <w:rsid w:val="006612E6"/>
    <w:rsid w:val="00661645"/>
    <w:rsid w:val="00661860"/>
    <w:rsid w:val="00661B09"/>
    <w:rsid w:val="00661C1F"/>
    <w:rsid w:val="00661D3B"/>
    <w:rsid w:val="00661F77"/>
    <w:rsid w:val="0066264F"/>
    <w:rsid w:val="006626F8"/>
    <w:rsid w:val="00662B19"/>
    <w:rsid w:val="00662BA7"/>
    <w:rsid w:val="00662DD8"/>
    <w:rsid w:val="00662E37"/>
    <w:rsid w:val="00662F18"/>
    <w:rsid w:val="00663417"/>
    <w:rsid w:val="00663462"/>
    <w:rsid w:val="0066354F"/>
    <w:rsid w:val="00663B58"/>
    <w:rsid w:val="00663B6F"/>
    <w:rsid w:val="00663BCF"/>
    <w:rsid w:val="00663F54"/>
    <w:rsid w:val="006647EE"/>
    <w:rsid w:val="006649CD"/>
    <w:rsid w:val="00664A06"/>
    <w:rsid w:val="00664A19"/>
    <w:rsid w:val="00664A80"/>
    <w:rsid w:val="00664A84"/>
    <w:rsid w:val="00664E3C"/>
    <w:rsid w:val="0066515D"/>
    <w:rsid w:val="0066519B"/>
    <w:rsid w:val="006651E4"/>
    <w:rsid w:val="006651FB"/>
    <w:rsid w:val="0066556B"/>
    <w:rsid w:val="00665706"/>
    <w:rsid w:val="006658A1"/>
    <w:rsid w:val="00665936"/>
    <w:rsid w:val="00665C4D"/>
    <w:rsid w:val="00665ED4"/>
    <w:rsid w:val="006660C9"/>
    <w:rsid w:val="0066653A"/>
    <w:rsid w:val="006666BE"/>
    <w:rsid w:val="00666C18"/>
    <w:rsid w:val="00667597"/>
    <w:rsid w:val="00667959"/>
    <w:rsid w:val="006679C1"/>
    <w:rsid w:val="00667ADD"/>
    <w:rsid w:val="00670573"/>
    <w:rsid w:val="006705C6"/>
    <w:rsid w:val="00670C8B"/>
    <w:rsid w:val="00671141"/>
    <w:rsid w:val="006711EB"/>
    <w:rsid w:val="006711FD"/>
    <w:rsid w:val="00671604"/>
    <w:rsid w:val="006719D0"/>
    <w:rsid w:val="00671E64"/>
    <w:rsid w:val="0067294B"/>
    <w:rsid w:val="006729C5"/>
    <w:rsid w:val="00672D43"/>
    <w:rsid w:val="006732CD"/>
    <w:rsid w:val="0067346D"/>
    <w:rsid w:val="00673618"/>
    <w:rsid w:val="00673BED"/>
    <w:rsid w:val="0067420C"/>
    <w:rsid w:val="006742C3"/>
    <w:rsid w:val="006745A8"/>
    <w:rsid w:val="0067460C"/>
    <w:rsid w:val="00674624"/>
    <w:rsid w:val="0067472D"/>
    <w:rsid w:val="00674ACD"/>
    <w:rsid w:val="00674D96"/>
    <w:rsid w:val="00674F72"/>
    <w:rsid w:val="0067509B"/>
    <w:rsid w:val="00675346"/>
    <w:rsid w:val="00675C03"/>
    <w:rsid w:val="00675C0A"/>
    <w:rsid w:val="00675F33"/>
    <w:rsid w:val="0067631A"/>
    <w:rsid w:val="0067642E"/>
    <w:rsid w:val="00676452"/>
    <w:rsid w:val="0067646D"/>
    <w:rsid w:val="0067646E"/>
    <w:rsid w:val="0067682A"/>
    <w:rsid w:val="00676AF9"/>
    <w:rsid w:val="00676BF6"/>
    <w:rsid w:val="00676C72"/>
    <w:rsid w:val="00677101"/>
    <w:rsid w:val="006773E2"/>
    <w:rsid w:val="00677903"/>
    <w:rsid w:val="00677A0C"/>
    <w:rsid w:val="00677D5F"/>
    <w:rsid w:val="00677EE3"/>
    <w:rsid w:val="00677F45"/>
    <w:rsid w:val="00680236"/>
    <w:rsid w:val="00680444"/>
    <w:rsid w:val="006806BD"/>
    <w:rsid w:val="00680A1F"/>
    <w:rsid w:val="00680C87"/>
    <w:rsid w:val="00680E32"/>
    <w:rsid w:val="00680EA6"/>
    <w:rsid w:val="0068132C"/>
    <w:rsid w:val="00681A94"/>
    <w:rsid w:val="00682125"/>
    <w:rsid w:val="00682266"/>
    <w:rsid w:val="00682706"/>
    <w:rsid w:val="00682A34"/>
    <w:rsid w:val="00682C5A"/>
    <w:rsid w:val="00682D72"/>
    <w:rsid w:val="0068313C"/>
    <w:rsid w:val="006832C5"/>
    <w:rsid w:val="006832FB"/>
    <w:rsid w:val="00683434"/>
    <w:rsid w:val="00683615"/>
    <w:rsid w:val="00683733"/>
    <w:rsid w:val="006838F9"/>
    <w:rsid w:val="00683981"/>
    <w:rsid w:val="00683B4F"/>
    <w:rsid w:val="00683B6D"/>
    <w:rsid w:val="00683DD0"/>
    <w:rsid w:val="00683E10"/>
    <w:rsid w:val="0068420E"/>
    <w:rsid w:val="00684359"/>
    <w:rsid w:val="0068445D"/>
    <w:rsid w:val="006844C7"/>
    <w:rsid w:val="00684873"/>
    <w:rsid w:val="00684E1A"/>
    <w:rsid w:val="00684F31"/>
    <w:rsid w:val="006852EB"/>
    <w:rsid w:val="006856D7"/>
    <w:rsid w:val="006857FF"/>
    <w:rsid w:val="0068582E"/>
    <w:rsid w:val="006858BA"/>
    <w:rsid w:val="006859B5"/>
    <w:rsid w:val="00685BD6"/>
    <w:rsid w:val="00685E7D"/>
    <w:rsid w:val="00686051"/>
    <w:rsid w:val="006860E3"/>
    <w:rsid w:val="00686407"/>
    <w:rsid w:val="00686996"/>
    <w:rsid w:val="00686E1C"/>
    <w:rsid w:val="00686EEB"/>
    <w:rsid w:val="0068712D"/>
    <w:rsid w:val="006875E6"/>
    <w:rsid w:val="00687646"/>
    <w:rsid w:val="006876D1"/>
    <w:rsid w:val="00687FD0"/>
    <w:rsid w:val="00690195"/>
    <w:rsid w:val="00690560"/>
    <w:rsid w:val="0069077C"/>
    <w:rsid w:val="006909A1"/>
    <w:rsid w:val="00690A11"/>
    <w:rsid w:val="00690D68"/>
    <w:rsid w:val="00691059"/>
    <w:rsid w:val="006910C5"/>
    <w:rsid w:val="006913B9"/>
    <w:rsid w:val="0069148E"/>
    <w:rsid w:val="00691542"/>
    <w:rsid w:val="00691577"/>
    <w:rsid w:val="006915FB"/>
    <w:rsid w:val="0069177A"/>
    <w:rsid w:val="00691CAD"/>
    <w:rsid w:val="00691D17"/>
    <w:rsid w:val="00691FB8"/>
    <w:rsid w:val="00692030"/>
    <w:rsid w:val="00692419"/>
    <w:rsid w:val="00692421"/>
    <w:rsid w:val="0069274A"/>
    <w:rsid w:val="00692A62"/>
    <w:rsid w:val="00692D37"/>
    <w:rsid w:val="00692DA0"/>
    <w:rsid w:val="00692F23"/>
    <w:rsid w:val="00692FFA"/>
    <w:rsid w:val="006930F6"/>
    <w:rsid w:val="00693214"/>
    <w:rsid w:val="006932CE"/>
    <w:rsid w:val="006933F2"/>
    <w:rsid w:val="006935C3"/>
    <w:rsid w:val="00693A62"/>
    <w:rsid w:val="00693D8B"/>
    <w:rsid w:val="00693E34"/>
    <w:rsid w:val="0069427B"/>
    <w:rsid w:val="006942E5"/>
    <w:rsid w:val="0069447B"/>
    <w:rsid w:val="0069498E"/>
    <w:rsid w:val="00694E83"/>
    <w:rsid w:val="00695019"/>
    <w:rsid w:val="0069528C"/>
    <w:rsid w:val="00695B50"/>
    <w:rsid w:val="00696083"/>
    <w:rsid w:val="00696906"/>
    <w:rsid w:val="0069690A"/>
    <w:rsid w:val="0069692C"/>
    <w:rsid w:val="00696A90"/>
    <w:rsid w:val="00696DB1"/>
    <w:rsid w:val="00696E66"/>
    <w:rsid w:val="00696E67"/>
    <w:rsid w:val="00697080"/>
    <w:rsid w:val="006970F3"/>
    <w:rsid w:val="006970FB"/>
    <w:rsid w:val="0069734C"/>
    <w:rsid w:val="00697448"/>
    <w:rsid w:val="0069768E"/>
    <w:rsid w:val="00697704"/>
    <w:rsid w:val="006977F8"/>
    <w:rsid w:val="00697CB3"/>
    <w:rsid w:val="00697CC0"/>
    <w:rsid w:val="00697D39"/>
    <w:rsid w:val="00697FFC"/>
    <w:rsid w:val="006A028C"/>
    <w:rsid w:val="006A0346"/>
    <w:rsid w:val="006A03AE"/>
    <w:rsid w:val="006A0656"/>
    <w:rsid w:val="006A09C4"/>
    <w:rsid w:val="006A09FD"/>
    <w:rsid w:val="006A0C88"/>
    <w:rsid w:val="006A10F4"/>
    <w:rsid w:val="006A14DA"/>
    <w:rsid w:val="006A1A38"/>
    <w:rsid w:val="006A1BA7"/>
    <w:rsid w:val="006A1FB6"/>
    <w:rsid w:val="006A1FFD"/>
    <w:rsid w:val="006A2232"/>
    <w:rsid w:val="006A2241"/>
    <w:rsid w:val="006A2300"/>
    <w:rsid w:val="006A2369"/>
    <w:rsid w:val="006A2483"/>
    <w:rsid w:val="006A24BD"/>
    <w:rsid w:val="006A24F8"/>
    <w:rsid w:val="006A2B80"/>
    <w:rsid w:val="006A2E88"/>
    <w:rsid w:val="006A32EF"/>
    <w:rsid w:val="006A35A9"/>
    <w:rsid w:val="006A372D"/>
    <w:rsid w:val="006A3DED"/>
    <w:rsid w:val="006A3E9B"/>
    <w:rsid w:val="006A3F5C"/>
    <w:rsid w:val="006A3F74"/>
    <w:rsid w:val="006A4395"/>
    <w:rsid w:val="006A455F"/>
    <w:rsid w:val="006A461E"/>
    <w:rsid w:val="006A487E"/>
    <w:rsid w:val="006A4CD4"/>
    <w:rsid w:val="006A4E0B"/>
    <w:rsid w:val="006A5069"/>
    <w:rsid w:val="006A52D2"/>
    <w:rsid w:val="006A5566"/>
    <w:rsid w:val="006A5A28"/>
    <w:rsid w:val="006A5C96"/>
    <w:rsid w:val="006A5E45"/>
    <w:rsid w:val="006A6074"/>
    <w:rsid w:val="006A64CF"/>
    <w:rsid w:val="006A657A"/>
    <w:rsid w:val="006A6634"/>
    <w:rsid w:val="006A698D"/>
    <w:rsid w:val="006A6A7C"/>
    <w:rsid w:val="006A6EE6"/>
    <w:rsid w:val="006A7038"/>
    <w:rsid w:val="006A7101"/>
    <w:rsid w:val="006A71A7"/>
    <w:rsid w:val="006A724B"/>
    <w:rsid w:val="006A73BF"/>
    <w:rsid w:val="006A7494"/>
    <w:rsid w:val="006A7713"/>
    <w:rsid w:val="006A79CF"/>
    <w:rsid w:val="006A7DFD"/>
    <w:rsid w:val="006B0053"/>
    <w:rsid w:val="006B01DB"/>
    <w:rsid w:val="006B0260"/>
    <w:rsid w:val="006B033C"/>
    <w:rsid w:val="006B0593"/>
    <w:rsid w:val="006B0761"/>
    <w:rsid w:val="006B0E90"/>
    <w:rsid w:val="006B112C"/>
    <w:rsid w:val="006B14A7"/>
    <w:rsid w:val="006B1726"/>
    <w:rsid w:val="006B1885"/>
    <w:rsid w:val="006B1985"/>
    <w:rsid w:val="006B20A5"/>
    <w:rsid w:val="006B20D8"/>
    <w:rsid w:val="006B2302"/>
    <w:rsid w:val="006B23EA"/>
    <w:rsid w:val="006B23F6"/>
    <w:rsid w:val="006B26E1"/>
    <w:rsid w:val="006B28F0"/>
    <w:rsid w:val="006B29FA"/>
    <w:rsid w:val="006B2C60"/>
    <w:rsid w:val="006B2DD1"/>
    <w:rsid w:val="006B2DEE"/>
    <w:rsid w:val="006B3472"/>
    <w:rsid w:val="006B3655"/>
    <w:rsid w:val="006B38F2"/>
    <w:rsid w:val="006B39DB"/>
    <w:rsid w:val="006B3D5C"/>
    <w:rsid w:val="006B3ED2"/>
    <w:rsid w:val="006B41B1"/>
    <w:rsid w:val="006B478F"/>
    <w:rsid w:val="006B4981"/>
    <w:rsid w:val="006B49EC"/>
    <w:rsid w:val="006B4AEB"/>
    <w:rsid w:val="006B4B98"/>
    <w:rsid w:val="006B4C8A"/>
    <w:rsid w:val="006B4CE7"/>
    <w:rsid w:val="006B53A9"/>
    <w:rsid w:val="006B55A5"/>
    <w:rsid w:val="006B5E03"/>
    <w:rsid w:val="006B5E9E"/>
    <w:rsid w:val="006B5F13"/>
    <w:rsid w:val="006B60E6"/>
    <w:rsid w:val="006B653A"/>
    <w:rsid w:val="006B6667"/>
    <w:rsid w:val="006B6C69"/>
    <w:rsid w:val="006B6D95"/>
    <w:rsid w:val="006B7085"/>
    <w:rsid w:val="006B7A49"/>
    <w:rsid w:val="006B7C04"/>
    <w:rsid w:val="006C0111"/>
    <w:rsid w:val="006C046E"/>
    <w:rsid w:val="006C07B8"/>
    <w:rsid w:val="006C09A4"/>
    <w:rsid w:val="006C0D4A"/>
    <w:rsid w:val="006C0E16"/>
    <w:rsid w:val="006C0E76"/>
    <w:rsid w:val="006C1275"/>
    <w:rsid w:val="006C1535"/>
    <w:rsid w:val="006C15EF"/>
    <w:rsid w:val="006C16BC"/>
    <w:rsid w:val="006C193A"/>
    <w:rsid w:val="006C19DA"/>
    <w:rsid w:val="006C1CFF"/>
    <w:rsid w:val="006C1F93"/>
    <w:rsid w:val="006C1FD7"/>
    <w:rsid w:val="006C2658"/>
    <w:rsid w:val="006C295C"/>
    <w:rsid w:val="006C29E6"/>
    <w:rsid w:val="006C2D99"/>
    <w:rsid w:val="006C30FD"/>
    <w:rsid w:val="006C33A0"/>
    <w:rsid w:val="006C34EC"/>
    <w:rsid w:val="006C37EE"/>
    <w:rsid w:val="006C38B2"/>
    <w:rsid w:val="006C38F5"/>
    <w:rsid w:val="006C3A76"/>
    <w:rsid w:val="006C4046"/>
    <w:rsid w:val="006C40D6"/>
    <w:rsid w:val="006C436E"/>
    <w:rsid w:val="006C4586"/>
    <w:rsid w:val="006C47D7"/>
    <w:rsid w:val="006C4C5C"/>
    <w:rsid w:val="006C4CC1"/>
    <w:rsid w:val="006C4D99"/>
    <w:rsid w:val="006C4F8E"/>
    <w:rsid w:val="006C5091"/>
    <w:rsid w:val="006C532E"/>
    <w:rsid w:val="006C54D6"/>
    <w:rsid w:val="006C56BF"/>
    <w:rsid w:val="006C598C"/>
    <w:rsid w:val="006C5A2F"/>
    <w:rsid w:val="006C5A4E"/>
    <w:rsid w:val="006C5B74"/>
    <w:rsid w:val="006C5CD6"/>
    <w:rsid w:val="006C6020"/>
    <w:rsid w:val="006C61C9"/>
    <w:rsid w:val="006C6243"/>
    <w:rsid w:val="006C639F"/>
    <w:rsid w:val="006C6499"/>
    <w:rsid w:val="006C6872"/>
    <w:rsid w:val="006C69B5"/>
    <w:rsid w:val="006C6E85"/>
    <w:rsid w:val="006C7267"/>
    <w:rsid w:val="006C733B"/>
    <w:rsid w:val="006C73EC"/>
    <w:rsid w:val="006C7442"/>
    <w:rsid w:val="006C751F"/>
    <w:rsid w:val="006C75F7"/>
    <w:rsid w:val="006C762E"/>
    <w:rsid w:val="006C7A01"/>
    <w:rsid w:val="006C7B30"/>
    <w:rsid w:val="006C7C04"/>
    <w:rsid w:val="006C7C17"/>
    <w:rsid w:val="006D001C"/>
    <w:rsid w:val="006D0090"/>
    <w:rsid w:val="006D0495"/>
    <w:rsid w:val="006D051A"/>
    <w:rsid w:val="006D06A1"/>
    <w:rsid w:val="006D0738"/>
    <w:rsid w:val="006D092A"/>
    <w:rsid w:val="006D0952"/>
    <w:rsid w:val="006D0AF5"/>
    <w:rsid w:val="006D0BBA"/>
    <w:rsid w:val="006D0C2A"/>
    <w:rsid w:val="006D1216"/>
    <w:rsid w:val="006D128C"/>
    <w:rsid w:val="006D156C"/>
    <w:rsid w:val="006D170B"/>
    <w:rsid w:val="006D1833"/>
    <w:rsid w:val="006D19B2"/>
    <w:rsid w:val="006D1B67"/>
    <w:rsid w:val="006D1E42"/>
    <w:rsid w:val="006D1E5F"/>
    <w:rsid w:val="006D23AF"/>
    <w:rsid w:val="006D23FE"/>
    <w:rsid w:val="006D2733"/>
    <w:rsid w:val="006D29FE"/>
    <w:rsid w:val="006D2BAF"/>
    <w:rsid w:val="006D2EAC"/>
    <w:rsid w:val="006D2FF5"/>
    <w:rsid w:val="006D3067"/>
    <w:rsid w:val="006D30BF"/>
    <w:rsid w:val="006D3407"/>
    <w:rsid w:val="006D374E"/>
    <w:rsid w:val="006D3A08"/>
    <w:rsid w:val="006D3C3E"/>
    <w:rsid w:val="006D3DCE"/>
    <w:rsid w:val="006D3EF4"/>
    <w:rsid w:val="006D42DC"/>
    <w:rsid w:val="006D42FC"/>
    <w:rsid w:val="006D4376"/>
    <w:rsid w:val="006D44E0"/>
    <w:rsid w:val="006D4549"/>
    <w:rsid w:val="006D4820"/>
    <w:rsid w:val="006D4BA4"/>
    <w:rsid w:val="006D4C6B"/>
    <w:rsid w:val="006D4EA1"/>
    <w:rsid w:val="006D4EC9"/>
    <w:rsid w:val="006D4EF6"/>
    <w:rsid w:val="006D4FEF"/>
    <w:rsid w:val="006D503B"/>
    <w:rsid w:val="006D565C"/>
    <w:rsid w:val="006D56C1"/>
    <w:rsid w:val="006D5906"/>
    <w:rsid w:val="006D59B6"/>
    <w:rsid w:val="006D5B8C"/>
    <w:rsid w:val="006D6081"/>
    <w:rsid w:val="006D6163"/>
    <w:rsid w:val="006D619F"/>
    <w:rsid w:val="006D6350"/>
    <w:rsid w:val="006D665E"/>
    <w:rsid w:val="006D6C66"/>
    <w:rsid w:val="006D6D71"/>
    <w:rsid w:val="006D6E6C"/>
    <w:rsid w:val="006D6F87"/>
    <w:rsid w:val="006D71C4"/>
    <w:rsid w:val="006D7204"/>
    <w:rsid w:val="006D7280"/>
    <w:rsid w:val="006D75B3"/>
    <w:rsid w:val="006D7716"/>
    <w:rsid w:val="006D78D5"/>
    <w:rsid w:val="006D79CB"/>
    <w:rsid w:val="006D7B06"/>
    <w:rsid w:val="006D7C4A"/>
    <w:rsid w:val="006E0006"/>
    <w:rsid w:val="006E000D"/>
    <w:rsid w:val="006E00D2"/>
    <w:rsid w:val="006E0122"/>
    <w:rsid w:val="006E013C"/>
    <w:rsid w:val="006E026C"/>
    <w:rsid w:val="006E0404"/>
    <w:rsid w:val="006E08C3"/>
    <w:rsid w:val="006E0965"/>
    <w:rsid w:val="006E11AF"/>
    <w:rsid w:val="006E1206"/>
    <w:rsid w:val="006E1310"/>
    <w:rsid w:val="006E13DD"/>
    <w:rsid w:val="006E1409"/>
    <w:rsid w:val="006E146A"/>
    <w:rsid w:val="006E1AA7"/>
    <w:rsid w:val="006E1DD4"/>
    <w:rsid w:val="006E1F63"/>
    <w:rsid w:val="006E208B"/>
    <w:rsid w:val="006E220A"/>
    <w:rsid w:val="006E2272"/>
    <w:rsid w:val="006E2282"/>
    <w:rsid w:val="006E2476"/>
    <w:rsid w:val="006E27B3"/>
    <w:rsid w:val="006E2BD5"/>
    <w:rsid w:val="006E2D6E"/>
    <w:rsid w:val="006E2EC2"/>
    <w:rsid w:val="006E341E"/>
    <w:rsid w:val="006E3610"/>
    <w:rsid w:val="006E375A"/>
    <w:rsid w:val="006E38B8"/>
    <w:rsid w:val="006E38B9"/>
    <w:rsid w:val="006E3E95"/>
    <w:rsid w:val="006E3EF1"/>
    <w:rsid w:val="006E3FDB"/>
    <w:rsid w:val="006E42C7"/>
    <w:rsid w:val="006E465D"/>
    <w:rsid w:val="006E47A0"/>
    <w:rsid w:val="006E4934"/>
    <w:rsid w:val="006E4E57"/>
    <w:rsid w:val="006E4F5A"/>
    <w:rsid w:val="006E5147"/>
    <w:rsid w:val="006E52D7"/>
    <w:rsid w:val="006E57A1"/>
    <w:rsid w:val="006E5831"/>
    <w:rsid w:val="006E5A6A"/>
    <w:rsid w:val="006E5BE1"/>
    <w:rsid w:val="006E5BEF"/>
    <w:rsid w:val="006E5E7A"/>
    <w:rsid w:val="006E5E7C"/>
    <w:rsid w:val="006E5F91"/>
    <w:rsid w:val="006E5FA7"/>
    <w:rsid w:val="006E6121"/>
    <w:rsid w:val="006E61AB"/>
    <w:rsid w:val="006E61F0"/>
    <w:rsid w:val="006E629E"/>
    <w:rsid w:val="006E62D8"/>
    <w:rsid w:val="006E62EE"/>
    <w:rsid w:val="006E63BE"/>
    <w:rsid w:val="006E6599"/>
    <w:rsid w:val="006E66A0"/>
    <w:rsid w:val="006E68B3"/>
    <w:rsid w:val="006E6A3A"/>
    <w:rsid w:val="006E6BCD"/>
    <w:rsid w:val="006E6F23"/>
    <w:rsid w:val="006E7850"/>
    <w:rsid w:val="006E78AB"/>
    <w:rsid w:val="006E7A6F"/>
    <w:rsid w:val="006F0188"/>
    <w:rsid w:val="006F065E"/>
    <w:rsid w:val="006F075B"/>
    <w:rsid w:val="006F07BD"/>
    <w:rsid w:val="006F0DF5"/>
    <w:rsid w:val="006F0F0E"/>
    <w:rsid w:val="006F0FEA"/>
    <w:rsid w:val="006F1060"/>
    <w:rsid w:val="006F1168"/>
    <w:rsid w:val="006F11F5"/>
    <w:rsid w:val="006F14FD"/>
    <w:rsid w:val="006F1A3E"/>
    <w:rsid w:val="006F1C31"/>
    <w:rsid w:val="006F1C3F"/>
    <w:rsid w:val="006F1E5B"/>
    <w:rsid w:val="006F240E"/>
    <w:rsid w:val="006F26D0"/>
    <w:rsid w:val="006F2818"/>
    <w:rsid w:val="006F2892"/>
    <w:rsid w:val="006F2B8E"/>
    <w:rsid w:val="006F2BBF"/>
    <w:rsid w:val="006F2C6E"/>
    <w:rsid w:val="006F2D5F"/>
    <w:rsid w:val="006F3283"/>
    <w:rsid w:val="006F34F6"/>
    <w:rsid w:val="006F389E"/>
    <w:rsid w:val="006F38DF"/>
    <w:rsid w:val="006F38F8"/>
    <w:rsid w:val="006F3B77"/>
    <w:rsid w:val="006F3F34"/>
    <w:rsid w:val="006F3F52"/>
    <w:rsid w:val="006F408C"/>
    <w:rsid w:val="006F4288"/>
    <w:rsid w:val="006F4328"/>
    <w:rsid w:val="006F4360"/>
    <w:rsid w:val="006F453C"/>
    <w:rsid w:val="006F4659"/>
    <w:rsid w:val="006F47E7"/>
    <w:rsid w:val="006F48BD"/>
    <w:rsid w:val="006F4C2B"/>
    <w:rsid w:val="006F4D9F"/>
    <w:rsid w:val="006F4ECF"/>
    <w:rsid w:val="006F4F83"/>
    <w:rsid w:val="006F5097"/>
    <w:rsid w:val="006F589E"/>
    <w:rsid w:val="006F58E4"/>
    <w:rsid w:val="006F59C5"/>
    <w:rsid w:val="006F64C9"/>
    <w:rsid w:val="006F6809"/>
    <w:rsid w:val="006F68E6"/>
    <w:rsid w:val="006F6922"/>
    <w:rsid w:val="006F6ABB"/>
    <w:rsid w:val="006F6C69"/>
    <w:rsid w:val="006F6DF1"/>
    <w:rsid w:val="006F6E03"/>
    <w:rsid w:val="006F6F9D"/>
    <w:rsid w:val="006F76C3"/>
    <w:rsid w:val="006F7A72"/>
    <w:rsid w:val="006F7B33"/>
    <w:rsid w:val="006F7C7A"/>
    <w:rsid w:val="007000E6"/>
    <w:rsid w:val="0070019F"/>
    <w:rsid w:val="007004A3"/>
    <w:rsid w:val="00700512"/>
    <w:rsid w:val="00700615"/>
    <w:rsid w:val="0070068D"/>
    <w:rsid w:val="00700B7B"/>
    <w:rsid w:val="00700D9A"/>
    <w:rsid w:val="00700DBC"/>
    <w:rsid w:val="007014F3"/>
    <w:rsid w:val="00701564"/>
    <w:rsid w:val="0070174E"/>
    <w:rsid w:val="00701779"/>
    <w:rsid w:val="00701A15"/>
    <w:rsid w:val="00701AA2"/>
    <w:rsid w:val="00701DA5"/>
    <w:rsid w:val="00701E43"/>
    <w:rsid w:val="00701F91"/>
    <w:rsid w:val="007020D9"/>
    <w:rsid w:val="0070280C"/>
    <w:rsid w:val="007028BF"/>
    <w:rsid w:val="00702942"/>
    <w:rsid w:val="00702ADD"/>
    <w:rsid w:val="00702B81"/>
    <w:rsid w:val="00702C82"/>
    <w:rsid w:val="00702F61"/>
    <w:rsid w:val="00703740"/>
    <w:rsid w:val="007037EA"/>
    <w:rsid w:val="00703980"/>
    <w:rsid w:val="00703AAE"/>
    <w:rsid w:val="00703CC5"/>
    <w:rsid w:val="007040FD"/>
    <w:rsid w:val="007041F1"/>
    <w:rsid w:val="007043DB"/>
    <w:rsid w:val="00704406"/>
    <w:rsid w:val="007046F2"/>
    <w:rsid w:val="00704BB5"/>
    <w:rsid w:val="00704D1A"/>
    <w:rsid w:val="00704EEC"/>
    <w:rsid w:val="007052BB"/>
    <w:rsid w:val="00705454"/>
    <w:rsid w:val="00705641"/>
    <w:rsid w:val="00705E33"/>
    <w:rsid w:val="00705E85"/>
    <w:rsid w:val="00705E8A"/>
    <w:rsid w:val="007067A3"/>
    <w:rsid w:val="00706865"/>
    <w:rsid w:val="00706C13"/>
    <w:rsid w:val="007070CF"/>
    <w:rsid w:val="00707301"/>
    <w:rsid w:val="00707830"/>
    <w:rsid w:val="00707A1B"/>
    <w:rsid w:val="00707B10"/>
    <w:rsid w:val="00707DE6"/>
    <w:rsid w:val="00707F3F"/>
    <w:rsid w:val="00707F6F"/>
    <w:rsid w:val="00710052"/>
    <w:rsid w:val="0071028B"/>
    <w:rsid w:val="007102D3"/>
    <w:rsid w:val="00710343"/>
    <w:rsid w:val="00710593"/>
    <w:rsid w:val="00710614"/>
    <w:rsid w:val="0071116C"/>
    <w:rsid w:val="00711552"/>
    <w:rsid w:val="00711562"/>
    <w:rsid w:val="00711575"/>
    <w:rsid w:val="00711F27"/>
    <w:rsid w:val="0071228C"/>
    <w:rsid w:val="007124F7"/>
    <w:rsid w:val="0071252F"/>
    <w:rsid w:val="0071274C"/>
    <w:rsid w:val="00712B80"/>
    <w:rsid w:val="00712BAD"/>
    <w:rsid w:val="00712C8D"/>
    <w:rsid w:val="00712EDC"/>
    <w:rsid w:val="00712FF6"/>
    <w:rsid w:val="007130D4"/>
    <w:rsid w:val="0071347D"/>
    <w:rsid w:val="007134A0"/>
    <w:rsid w:val="007136B3"/>
    <w:rsid w:val="00713917"/>
    <w:rsid w:val="00713F1A"/>
    <w:rsid w:val="00714042"/>
    <w:rsid w:val="0071472F"/>
    <w:rsid w:val="00714905"/>
    <w:rsid w:val="00714D29"/>
    <w:rsid w:val="0071530E"/>
    <w:rsid w:val="00715356"/>
    <w:rsid w:val="00715408"/>
    <w:rsid w:val="007155AD"/>
    <w:rsid w:val="00715855"/>
    <w:rsid w:val="00715EBE"/>
    <w:rsid w:val="00715EEF"/>
    <w:rsid w:val="00715F3D"/>
    <w:rsid w:val="00715F55"/>
    <w:rsid w:val="00716292"/>
    <w:rsid w:val="00716348"/>
    <w:rsid w:val="007164CC"/>
    <w:rsid w:val="007165C5"/>
    <w:rsid w:val="0071660B"/>
    <w:rsid w:val="00716623"/>
    <w:rsid w:val="00716762"/>
    <w:rsid w:val="00716A4E"/>
    <w:rsid w:val="00716C19"/>
    <w:rsid w:val="00716C49"/>
    <w:rsid w:val="00716DFF"/>
    <w:rsid w:val="0071722E"/>
    <w:rsid w:val="0071732F"/>
    <w:rsid w:val="007173ED"/>
    <w:rsid w:val="00717432"/>
    <w:rsid w:val="0071749B"/>
    <w:rsid w:val="00717BF6"/>
    <w:rsid w:val="00720346"/>
    <w:rsid w:val="007204F2"/>
    <w:rsid w:val="00720699"/>
    <w:rsid w:val="0072071C"/>
    <w:rsid w:val="00720AF2"/>
    <w:rsid w:val="00720B03"/>
    <w:rsid w:val="00720D89"/>
    <w:rsid w:val="00720EA3"/>
    <w:rsid w:val="00720F37"/>
    <w:rsid w:val="007210C8"/>
    <w:rsid w:val="007216F5"/>
    <w:rsid w:val="0072177E"/>
    <w:rsid w:val="00721794"/>
    <w:rsid w:val="007218C5"/>
    <w:rsid w:val="00721971"/>
    <w:rsid w:val="007220D4"/>
    <w:rsid w:val="00722193"/>
    <w:rsid w:val="00722532"/>
    <w:rsid w:val="00722556"/>
    <w:rsid w:val="00722714"/>
    <w:rsid w:val="00722817"/>
    <w:rsid w:val="00722A54"/>
    <w:rsid w:val="00722AB2"/>
    <w:rsid w:val="00722D6B"/>
    <w:rsid w:val="00722FC0"/>
    <w:rsid w:val="00723305"/>
    <w:rsid w:val="007233D4"/>
    <w:rsid w:val="007233DC"/>
    <w:rsid w:val="00723534"/>
    <w:rsid w:val="00723960"/>
    <w:rsid w:val="0072399D"/>
    <w:rsid w:val="00723B4A"/>
    <w:rsid w:val="00723B88"/>
    <w:rsid w:val="00723BEB"/>
    <w:rsid w:val="00723F1A"/>
    <w:rsid w:val="0072427C"/>
    <w:rsid w:val="0072445A"/>
    <w:rsid w:val="007244E6"/>
    <w:rsid w:val="007246FE"/>
    <w:rsid w:val="0072480D"/>
    <w:rsid w:val="00724A25"/>
    <w:rsid w:val="0072595A"/>
    <w:rsid w:val="00725B88"/>
    <w:rsid w:val="00725EF3"/>
    <w:rsid w:val="007261E7"/>
    <w:rsid w:val="00726247"/>
    <w:rsid w:val="007265B3"/>
    <w:rsid w:val="00726A2B"/>
    <w:rsid w:val="00726AF6"/>
    <w:rsid w:val="00726CEE"/>
    <w:rsid w:val="00726D65"/>
    <w:rsid w:val="007271D3"/>
    <w:rsid w:val="007275F7"/>
    <w:rsid w:val="00727727"/>
    <w:rsid w:val="0072785D"/>
    <w:rsid w:val="00727DBD"/>
    <w:rsid w:val="0073012A"/>
    <w:rsid w:val="00730354"/>
    <w:rsid w:val="0073036D"/>
    <w:rsid w:val="0073044E"/>
    <w:rsid w:val="0073084D"/>
    <w:rsid w:val="00730855"/>
    <w:rsid w:val="00730C2A"/>
    <w:rsid w:val="00730DC9"/>
    <w:rsid w:val="00730EDE"/>
    <w:rsid w:val="007310D0"/>
    <w:rsid w:val="007311AB"/>
    <w:rsid w:val="007315CB"/>
    <w:rsid w:val="00731AC1"/>
    <w:rsid w:val="00731F28"/>
    <w:rsid w:val="00731FAA"/>
    <w:rsid w:val="007323CF"/>
    <w:rsid w:val="00732821"/>
    <w:rsid w:val="0073294C"/>
    <w:rsid w:val="00732F34"/>
    <w:rsid w:val="00732F6E"/>
    <w:rsid w:val="007334B1"/>
    <w:rsid w:val="0073394B"/>
    <w:rsid w:val="00733FC1"/>
    <w:rsid w:val="0073416F"/>
    <w:rsid w:val="0073421E"/>
    <w:rsid w:val="00734779"/>
    <w:rsid w:val="00734E99"/>
    <w:rsid w:val="007353D4"/>
    <w:rsid w:val="00735C54"/>
    <w:rsid w:val="00735C6C"/>
    <w:rsid w:val="00735CE1"/>
    <w:rsid w:val="00735D6F"/>
    <w:rsid w:val="00735FEA"/>
    <w:rsid w:val="007362C7"/>
    <w:rsid w:val="007364C1"/>
    <w:rsid w:val="0073658E"/>
    <w:rsid w:val="00736975"/>
    <w:rsid w:val="00736D95"/>
    <w:rsid w:val="00736DE0"/>
    <w:rsid w:val="00736F26"/>
    <w:rsid w:val="007370A2"/>
    <w:rsid w:val="007372DA"/>
    <w:rsid w:val="007373F8"/>
    <w:rsid w:val="007374D3"/>
    <w:rsid w:val="00737523"/>
    <w:rsid w:val="0073767A"/>
    <w:rsid w:val="007377CC"/>
    <w:rsid w:val="00737958"/>
    <w:rsid w:val="00737A58"/>
    <w:rsid w:val="00737A6F"/>
    <w:rsid w:val="00737B56"/>
    <w:rsid w:val="00737CD8"/>
    <w:rsid w:val="007401FB"/>
    <w:rsid w:val="00740283"/>
    <w:rsid w:val="007403D1"/>
    <w:rsid w:val="00740656"/>
    <w:rsid w:val="007408F3"/>
    <w:rsid w:val="007408F9"/>
    <w:rsid w:val="00740EAC"/>
    <w:rsid w:val="007410FE"/>
    <w:rsid w:val="007414DA"/>
    <w:rsid w:val="007415F5"/>
    <w:rsid w:val="00741960"/>
    <w:rsid w:val="00741ED6"/>
    <w:rsid w:val="007423A9"/>
    <w:rsid w:val="007423B9"/>
    <w:rsid w:val="00742686"/>
    <w:rsid w:val="00742A0B"/>
    <w:rsid w:val="00742B2A"/>
    <w:rsid w:val="00742C64"/>
    <w:rsid w:val="00742FFF"/>
    <w:rsid w:val="00743044"/>
    <w:rsid w:val="00743141"/>
    <w:rsid w:val="007434F0"/>
    <w:rsid w:val="00743B37"/>
    <w:rsid w:val="00743DEF"/>
    <w:rsid w:val="007441CC"/>
    <w:rsid w:val="00744454"/>
    <w:rsid w:val="00744B01"/>
    <w:rsid w:val="00744B49"/>
    <w:rsid w:val="00744F31"/>
    <w:rsid w:val="007451F0"/>
    <w:rsid w:val="0074569C"/>
    <w:rsid w:val="00745938"/>
    <w:rsid w:val="0074594F"/>
    <w:rsid w:val="00745A18"/>
    <w:rsid w:val="00745C40"/>
    <w:rsid w:val="00745CEF"/>
    <w:rsid w:val="00745DCA"/>
    <w:rsid w:val="00745F0A"/>
    <w:rsid w:val="00745FA4"/>
    <w:rsid w:val="007461D7"/>
    <w:rsid w:val="00746678"/>
    <w:rsid w:val="007469A8"/>
    <w:rsid w:val="00746BA6"/>
    <w:rsid w:val="00747401"/>
    <w:rsid w:val="00747445"/>
    <w:rsid w:val="0074758B"/>
    <w:rsid w:val="0074764A"/>
    <w:rsid w:val="007476C4"/>
    <w:rsid w:val="0074773C"/>
    <w:rsid w:val="00747867"/>
    <w:rsid w:val="0075025C"/>
    <w:rsid w:val="0075026E"/>
    <w:rsid w:val="0075057D"/>
    <w:rsid w:val="00750870"/>
    <w:rsid w:val="007508B1"/>
    <w:rsid w:val="007509C8"/>
    <w:rsid w:val="007509E1"/>
    <w:rsid w:val="00750B25"/>
    <w:rsid w:val="00750C21"/>
    <w:rsid w:val="00750F39"/>
    <w:rsid w:val="00751143"/>
    <w:rsid w:val="0075114E"/>
    <w:rsid w:val="007514EB"/>
    <w:rsid w:val="0075151A"/>
    <w:rsid w:val="007515B6"/>
    <w:rsid w:val="007518D1"/>
    <w:rsid w:val="00751B64"/>
    <w:rsid w:val="00751B8D"/>
    <w:rsid w:val="00751CF6"/>
    <w:rsid w:val="00751DBD"/>
    <w:rsid w:val="00751DCD"/>
    <w:rsid w:val="00751EE4"/>
    <w:rsid w:val="00751F96"/>
    <w:rsid w:val="00752105"/>
    <w:rsid w:val="00752241"/>
    <w:rsid w:val="007524E7"/>
    <w:rsid w:val="00752885"/>
    <w:rsid w:val="007529CC"/>
    <w:rsid w:val="00752D38"/>
    <w:rsid w:val="00752E4A"/>
    <w:rsid w:val="00752F41"/>
    <w:rsid w:val="007532E1"/>
    <w:rsid w:val="007532EC"/>
    <w:rsid w:val="007533CF"/>
    <w:rsid w:val="00753401"/>
    <w:rsid w:val="007535DB"/>
    <w:rsid w:val="00753774"/>
    <w:rsid w:val="0075394B"/>
    <w:rsid w:val="00753AD1"/>
    <w:rsid w:val="00753D7D"/>
    <w:rsid w:val="00753EA2"/>
    <w:rsid w:val="0075401B"/>
    <w:rsid w:val="00754334"/>
    <w:rsid w:val="0075443C"/>
    <w:rsid w:val="0075468E"/>
    <w:rsid w:val="007546EF"/>
    <w:rsid w:val="00754752"/>
    <w:rsid w:val="00754974"/>
    <w:rsid w:val="00754D87"/>
    <w:rsid w:val="00754EBD"/>
    <w:rsid w:val="0075516E"/>
    <w:rsid w:val="00755210"/>
    <w:rsid w:val="007553B6"/>
    <w:rsid w:val="007557CA"/>
    <w:rsid w:val="00755C2D"/>
    <w:rsid w:val="00755ED5"/>
    <w:rsid w:val="0075622C"/>
    <w:rsid w:val="00756459"/>
    <w:rsid w:val="00756939"/>
    <w:rsid w:val="007569A5"/>
    <w:rsid w:val="00756C29"/>
    <w:rsid w:val="00756FF2"/>
    <w:rsid w:val="00757299"/>
    <w:rsid w:val="00757785"/>
    <w:rsid w:val="007579C0"/>
    <w:rsid w:val="00757BDD"/>
    <w:rsid w:val="00757F39"/>
    <w:rsid w:val="00757FE6"/>
    <w:rsid w:val="00760086"/>
    <w:rsid w:val="00760254"/>
    <w:rsid w:val="00760673"/>
    <w:rsid w:val="007606D7"/>
    <w:rsid w:val="00760A6C"/>
    <w:rsid w:val="00760ABA"/>
    <w:rsid w:val="00760E48"/>
    <w:rsid w:val="00760FD6"/>
    <w:rsid w:val="00761089"/>
    <w:rsid w:val="007610A4"/>
    <w:rsid w:val="007610EB"/>
    <w:rsid w:val="00761342"/>
    <w:rsid w:val="007613F9"/>
    <w:rsid w:val="00761901"/>
    <w:rsid w:val="00761A0A"/>
    <w:rsid w:val="00761E1B"/>
    <w:rsid w:val="00762109"/>
    <w:rsid w:val="00762283"/>
    <w:rsid w:val="00762388"/>
    <w:rsid w:val="00762445"/>
    <w:rsid w:val="00762448"/>
    <w:rsid w:val="00762835"/>
    <w:rsid w:val="00762AC2"/>
    <w:rsid w:val="00762CBA"/>
    <w:rsid w:val="0076300E"/>
    <w:rsid w:val="00763368"/>
    <w:rsid w:val="007639F3"/>
    <w:rsid w:val="00763A7D"/>
    <w:rsid w:val="00763BAB"/>
    <w:rsid w:val="00763D1F"/>
    <w:rsid w:val="00763D20"/>
    <w:rsid w:val="00764100"/>
    <w:rsid w:val="00764399"/>
    <w:rsid w:val="00764557"/>
    <w:rsid w:val="00765045"/>
    <w:rsid w:val="00765639"/>
    <w:rsid w:val="00765691"/>
    <w:rsid w:val="007658D2"/>
    <w:rsid w:val="00765936"/>
    <w:rsid w:val="00765B01"/>
    <w:rsid w:val="00765B27"/>
    <w:rsid w:val="00765C64"/>
    <w:rsid w:val="00765D6B"/>
    <w:rsid w:val="0076617D"/>
    <w:rsid w:val="007662CC"/>
    <w:rsid w:val="00766361"/>
    <w:rsid w:val="007669A8"/>
    <w:rsid w:val="00766EA5"/>
    <w:rsid w:val="00766EC5"/>
    <w:rsid w:val="00766F07"/>
    <w:rsid w:val="00766F0D"/>
    <w:rsid w:val="00766F8D"/>
    <w:rsid w:val="00766FDB"/>
    <w:rsid w:val="00767039"/>
    <w:rsid w:val="0076715E"/>
    <w:rsid w:val="007672B3"/>
    <w:rsid w:val="00767411"/>
    <w:rsid w:val="0076743A"/>
    <w:rsid w:val="007674A6"/>
    <w:rsid w:val="00767789"/>
    <w:rsid w:val="0076794D"/>
    <w:rsid w:val="00767A1D"/>
    <w:rsid w:val="00767C48"/>
    <w:rsid w:val="00767EF8"/>
    <w:rsid w:val="00767F57"/>
    <w:rsid w:val="00770274"/>
    <w:rsid w:val="00770537"/>
    <w:rsid w:val="0077062F"/>
    <w:rsid w:val="00770722"/>
    <w:rsid w:val="00770A0A"/>
    <w:rsid w:val="00770BA5"/>
    <w:rsid w:val="00770C64"/>
    <w:rsid w:val="00770C9B"/>
    <w:rsid w:val="00770CA0"/>
    <w:rsid w:val="00770D39"/>
    <w:rsid w:val="0077100E"/>
    <w:rsid w:val="00771124"/>
    <w:rsid w:val="0077115F"/>
    <w:rsid w:val="0077127C"/>
    <w:rsid w:val="007713A0"/>
    <w:rsid w:val="0077159F"/>
    <w:rsid w:val="007715E1"/>
    <w:rsid w:val="0077160E"/>
    <w:rsid w:val="00771895"/>
    <w:rsid w:val="00771BD2"/>
    <w:rsid w:val="00771C0E"/>
    <w:rsid w:val="007726A7"/>
    <w:rsid w:val="00772B89"/>
    <w:rsid w:val="00772CFA"/>
    <w:rsid w:val="00772DB7"/>
    <w:rsid w:val="00772FAF"/>
    <w:rsid w:val="00773549"/>
    <w:rsid w:val="00773FFF"/>
    <w:rsid w:val="00774186"/>
    <w:rsid w:val="00774531"/>
    <w:rsid w:val="007745F5"/>
    <w:rsid w:val="00774CEC"/>
    <w:rsid w:val="00774ECE"/>
    <w:rsid w:val="00774F7B"/>
    <w:rsid w:val="00774F7C"/>
    <w:rsid w:val="0077519E"/>
    <w:rsid w:val="0077540B"/>
    <w:rsid w:val="00775F1F"/>
    <w:rsid w:val="00775F5E"/>
    <w:rsid w:val="00775FBD"/>
    <w:rsid w:val="00776118"/>
    <w:rsid w:val="00776147"/>
    <w:rsid w:val="007761E8"/>
    <w:rsid w:val="00776467"/>
    <w:rsid w:val="007765D1"/>
    <w:rsid w:val="007767D8"/>
    <w:rsid w:val="007768D0"/>
    <w:rsid w:val="00776AD8"/>
    <w:rsid w:val="00776B53"/>
    <w:rsid w:val="00776B69"/>
    <w:rsid w:val="00776BB3"/>
    <w:rsid w:val="00776C87"/>
    <w:rsid w:val="00776D35"/>
    <w:rsid w:val="0077728C"/>
    <w:rsid w:val="007772F5"/>
    <w:rsid w:val="0077740F"/>
    <w:rsid w:val="00780025"/>
    <w:rsid w:val="0078020F"/>
    <w:rsid w:val="00780249"/>
    <w:rsid w:val="00780315"/>
    <w:rsid w:val="007805CE"/>
    <w:rsid w:val="007806A3"/>
    <w:rsid w:val="00780753"/>
    <w:rsid w:val="007807F4"/>
    <w:rsid w:val="00780B85"/>
    <w:rsid w:val="00780CED"/>
    <w:rsid w:val="00781229"/>
    <w:rsid w:val="007812BB"/>
    <w:rsid w:val="00781818"/>
    <w:rsid w:val="00781981"/>
    <w:rsid w:val="00781A2F"/>
    <w:rsid w:val="00781A66"/>
    <w:rsid w:val="00781B01"/>
    <w:rsid w:val="0078241C"/>
    <w:rsid w:val="0078265B"/>
    <w:rsid w:val="0078266B"/>
    <w:rsid w:val="00782824"/>
    <w:rsid w:val="00782837"/>
    <w:rsid w:val="0078291B"/>
    <w:rsid w:val="00782C02"/>
    <w:rsid w:val="00782E84"/>
    <w:rsid w:val="00782EB8"/>
    <w:rsid w:val="0078328C"/>
    <w:rsid w:val="00783552"/>
    <w:rsid w:val="0078359A"/>
    <w:rsid w:val="007835AA"/>
    <w:rsid w:val="007835E0"/>
    <w:rsid w:val="00783630"/>
    <w:rsid w:val="007837AD"/>
    <w:rsid w:val="00783913"/>
    <w:rsid w:val="00783B70"/>
    <w:rsid w:val="00783DFD"/>
    <w:rsid w:val="00784358"/>
    <w:rsid w:val="007843B9"/>
    <w:rsid w:val="0078458E"/>
    <w:rsid w:val="00784665"/>
    <w:rsid w:val="00784858"/>
    <w:rsid w:val="007848CF"/>
    <w:rsid w:val="007848DB"/>
    <w:rsid w:val="00784D30"/>
    <w:rsid w:val="00784ED1"/>
    <w:rsid w:val="00785463"/>
    <w:rsid w:val="0078550A"/>
    <w:rsid w:val="00785520"/>
    <w:rsid w:val="0078552C"/>
    <w:rsid w:val="007859BC"/>
    <w:rsid w:val="00785A28"/>
    <w:rsid w:val="00785A2F"/>
    <w:rsid w:val="00785EB2"/>
    <w:rsid w:val="007860DB"/>
    <w:rsid w:val="007860F3"/>
    <w:rsid w:val="00786370"/>
    <w:rsid w:val="007863BC"/>
    <w:rsid w:val="00786407"/>
    <w:rsid w:val="00786B4A"/>
    <w:rsid w:val="00786C97"/>
    <w:rsid w:val="00786E71"/>
    <w:rsid w:val="00786FB2"/>
    <w:rsid w:val="007870AF"/>
    <w:rsid w:val="00787127"/>
    <w:rsid w:val="007871E8"/>
    <w:rsid w:val="007871F6"/>
    <w:rsid w:val="0078747A"/>
    <w:rsid w:val="00787486"/>
    <w:rsid w:val="00787748"/>
    <w:rsid w:val="00787809"/>
    <w:rsid w:val="00787B7A"/>
    <w:rsid w:val="00787D11"/>
    <w:rsid w:val="00787DA7"/>
    <w:rsid w:val="00787F1E"/>
    <w:rsid w:val="00790094"/>
    <w:rsid w:val="007901EE"/>
    <w:rsid w:val="00790393"/>
    <w:rsid w:val="00790C54"/>
    <w:rsid w:val="00790F3D"/>
    <w:rsid w:val="0079170B"/>
    <w:rsid w:val="0079191D"/>
    <w:rsid w:val="00791C35"/>
    <w:rsid w:val="00792123"/>
    <w:rsid w:val="0079227E"/>
    <w:rsid w:val="00792353"/>
    <w:rsid w:val="00792434"/>
    <w:rsid w:val="00792658"/>
    <w:rsid w:val="007929F5"/>
    <w:rsid w:val="007933DE"/>
    <w:rsid w:val="00793451"/>
    <w:rsid w:val="00793478"/>
    <w:rsid w:val="00793755"/>
    <w:rsid w:val="007937E5"/>
    <w:rsid w:val="00793978"/>
    <w:rsid w:val="00793B1D"/>
    <w:rsid w:val="00793B94"/>
    <w:rsid w:val="00793C72"/>
    <w:rsid w:val="00793F50"/>
    <w:rsid w:val="0079436E"/>
    <w:rsid w:val="00794496"/>
    <w:rsid w:val="00794949"/>
    <w:rsid w:val="00794B4A"/>
    <w:rsid w:val="00794BBF"/>
    <w:rsid w:val="00794D06"/>
    <w:rsid w:val="00794D69"/>
    <w:rsid w:val="00794DC1"/>
    <w:rsid w:val="00794EBF"/>
    <w:rsid w:val="0079513B"/>
    <w:rsid w:val="007952E5"/>
    <w:rsid w:val="007953E5"/>
    <w:rsid w:val="00795453"/>
    <w:rsid w:val="0079585D"/>
    <w:rsid w:val="00795C16"/>
    <w:rsid w:val="00795E1F"/>
    <w:rsid w:val="00795E32"/>
    <w:rsid w:val="00796377"/>
    <w:rsid w:val="007967E7"/>
    <w:rsid w:val="00796D13"/>
    <w:rsid w:val="00796ED4"/>
    <w:rsid w:val="00796F8F"/>
    <w:rsid w:val="007975DB"/>
    <w:rsid w:val="007976A2"/>
    <w:rsid w:val="007976BB"/>
    <w:rsid w:val="00797B3A"/>
    <w:rsid w:val="00797BD1"/>
    <w:rsid w:val="00797E3D"/>
    <w:rsid w:val="00797FD0"/>
    <w:rsid w:val="007A013A"/>
    <w:rsid w:val="007A01EF"/>
    <w:rsid w:val="007A0311"/>
    <w:rsid w:val="007A09B6"/>
    <w:rsid w:val="007A0A35"/>
    <w:rsid w:val="007A0A81"/>
    <w:rsid w:val="007A0D1A"/>
    <w:rsid w:val="007A0F18"/>
    <w:rsid w:val="007A0F58"/>
    <w:rsid w:val="007A1145"/>
    <w:rsid w:val="007A12B1"/>
    <w:rsid w:val="007A150A"/>
    <w:rsid w:val="007A1D58"/>
    <w:rsid w:val="007A1DC4"/>
    <w:rsid w:val="007A2139"/>
    <w:rsid w:val="007A2267"/>
    <w:rsid w:val="007A2552"/>
    <w:rsid w:val="007A26DF"/>
    <w:rsid w:val="007A2747"/>
    <w:rsid w:val="007A29DE"/>
    <w:rsid w:val="007A2A34"/>
    <w:rsid w:val="007A2C9F"/>
    <w:rsid w:val="007A39FF"/>
    <w:rsid w:val="007A3BE6"/>
    <w:rsid w:val="007A3BFD"/>
    <w:rsid w:val="007A3C90"/>
    <w:rsid w:val="007A3CC5"/>
    <w:rsid w:val="007A4148"/>
    <w:rsid w:val="007A44DF"/>
    <w:rsid w:val="007A4D76"/>
    <w:rsid w:val="007A4E2A"/>
    <w:rsid w:val="007A4F1A"/>
    <w:rsid w:val="007A52E2"/>
    <w:rsid w:val="007A57EA"/>
    <w:rsid w:val="007A5955"/>
    <w:rsid w:val="007A5D90"/>
    <w:rsid w:val="007A5EDB"/>
    <w:rsid w:val="007A6016"/>
    <w:rsid w:val="007A6083"/>
    <w:rsid w:val="007A62E7"/>
    <w:rsid w:val="007A67DB"/>
    <w:rsid w:val="007A68D8"/>
    <w:rsid w:val="007A68ED"/>
    <w:rsid w:val="007A69E0"/>
    <w:rsid w:val="007A6DC0"/>
    <w:rsid w:val="007A6E3C"/>
    <w:rsid w:val="007A71BE"/>
    <w:rsid w:val="007A7410"/>
    <w:rsid w:val="007A75F5"/>
    <w:rsid w:val="007A7887"/>
    <w:rsid w:val="007A796C"/>
    <w:rsid w:val="007A7AE5"/>
    <w:rsid w:val="007A7BF2"/>
    <w:rsid w:val="007B0137"/>
    <w:rsid w:val="007B0758"/>
    <w:rsid w:val="007B075D"/>
    <w:rsid w:val="007B07E9"/>
    <w:rsid w:val="007B0877"/>
    <w:rsid w:val="007B08D0"/>
    <w:rsid w:val="007B0933"/>
    <w:rsid w:val="007B0E9B"/>
    <w:rsid w:val="007B12AC"/>
    <w:rsid w:val="007B15C8"/>
    <w:rsid w:val="007B1620"/>
    <w:rsid w:val="007B16CD"/>
    <w:rsid w:val="007B1702"/>
    <w:rsid w:val="007B19A2"/>
    <w:rsid w:val="007B1AB4"/>
    <w:rsid w:val="007B1CAB"/>
    <w:rsid w:val="007B22FF"/>
    <w:rsid w:val="007B2314"/>
    <w:rsid w:val="007B29C7"/>
    <w:rsid w:val="007B2BA2"/>
    <w:rsid w:val="007B2E88"/>
    <w:rsid w:val="007B3026"/>
    <w:rsid w:val="007B3081"/>
    <w:rsid w:val="007B385E"/>
    <w:rsid w:val="007B3972"/>
    <w:rsid w:val="007B3A97"/>
    <w:rsid w:val="007B3B08"/>
    <w:rsid w:val="007B3CA9"/>
    <w:rsid w:val="007B3CE5"/>
    <w:rsid w:val="007B414C"/>
    <w:rsid w:val="007B41FE"/>
    <w:rsid w:val="007B4487"/>
    <w:rsid w:val="007B4BCE"/>
    <w:rsid w:val="007B4C02"/>
    <w:rsid w:val="007B53FD"/>
    <w:rsid w:val="007B596E"/>
    <w:rsid w:val="007B5AAB"/>
    <w:rsid w:val="007B5B69"/>
    <w:rsid w:val="007B5C27"/>
    <w:rsid w:val="007B5CFF"/>
    <w:rsid w:val="007B5D74"/>
    <w:rsid w:val="007B5F43"/>
    <w:rsid w:val="007B5F55"/>
    <w:rsid w:val="007B61FB"/>
    <w:rsid w:val="007B621D"/>
    <w:rsid w:val="007B64FB"/>
    <w:rsid w:val="007B6509"/>
    <w:rsid w:val="007B660D"/>
    <w:rsid w:val="007B66CF"/>
    <w:rsid w:val="007B6739"/>
    <w:rsid w:val="007B6847"/>
    <w:rsid w:val="007B6C2E"/>
    <w:rsid w:val="007B6D0A"/>
    <w:rsid w:val="007B6FA4"/>
    <w:rsid w:val="007B7132"/>
    <w:rsid w:val="007B744C"/>
    <w:rsid w:val="007B7474"/>
    <w:rsid w:val="007B7532"/>
    <w:rsid w:val="007B7891"/>
    <w:rsid w:val="007B7BF5"/>
    <w:rsid w:val="007B7C9F"/>
    <w:rsid w:val="007B7EC4"/>
    <w:rsid w:val="007B7F68"/>
    <w:rsid w:val="007B7FFE"/>
    <w:rsid w:val="007C01AF"/>
    <w:rsid w:val="007C05FA"/>
    <w:rsid w:val="007C07A1"/>
    <w:rsid w:val="007C0A7F"/>
    <w:rsid w:val="007C0C03"/>
    <w:rsid w:val="007C1176"/>
    <w:rsid w:val="007C1380"/>
    <w:rsid w:val="007C168E"/>
    <w:rsid w:val="007C1738"/>
    <w:rsid w:val="007C1F4E"/>
    <w:rsid w:val="007C2956"/>
    <w:rsid w:val="007C296B"/>
    <w:rsid w:val="007C29F6"/>
    <w:rsid w:val="007C2BC9"/>
    <w:rsid w:val="007C3150"/>
    <w:rsid w:val="007C31A1"/>
    <w:rsid w:val="007C32CA"/>
    <w:rsid w:val="007C3433"/>
    <w:rsid w:val="007C36D5"/>
    <w:rsid w:val="007C3B46"/>
    <w:rsid w:val="007C3CB8"/>
    <w:rsid w:val="007C3CF4"/>
    <w:rsid w:val="007C3D8C"/>
    <w:rsid w:val="007C3E72"/>
    <w:rsid w:val="007C3F49"/>
    <w:rsid w:val="007C3FED"/>
    <w:rsid w:val="007C440A"/>
    <w:rsid w:val="007C470B"/>
    <w:rsid w:val="007C4AD8"/>
    <w:rsid w:val="007C4DD2"/>
    <w:rsid w:val="007C4F40"/>
    <w:rsid w:val="007C5557"/>
    <w:rsid w:val="007C5567"/>
    <w:rsid w:val="007C5664"/>
    <w:rsid w:val="007C5A01"/>
    <w:rsid w:val="007C5C9A"/>
    <w:rsid w:val="007C5E64"/>
    <w:rsid w:val="007C5ED2"/>
    <w:rsid w:val="007C5F50"/>
    <w:rsid w:val="007C62A2"/>
    <w:rsid w:val="007C6723"/>
    <w:rsid w:val="007C6894"/>
    <w:rsid w:val="007C6B10"/>
    <w:rsid w:val="007C6E02"/>
    <w:rsid w:val="007C7123"/>
    <w:rsid w:val="007C7127"/>
    <w:rsid w:val="007C717E"/>
    <w:rsid w:val="007C761F"/>
    <w:rsid w:val="007C76C4"/>
    <w:rsid w:val="007C7942"/>
    <w:rsid w:val="007C7987"/>
    <w:rsid w:val="007C79B0"/>
    <w:rsid w:val="007C79DD"/>
    <w:rsid w:val="007C7ABD"/>
    <w:rsid w:val="007C7D71"/>
    <w:rsid w:val="007C7FF3"/>
    <w:rsid w:val="007D0046"/>
    <w:rsid w:val="007D026F"/>
    <w:rsid w:val="007D045B"/>
    <w:rsid w:val="007D06E6"/>
    <w:rsid w:val="007D09FF"/>
    <w:rsid w:val="007D0D15"/>
    <w:rsid w:val="007D0DBE"/>
    <w:rsid w:val="007D0E27"/>
    <w:rsid w:val="007D0F19"/>
    <w:rsid w:val="007D1351"/>
    <w:rsid w:val="007D154E"/>
    <w:rsid w:val="007D1977"/>
    <w:rsid w:val="007D1B17"/>
    <w:rsid w:val="007D1BE6"/>
    <w:rsid w:val="007D2059"/>
    <w:rsid w:val="007D2239"/>
    <w:rsid w:val="007D25F1"/>
    <w:rsid w:val="007D2B87"/>
    <w:rsid w:val="007D2D49"/>
    <w:rsid w:val="007D2E3A"/>
    <w:rsid w:val="007D2F76"/>
    <w:rsid w:val="007D341A"/>
    <w:rsid w:val="007D3945"/>
    <w:rsid w:val="007D3C53"/>
    <w:rsid w:val="007D45E2"/>
    <w:rsid w:val="007D479C"/>
    <w:rsid w:val="007D4823"/>
    <w:rsid w:val="007D48E0"/>
    <w:rsid w:val="007D4B11"/>
    <w:rsid w:val="007D4F4C"/>
    <w:rsid w:val="007D5302"/>
    <w:rsid w:val="007D5572"/>
    <w:rsid w:val="007D561A"/>
    <w:rsid w:val="007D595F"/>
    <w:rsid w:val="007D5FBC"/>
    <w:rsid w:val="007D6271"/>
    <w:rsid w:val="007D654E"/>
    <w:rsid w:val="007D661F"/>
    <w:rsid w:val="007D6927"/>
    <w:rsid w:val="007D6A27"/>
    <w:rsid w:val="007D6A38"/>
    <w:rsid w:val="007D6AC3"/>
    <w:rsid w:val="007D6E44"/>
    <w:rsid w:val="007D6F25"/>
    <w:rsid w:val="007D6FB4"/>
    <w:rsid w:val="007D71C1"/>
    <w:rsid w:val="007D71F3"/>
    <w:rsid w:val="007D723A"/>
    <w:rsid w:val="007D7581"/>
    <w:rsid w:val="007D7747"/>
    <w:rsid w:val="007D781B"/>
    <w:rsid w:val="007D787B"/>
    <w:rsid w:val="007D7990"/>
    <w:rsid w:val="007D7ABE"/>
    <w:rsid w:val="007D7EB8"/>
    <w:rsid w:val="007E0011"/>
    <w:rsid w:val="007E04D8"/>
    <w:rsid w:val="007E0610"/>
    <w:rsid w:val="007E0640"/>
    <w:rsid w:val="007E0AB8"/>
    <w:rsid w:val="007E0EB3"/>
    <w:rsid w:val="007E10CB"/>
    <w:rsid w:val="007E1341"/>
    <w:rsid w:val="007E1346"/>
    <w:rsid w:val="007E1457"/>
    <w:rsid w:val="007E14AB"/>
    <w:rsid w:val="007E17B3"/>
    <w:rsid w:val="007E19F7"/>
    <w:rsid w:val="007E1FB8"/>
    <w:rsid w:val="007E1FCD"/>
    <w:rsid w:val="007E2030"/>
    <w:rsid w:val="007E218E"/>
    <w:rsid w:val="007E23F3"/>
    <w:rsid w:val="007E24B3"/>
    <w:rsid w:val="007E2679"/>
    <w:rsid w:val="007E2693"/>
    <w:rsid w:val="007E2733"/>
    <w:rsid w:val="007E2745"/>
    <w:rsid w:val="007E2947"/>
    <w:rsid w:val="007E311D"/>
    <w:rsid w:val="007E3211"/>
    <w:rsid w:val="007E3450"/>
    <w:rsid w:val="007E39E1"/>
    <w:rsid w:val="007E39FD"/>
    <w:rsid w:val="007E3B59"/>
    <w:rsid w:val="007E417F"/>
    <w:rsid w:val="007E4900"/>
    <w:rsid w:val="007E4DC0"/>
    <w:rsid w:val="007E503C"/>
    <w:rsid w:val="007E504D"/>
    <w:rsid w:val="007E50A5"/>
    <w:rsid w:val="007E5115"/>
    <w:rsid w:val="007E53AB"/>
    <w:rsid w:val="007E53C5"/>
    <w:rsid w:val="007E5521"/>
    <w:rsid w:val="007E5588"/>
    <w:rsid w:val="007E5B2D"/>
    <w:rsid w:val="007E5C37"/>
    <w:rsid w:val="007E5C56"/>
    <w:rsid w:val="007E6054"/>
    <w:rsid w:val="007E6105"/>
    <w:rsid w:val="007E62AB"/>
    <w:rsid w:val="007E651A"/>
    <w:rsid w:val="007E67BA"/>
    <w:rsid w:val="007E6C9F"/>
    <w:rsid w:val="007E6D65"/>
    <w:rsid w:val="007E6D6A"/>
    <w:rsid w:val="007E6E15"/>
    <w:rsid w:val="007E7092"/>
    <w:rsid w:val="007E7183"/>
    <w:rsid w:val="007E7325"/>
    <w:rsid w:val="007E75AD"/>
    <w:rsid w:val="007E77FF"/>
    <w:rsid w:val="007E7848"/>
    <w:rsid w:val="007E7ABE"/>
    <w:rsid w:val="007E7C5E"/>
    <w:rsid w:val="007E7F9C"/>
    <w:rsid w:val="007F0064"/>
    <w:rsid w:val="007F0132"/>
    <w:rsid w:val="007F015A"/>
    <w:rsid w:val="007F07AF"/>
    <w:rsid w:val="007F0C21"/>
    <w:rsid w:val="007F0DC1"/>
    <w:rsid w:val="007F12DE"/>
    <w:rsid w:val="007F15DF"/>
    <w:rsid w:val="007F1707"/>
    <w:rsid w:val="007F19B1"/>
    <w:rsid w:val="007F1BFA"/>
    <w:rsid w:val="007F1C47"/>
    <w:rsid w:val="007F2339"/>
    <w:rsid w:val="007F2578"/>
    <w:rsid w:val="007F2EAC"/>
    <w:rsid w:val="007F2EE1"/>
    <w:rsid w:val="007F31A4"/>
    <w:rsid w:val="007F3251"/>
    <w:rsid w:val="007F3308"/>
    <w:rsid w:val="007F3379"/>
    <w:rsid w:val="007F3460"/>
    <w:rsid w:val="007F3606"/>
    <w:rsid w:val="007F379E"/>
    <w:rsid w:val="007F3C8C"/>
    <w:rsid w:val="007F41E1"/>
    <w:rsid w:val="007F41F2"/>
    <w:rsid w:val="007F4254"/>
    <w:rsid w:val="007F43C0"/>
    <w:rsid w:val="007F43EA"/>
    <w:rsid w:val="007F4479"/>
    <w:rsid w:val="007F4664"/>
    <w:rsid w:val="007F4669"/>
    <w:rsid w:val="007F46C5"/>
    <w:rsid w:val="007F488A"/>
    <w:rsid w:val="007F48AB"/>
    <w:rsid w:val="007F5157"/>
    <w:rsid w:val="007F51B1"/>
    <w:rsid w:val="007F5353"/>
    <w:rsid w:val="007F5577"/>
    <w:rsid w:val="007F599E"/>
    <w:rsid w:val="007F5DC5"/>
    <w:rsid w:val="007F5F2F"/>
    <w:rsid w:val="007F6074"/>
    <w:rsid w:val="007F607E"/>
    <w:rsid w:val="007F60C0"/>
    <w:rsid w:val="007F60EF"/>
    <w:rsid w:val="007F6161"/>
    <w:rsid w:val="007F63C7"/>
    <w:rsid w:val="007F750A"/>
    <w:rsid w:val="007F7A4C"/>
    <w:rsid w:val="007F7A53"/>
    <w:rsid w:val="007F7B00"/>
    <w:rsid w:val="00800035"/>
    <w:rsid w:val="00800071"/>
    <w:rsid w:val="00800088"/>
    <w:rsid w:val="008002BE"/>
    <w:rsid w:val="008006AA"/>
    <w:rsid w:val="008007E7"/>
    <w:rsid w:val="00800C7F"/>
    <w:rsid w:val="00800D6B"/>
    <w:rsid w:val="00801110"/>
    <w:rsid w:val="00801123"/>
    <w:rsid w:val="00801216"/>
    <w:rsid w:val="0080124E"/>
    <w:rsid w:val="00801377"/>
    <w:rsid w:val="0080178A"/>
    <w:rsid w:val="00801DCA"/>
    <w:rsid w:val="00801E3C"/>
    <w:rsid w:val="00801F01"/>
    <w:rsid w:val="00802528"/>
    <w:rsid w:val="00802839"/>
    <w:rsid w:val="00802861"/>
    <w:rsid w:val="00802969"/>
    <w:rsid w:val="00802FAC"/>
    <w:rsid w:val="008034E1"/>
    <w:rsid w:val="00803845"/>
    <w:rsid w:val="0080387D"/>
    <w:rsid w:val="00803D24"/>
    <w:rsid w:val="00803F72"/>
    <w:rsid w:val="00803FBF"/>
    <w:rsid w:val="0080415E"/>
    <w:rsid w:val="00804536"/>
    <w:rsid w:val="00804A48"/>
    <w:rsid w:val="00804DCD"/>
    <w:rsid w:val="00804F66"/>
    <w:rsid w:val="00805817"/>
    <w:rsid w:val="0080585F"/>
    <w:rsid w:val="008058FF"/>
    <w:rsid w:val="00805A54"/>
    <w:rsid w:val="00805C13"/>
    <w:rsid w:val="0080601E"/>
    <w:rsid w:val="00806097"/>
    <w:rsid w:val="00806138"/>
    <w:rsid w:val="00806171"/>
    <w:rsid w:val="008063D5"/>
    <w:rsid w:val="008064B7"/>
    <w:rsid w:val="008064FB"/>
    <w:rsid w:val="0080683E"/>
    <w:rsid w:val="008070BE"/>
    <w:rsid w:val="00807283"/>
    <w:rsid w:val="00807473"/>
    <w:rsid w:val="00807584"/>
    <w:rsid w:val="0080766E"/>
    <w:rsid w:val="00807B43"/>
    <w:rsid w:val="00807E8B"/>
    <w:rsid w:val="00807F13"/>
    <w:rsid w:val="00807F65"/>
    <w:rsid w:val="00807FCE"/>
    <w:rsid w:val="00807FD6"/>
    <w:rsid w:val="00810022"/>
    <w:rsid w:val="00810309"/>
    <w:rsid w:val="0081042E"/>
    <w:rsid w:val="00810509"/>
    <w:rsid w:val="00810547"/>
    <w:rsid w:val="00810BBC"/>
    <w:rsid w:val="00810C8D"/>
    <w:rsid w:val="00810E97"/>
    <w:rsid w:val="0081131D"/>
    <w:rsid w:val="008117C0"/>
    <w:rsid w:val="0081181C"/>
    <w:rsid w:val="0081190A"/>
    <w:rsid w:val="00811AEB"/>
    <w:rsid w:val="00811B81"/>
    <w:rsid w:val="0081251C"/>
    <w:rsid w:val="00812AD6"/>
    <w:rsid w:val="00812C8C"/>
    <w:rsid w:val="00812F9E"/>
    <w:rsid w:val="0081310C"/>
    <w:rsid w:val="008136D5"/>
    <w:rsid w:val="00813969"/>
    <w:rsid w:val="00813985"/>
    <w:rsid w:val="00813B7D"/>
    <w:rsid w:val="00814027"/>
    <w:rsid w:val="0081477F"/>
    <w:rsid w:val="00814AC2"/>
    <w:rsid w:val="00814B5E"/>
    <w:rsid w:val="00814CB4"/>
    <w:rsid w:val="00814D97"/>
    <w:rsid w:val="00814E04"/>
    <w:rsid w:val="00815410"/>
    <w:rsid w:val="00815B4A"/>
    <w:rsid w:val="00815EE6"/>
    <w:rsid w:val="00816065"/>
    <w:rsid w:val="008166E9"/>
    <w:rsid w:val="0081670A"/>
    <w:rsid w:val="0081670D"/>
    <w:rsid w:val="0081691F"/>
    <w:rsid w:val="00816934"/>
    <w:rsid w:val="008169E3"/>
    <w:rsid w:val="00816AFD"/>
    <w:rsid w:val="00816C98"/>
    <w:rsid w:val="00816FF7"/>
    <w:rsid w:val="008170C6"/>
    <w:rsid w:val="00817225"/>
    <w:rsid w:val="00817283"/>
    <w:rsid w:val="0081740D"/>
    <w:rsid w:val="00817718"/>
    <w:rsid w:val="00817A70"/>
    <w:rsid w:val="00817AE2"/>
    <w:rsid w:val="00817B29"/>
    <w:rsid w:val="00817B2B"/>
    <w:rsid w:val="00817C60"/>
    <w:rsid w:val="00817DAE"/>
    <w:rsid w:val="00817EDF"/>
    <w:rsid w:val="00817F07"/>
    <w:rsid w:val="00820389"/>
    <w:rsid w:val="0082046B"/>
    <w:rsid w:val="0082050C"/>
    <w:rsid w:val="0082051E"/>
    <w:rsid w:val="00820BE3"/>
    <w:rsid w:val="00820C47"/>
    <w:rsid w:val="00820F94"/>
    <w:rsid w:val="00821026"/>
    <w:rsid w:val="0082107A"/>
    <w:rsid w:val="008213AF"/>
    <w:rsid w:val="0082142A"/>
    <w:rsid w:val="008216E3"/>
    <w:rsid w:val="00821941"/>
    <w:rsid w:val="00821C8A"/>
    <w:rsid w:val="00822289"/>
    <w:rsid w:val="0082228E"/>
    <w:rsid w:val="0082228F"/>
    <w:rsid w:val="0082232C"/>
    <w:rsid w:val="00822651"/>
    <w:rsid w:val="00822796"/>
    <w:rsid w:val="00822A50"/>
    <w:rsid w:val="00822B50"/>
    <w:rsid w:val="00822DCF"/>
    <w:rsid w:val="00822EA1"/>
    <w:rsid w:val="00822F3A"/>
    <w:rsid w:val="008231A8"/>
    <w:rsid w:val="00823359"/>
    <w:rsid w:val="008234B0"/>
    <w:rsid w:val="0082369E"/>
    <w:rsid w:val="008239F8"/>
    <w:rsid w:val="00823A72"/>
    <w:rsid w:val="00823AAC"/>
    <w:rsid w:val="00823B4E"/>
    <w:rsid w:val="00823D8E"/>
    <w:rsid w:val="00824C48"/>
    <w:rsid w:val="00824DD8"/>
    <w:rsid w:val="00824EF8"/>
    <w:rsid w:val="00825034"/>
    <w:rsid w:val="00825041"/>
    <w:rsid w:val="0082509E"/>
    <w:rsid w:val="00825911"/>
    <w:rsid w:val="0082593B"/>
    <w:rsid w:val="00825B32"/>
    <w:rsid w:val="00825D38"/>
    <w:rsid w:val="00825E4E"/>
    <w:rsid w:val="00825FAF"/>
    <w:rsid w:val="0082600E"/>
    <w:rsid w:val="0082603F"/>
    <w:rsid w:val="008260E1"/>
    <w:rsid w:val="00826153"/>
    <w:rsid w:val="00826439"/>
    <w:rsid w:val="00826485"/>
    <w:rsid w:val="00826903"/>
    <w:rsid w:val="008269F7"/>
    <w:rsid w:val="00826A1B"/>
    <w:rsid w:val="00826EFC"/>
    <w:rsid w:val="00827007"/>
    <w:rsid w:val="00827686"/>
    <w:rsid w:val="008279EF"/>
    <w:rsid w:val="00827A61"/>
    <w:rsid w:val="00827B6C"/>
    <w:rsid w:val="00827DDC"/>
    <w:rsid w:val="00827EE7"/>
    <w:rsid w:val="00827F3D"/>
    <w:rsid w:val="008300ED"/>
    <w:rsid w:val="00830333"/>
    <w:rsid w:val="00830400"/>
    <w:rsid w:val="00830790"/>
    <w:rsid w:val="00830A60"/>
    <w:rsid w:val="00830A79"/>
    <w:rsid w:val="00830AE6"/>
    <w:rsid w:val="00830B12"/>
    <w:rsid w:val="00830DEA"/>
    <w:rsid w:val="00830E4C"/>
    <w:rsid w:val="00830F61"/>
    <w:rsid w:val="00831278"/>
    <w:rsid w:val="008312B1"/>
    <w:rsid w:val="008312FF"/>
    <w:rsid w:val="00831336"/>
    <w:rsid w:val="0083147D"/>
    <w:rsid w:val="00831A3E"/>
    <w:rsid w:val="00831BAC"/>
    <w:rsid w:val="00831C19"/>
    <w:rsid w:val="00831C94"/>
    <w:rsid w:val="00831E60"/>
    <w:rsid w:val="008321DF"/>
    <w:rsid w:val="0083244C"/>
    <w:rsid w:val="008326AF"/>
    <w:rsid w:val="00832767"/>
    <w:rsid w:val="008328F5"/>
    <w:rsid w:val="00832BFB"/>
    <w:rsid w:val="00832C32"/>
    <w:rsid w:val="00832C93"/>
    <w:rsid w:val="00833C7D"/>
    <w:rsid w:val="00833D33"/>
    <w:rsid w:val="0083427E"/>
    <w:rsid w:val="00834337"/>
    <w:rsid w:val="00834384"/>
    <w:rsid w:val="00834711"/>
    <w:rsid w:val="00834BCC"/>
    <w:rsid w:val="0083509A"/>
    <w:rsid w:val="008352CD"/>
    <w:rsid w:val="008352EA"/>
    <w:rsid w:val="008352F5"/>
    <w:rsid w:val="008353D6"/>
    <w:rsid w:val="008353DE"/>
    <w:rsid w:val="00835885"/>
    <w:rsid w:val="00835EDD"/>
    <w:rsid w:val="00836482"/>
    <w:rsid w:val="00836544"/>
    <w:rsid w:val="008365F8"/>
    <w:rsid w:val="00836712"/>
    <w:rsid w:val="00836885"/>
    <w:rsid w:val="00836B3B"/>
    <w:rsid w:val="00836C89"/>
    <w:rsid w:val="00836CF1"/>
    <w:rsid w:val="00836FBA"/>
    <w:rsid w:val="008370D6"/>
    <w:rsid w:val="008371E0"/>
    <w:rsid w:val="008371F7"/>
    <w:rsid w:val="00837539"/>
    <w:rsid w:val="00837588"/>
    <w:rsid w:val="00837762"/>
    <w:rsid w:val="00837C93"/>
    <w:rsid w:val="00837E07"/>
    <w:rsid w:val="0084030B"/>
    <w:rsid w:val="008404A3"/>
    <w:rsid w:val="008407A6"/>
    <w:rsid w:val="00840860"/>
    <w:rsid w:val="00840C87"/>
    <w:rsid w:val="00840DCD"/>
    <w:rsid w:val="00840EDF"/>
    <w:rsid w:val="00840F24"/>
    <w:rsid w:val="00841546"/>
    <w:rsid w:val="008418ED"/>
    <w:rsid w:val="00841963"/>
    <w:rsid w:val="00841BF5"/>
    <w:rsid w:val="00841C21"/>
    <w:rsid w:val="00841D3E"/>
    <w:rsid w:val="00841D7B"/>
    <w:rsid w:val="008420EF"/>
    <w:rsid w:val="0084240C"/>
    <w:rsid w:val="0084287A"/>
    <w:rsid w:val="00842B0F"/>
    <w:rsid w:val="00842D93"/>
    <w:rsid w:val="00842E89"/>
    <w:rsid w:val="0084347B"/>
    <w:rsid w:val="00843581"/>
    <w:rsid w:val="00843828"/>
    <w:rsid w:val="00843C41"/>
    <w:rsid w:val="00843E49"/>
    <w:rsid w:val="0084407E"/>
    <w:rsid w:val="008442D5"/>
    <w:rsid w:val="0084431D"/>
    <w:rsid w:val="008444CD"/>
    <w:rsid w:val="00844A26"/>
    <w:rsid w:val="00844BAB"/>
    <w:rsid w:val="00844E9B"/>
    <w:rsid w:val="0084514B"/>
    <w:rsid w:val="0084520B"/>
    <w:rsid w:val="0084533C"/>
    <w:rsid w:val="008459B6"/>
    <w:rsid w:val="00845A44"/>
    <w:rsid w:val="00845B69"/>
    <w:rsid w:val="00845BFF"/>
    <w:rsid w:val="00845F3D"/>
    <w:rsid w:val="008460F9"/>
    <w:rsid w:val="008462BE"/>
    <w:rsid w:val="00846964"/>
    <w:rsid w:val="0084696E"/>
    <w:rsid w:val="00846AEF"/>
    <w:rsid w:val="00846D79"/>
    <w:rsid w:val="00846EE0"/>
    <w:rsid w:val="00847051"/>
    <w:rsid w:val="008470C6"/>
    <w:rsid w:val="00847131"/>
    <w:rsid w:val="0084721D"/>
    <w:rsid w:val="008473DD"/>
    <w:rsid w:val="00847428"/>
    <w:rsid w:val="008476E8"/>
    <w:rsid w:val="00847887"/>
    <w:rsid w:val="00847A72"/>
    <w:rsid w:val="00847B48"/>
    <w:rsid w:val="00847BA3"/>
    <w:rsid w:val="00847BD4"/>
    <w:rsid w:val="00850126"/>
    <w:rsid w:val="0085021D"/>
    <w:rsid w:val="00850305"/>
    <w:rsid w:val="00850A39"/>
    <w:rsid w:val="00850CB4"/>
    <w:rsid w:val="00850D70"/>
    <w:rsid w:val="00850F94"/>
    <w:rsid w:val="008512FA"/>
    <w:rsid w:val="00851306"/>
    <w:rsid w:val="008515CE"/>
    <w:rsid w:val="008515E3"/>
    <w:rsid w:val="008520EA"/>
    <w:rsid w:val="00852141"/>
    <w:rsid w:val="00852292"/>
    <w:rsid w:val="0085247E"/>
    <w:rsid w:val="00852577"/>
    <w:rsid w:val="00852793"/>
    <w:rsid w:val="00852AAA"/>
    <w:rsid w:val="00852F3D"/>
    <w:rsid w:val="008533F1"/>
    <w:rsid w:val="0085395B"/>
    <w:rsid w:val="00853EA9"/>
    <w:rsid w:val="00854408"/>
    <w:rsid w:val="008544E5"/>
    <w:rsid w:val="0085476A"/>
    <w:rsid w:val="00854CFF"/>
    <w:rsid w:val="00854D31"/>
    <w:rsid w:val="00854DD7"/>
    <w:rsid w:val="00854E54"/>
    <w:rsid w:val="0085512C"/>
    <w:rsid w:val="0085519F"/>
    <w:rsid w:val="008551AF"/>
    <w:rsid w:val="00855D42"/>
    <w:rsid w:val="008560A0"/>
    <w:rsid w:val="00856610"/>
    <w:rsid w:val="008566BA"/>
    <w:rsid w:val="00856824"/>
    <w:rsid w:val="00856ABA"/>
    <w:rsid w:val="00856C15"/>
    <w:rsid w:val="00857076"/>
    <w:rsid w:val="008572A8"/>
    <w:rsid w:val="008572B0"/>
    <w:rsid w:val="008573B0"/>
    <w:rsid w:val="008573C8"/>
    <w:rsid w:val="008574A6"/>
    <w:rsid w:val="00857BAA"/>
    <w:rsid w:val="00857C29"/>
    <w:rsid w:val="00857C83"/>
    <w:rsid w:val="00857CCB"/>
    <w:rsid w:val="00857EFD"/>
    <w:rsid w:val="00857FA7"/>
    <w:rsid w:val="00860064"/>
    <w:rsid w:val="0086008A"/>
    <w:rsid w:val="0086016F"/>
    <w:rsid w:val="008601F2"/>
    <w:rsid w:val="008605F1"/>
    <w:rsid w:val="00860798"/>
    <w:rsid w:val="00860FCF"/>
    <w:rsid w:val="008611A6"/>
    <w:rsid w:val="00861392"/>
    <w:rsid w:val="00861394"/>
    <w:rsid w:val="00861536"/>
    <w:rsid w:val="00861815"/>
    <w:rsid w:val="00861929"/>
    <w:rsid w:val="00861A4C"/>
    <w:rsid w:val="00861EF9"/>
    <w:rsid w:val="00862054"/>
    <w:rsid w:val="0086205B"/>
    <w:rsid w:val="008620D7"/>
    <w:rsid w:val="0086239E"/>
    <w:rsid w:val="00862407"/>
    <w:rsid w:val="0086269C"/>
    <w:rsid w:val="00862F5D"/>
    <w:rsid w:val="00863005"/>
    <w:rsid w:val="008630C5"/>
    <w:rsid w:val="00863280"/>
    <w:rsid w:val="008632C8"/>
    <w:rsid w:val="00863372"/>
    <w:rsid w:val="008637BE"/>
    <w:rsid w:val="008638D8"/>
    <w:rsid w:val="00863A62"/>
    <w:rsid w:val="00863CCB"/>
    <w:rsid w:val="0086400A"/>
    <w:rsid w:val="008648D1"/>
    <w:rsid w:val="00864953"/>
    <w:rsid w:val="00864A38"/>
    <w:rsid w:val="00864B15"/>
    <w:rsid w:val="00864F1D"/>
    <w:rsid w:val="008650ED"/>
    <w:rsid w:val="00865220"/>
    <w:rsid w:val="00865748"/>
    <w:rsid w:val="0086592B"/>
    <w:rsid w:val="00865AB0"/>
    <w:rsid w:val="00865C52"/>
    <w:rsid w:val="00865F29"/>
    <w:rsid w:val="0086671F"/>
    <w:rsid w:val="0086673B"/>
    <w:rsid w:val="0086693B"/>
    <w:rsid w:val="00866A77"/>
    <w:rsid w:val="00866B47"/>
    <w:rsid w:val="00866DF4"/>
    <w:rsid w:val="008670AE"/>
    <w:rsid w:val="0086721B"/>
    <w:rsid w:val="008673F3"/>
    <w:rsid w:val="008674CD"/>
    <w:rsid w:val="0086757D"/>
    <w:rsid w:val="008676B1"/>
    <w:rsid w:val="0086770B"/>
    <w:rsid w:val="00867A5D"/>
    <w:rsid w:val="00867DC9"/>
    <w:rsid w:val="00867EA8"/>
    <w:rsid w:val="0087080F"/>
    <w:rsid w:val="008709A7"/>
    <w:rsid w:val="00870B9D"/>
    <w:rsid w:val="00870D72"/>
    <w:rsid w:val="008711B0"/>
    <w:rsid w:val="0087126A"/>
    <w:rsid w:val="0087144C"/>
    <w:rsid w:val="00871A23"/>
    <w:rsid w:val="00871B4E"/>
    <w:rsid w:val="00871C35"/>
    <w:rsid w:val="00871C57"/>
    <w:rsid w:val="00871D6A"/>
    <w:rsid w:val="00872453"/>
    <w:rsid w:val="0087255D"/>
    <w:rsid w:val="008725A7"/>
    <w:rsid w:val="008728AB"/>
    <w:rsid w:val="0087290F"/>
    <w:rsid w:val="008729BB"/>
    <w:rsid w:val="00872D56"/>
    <w:rsid w:val="00872ED3"/>
    <w:rsid w:val="00872FB4"/>
    <w:rsid w:val="008732D9"/>
    <w:rsid w:val="00873352"/>
    <w:rsid w:val="00873870"/>
    <w:rsid w:val="008739B4"/>
    <w:rsid w:val="00873B9D"/>
    <w:rsid w:val="00873CD9"/>
    <w:rsid w:val="00874025"/>
    <w:rsid w:val="008741D5"/>
    <w:rsid w:val="00874446"/>
    <w:rsid w:val="00874A92"/>
    <w:rsid w:val="00874AD2"/>
    <w:rsid w:val="00874DC2"/>
    <w:rsid w:val="0087513D"/>
    <w:rsid w:val="00875211"/>
    <w:rsid w:val="008752EB"/>
    <w:rsid w:val="00875516"/>
    <w:rsid w:val="00875D72"/>
    <w:rsid w:val="0087620D"/>
    <w:rsid w:val="00876443"/>
    <w:rsid w:val="00876945"/>
    <w:rsid w:val="00876ACF"/>
    <w:rsid w:val="00876B66"/>
    <w:rsid w:val="00876CAB"/>
    <w:rsid w:val="00876EA5"/>
    <w:rsid w:val="00876EF7"/>
    <w:rsid w:val="00877324"/>
    <w:rsid w:val="008775A6"/>
    <w:rsid w:val="0087785E"/>
    <w:rsid w:val="00877AA5"/>
    <w:rsid w:val="00877B21"/>
    <w:rsid w:val="00877D3E"/>
    <w:rsid w:val="008807C7"/>
    <w:rsid w:val="00880831"/>
    <w:rsid w:val="00880A3B"/>
    <w:rsid w:val="00880AEE"/>
    <w:rsid w:val="00880DC0"/>
    <w:rsid w:val="00880F2E"/>
    <w:rsid w:val="00881405"/>
    <w:rsid w:val="0088166F"/>
    <w:rsid w:val="00881871"/>
    <w:rsid w:val="008818D3"/>
    <w:rsid w:val="00881993"/>
    <w:rsid w:val="00881B0E"/>
    <w:rsid w:val="00881B25"/>
    <w:rsid w:val="00881F40"/>
    <w:rsid w:val="00882054"/>
    <w:rsid w:val="008825F6"/>
    <w:rsid w:val="008829FA"/>
    <w:rsid w:val="00882D48"/>
    <w:rsid w:val="00882EC6"/>
    <w:rsid w:val="00883094"/>
    <w:rsid w:val="00883356"/>
    <w:rsid w:val="00883663"/>
    <w:rsid w:val="00883A2E"/>
    <w:rsid w:val="00883A96"/>
    <w:rsid w:val="00883C27"/>
    <w:rsid w:val="00883E40"/>
    <w:rsid w:val="00883FA3"/>
    <w:rsid w:val="00884158"/>
    <w:rsid w:val="00884A22"/>
    <w:rsid w:val="00884D6A"/>
    <w:rsid w:val="008850B2"/>
    <w:rsid w:val="008851AE"/>
    <w:rsid w:val="00885468"/>
    <w:rsid w:val="00885631"/>
    <w:rsid w:val="008857EE"/>
    <w:rsid w:val="00885A4E"/>
    <w:rsid w:val="00885DEA"/>
    <w:rsid w:val="00885E24"/>
    <w:rsid w:val="00885F1B"/>
    <w:rsid w:val="00885F6A"/>
    <w:rsid w:val="00885FAB"/>
    <w:rsid w:val="00886076"/>
    <w:rsid w:val="008860E3"/>
    <w:rsid w:val="00886167"/>
    <w:rsid w:val="00886510"/>
    <w:rsid w:val="00886521"/>
    <w:rsid w:val="008865D2"/>
    <w:rsid w:val="00886606"/>
    <w:rsid w:val="0088670D"/>
    <w:rsid w:val="00886871"/>
    <w:rsid w:val="0088696A"/>
    <w:rsid w:val="00887129"/>
    <w:rsid w:val="0088732F"/>
    <w:rsid w:val="008873C2"/>
    <w:rsid w:val="008874F6"/>
    <w:rsid w:val="0088789F"/>
    <w:rsid w:val="00887932"/>
    <w:rsid w:val="008879DF"/>
    <w:rsid w:val="00887CE6"/>
    <w:rsid w:val="00887F7D"/>
    <w:rsid w:val="00887F84"/>
    <w:rsid w:val="008903DD"/>
    <w:rsid w:val="00890562"/>
    <w:rsid w:val="00890768"/>
    <w:rsid w:val="00890B47"/>
    <w:rsid w:val="00890DFA"/>
    <w:rsid w:val="00891177"/>
    <w:rsid w:val="0089131B"/>
    <w:rsid w:val="0089134D"/>
    <w:rsid w:val="008915D9"/>
    <w:rsid w:val="00891855"/>
    <w:rsid w:val="008918AE"/>
    <w:rsid w:val="00891AFC"/>
    <w:rsid w:val="00891E50"/>
    <w:rsid w:val="008921B2"/>
    <w:rsid w:val="0089247E"/>
    <w:rsid w:val="00892732"/>
    <w:rsid w:val="00892956"/>
    <w:rsid w:val="00892B7C"/>
    <w:rsid w:val="00892BF5"/>
    <w:rsid w:val="00892D7F"/>
    <w:rsid w:val="00892FF5"/>
    <w:rsid w:val="0089323F"/>
    <w:rsid w:val="008932BC"/>
    <w:rsid w:val="008935F2"/>
    <w:rsid w:val="008939B0"/>
    <w:rsid w:val="00894092"/>
    <w:rsid w:val="0089422A"/>
    <w:rsid w:val="00894912"/>
    <w:rsid w:val="00894AE3"/>
    <w:rsid w:val="00894AEA"/>
    <w:rsid w:val="00895012"/>
    <w:rsid w:val="008954A3"/>
    <w:rsid w:val="008956A5"/>
    <w:rsid w:val="00895EBE"/>
    <w:rsid w:val="00896007"/>
    <w:rsid w:val="00896075"/>
    <w:rsid w:val="008960A9"/>
    <w:rsid w:val="00896115"/>
    <w:rsid w:val="00896402"/>
    <w:rsid w:val="008964AE"/>
    <w:rsid w:val="00896502"/>
    <w:rsid w:val="00896AA4"/>
    <w:rsid w:val="00896B36"/>
    <w:rsid w:val="00896B7E"/>
    <w:rsid w:val="00896CB4"/>
    <w:rsid w:val="00896D5E"/>
    <w:rsid w:val="00897050"/>
    <w:rsid w:val="0089706A"/>
    <w:rsid w:val="008970C3"/>
    <w:rsid w:val="008972E7"/>
    <w:rsid w:val="008975D7"/>
    <w:rsid w:val="00897654"/>
    <w:rsid w:val="00897705"/>
    <w:rsid w:val="0089774A"/>
    <w:rsid w:val="00897AD2"/>
    <w:rsid w:val="008A0006"/>
    <w:rsid w:val="008A02AF"/>
    <w:rsid w:val="008A031B"/>
    <w:rsid w:val="008A0568"/>
    <w:rsid w:val="008A0C9E"/>
    <w:rsid w:val="008A1350"/>
    <w:rsid w:val="008A1412"/>
    <w:rsid w:val="008A1537"/>
    <w:rsid w:val="008A1749"/>
    <w:rsid w:val="008A1A84"/>
    <w:rsid w:val="008A1AAE"/>
    <w:rsid w:val="008A1CC5"/>
    <w:rsid w:val="008A1DA2"/>
    <w:rsid w:val="008A1DD3"/>
    <w:rsid w:val="008A1F96"/>
    <w:rsid w:val="008A2120"/>
    <w:rsid w:val="008A2341"/>
    <w:rsid w:val="008A278D"/>
    <w:rsid w:val="008A29EB"/>
    <w:rsid w:val="008A2CE6"/>
    <w:rsid w:val="008A31EA"/>
    <w:rsid w:val="008A324C"/>
    <w:rsid w:val="008A3634"/>
    <w:rsid w:val="008A3727"/>
    <w:rsid w:val="008A3C03"/>
    <w:rsid w:val="008A3C0C"/>
    <w:rsid w:val="008A4114"/>
    <w:rsid w:val="008A46AB"/>
    <w:rsid w:val="008A4A1C"/>
    <w:rsid w:val="008A4AF0"/>
    <w:rsid w:val="008A4D23"/>
    <w:rsid w:val="008A4DC6"/>
    <w:rsid w:val="008A510D"/>
    <w:rsid w:val="008A558C"/>
    <w:rsid w:val="008A570E"/>
    <w:rsid w:val="008A5E1C"/>
    <w:rsid w:val="008A6210"/>
    <w:rsid w:val="008A635A"/>
    <w:rsid w:val="008A646A"/>
    <w:rsid w:val="008A6979"/>
    <w:rsid w:val="008A6BEC"/>
    <w:rsid w:val="008A6E10"/>
    <w:rsid w:val="008A6E73"/>
    <w:rsid w:val="008A6ED9"/>
    <w:rsid w:val="008A72AD"/>
    <w:rsid w:val="008A75E6"/>
    <w:rsid w:val="008A791A"/>
    <w:rsid w:val="008A79C5"/>
    <w:rsid w:val="008A7A9A"/>
    <w:rsid w:val="008A7D7A"/>
    <w:rsid w:val="008A7EED"/>
    <w:rsid w:val="008A7FD3"/>
    <w:rsid w:val="008B0432"/>
    <w:rsid w:val="008B068C"/>
    <w:rsid w:val="008B0746"/>
    <w:rsid w:val="008B0788"/>
    <w:rsid w:val="008B0806"/>
    <w:rsid w:val="008B0A72"/>
    <w:rsid w:val="008B0A87"/>
    <w:rsid w:val="008B0BD3"/>
    <w:rsid w:val="008B0C4D"/>
    <w:rsid w:val="008B0DF4"/>
    <w:rsid w:val="008B14B4"/>
    <w:rsid w:val="008B19A7"/>
    <w:rsid w:val="008B20B9"/>
    <w:rsid w:val="008B2111"/>
    <w:rsid w:val="008B21A9"/>
    <w:rsid w:val="008B21FC"/>
    <w:rsid w:val="008B2206"/>
    <w:rsid w:val="008B2637"/>
    <w:rsid w:val="008B284D"/>
    <w:rsid w:val="008B29E1"/>
    <w:rsid w:val="008B2FCD"/>
    <w:rsid w:val="008B31F3"/>
    <w:rsid w:val="008B32DD"/>
    <w:rsid w:val="008B3344"/>
    <w:rsid w:val="008B3AEC"/>
    <w:rsid w:val="008B3B6F"/>
    <w:rsid w:val="008B3D3A"/>
    <w:rsid w:val="008B4060"/>
    <w:rsid w:val="008B4A48"/>
    <w:rsid w:val="008B4EB7"/>
    <w:rsid w:val="008B4FB6"/>
    <w:rsid w:val="008B505F"/>
    <w:rsid w:val="008B5080"/>
    <w:rsid w:val="008B556E"/>
    <w:rsid w:val="008B5704"/>
    <w:rsid w:val="008B5A9A"/>
    <w:rsid w:val="008B5C4E"/>
    <w:rsid w:val="008B6066"/>
    <w:rsid w:val="008B60D0"/>
    <w:rsid w:val="008B66EA"/>
    <w:rsid w:val="008B6A44"/>
    <w:rsid w:val="008B6AC9"/>
    <w:rsid w:val="008B6DDE"/>
    <w:rsid w:val="008B6F92"/>
    <w:rsid w:val="008B6FED"/>
    <w:rsid w:val="008B70FD"/>
    <w:rsid w:val="008B7152"/>
    <w:rsid w:val="008B753E"/>
    <w:rsid w:val="008B7882"/>
    <w:rsid w:val="008B7B04"/>
    <w:rsid w:val="008B7C8B"/>
    <w:rsid w:val="008C0175"/>
    <w:rsid w:val="008C019C"/>
    <w:rsid w:val="008C02BC"/>
    <w:rsid w:val="008C03E3"/>
    <w:rsid w:val="008C0421"/>
    <w:rsid w:val="008C065C"/>
    <w:rsid w:val="008C09A1"/>
    <w:rsid w:val="008C0A01"/>
    <w:rsid w:val="008C0B2F"/>
    <w:rsid w:val="008C0C0F"/>
    <w:rsid w:val="008C0D1B"/>
    <w:rsid w:val="008C0DAA"/>
    <w:rsid w:val="008C0F58"/>
    <w:rsid w:val="008C0FDC"/>
    <w:rsid w:val="008C1292"/>
    <w:rsid w:val="008C12DF"/>
    <w:rsid w:val="008C169E"/>
    <w:rsid w:val="008C18EE"/>
    <w:rsid w:val="008C19FD"/>
    <w:rsid w:val="008C1D47"/>
    <w:rsid w:val="008C207F"/>
    <w:rsid w:val="008C21E6"/>
    <w:rsid w:val="008C222C"/>
    <w:rsid w:val="008C234C"/>
    <w:rsid w:val="008C27B3"/>
    <w:rsid w:val="008C28D7"/>
    <w:rsid w:val="008C28EE"/>
    <w:rsid w:val="008C2907"/>
    <w:rsid w:val="008C2930"/>
    <w:rsid w:val="008C2C7A"/>
    <w:rsid w:val="008C2CAF"/>
    <w:rsid w:val="008C3053"/>
    <w:rsid w:val="008C3226"/>
    <w:rsid w:val="008C332A"/>
    <w:rsid w:val="008C33FE"/>
    <w:rsid w:val="008C3468"/>
    <w:rsid w:val="008C3661"/>
    <w:rsid w:val="008C3697"/>
    <w:rsid w:val="008C3718"/>
    <w:rsid w:val="008C3E43"/>
    <w:rsid w:val="008C3F35"/>
    <w:rsid w:val="008C4037"/>
    <w:rsid w:val="008C41DC"/>
    <w:rsid w:val="008C4712"/>
    <w:rsid w:val="008C481E"/>
    <w:rsid w:val="008C48D1"/>
    <w:rsid w:val="008C4C42"/>
    <w:rsid w:val="008C4E91"/>
    <w:rsid w:val="008C4ED5"/>
    <w:rsid w:val="008C4FA6"/>
    <w:rsid w:val="008C52AB"/>
    <w:rsid w:val="008C52C9"/>
    <w:rsid w:val="008C573F"/>
    <w:rsid w:val="008C5C22"/>
    <w:rsid w:val="008C5E8D"/>
    <w:rsid w:val="008C5EC3"/>
    <w:rsid w:val="008C5EE6"/>
    <w:rsid w:val="008C5EEC"/>
    <w:rsid w:val="008C6074"/>
    <w:rsid w:val="008C61C7"/>
    <w:rsid w:val="008C61E3"/>
    <w:rsid w:val="008C6221"/>
    <w:rsid w:val="008C6557"/>
    <w:rsid w:val="008C65B7"/>
    <w:rsid w:val="008C68B1"/>
    <w:rsid w:val="008C6F99"/>
    <w:rsid w:val="008C7212"/>
    <w:rsid w:val="008C7360"/>
    <w:rsid w:val="008C7729"/>
    <w:rsid w:val="008C785B"/>
    <w:rsid w:val="008C7976"/>
    <w:rsid w:val="008C79BB"/>
    <w:rsid w:val="008C7DB3"/>
    <w:rsid w:val="008D033E"/>
    <w:rsid w:val="008D069E"/>
    <w:rsid w:val="008D070D"/>
    <w:rsid w:val="008D081E"/>
    <w:rsid w:val="008D0901"/>
    <w:rsid w:val="008D0B4D"/>
    <w:rsid w:val="008D0C2B"/>
    <w:rsid w:val="008D0CCB"/>
    <w:rsid w:val="008D0F90"/>
    <w:rsid w:val="008D12D1"/>
    <w:rsid w:val="008D139D"/>
    <w:rsid w:val="008D15D2"/>
    <w:rsid w:val="008D198D"/>
    <w:rsid w:val="008D19F9"/>
    <w:rsid w:val="008D1BD9"/>
    <w:rsid w:val="008D1F24"/>
    <w:rsid w:val="008D2024"/>
    <w:rsid w:val="008D2495"/>
    <w:rsid w:val="008D2599"/>
    <w:rsid w:val="008D25C1"/>
    <w:rsid w:val="008D267B"/>
    <w:rsid w:val="008D284E"/>
    <w:rsid w:val="008D28E7"/>
    <w:rsid w:val="008D2C71"/>
    <w:rsid w:val="008D2ED2"/>
    <w:rsid w:val="008D36DC"/>
    <w:rsid w:val="008D36F1"/>
    <w:rsid w:val="008D370E"/>
    <w:rsid w:val="008D3831"/>
    <w:rsid w:val="008D3844"/>
    <w:rsid w:val="008D39DE"/>
    <w:rsid w:val="008D3FE7"/>
    <w:rsid w:val="008D4004"/>
    <w:rsid w:val="008D434E"/>
    <w:rsid w:val="008D46A1"/>
    <w:rsid w:val="008D46AA"/>
    <w:rsid w:val="008D4B58"/>
    <w:rsid w:val="008D4D51"/>
    <w:rsid w:val="008D5286"/>
    <w:rsid w:val="008D532D"/>
    <w:rsid w:val="008D5647"/>
    <w:rsid w:val="008D5A0C"/>
    <w:rsid w:val="008D5B17"/>
    <w:rsid w:val="008D5EC3"/>
    <w:rsid w:val="008D60DA"/>
    <w:rsid w:val="008D620B"/>
    <w:rsid w:val="008D62EB"/>
    <w:rsid w:val="008D6ED6"/>
    <w:rsid w:val="008D6F77"/>
    <w:rsid w:val="008D71EE"/>
    <w:rsid w:val="008D78B5"/>
    <w:rsid w:val="008D799B"/>
    <w:rsid w:val="008D7D92"/>
    <w:rsid w:val="008D7FAB"/>
    <w:rsid w:val="008D7FD7"/>
    <w:rsid w:val="008E01DD"/>
    <w:rsid w:val="008E04FA"/>
    <w:rsid w:val="008E0CF7"/>
    <w:rsid w:val="008E0EB7"/>
    <w:rsid w:val="008E1393"/>
    <w:rsid w:val="008E1493"/>
    <w:rsid w:val="008E15D1"/>
    <w:rsid w:val="008E171C"/>
    <w:rsid w:val="008E17EE"/>
    <w:rsid w:val="008E180C"/>
    <w:rsid w:val="008E18C9"/>
    <w:rsid w:val="008E197D"/>
    <w:rsid w:val="008E1A63"/>
    <w:rsid w:val="008E1B79"/>
    <w:rsid w:val="008E1BF9"/>
    <w:rsid w:val="008E1C89"/>
    <w:rsid w:val="008E1DB5"/>
    <w:rsid w:val="008E226D"/>
    <w:rsid w:val="008E25CC"/>
    <w:rsid w:val="008E282D"/>
    <w:rsid w:val="008E2954"/>
    <w:rsid w:val="008E298A"/>
    <w:rsid w:val="008E2C0E"/>
    <w:rsid w:val="008E2C33"/>
    <w:rsid w:val="008E2C50"/>
    <w:rsid w:val="008E2C85"/>
    <w:rsid w:val="008E2CD3"/>
    <w:rsid w:val="008E2EF6"/>
    <w:rsid w:val="008E2FB4"/>
    <w:rsid w:val="008E3489"/>
    <w:rsid w:val="008E35D6"/>
    <w:rsid w:val="008E368A"/>
    <w:rsid w:val="008E3717"/>
    <w:rsid w:val="008E3A7E"/>
    <w:rsid w:val="008E3F44"/>
    <w:rsid w:val="008E4422"/>
    <w:rsid w:val="008E459C"/>
    <w:rsid w:val="008E46D7"/>
    <w:rsid w:val="008E47A0"/>
    <w:rsid w:val="008E48D0"/>
    <w:rsid w:val="008E4A03"/>
    <w:rsid w:val="008E4BE7"/>
    <w:rsid w:val="008E4DED"/>
    <w:rsid w:val="008E50CA"/>
    <w:rsid w:val="008E51E9"/>
    <w:rsid w:val="008E5393"/>
    <w:rsid w:val="008E5443"/>
    <w:rsid w:val="008E55A0"/>
    <w:rsid w:val="008E562D"/>
    <w:rsid w:val="008E5799"/>
    <w:rsid w:val="008E5A84"/>
    <w:rsid w:val="008E5B10"/>
    <w:rsid w:val="008E6162"/>
    <w:rsid w:val="008E673D"/>
    <w:rsid w:val="008E67D9"/>
    <w:rsid w:val="008E67E6"/>
    <w:rsid w:val="008E7145"/>
    <w:rsid w:val="008E7151"/>
    <w:rsid w:val="008E7622"/>
    <w:rsid w:val="008E768A"/>
    <w:rsid w:val="008E7C1A"/>
    <w:rsid w:val="008E7F9D"/>
    <w:rsid w:val="008F03A4"/>
    <w:rsid w:val="008F03C8"/>
    <w:rsid w:val="008F062C"/>
    <w:rsid w:val="008F0642"/>
    <w:rsid w:val="008F08A7"/>
    <w:rsid w:val="008F0A4D"/>
    <w:rsid w:val="008F0C27"/>
    <w:rsid w:val="008F0FBF"/>
    <w:rsid w:val="008F0FC7"/>
    <w:rsid w:val="008F1080"/>
    <w:rsid w:val="008F1210"/>
    <w:rsid w:val="008F127A"/>
    <w:rsid w:val="008F16D1"/>
    <w:rsid w:val="008F1CEB"/>
    <w:rsid w:val="008F20E2"/>
    <w:rsid w:val="008F2256"/>
    <w:rsid w:val="008F22EC"/>
    <w:rsid w:val="008F243C"/>
    <w:rsid w:val="008F2EC9"/>
    <w:rsid w:val="008F2F0D"/>
    <w:rsid w:val="008F31CD"/>
    <w:rsid w:val="008F3586"/>
    <w:rsid w:val="008F3639"/>
    <w:rsid w:val="008F377C"/>
    <w:rsid w:val="008F389A"/>
    <w:rsid w:val="008F38B7"/>
    <w:rsid w:val="008F3A87"/>
    <w:rsid w:val="008F3CC9"/>
    <w:rsid w:val="008F3D14"/>
    <w:rsid w:val="008F4191"/>
    <w:rsid w:val="008F43FC"/>
    <w:rsid w:val="008F45D1"/>
    <w:rsid w:val="008F4AD2"/>
    <w:rsid w:val="008F4BB2"/>
    <w:rsid w:val="008F4C2B"/>
    <w:rsid w:val="008F4C42"/>
    <w:rsid w:val="008F4DBC"/>
    <w:rsid w:val="008F5084"/>
    <w:rsid w:val="008F5097"/>
    <w:rsid w:val="008F50AD"/>
    <w:rsid w:val="008F5995"/>
    <w:rsid w:val="008F5998"/>
    <w:rsid w:val="008F5E6B"/>
    <w:rsid w:val="008F61DF"/>
    <w:rsid w:val="008F6286"/>
    <w:rsid w:val="008F6555"/>
    <w:rsid w:val="008F677A"/>
    <w:rsid w:val="008F6A35"/>
    <w:rsid w:val="008F6DC4"/>
    <w:rsid w:val="008F6E30"/>
    <w:rsid w:val="008F71AA"/>
    <w:rsid w:val="008F7580"/>
    <w:rsid w:val="008F778F"/>
    <w:rsid w:val="008F7C0B"/>
    <w:rsid w:val="00900107"/>
    <w:rsid w:val="00900269"/>
    <w:rsid w:val="009004DA"/>
    <w:rsid w:val="009009AA"/>
    <w:rsid w:val="00900A5B"/>
    <w:rsid w:val="00900D00"/>
    <w:rsid w:val="009013DD"/>
    <w:rsid w:val="00901547"/>
    <w:rsid w:val="009015AE"/>
    <w:rsid w:val="0090178F"/>
    <w:rsid w:val="00901AC9"/>
    <w:rsid w:val="00901BAE"/>
    <w:rsid w:val="00901D3A"/>
    <w:rsid w:val="00902063"/>
    <w:rsid w:val="0090227B"/>
    <w:rsid w:val="00902355"/>
    <w:rsid w:val="0090287C"/>
    <w:rsid w:val="00902A84"/>
    <w:rsid w:val="00902F4A"/>
    <w:rsid w:val="009035DD"/>
    <w:rsid w:val="009035F8"/>
    <w:rsid w:val="009038C5"/>
    <w:rsid w:val="0090392B"/>
    <w:rsid w:val="00903C5A"/>
    <w:rsid w:val="00904099"/>
    <w:rsid w:val="00904134"/>
    <w:rsid w:val="00904245"/>
    <w:rsid w:val="00904298"/>
    <w:rsid w:val="009048DB"/>
    <w:rsid w:val="00904BA2"/>
    <w:rsid w:val="00904BDE"/>
    <w:rsid w:val="0090525E"/>
    <w:rsid w:val="00905419"/>
    <w:rsid w:val="00905967"/>
    <w:rsid w:val="00905BB1"/>
    <w:rsid w:val="00905DF0"/>
    <w:rsid w:val="00905F64"/>
    <w:rsid w:val="0090608A"/>
    <w:rsid w:val="009065AA"/>
    <w:rsid w:val="00906D3C"/>
    <w:rsid w:val="00906D97"/>
    <w:rsid w:val="00906E5C"/>
    <w:rsid w:val="00907235"/>
    <w:rsid w:val="009075DD"/>
    <w:rsid w:val="009076AF"/>
    <w:rsid w:val="00907780"/>
    <w:rsid w:val="009077D2"/>
    <w:rsid w:val="009079BF"/>
    <w:rsid w:val="009079DE"/>
    <w:rsid w:val="00907A2D"/>
    <w:rsid w:val="009100CB"/>
    <w:rsid w:val="0091025D"/>
    <w:rsid w:val="009103E3"/>
    <w:rsid w:val="00910439"/>
    <w:rsid w:val="00910681"/>
    <w:rsid w:val="00910706"/>
    <w:rsid w:val="0091097E"/>
    <w:rsid w:val="00910D19"/>
    <w:rsid w:val="00910D76"/>
    <w:rsid w:val="00910EDB"/>
    <w:rsid w:val="0091107F"/>
    <w:rsid w:val="009110DF"/>
    <w:rsid w:val="0091122E"/>
    <w:rsid w:val="00911234"/>
    <w:rsid w:val="00911546"/>
    <w:rsid w:val="009116D1"/>
    <w:rsid w:val="00911A27"/>
    <w:rsid w:val="00911A97"/>
    <w:rsid w:val="00911C70"/>
    <w:rsid w:val="009122CF"/>
    <w:rsid w:val="00912406"/>
    <w:rsid w:val="009125D5"/>
    <w:rsid w:val="00912894"/>
    <w:rsid w:val="00912987"/>
    <w:rsid w:val="00912C53"/>
    <w:rsid w:val="00912CB9"/>
    <w:rsid w:val="00913539"/>
    <w:rsid w:val="00913550"/>
    <w:rsid w:val="00913735"/>
    <w:rsid w:val="00913888"/>
    <w:rsid w:val="00913B78"/>
    <w:rsid w:val="00913C13"/>
    <w:rsid w:val="00913D3A"/>
    <w:rsid w:val="00913EE8"/>
    <w:rsid w:val="009140A5"/>
    <w:rsid w:val="009140F1"/>
    <w:rsid w:val="00914924"/>
    <w:rsid w:val="00914932"/>
    <w:rsid w:val="009149F7"/>
    <w:rsid w:val="00914B68"/>
    <w:rsid w:val="00914C6B"/>
    <w:rsid w:val="00914EA6"/>
    <w:rsid w:val="00915286"/>
    <w:rsid w:val="00915319"/>
    <w:rsid w:val="009155A7"/>
    <w:rsid w:val="0091566C"/>
    <w:rsid w:val="00915824"/>
    <w:rsid w:val="009159CD"/>
    <w:rsid w:val="00915B2E"/>
    <w:rsid w:val="00915C12"/>
    <w:rsid w:val="00915D2E"/>
    <w:rsid w:val="00915ED7"/>
    <w:rsid w:val="00915F5B"/>
    <w:rsid w:val="0091628F"/>
    <w:rsid w:val="00916503"/>
    <w:rsid w:val="00916735"/>
    <w:rsid w:val="009167C4"/>
    <w:rsid w:val="00916C6B"/>
    <w:rsid w:val="00916CF3"/>
    <w:rsid w:val="00916E5A"/>
    <w:rsid w:val="00916E6D"/>
    <w:rsid w:val="00917214"/>
    <w:rsid w:val="0091765D"/>
    <w:rsid w:val="009179A3"/>
    <w:rsid w:val="00917B32"/>
    <w:rsid w:val="00920208"/>
    <w:rsid w:val="00920584"/>
    <w:rsid w:val="0092090F"/>
    <w:rsid w:val="00920A96"/>
    <w:rsid w:val="00920BD3"/>
    <w:rsid w:val="00920C4B"/>
    <w:rsid w:val="00920CC1"/>
    <w:rsid w:val="00921004"/>
    <w:rsid w:val="009216CB"/>
    <w:rsid w:val="00921CC6"/>
    <w:rsid w:val="009224D2"/>
    <w:rsid w:val="009224E2"/>
    <w:rsid w:val="009224F6"/>
    <w:rsid w:val="00922853"/>
    <w:rsid w:val="0092296A"/>
    <w:rsid w:val="00922CC1"/>
    <w:rsid w:val="00922CD5"/>
    <w:rsid w:val="009230FA"/>
    <w:rsid w:val="00923358"/>
    <w:rsid w:val="0092379B"/>
    <w:rsid w:val="009237C4"/>
    <w:rsid w:val="00923808"/>
    <w:rsid w:val="009238C0"/>
    <w:rsid w:val="00923EF7"/>
    <w:rsid w:val="009240BB"/>
    <w:rsid w:val="0092416A"/>
    <w:rsid w:val="0092440A"/>
    <w:rsid w:val="009245DE"/>
    <w:rsid w:val="0092470C"/>
    <w:rsid w:val="009248DB"/>
    <w:rsid w:val="009249D1"/>
    <w:rsid w:val="00924C96"/>
    <w:rsid w:val="00924E71"/>
    <w:rsid w:val="00924EDA"/>
    <w:rsid w:val="00924FD2"/>
    <w:rsid w:val="0092502D"/>
    <w:rsid w:val="00925081"/>
    <w:rsid w:val="009251FA"/>
    <w:rsid w:val="009252D1"/>
    <w:rsid w:val="009257D5"/>
    <w:rsid w:val="00925927"/>
    <w:rsid w:val="00925A25"/>
    <w:rsid w:val="00925F0F"/>
    <w:rsid w:val="00925FBB"/>
    <w:rsid w:val="00926375"/>
    <w:rsid w:val="00926509"/>
    <w:rsid w:val="00926B80"/>
    <w:rsid w:val="00926E33"/>
    <w:rsid w:val="00926F78"/>
    <w:rsid w:val="00927043"/>
    <w:rsid w:val="00927067"/>
    <w:rsid w:val="0092737B"/>
    <w:rsid w:val="009274C3"/>
    <w:rsid w:val="009274F0"/>
    <w:rsid w:val="00927853"/>
    <w:rsid w:val="00927E93"/>
    <w:rsid w:val="0093005E"/>
    <w:rsid w:val="009302D3"/>
    <w:rsid w:val="0093030F"/>
    <w:rsid w:val="00930380"/>
    <w:rsid w:val="009304AF"/>
    <w:rsid w:val="009308EF"/>
    <w:rsid w:val="00930EE1"/>
    <w:rsid w:val="00931079"/>
    <w:rsid w:val="009310BD"/>
    <w:rsid w:val="009311B4"/>
    <w:rsid w:val="009312E9"/>
    <w:rsid w:val="009313CB"/>
    <w:rsid w:val="009314E3"/>
    <w:rsid w:val="00931869"/>
    <w:rsid w:val="0093188D"/>
    <w:rsid w:val="00931918"/>
    <w:rsid w:val="0093191E"/>
    <w:rsid w:val="00931985"/>
    <w:rsid w:val="00931AA3"/>
    <w:rsid w:val="00931C51"/>
    <w:rsid w:val="00931DB9"/>
    <w:rsid w:val="00931F73"/>
    <w:rsid w:val="009320CD"/>
    <w:rsid w:val="0093291C"/>
    <w:rsid w:val="00932DDB"/>
    <w:rsid w:val="00933399"/>
    <w:rsid w:val="009334B5"/>
    <w:rsid w:val="00933726"/>
    <w:rsid w:val="0093396B"/>
    <w:rsid w:val="00934793"/>
    <w:rsid w:val="009349BC"/>
    <w:rsid w:val="00934CD5"/>
    <w:rsid w:val="0093508E"/>
    <w:rsid w:val="00935294"/>
    <w:rsid w:val="009354C9"/>
    <w:rsid w:val="009355E8"/>
    <w:rsid w:val="009356D6"/>
    <w:rsid w:val="00935836"/>
    <w:rsid w:val="00935973"/>
    <w:rsid w:val="00935BEA"/>
    <w:rsid w:val="00935D12"/>
    <w:rsid w:val="00935DAF"/>
    <w:rsid w:val="00935EB9"/>
    <w:rsid w:val="00936137"/>
    <w:rsid w:val="009362F2"/>
    <w:rsid w:val="009367CF"/>
    <w:rsid w:val="009367DC"/>
    <w:rsid w:val="00936A7E"/>
    <w:rsid w:val="00936ABC"/>
    <w:rsid w:val="00936C39"/>
    <w:rsid w:val="00936CA2"/>
    <w:rsid w:val="00936E6C"/>
    <w:rsid w:val="00937FF5"/>
    <w:rsid w:val="0094004C"/>
    <w:rsid w:val="00940195"/>
    <w:rsid w:val="0094062B"/>
    <w:rsid w:val="00940B39"/>
    <w:rsid w:val="00940D05"/>
    <w:rsid w:val="00940F52"/>
    <w:rsid w:val="0094103F"/>
    <w:rsid w:val="00941261"/>
    <w:rsid w:val="0094126E"/>
    <w:rsid w:val="009412C7"/>
    <w:rsid w:val="00941322"/>
    <w:rsid w:val="009416B0"/>
    <w:rsid w:val="0094184E"/>
    <w:rsid w:val="00941B89"/>
    <w:rsid w:val="00941D46"/>
    <w:rsid w:val="00941E78"/>
    <w:rsid w:val="00941FE9"/>
    <w:rsid w:val="00942073"/>
    <w:rsid w:val="00942243"/>
    <w:rsid w:val="0094256D"/>
    <w:rsid w:val="009425AF"/>
    <w:rsid w:val="009425BA"/>
    <w:rsid w:val="009431C1"/>
    <w:rsid w:val="009431DC"/>
    <w:rsid w:val="009433C3"/>
    <w:rsid w:val="009434EB"/>
    <w:rsid w:val="009438A1"/>
    <w:rsid w:val="0094399D"/>
    <w:rsid w:val="00943D5D"/>
    <w:rsid w:val="00943FB1"/>
    <w:rsid w:val="00944942"/>
    <w:rsid w:val="009449ED"/>
    <w:rsid w:val="00944DC2"/>
    <w:rsid w:val="00944EC3"/>
    <w:rsid w:val="00944EE7"/>
    <w:rsid w:val="00944FF7"/>
    <w:rsid w:val="00945232"/>
    <w:rsid w:val="009452C6"/>
    <w:rsid w:val="00945863"/>
    <w:rsid w:val="00945971"/>
    <w:rsid w:val="00945A18"/>
    <w:rsid w:val="00945ABF"/>
    <w:rsid w:val="00945AFE"/>
    <w:rsid w:val="00945BC5"/>
    <w:rsid w:val="00945D14"/>
    <w:rsid w:val="00946034"/>
    <w:rsid w:val="009460F7"/>
    <w:rsid w:val="009461FB"/>
    <w:rsid w:val="0094639D"/>
    <w:rsid w:val="00946563"/>
    <w:rsid w:val="00947307"/>
    <w:rsid w:val="009476A3"/>
    <w:rsid w:val="009476C9"/>
    <w:rsid w:val="00947736"/>
    <w:rsid w:val="00947981"/>
    <w:rsid w:val="00947AC7"/>
    <w:rsid w:val="00947B72"/>
    <w:rsid w:val="00950040"/>
    <w:rsid w:val="00950761"/>
    <w:rsid w:val="0095120B"/>
    <w:rsid w:val="0095126E"/>
    <w:rsid w:val="00951423"/>
    <w:rsid w:val="00951459"/>
    <w:rsid w:val="009514A8"/>
    <w:rsid w:val="009514D0"/>
    <w:rsid w:val="009517FE"/>
    <w:rsid w:val="00951840"/>
    <w:rsid w:val="0095188E"/>
    <w:rsid w:val="00951FCA"/>
    <w:rsid w:val="0095238D"/>
    <w:rsid w:val="009524C9"/>
    <w:rsid w:val="00952A85"/>
    <w:rsid w:val="00952AD6"/>
    <w:rsid w:val="00952CC3"/>
    <w:rsid w:val="00952EB4"/>
    <w:rsid w:val="009534B1"/>
    <w:rsid w:val="00953A53"/>
    <w:rsid w:val="00953D0D"/>
    <w:rsid w:val="00953D36"/>
    <w:rsid w:val="00954222"/>
    <w:rsid w:val="009545A9"/>
    <w:rsid w:val="00954965"/>
    <w:rsid w:val="00954B58"/>
    <w:rsid w:val="00954BD1"/>
    <w:rsid w:val="00954BD5"/>
    <w:rsid w:val="00954E48"/>
    <w:rsid w:val="00954E79"/>
    <w:rsid w:val="00954F32"/>
    <w:rsid w:val="00954F61"/>
    <w:rsid w:val="00955252"/>
    <w:rsid w:val="00955980"/>
    <w:rsid w:val="00955D58"/>
    <w:rsid w:val="00955D87"/>
    <w:rsid w:val="00955EB6"/>
    <w:rsid w:val="0095640A"/>
    <w:rsid w:val="0095654A"/>
    <w:rsid w:val="009565A2"/>
    <w:rsid w:val="00956653"/>
    <w:rsid w:val="00956B1C"/>
    <w:rsid w:val="00956BBD"/>
    <w:rsid w:val="00956CFD"/>
    <w:rsid w:val="0095726F"/>
    <w:rsid w:val="0095754D"/>
    <w:rsid w:val="0095764E"/>
    <w:rsid w:val="009578A0"/>
    <w:rsid w:val="00957B25"/>
    <w:rsid w:val="00957DF7"/>
    <w:rsid w:val="00957E85"/>
    <w:rsid w:val="00960695"/>
    <w:rsid w:val="009606B1"/>
    <w:rsid w:val="00960746"/>
    <w:rsid w:val="00960975"/>
    <w:rsid w:val="00960A80"/>
    <w:rsid w:val="0096108C"/>
    <w:rsid w:val="00961131"/>
    <w:rsid w:val="009615DA"/>
    <w:rsid w:val="00961C6B"/>
    <w:rsid w:val="00961F63"/>
    <w:rsid w:val="00961FD9"/>
    <w:rsid w:val="00962164"/>
    <w:rsid w:val="00962E3E"/>
    <w:rsid w:val="0096301A"/>
    <w:rsid w:val="009631E0"/>
    <w:rsid w:val="009633DD"/>
    <w:rsid w:val="009639CD"/>
    <w:rsid w:val="009639CF"/>
    <w:rsid w:val="009639D5"/>
    <w:rsid w:val="00963C8B"/>
    <w:rsid w:val="00963F17"/>
    <w:rsid w:val="00964424"/>
    <w:rsid w:val="0096448B"/>
    <w:rsid w:val="0096453A"/>
    <w:rsid w:val="009647F3"/>
    <w:rsid w:val="00964963"/>
    <w:rsid w:val="00964991"/>
    <w:rsid w:val="00964A96"/>
    <w:rsid w:val="00964C29"/>
    <w:rsid w:val="00964DEC"/>
    <w:rsid w:val="00964F1C"/>
    <w:rsid w:val="00965078"/>
    <w:rsid w:val="0096536E"/>
    <w:rsid w:val="00965492"/>
    <w:rsid w:val="00965764"/>
    <w:rsid w:val="00965787"/>
    <w:rsid w:val="009657DA"/>
    <w:rsid w:val="009658AD"/>
    <w:rsid w:val="00965A88"/>
    <w:rsid w:val="00965E6E"/>
    <w:rsid w:val="009663A2"/>
    <w:rsid w:val="009665EC"/>
    <w:rsid w:val="00966690"/>
    <w:rsid w:val="00966741"/>
    <w:rsid w:val="00966A92"/>
    <w:rsid w:val="00966AD6"/>
    <w:rsid w:val="00966B7F"/>
    <w:rsid w:val="00966D41"/>
    <w:rsid w:val="00966DA6"/>
    <w:rsid w:val="00966DA8"/>
    <w:rsid w:val="00966ED3"/>
    <w:rsid w:val="00966FF8"/>
    <w:rsid w:val="0096713B"/>
    <w:rsid w:val="009671F9"/>
    <w:rsid w:val="0096736F"/>
    <w:rsid w:val="009677C0"/>
    <w:rsid w:val="009677C8"/>
    <w:rsid w:val="009677C9"/>
    <w:rsid w:val="009677F4"/>
    <w:rsid w:val="009678CE"/>
    <w:rsid w:val="00967DBA"/>
    <w:rsid w:val="009701A2"/>
    <w:rsid w:val="009701BE"/>
    <w:rsid w:val="00970551"/>
    <w:rsid w:val="00970777"/>
    <w:rsid w:val="00970897"/>
    <w:rsid w:val="00970D01"/>
    <w:rsid w:val="00970DDE"/>
    <w:rsid w:val="00970F2F"/>
    <w:rsid w:val="009713A0"/>
    <w:rsid w:val="009713BF"/>
    <w:rsid w:val="009714D4"/>
    <w:rsid w:val="00971964"/>
    <w:rsid w:val="00971CA1"/>
    <w:rsid w:val="00971FFB"/>
    <w:rsid w:val="0097211C"/>
    <w:rsid w:val="0097217B"/>
    <w:rsid w:val="009723D5"/>
    <w:rsid w:val="00972582"/>
    <w:rsid w:val="00972663"/>
    <w:rsid w:val="00972874"/>
    <w:rsid w:val="00972C77"/>
    <w:rsid w:val="00972FC1"/>
    <w:rsid w:val="009730E0"/>
    <w:rsid w:val="0097324B"/>
    <w:rsid w:val="00973717"/>
    <w:rsid w:val="00973C08"/>
    <w:rsid w:val="00973CC2"/>
    <w:rsid w:val="00973D40"/>
    <w:rsid w:val="00973ECB"/>
    <w:rsid w:val="00973FDA"/>
    <w:rsid w:val="00974238"/>
    <w:rsid w:val="0097428C"/>
    <w:rsid w:val="009742ED"/>
    <w:rsid w:val="0097437C"/>
    <w:rsid w:val="009744B1"/>
    <w:rsid w:val="009746CB"/>
    <w:rsid w:val="009746ED"/>
    <w:rsid w:val="00974A34"/>
    <w:rsid w:val="00974A4F"/>
    <w:rsid w:val="00974AAC"/>
    <w:rsid w:val="00974C4D"/>
    <w:rsid w:val="00974D57"/>
    <w:rsid w:val="00974F5E"/>
    <w:rsid w:val="00974FA8"/>
    <w:rsid w:val="0097524F"/>
    <w:rsid w:val="00975306"/>
    <w:rsid w:val="0097538C"/>
    <w:rsid w:val="0097559B"/>
    <w:rsid w:val="00975628"/>
    <w:rsid w:val="00975EE4"/>
    <w:rsid w:val="00975F91"/>
    <w:rsid w:val="0097684B"/>
    <w:rsid w:val="00976898"/>
    <w:rsid w:val="00976961"/>
    <w:rsid w:val="00976B0C"/>
    <w:rsid w:val="00976E9A"/>
    <w:rsid w:val="00976FBD"/>
    <w:rsid w:val="00977015"/>
    <w:rsid w:val="00977832"/>
    <w:rsid w:val="00977B6E"/>
    <w:rsid w:val="00977C4F"/>
    <w:rsid w:val="00977DCD"/>
    <w:rsid w:val="00977E80"/>
    <w:rsid w:val="0098034E"/>
    <w:rsid w:val="00980622"/>
    <w:rsid w:val="00980C65"/>
    <w:rsid w:val="00980C87"/>
    <w:rsid w:val="00980D28"/>
    <w:rsid w:val="00980D52"/>
    <w:rsid w:val="00980D95"/>
    <w:rsid w:val="00980F50"/>
    <w:rsid w:val="00981115"/>
    <w:rsid w:val="00981C25"/>
    <w:rsid w:val="00981DA8"/>
    <w:rsid w:val="00981FC0"/>
    <w:rsid w:val="00982031"/>
    <w:rsid w:val="0098218C"/>
    <w:rsid w:val="009821A5"/>
    <w:rsid w:val="009821F3"/>
    <w:rsid w:val="00982412"/>
    <w:rsid w:val="00982983"/>
    <w:rsid w:val="00982FF3"/>
    <w:rsid w:val="0098300F"/>
    <w:rsid w:val="00983035"/>
    <w:rsid w:val="00983081"/>
    <w:rsid w:val="00983303"/>
    <w:rsid w:val="0098344E"/>
    <w:rsid w:val="00983491"/>
    <w:rsid w:val="00983908"/>
    <w:rsid w:val="00983CF3"/>
    <w:rsid w:val="00983F45"/>
    <w:rsid w:val="00983FF6"/>
    <w:rsid w:val="00984091"/>
    <w:rsid w:val="0098418F"/>
    <w:rsid w:val="009842CA"/>
    <w:rsid w:val="00984539"/>
    <w:rsid w:val="00984C93"/>
    <w:rsid w:val="00984EDF"/>
    <w:rsid w:val="00984EFE"/>
    <w:rsid w:val="0098525C"/>
    <w:rsid w:val="0098556E"/>
    <w:rsid w:val="00985D0F"/>
    <w:rsid w:val="00985D82"/>
    <w:rsid w:val="00985F56"/>
    <w:rsid w:val="009864C8"/>
    <w:rsid w:val="009864DA"/>
    <w:rsid w:val="0098651D"/>
    <w:rsid w:val="00986785"/>
    <w:rsid w:val="0098690C"/>
    <w:rsid w:val="00987020"/>
    <w:rsid w:val="009872E8"/>
    <w:rsid w:val="00987616"/>
    <w:rsid w:val="0098765C"/>
    <w:rsid w:val="009877C2"/>
    <w:rsid w:val="00987818"/>
    <w:rsid w:val="00987C8E"/>
    <w:rsid w:val="00987E83"/>
    <w:rsid w:val="0099013F"/>
    <w:rsid w:val="00990561"/>
    <w:rsid w:val="00990CA0"/>
    <w:rsid w:val="00990D36"/>
    <w:rsid w:val="00990DBC"/>
    <w:rsid w:val="00990DFF"/>
    <w:rsid w:val="0099152F"/>
    <w:rsid w:val="009917F5"/>
    <w:rsid w:val="0099206D"/>
    <w:rsid w:val="00992299"/>
    <w:rsid w:val="00992F07"/>
    <w:rsid w:val="0099371D"/>
    <w:rsid w:val="009939E6"/>
    <w:rsid w:val="009939F3"/>
    <w:rsid w:val="00993B3B"/>
    <w:rsid w:val="00993C84"/>
    <w:rsid w:val="00993E6D"/>
    <w:rsid w:val="00993EE7"/>
    <w:rsid w:val="009941AD"/>
    <w:rsid w:val="0099432E"/>
    <w:rsid w:val="00994649"/>
    <w:rsid w:val="009946CF"/>
    <w:rsid w:val="009948E0"/>
    <w:rsid w:val="00994B96"/>
    <w:rsid w:val="00994BC7"/>
    <w:rsid w:val="00994C8B"/>
    <w:rsid w:val="00994F4C"/>
    <w:rsid w:val="0099512F"/>
    <w:rsid w:val="009952EF"/>
    <w:rsid w:val="00995449"/>
    <w:rsid w:val="0099546E"/>
    <w:rsid w:val="009956A2"/>
    <w:rsid w:val="0099571B"/>
    <w:rsid w:val="009958A3"/>
    <w:rsid w:val="00995B0B"/>
    <w:rsid w:val="00995C65"/>
    <w:rsid w:val="00995DE4"/>
    <w:rsid w:val="00995FDA"/>
    <w:rsid w:val="00996309"/>
    <w:rsid w:val="009967A7"/>
    <w:rsid w:val="009968AE"/>
    <w:rsid w:val="00996AEC"/>
    <w:rsid w:val="00996FA9"/>
    <w:rsid w:val="009971C1"/>
    <w:rsid w:val="00997339"/>
    <w:rsid w:val="00997340"/>
    <w:rsid w:val="009979A0"/>
    <w:rsid w:val="009979DC"/>
    <w:rsid w:val="00997F76"/>
    <w:rsid w:val="009A04E4"/>
    <w:rsid w:val="009A05D0"/>
    <w:rsid w:val="009A0927"/>
    <w:rsid w:val="009A0B35"/>
    <w:rsid w:val="009A0FC7"/>
    <w:rsid w:val="009A103E"/>
    <w:rsid w:val="009A11FE"/>
    <w:rsid w:val="009A12C0"/>
    <w:rsid w:val="009A1327"/>
    <w:rsid w:val="009A1575"/>
    <w:rsid w:val="009A1596"/>
    <w:rsid w:val="009A1641"/>
    <w:rsid w:val="009A1652"/>
    <w:rsid w:val="009A17E9"/>
    <w:rsid w:val="009A1837"/>
    <w:rsid w:val="009A19BD"/>
    <w:rsid w:val="009A1ADF"/>
    <w:rsid w:val="009A1BDA"/>
    <w:rsid w:val="009A1C7F"/>
    <w:rsid w:val="009A1FA1"/>
    <w:rsid w:val="009A2161"/>
    <w:rsid w:val="009A2478"/>
    <w:rsid w:val="009A2621"/>
    <w:rsid w:val="009A29CF"/>
    <w:rsid w:val="009A2B63"/>
    <w:rsid w:val="009A2BE8"/>
    <w:rsid w:val="009A2FE7"/>
    <w:rsid w:val="009A30D4"/>
    <w:rsid w:val="009A319D"/>
    <w:rsid w:val="009A34EE"/>
    <w:rsid w:val="009A365B"/>
    <w:rsid w:val="009A3A8D"/>
    <w:rsid w:val="009A3D3A"/>
    <w:rsid w:val="009A409E"/>
    <w:rsid w:val="009A425A"/>
    <w:rsid w:val="009A46E5"/>
    <w:rsid w:val="009A4779"/>
    <w:rsid w:val="009A4867"/>
    <w:rsid w:val="009A4A5A"/>
    <w:rsid w:val="009A4B06"/>
    <w:rsid w:val="009A4C26"/>
    <w:rsid w:val="009A4E7D"/>
    <w:rsid w:val="009A4EA0"/>
    <w:rsid w:val="009A56A2"/>
    <w:rsid w:val="009A5C56"/>
    <w:rsid w:val="009A5EC0"/>
    <w:rsid w:val="009A6046"/>
    <w:rsid w:val="009A658F"/>
    <w:rsid w:val="009A6662"/>
    <w:rsid w:val="009A67B9"/>
    <w:rsid w:val="009A6841"/>
    <w:rsid w:val="009A69BB"/>
    <w:rsid w:val="009A6A3A"/>
    <w:rsid w:val="009A6DAA"/>
    <w:rsid w:val="009A708C"/>
    <w:rsid w:val="009A71B0"/>
    <w:rsid w:val="009A7488"/>
    <w:rsid w:val="009A7E8E"/>
    <w:rsid w:val="009A7EE6"/>
    <w:rsid w:val="009B0156"/>
    <w:rsid w:val="009B01EB"/>
    <w:rsid w:val="009B041E"/>
    <w:rsid w:val="009B0432"/>
    <w:rsid w:val="009B0467"/>
    <w:rsid w:val="009B04B2"/>
    <w:rsid w:val="009B062A"/>
    <w:rsid w:val="009B086E"/>
    <w:rsid w:val="009B091A"/>
    <w:rsid w:val="009B0957"/>
    <w:rsid w:val="009B0991"/>
    <w:rsid w:val="009B0B98"/>
    <w:rsid w:val="009B0E4A"/>
    <w:rsid w:val="009B0EB6"/>
    <w:rsid w:val="009B0FF7"/>
    <w:rsid w:val="009B1084"/>
    <w:rsid w:val="009B12DC"/>
    <w:rsid w:val="009B157B"/>
    <w:rsid w:val="009B16EA"/>
    <w:rsid w:val="009B181D"/>
    <w:rsid w:val="009B1A38"/>
    <w:rsid w:val="009B1BA4"/>
    <w:rsid w:val="009B1DDA"/>
    <w:rsid w:val="009B1DDC"/>
    <w:rsid w:val="009B23E7"/>
    <w:rsid w:val="009B2432"/>
    <w:rsid w:val="009B24AB"/>
    <w:rsid w:val="009B255A"/>
    <w:rsid w:val="009B2563"/>
    <w:rsid w:val="009B2927"/>
    <w:rsid w:val="009B2AE5"/>
    <w:rsid w:val="009B2AFD"/>
    <w:rsid w:val="009B2F7D"/>
    <w:rsid w:val="009B31E1"/>
    <w:rsid w:val="009B33E8"/>
    <w:rsid w:val="009B389F"/>
    <w:rsid w:val="009B38FA"/>
    <w:rsid w:val="009B3906"/>
    <w:rsid w:val="009B3AB1"/>
    <w:rsid w:val="009B3CF6"/>
    <w:rsid w:val="009B3D39"/>
    <w:rsid w:val="009B3E86"/>
    <w:rsid w:val="009B40EF"/>
    <w:rsid w:val="009B426A"/>
    <w:rsid w:val="009B4457"/>
    <w:rsid w:val="009B4560"/>
    <w:rsid w:val="009B45DB"/>
    <w:rsid w:val="009B4879"/>
    <w:rsid w:val="009B4B1E"/>
    <w:rsid w:val="009B5733"/>
    <w:rsid w:val="009B5E6C"/>
    <w:rsid w:val="009B63EE"/>
    <w:rsid w:val="009B64ED"/>
    <w:rsid w:val="009B6671"/>
    <w:rsid w:val="009B66FA"/>
    <w:rsid w:val="009B691C"/>
    <w:rsid w:val="009B6A23"/>
    <w:rsid w:val="009B6C7C"/>
    <w:rsid w:val="009B6D10"/>
    <w:rsid w:val="009B6D20"/>
    <w:rsid w:val="009B6DE8"/>
    <w:rsid w:val="009B6DF7"/>
    <w:rsid w:val="009B6F9D"/>
    <w:rsid w:val="009B7435"/>
    <w:rsid w:val="009B7457"/>
    <w:rsid w:val="009B7CAF"/>
    <w:rsid w:val="009B7EFF"/>
    <w:rsid w:val="009C01CB"/>
    <w:rsid w:val="009C022B"/>
    <w:rsid w:val="009C034F"/>
    <w:rsid w:val="009C0430"/>
    <w:rsid w:val="009C0509"/>
    <w:rsid w:val="009C0536"/>
    <w:rsid w:val="009C0709"/>
    <w:rsid w:val="009C0799"/>
    <w:rsid w:val="009C0B57"/>
    <w:rsid w:val="009C0D5B"/>
    <w:rsid w:val="009C0D9B"/>
    <w:rsid w:val="009C0DC3"/>
    <w:rsid w:val="009C11D4"/>
    <w:rsid w:val="009C13B2"/>
    <w:rsid w:val="009C14D5"/>
    <w:rsid w:val="009C1657"/>
    <w:rsid w:val="009C1733"/>
    <w:rsid w:val="009C1739"/>
    <w:rsid w:val="009C18C7"/>
    <w:rsid w:val="009C1B4D"/>
    <w:rsid w:val="009C1DB8"/>
    <w:rsid w:val="009C206F"/>
    <w:rsid w:val="009C2433"/>
    <w:rsid w:val="009C2719"/>
    <w:rsid w:val="009C2F58"/>
    <w:rsid w:val="009C30D6"/>
    <w:rsid w:val="009C3307"/>
    <w:rsid w:val="009C33F9"/>
    <w:rsid w:val="009C3811"/>
    <w:rsid w:val="009C3C8A"/>
    <w:rsid w:val="009C3CAA"/>
    <w:rsid w:val="009C3FAA"/>
    <w:rsid w:val="009C3FEE"/>
    <w:rsid w:val="009C443D"/>
    <w:rsid w:val="009C45A0"/>
    <w:rsid w:val="009C4A5C"/>
    <w:rsid w:val="009C4ACB"/>
    <w:rsid w:val="009C5953"/>
    <w:rsid w:val="009C5A65"/>
    <w:rsid w:val="009C5D7A"/>
    <w:rsid w:val="009C5DCA"/>
    <w:rsid w:val="009C6289"/>
    <w:rsid w:val="009C6632"/>
    <w:rsid w:val="009C6634"/>
    <w:rsid w:val="009C678F"/>
    <w:rsid w:val="009C6896"/>
    <w:rsid w:val="009C6BB2"/>
    <w:rsid w:val="009C6D17"/>
    <w:rsid w:val="009C7164"/>
    <w:rsid w:val="009C751D"/>
    <w:rsid w:val="009C7751"/>
    <w:rsid w:val="009C7FE5"/>
    <w:rsid w:val="009D0078"/>
    <w:rsid w:val="009D0244"/>
    <w:rsid w:val="009D0574"/>
    <w:rsid w:val="009D068E"/>
    <w:rsid w:val="009D089B"/>
    <w:rsid w:val="009D0A24"/>
    <w:rsid w:val="009D0BDF"/>
    <w:rsid w:val="009D0C5F"/>
    <w:rsid w:val="009D0C8E"/>
    <w:rsid w:val="009D0EBB"/>
    <w:rsid w:val="009D12E0"/>
    <w:rsid w:val="009D130A"/>
    <w:rsid w:val="009D165A"/>
    <w:rsid w:val="009D1717"/>
    <w:rsid w:val="009D1826"/>
    <w:rsid w:val="009D1BAD"/>
    <w:rsid w:val="009D20FE"/>
    <w:rsid w:val="009D2232"/>
    <w:rsid w:val="009D22C3"/>
    <w:rsid w:val="009D2769"/>
    <w:rsid w:val="009D2B74"/>
    <w:rsid w:val="009D2CA8"/>
    <w:rsid w:val="009D3257"/>
    <w:rsid w:val="009D33BC"/>
    <w:rsid w:val="009D34A3"/>
    <w:rsid w:val="009D35F8"/>
    <w:rsid w:val="009D3667"/>
    <w:rsid w:val="009D3799"/>
    <w:rsid w:val="009D3BAC"/>
    <w:rsid w:val="009D3F55"/>
    <w:rsid w:val="009D420F"/>
    <w:rsid w:val="009D4223"/>
    <w:rsid w:val="009D4793"/>
    <w:rsid w:val="009D4CDA"/>
    <w:rsid w:val="009D4E29"/>
    <w:rsid w:val="009D4E8E"/>
    <w:rsid w:val="009D4EAF"/>
    <w:rsid w:val="009D4F83"/>
    <w:rsid w:val="009D4FD1"/>
    <w:rsid w:val="009D4FE2"/>
    <w:rsid w:val="009D50C3"/>
    <w:rsid w:val="009D52F5"/>
    <w:rsid w:val="009D533C"/>
    <w:rsid w:val="009D5400"/>
    <w:rsid w:val="009D5810"/>
    <w:rsid w:val="009D5828"/>
    <w:rsid w:val="009D59BF"/>
    <w:rsid w:val="009D59D6"/>
    <w:rsid w:val="009D5D1D"/>
    <w:rsid w:val="009D5E13"/>
    <w:rsid w:val="009D5ED6"/>
    <w:rsid w:val="009D61E3"/>
    <w:rsid w:val="009D64DE"/>
    <w:rsid w:val="009D6B52"/>
    <w:rsid w:val="009D6D9A"/>
    <w:rsid w:val="009D6DB9"/>
    <w:rsid w:val="009D701F"/>
    <w:rsid w:val="009D72A8"/>
    <w:rsid w:val="009D7CB9"/>
    <w:rsid w:val="009D7ECA"/>
    <w:rsid w:val="009E011E"/>
    <w:rsid w:val="009E040C"/>
    <w:rsid w:val="009E088A"/>
    <w:rsid w:val="009E0BDD"/>
    <w:rsid w:val="009E0D07"/>
    <w:rsid w:val="009E1157"/>
    <w:rsid w:val="009E130F"/>
    <w:rsid w:val="009E1491"/>
    <w:rsid w:val="009E14F1"/>
    <w:rsid w:val="009E1734"/>
    <w:rsid w:val="009E1A60"/>
    <w:rsid w:val="009E1AE3"/>
    <w:rsid w:val="009E1B63"/>
    <w:rsid w:val="009E1D71"/>
    <w:rsid w:val="009E1E7B"/>
    <w:rsid w:val="009E2388"/>
    <w:rsid w:val="009E289C"/>
    <w:rsid w:val="009E2A7C"/>
    <w:rsid w:val="009E2DB9"/>
    <w:rsid w:val="009E378D"/>
    <w:rsid w:val="009E3858"/>
    <w:rsid w:val="009E38F6"/>
    <w:rsid w:val="009E394E"/>
    <w:rsid w:val="009E3B6B"/>
    <w:rsid w:val="009E4019"/>
    <w:rsid w:val="009E415B"/>
    <w:rsid w:val="009E4197"/>
    <w:rsid w:val="009E427B"/>
    <w:rsid w:val="009E4635"/>
    <w:rsid w:val="009E4854"/>
    <w:rsid w:val="009E4901"/>
    <w:rsid w:val="009E4BF3"/>
    <w:rsid w:val="009E4DE5"/>
    <w:rsid w:val="009E4ECF"/>
    <w:rsid w:val="009E5620"/>
    <w:rsid w:val="009E56B9"/>
    <w:rsid w:val="009E57C8"/>
    <w:rsid w:val="009E58D4"/>
    <w:rsid w:val="009E5C96"/>
    <w:rsid w:val="009E6043"/>
    <w:rsid w:val="009E612A"/>
    <w:rsid w:val="009E6192"/>
    <w:rsid w:val="009E6496"/>
    <w:rsid w:val="009E65AA"/>
    <w:rsid w:val="009E6631"/>
    <w:rsid w:val="009E692F"/>
    <w:rsid w:val="009E6A16"/>
    <w:rsid w:val="009E70BB"/>
    <w:rsid w:val="009E765E"/>
    <w:rsid w:val="009E773A"/>
    <w:rsid w:val="009E7A91"/>
    <w:rsid w:val="009E7CAA"/>
    <w:rsid w:val="009E7DFE"/>
    <w:rsid w:val="009E7E69"/>
    <w:rsid w:val="009F0103"/>
    <w:rsid w:val="009F099E"/>
    <w:rsid w:val="009F09DE"/>
    <w:rsid w:val="009F0DBD"/>
    <w:rsid w:val="009F0EA2"/>
    <w:rsid w:val="009F1221"/>
    <w:rsid w:val="009F1A6C"/>
    <w:rsid w:val="009F1F0B"/>
    <w:rsid w:val="009F237E"/>
    <w:rsid w:val="009F251B"/>
    <w:rsid w:val="009F25F4"/>
    <w:rsid w:val="009F2629"/>
    <w:rsid w:val="009F2630"/>
    <w:rsid w:val="009F2945"/>
    <w:rsid w:val="009F2AA4"/>
    <w:rsid w:val="009F2AFF"/>
    <w:rsid w:val="009F2D0C"/>
    <w:rsid w:val="009F2DC9"/>
    <w:rsid w:val="009F2E53"/>
    <w:rsid w:val="009F30DA"/>
    <w:rsid w:val="009F326C"/>
    <w:rsid w:val="009F3513"/>
    <w:rsid w:val="009F37C2"/>
    <w:rsid w:val="009F3806"/>
    <w:rsid w:val="009F3817"/>
    <w:rsid w:val="009F38E3"/>
    <w:rsid w:val="009F39F4"/>
    <w:rsid w:val="009F3A41"/>
    <w:rsid w:val="009F3DBE"/>
    <w:rsid w:val="009F4A76"/>
    <w:rsid w:val="009F4EEE"/>
    <w:rsid w:val="009F5297"/>
    <w:rsid w:val="009F548D"/>
    <w:rsid w:val="009F56CF"/>
    <w:rsid w:val="009F57C3"/>
    <w:rsid w:val="009F59D8"/>
    <w:rsid w:val="009F5EA4"/>
    <w:rsid w:val="009F600A"/>
    <w:rsid w:val="009F62AD"/>
    <w:rsid w:val="009F6470"/>
    <w:rsid w:val="009F6670"/>
    <w:rsid w:val="009F6DB5"/>
    <w:rsid w:val="009F7072"/>
    <w:rsid w:val="009F714F"/>
    <w:rsid w:val="009F7204"/>
    <w:rsid w:val="009F761B"/>
    <w:rsid w:val="009F766E"/>
    <w:rsid w:val="009F7817"/>
    <w:rsid w:val="00A00068"/>
    <w:rsid w:val="00A0067F"/>
    <w:rsid w:val="00A00898"/>
    <w:rsid w:val="00A008A1"/>
    <w:rsid w:val="00A008EA"/>
    <w:rsid w:val="00A009D8"/>
    <w:rsid w:val="00A00D4C"/>
    <w:rsid w:val="00A01076"/>
    <w:rsid w:val="00A011EC"/>
    <w:rsid w:val="00A015C2"/>
    <w:rsid w:val="00A01680"/>
    <w:rsid w:val="00A0200F"/>
    <w:rsid w:val="00A02137"/>
    <w:rsid w:val="00A022AF"/>
    <w:rsid w:val="00A022F4"/>
    <w:rsid w:val="00A02536"/>
    <w:rsid w:val="00A02612"/>
    <w:rsid w:val="00A02942"/>
    <w:rsid w:val="00A029E9"/>
    <w:rsid w:val="00A02AF6"/>
    <w:rsid w:val="00A02B80"/>
    <w:rsid w:val="00A02E97"/>
    <w:rsid w:val="00A02FD6"/>
    <w:rsid w:val="00A038E2"/>
    <w:rsid w:val="00A04098"/>
    <w:rsid w:val="00A040B8"/>
    <w:rsid w:val="00A044CE"/>
    <w:rsid w:val="00A046D2"/>
    <w:rsid w:val="00A0472A"/>
    <w:rsid w:val="00A04D6B"/>
    <w:rsid w:val="00A04F11"/>
    <w:rsid w:val="00A05170"/>
    <w:rsid w:val="00A0539E"/>
    <w:rsid w:val="00A053E4"/>
    <w:rsid w:val="00A0547B"/>
    <w:rsid w:val="00A054C2"/>
    <w:rsid w:val="00A05563"/>
    <w:rsid w:val="00A055CE"/>
    <w:rsid w:val="00A056B6"/>
    <w:rsid w:val="00A05826"/>
    <w:rsid w:val="00A05A44"/>
    <w:rsid w:val="00A05A88"/>
    <w:rsid w:val="00A05C4A"/>
    <w:rsid w:val="00A05F22"/>
    <w:rsid w:val="00A061BA"/>
    <w:rsid w:val="00A066B6"/>
    <w:rsid w:val="00A06731"/>
    <w:rsid w:val="00A06C0F"/>
    <w:rsid w:val="00A06C39"/>
    <w:rsid w:val="00A06DE6"/>
    <w:rsid w:val="00A07030"/>
    <w:rsid w:val="00A072F8"/>
    <w:rsid w:val="00A07419"/>
    <w:rsid w:val="00A07574"/>
    <w:rsid w:val="00A0769E"/>
    <w:rsid w:val="00A07740"/>
    <w:rsid w:val="00A07753"/>
    <w:rsid w:val="00A077B8"/>
    <w:rsid w:val="00A07A19"/>
    <w:rsid w:val="00A07C4A"/>
    <w:rsid w:val="00A07EB0"/>
    <w:rsid w:val="00A07F14"/>
    <w:rsid w:val="00A07FEE"/>
    <w:rsid w:val="00A1020D"/>
    <w:rsid w:val="00A1039B"/>
    <w:rsid w:val="00A106E0"/>
    <w:rsid w:val="00A1094E"/>
    <w:rsid w:val="00A10A52"/>
    <w:rsid w:val="00A10E48"/>
    <w:rsid w:val="00A10EEA"/>
    <w:rsid w:val="00A110AD"/>
    <w:rsid w:val="00A111E5"/>
    <w:rsid w:val="00A11598"/>
    <w:rsid w:val="00A11A6E"/>
    <w:rsid w:val="00A11AAD"/>
    <w:rsid w:val="00A12101"/>
    <w:rsid w:val="00A123D0"/>
    <w:rsid w:val="00A127C9"/>
    <w:rsid w:val="00A1281E"/>
    <w:rsid w:val="00A12831"/>
    <w:rsid w:val="00A12B7E"/>
    <w:rsid w:val="00A12BBE"/>
    <w:rsid w:val="00A12DD6"/>
    <w:rsid w:val="00A12E48"/>
    <w:rsid w:val="00A12E62"/>
    <w:rsid w:val="00A1323C"/>
    <w:rsid w:val="00A1339E"/>
    <w:rsid w:val="00A13516"/>
    <w:rsid w:val="00A1353B"/>
    <w:rsid w:val="00A1357B"/>
    <w:rsid w:val="00A135DA"/>
    <w:rsid w:val="00A13858"/>
    <w:rsid w:val="00A139D6"/>
    <w:rsid w:val="00A13A8D"/>
    <w:rsid w:val="00A13D8A"/>
    <w:rsid w:val="00A13FA2"/>
    <w:rsid w:val="00A14360"/>
    <w:rsid w:val="00A14380"/>
    <w:rsid w:val="00A147F2"/>
    <w:rsid w:val="00A14C06"/>
    <w:rsid w:val="00A14C92"/>
    <w:rsid w:val="00A1501F"/>
    <w:rsid w:val="00A15220"/>
    <w:rsid w:val="00A152AA"/>
    <w:rsid w:val="00A1595C"/>
    <w:rsid w:val="00A159D3"/>
    <w:rsid w:val="00A15C26"/>
    <w:rsid w:val="00A15D20"/>
    <w:rsid w:val="00A15D8B"/>
    <w:rsid w:val="00A15E38"/>
    <w:rsid w:val="00A15F3D"/>
    <w:rsid w:val="00A15F86"/>
    <w:rsid w:val="00A1695F"/>
    <w:rsid w:val="00A169A7"/>
    <w:rsid w:val="00A16BFC"/>
    <w:rsid w:val="00A16F00"/>
    <w:rsid w:val="00A1771D"/>
    <w:rsid w:val="00A1772B"/>
    <w:rsid w:val="00A17845"/>
    <w:rsid w:val="00A1786F"/>
    <w:rsid w:val="00A17A1D"/>
    <w:rsid w:val="00A17ADC"/>
    <w:rsid w:val="00A17C7A"/>
    <w:rsid w:val="00A17E0A"/>
    <w:rsid w:val="00A17FA2"/>
    <w:rsid w:val="00A2022A"/>
    <w:rsid w:val="00A2026D"/>
    <w:rsid w:val="00A20920"/>
    <w:rsid w:val="00A20A82"/>
    <w:rsid w:val="00A20D2D"/>
    <w:rsid w:val="00A20D3D"/>
    <w:rsid w:val="00A212C6"/>
    <w:rsid w:val="00A2133E"/>
    <w:rsid w:val="00A213C2"/>
    <w:rsid w:val="00A214C7"/>
    <w:rsid w:val="00A216FF"/>
    <w:rsid w:val="00A21852"/>
    <w:rsid w:val="00A218A2"/>
    <w:rsid w:val="00A21CA1"/>
    <w:rsid w:val="00A21CD3"/>
    <w:rsid w:val="00A21F89"/>
    <w:rsid w:val="00A21FC4"/>
    <w:rsid w:val="00A22350"/>
    <w:rsid w:val="00A22583"/>
    <w:rsid w:val="00A225C0"/>
    <w:rsid w:val="00A225DB"/>
    <w:rsid w:val="00A22613"/>
    <w:rsid w:val="00A22670"/>
    <w:rsid w:val="00A226D0"/>
    <w:rsid w:val="00A22747"/>
    <w:rsid w:val="00A229B1"/>
    <w:rsid w:val="00A22C2C"/>
    <w:rsid w:val="00A22C83"/>
    <w:rsid w:val="00A22CEC"/>
    <w:rsid w:val="00A22D2B"/>
    <w:rsid w:val="00A23644"/>
    <w:rsid w:val="00A23683"/>
    <w:rsid w:val="00A23A43"/>
    <w:rsid w:val="00A23AEF"/>
    <w:rsid w:val="00A23EC1"/>
    <w:rsid w:val="00A23F7C"/>
    <w:rsid w:val="00A24229"/>
    <w:rsid w:val="00A244E1"/>
    <w:rsid w:val="00A2463F"/>
    <w:rsid w:val="00A246C6"/>
    <w:rsid w:val="00A24896"/>
    <w:rsid w:val="00A24B27"/>
    <w:rsid w:val="00A24B69"/>
    <w:rsid w:val="00A24BE5"/>
    <w:rsid w:val="00A24E08"/>
    <w:rsid w:val="00A24ED3"/>
    <w:rsid w:val="00A24F4B"/>
    <w:rsid w:val="00A250A4"/>
    <w:rsid w:val="00A2568D"/>
    <w:rsid w:val="00A25702"/>
    <w:rsid w:val="00A25755"/>
    <w:rsid w:val="00A258B3"/>
    <w:rsid w:val="00A25E8C"/>
    <w:rsid w:val="00A25E9C"/>
    <w:rsid w:val="00A2613C"/>
    <w:rsid w:val="00A261C9"/>
    <w:rsid w:val="00A26297"/>
    <w:rsid w:val="00A262CE"/>
    <w:rsid w:val="00A26471"/>
    <w:rsid w:val="00A268C4"/>
    <w:rsid w:val="00A268FE"/>
    <w:rsid w:val="00A26B80"/>
    <w:rsid w:val="00A26BB7"/>
    <w:rsid w:val="00A26EA0"/>
    <w:rsid w:val="00A272A5"/>
    <w:rsid w:val="00A2739E"/>
    <w:rsid w:val="00A27582"/>
    <w:rsid w:val="00A2794E"/>
    <w:rsid w:val="00A27A99"/>
    <w:rsid w:val="00A27B0A"/>
    <w:rsid w:val="00A27BF8"/>
    <w:rsid w:val="00A27D8A"/>
    <w:rsid w:val="00A27DFC"/>
    <w:rsid w:val="00A302F6"/>
    <w:rsid w:val="00A30547"/>
    <w:rsid w:val="00A305DC"/>
    <w:rsid w:val="00A30CB7"/>
    <w:rsid w:val="00A311AF"/>
    <w:rsid w:val="00A312A3"/>
    <w:rsid w:val="00A314BA"/>
    <w:rsid w:val="00A316F2"/>
    <w:rsid w:val="00A317C2"/>
    <w:rsid w:val="00A31B00"/>
    <w:rsid w:val="00A31B56"/>
    <w:rsid w:val="00A31B6B"/>
    <w:rsid w:val="00A31BED"/>
    <w:rsid w:val="00A31CFF"/>
    <w:rsid w:val="00A31F47"/>
    <w:rsid w:val="00A32B45"/>
    <w:rsid w:val="00A32E34"/>
    <w:rsid w:val="00A330C6"/>
    <w:rsid w:val="00A330E3"/>
    <w:rsid w:val="00A33502"/>
    <w:rsid w:val="00A335CC"/>
    <w:rsid w:val="00A33958"/>
    <w:rsid w:val="00A33F8C"/>
    <w:rsid w:val="00A33FE0"/>
    <w:rsid w:val="00A342E4"/>
    <w:rsid w:val="00A34492"/>
    <w:rsid w:val="00A345CB"/>
    <w:rsid w:val="00A3475F"/>
    <w:rsid w:val="00A34E0A"/>
    <w:rsid w:val="00A352B0"/>
    <w:rsid w:val="00A353DA"/>
    <w:rsid w:val="00A35663"/>
    <w:rsid w:val="00A35874"/>
    <w:rsid w:val="00A35ACE"/>
    <w:rsid w:val="00A35B61"/>
    <w:rsid w:val="00A35DE5"/>
    <w:rsid w:val="00A35E20"/>
    <w:rsid w:val="00A364FD"/>
    <w:rsid w:val="00A366B6"/>
    <w:rsid w:val="00A367CD"/>
    <w:rsid w:val="00A369CD"/>
    <w:rsid w:val="00A36B7C"/>
    <w:rsid w:val="00A36F36"/>
    <w:rsid w:val="00A371FA"/>
    <w:rsid w:val="00A37328"/>
    <w:rsid w:val="00A3735B"/>
    <w:rsid w:val="00A375EE"/>
    <w:rsid w:val="00A37787"/>
    <w:rsid w:val="00A377EF"/>
    <w:rsid w:val="00A37993"/>
    <w:rsid w:val="00A37A0F"/>
    <w:rsid w:val="00A37BB9"/>
    <w:rsid w:val="00A37D51"/>
    <w:rsid w:val="00A37E3E"/>
    <w:rsid w:val="00A37F30"/>
    <w:rsid w:val="00A37FD0"/>
    <w:rsid w:val="00A4002B"/>
    <w:rsid w:val="00A40276"/>
    <w:rsid w:val="00A402CA"/>
    <w:rsid w:val="00A4033C"/>
    <w:rsid w:val="00A4063C"/>
    <w:rsid w:val="00A40A69"/>
    <w:rsid w:val="00A4107A"/>
    <w:rsid w:val="00A41124"/>
    <w:rsid w:val="00A412BA"/>
    <w:rsid w:val="00A41377"/>
    <w:rsid w:val="00A413CF"/>
    <w:rsid w:val="00A41602"/>
    <w:rsid w:val="00A41825"/>
    <w:rsid w:val="00A41826"/>
    <w:rsid w:val="00A41986"/>
    <w:rsid w:val="00A41A2A"/>
    <w:rsid w:val="00A41FA2"/>
    <w:rsid w:val="00A422B0"/>
    <w:rsid w:val="00A427D3"/>
    <w:rsid w:val="00A42B94"/>
    <w:rsid w:val="00A431F2"/>
    <w:rsid w:val="00A43470"/>
    <w:rsid w:val="00A4371D"/>
    <w:rsid w:val="00A4389D"/>
    <w:rsid w:val="00A43DFE"/>
    <w:rsid w:val="00A4424E"/>
    <w:rsid w:val="00A4442C"/>
    <w:rsid w:val="00A4498A"/>
    <w:rsid w:val="00A44BCA"/>
    <w:rsid w:val="00A44C4F"/>
    <w:rsid w:val="00A44CCB"/>
    <w:rsid w:val="00A4505B"/>
    <w:rsid w:val="00A454B5"/>
    <w:rsid w:val="00A4556D"/>
    <w:rsid w:val="00A45718"/>
    <w:rsid w:val="00A457F8"/>
    <w:rsid w:val="00A45AF6"/>
    <w:rsid w:val="00A45D42"/>
    <w:rsid w:val="00A45E5D"/>
    <w:rsid w:val="00A462A5"/>
    <w:rsid w:val="00A46494"/>
    <w:rsid w:val="00A466ED"/>
    <w:rsid w:val="00A479B7"/>
    <w:rsid w:val="00A47AC4"/>
    <w:rsid w:val="00A47B37"/>
    <w:rsid w:val="00A47BC8"/>
    <w:rsid w:val="00A47DD9"/>
    <w:rsid w:val="00A50011"/>
    <w:rsid w:val="00A5010E"/>
    <w:rsid w:val="00A502A0"/>
    <w:rsid w:val="00A50494"/>
    <w:rsid w:val="00A507A7"/>
    <w:rsid w:val="00A5090D"/>
    <w:rsid w:val="00A50C65"/>
    <w:rsid w:val="00A50E55"/>
    <w:rsid w:val="00A50ECF"/>
    <w:rsid w:val="00A51222"/>
    <w:rsid w:val="00A51424"/>
    <w:rsid w:val="00A5174C"/>
    <w:rsid w:val="00A5195E"/>
    <w:rsid w:val="00A51A43"/>
    <w:rsid w:val="00A51BA4"/>
    <w:rsid w:val="00A51BDC"/>
    <w:rsid w:val="00A51E6B"/>
    <w:rsid w:val="00A521F6"/>
    <w:rsid w:val="00A5231D"/>
    <w:rsid w:val="00A52587"/>
    <w:rsid w:val="00A52790"/>
    <w:rsid w:val="00A529E0"/>
    <w:rsid w:val="00A52BF4"/>
    <w:rsid w:val="00A52E73"/>
    <w:rsid w:val="00A52EA1"/>
    <w:rsid w:val="00A530A2"/>
    <w:rsid w:val="00A530F9"/>
    <w:rsid w:val="00A531DF"/>
    <w:rsid w:val="00A53330"/>
    <w:rsid w:val="00A534E9"/>
    <w:rsid w:val="00A535DB"/>
    <w:rsid w:val="00A537E8"/>
    <w:rsid w:val="00A53C8F"/>
    <w:rsid w:val="00A540D3"/>
    <w:rsid w:val="00A541E8"/>
    <w:rsid w:val="00A5488C"/>
    <w:rsid w:val="00A548C0"/>
    <w:rsid w:val="00A5498A"/>
    <w:rsid w:val="00A54ACD"/>
    <w:rsid w:val="00A54C79"/>
    <w:rsid w:val="00A54CF3"/>
    <w:rsid w:val="00A54E02"/>
    <w:rsid w:val="00A54EFC"/>
    <w:rsid w:val="00A55181"/>
    <w:rsid w:val="00A5530A"/>
    <w:rsid w:val="00A553BF"/>
    <w:rsid w:val="00A55933"/>
    <w:rsid w:val="00A55A01"/>
    <w:rsid w:val="00A55AD8"/>
    <w:rsid w:val="00A55E70"/>
    <w:rsid w:val="00A56217"/>
    <w:rsid w:val="00A56449"/>
    <w:rsid w:val="00A5688D"/>
    <w:rsid w:val="00A5698D"/>
    <w:rsid w:val="00A5745A"/>
    <w:rsid w:val="00A57684"/>
    <w:rsid w:val="00A57ADF"/>
    <w:rsid w:val="00A57BF1"/>
    <w:rsid w:val="00A57CE2"/>
    <w:rsid w:val="00A57ECD"/>
    <w:rsid w:val="00A602C6"/>
    <w:rsid w:val="00A60735"/>
    <w:rsid w:val="00A60739"/>
    <w:rsid w:val="00A607AD"/>
    <w:rsid w:val="00A609CD"/>
    <w:rsid w:val="00A60C3F"/>
    <w:rsid w:val="00A60DB8"/>
    <w:rsid w:val="00A6118D"/>
    <w:rsid w:val="00A611A1"/>
    <w:rsid w:val="00A61285"/>
    <w:rsid w:val="00A6137E"/>
    <w:rsid w:val="00A615C8"/>
    <w:rsid w:val="00A61627"/>
    <w:rsid w:val="00A617C2"/>
    <w:rsid w:val="00A61887"/>
    <w:rsid w:val="00A61C6D"/>
    <w:rsid w:val="00A61D43"/>
    <w:rsid w:val="00A61F8A"/>
    <w:rsid w:val="00A61FE0"/>
    <w:rsid w:val="00A62044"/>
    <w:rsid w:val="00A6204E"/>
    <w:rsid w:val="00A621C6"/>
    <w:rsid w:val="00A622EB"/>
    <w:rsid w:val="00A6273C"/>
    <w:rsid w:val="00A62A1E"/>
    <w:rsid w:val="00A62E6D"/>
    <w:rsid w:val="00A6348D"/>
    <w:rsid w:val="00A63593"/>
    <w:rsid w:val="00A638A6"/>
    <w:rsid w:val="00A638F6"/>
    <w:rsid w:val="00A6393F"/>
    <w:rsid w:val="00A63DEE"/>
    <w:rsid w:val="00A63EEF"/>
    <w:rsid w:val="00A63F18"/>
    <w:rsid w:val="00A63FB0"/>
    <w:rsid w:val="00A63FFB"/>
    <w:rsid w:val="00A64088"/>
    <w:rsid w:val="00A6430A"/>
    <w:rsid w:val="00A647C7"/>
    <w:rsid w:val="00A64A5D"/>
    <w:rsid w:val="00A64C41"/>
    <w:rsid w:val="00A64C66"/>
    <w:rsid w:val="00A64DD6"/>
    <w:rsid w:val="00A64DDD"/>
    <w:rsid w:val="00A64E2A"/>
    <w:rsid w:val="00A64FD0"/>
    <w:rsid w:val="00A65061"/>
    <w:rsid w:val="00A65142"/>
    <w:rsid w:val="00A65347"/>
    <w:rsid w:val="00A65556"/>
    <w:rsid w:val="00A6569F"/>
    <w:rsid w:val="00A656A8"/>
    <w:rsid w:val="00A6584E"/>
    <w:rsid w:val="00A65D07"/>
    <w:rsid w:val="00A65DD3"/>
    <w:rsid w:val="00A65E73"/>
    <w:rsid w:val="00A65F83"/>
    <w:rsid w:val="00A6601A"/>
    <w:rsid w:val="00A66769"/>
    <w:rsid w:val="00A6689A"/>
    <w:rsid w:val="00A66927"/>
    <w:rsid w:val="00A66A27"/>
    <w:rsid w:val="00A66C0E"/>
    <w:rsid w:val="00A66D43"/>
    <w:rsid w:val="00A67252"/>
    <w:rsid w:val="00A67273"/>
    <w:rsid w:val="00A67281"/>
    <w:rsid w:val="00A673B6"/>
    <w:rsid w:val="00A675B1"/>
    <w:rsid w:val="00A675DD"/>
    <w:rsid w:val="00A678C4"/>
    <w:rsid w:val="00A67B52"/>
    <w:rsid w:val="00A700D7"/>
    <w:rsid w:val="00A702EE"/>
    <w:rsid w:val="00A706F5"/>
    <w:rsid w:val="00A70728"/>
    <w:rsid w:val="00A70B44"/>
    <w:rsid w:val="00A70B45"/>
    <w:rsid w:val="00A70C87"/>
    <w:rsid w:val="00A70F75"/>
    <w:rsid w:val="00A711C5"/>
    <w:rsid w:val="00A711EB"/>
    <w:rsid w:val="00A714DE"/>
    <w:rsid w:val="00A71536"/>
    <w:rsid w:val="00A7186B"/>
    <w:rsid w:val="00A71B62"/>
    <w:rsid w:val="00A71BF4"/>
    <w:rsid w:val="00A71FD7"/>
    <w:rsid w:val="00A71FDE"/>
    <w:rsid w:val="00A7244D"/>
    <w:rsid w:val="00A72472"/>
    <w:rsid w:val="00A725ED"/>
    <w:rsid w:val="00A7282A"/>
    <w:rsid w:val="00A728E4"/>
    <w:rsid w:val="00A72981"/>
    <w:rsid w:val="00A72B64"/>
    <w:rsid w:val="00A72C99"/>
    <w:rsid w:val="00A72D58"/>
    <w:rsid w:val="00A73096"/>
    <w:rsid w:val="00A73133"/>
    <w:rsid w:val="00A73230"/>
    <w:rsid w:val="00A73392"/>
    <w:rsid w:val="00A7362A"/>
    <w:rsid w:val="00A736BE"/>
    <w:rsid w:val="00A73794"/>
    <w:rsid w:val="00A738C0"/>
    <w:rsid w:val="00A73A1A"/>
    <w:rsid w:val="00A73A4C"/>
    <w:rsid w:val="00A73F8B"/>
    <w:rsid w:val="00A7405D"/>
    <w:rsid w:val="00A74152"/>
    <w:rsid w:val="00A7435B"/>
    <w:rsid w:val="00A74524"/>
    <w:rsid w:val="00A74631"/>
    <w:rsid w:val="00A746AA"/>
    <w:rsid w:val="00A74794"/>
    <w:rsid w:val="00A74854"/>
    <w:rsid w:val="00A74D3C"/>
    <w:rsid w:val="00A750A0"/>
    <w:rsid w:val="00A750EA"/>
    <w:rsid w:val="00A751D7"/>
    <w:rsid w:val="00A752E4"/>
    <w:rsid w:val="00A753E3"/>
    <w:rsid w:val="00A75A42"/>
    <w:rsid w:val="00A760BA"/>
    <w:rsid w:val="00A764B4"/>
    <w:rsid w:val="00A765AF"/>
    <w:rsid w:val="00A76C83"/>
    <w:rsid w:val="00A76CA6"/>
    <w:rsid w:val="00A76DDF"/>
    <w:rsid w:val="00A771C4"/>
    <w:rsid w:val="00A77750"/>
    <w:rsid w:val="00A7779B"/>
    <w:rsid w:val="00A777F6"/>
    <w:rsid w:val="00A77A0A"/>
    <w:rsid w:val="00A77B4A"/>
    <w:rsid w:val="00A77C50"/>
    <w:rsid w:val="00A77C90"/>
    <w:rsid w:val="00A77FAE"/>
    <w:rsid w:val="00A800B2"/>
    <w:rsid w:val="00A8046F"/>
    <w:rsid w:val="00A80474"/>
    <w:rsid w:val="00A807F8"/>
    <w:rsid w:val="00A80A1F"/>
    <w:rsid w:val="00A80F50"/>
    <w:rsid w:val="00A8102B"/>
    <w:rsid w:val="00A814FC"/>
    <w:rsid w:val="00A8181D"/>
    <w:rsid w:val="00A818D4"/>
    <w:rsid w:val="00A81A9A"/>
    <w:rsid w:val="00A81AB9"/>
    <w:rsid w:val="00A81C92"/>
    <w:rsid w:val="00A81CC1"/>
    <w:rsid w:val="00A81CE1"/>
    <w:rsid w:val="00A81DD0"/>
    <w:rsid w:val="00A82349"/>
    <w:rsid w:val="00A82383"/>
    <w:rsid w:val="00A825F9"/>
    <w:rsid w:val="00A827F2"/>
    <w:rsid w:val="00A82854"/>
    <w:rsid w:val="00A82C85"/>
    <w:rsid w:val="00A82CA7"/>
    <w:rsid w:val="00A83069"/>
    <w:rsid w:val="00A8325F"/>
    <w:rsid w:val="00A83E3D"/>
    <w:rsid w:val="00A8411F"/>
    <w:rsid w:val="00A84122"/>
    <w:rsid w:val="00A84198"/>
    <w:rsid w:val="00A841BF"/>
    <w:rsid w:val="00A84658"/>
    <w:rsid w:val="00A8466A"/>
    <w:rsid w:val="00A84867"/>
    <w:rsid w:val="00A848AA"/>
    <w:rsid w:val="00A84A16"/>
    <w:rsid w:val="00A84A6F"/>
    <w:rsid w:val="00A84AB7"/>
    <w:rsid w:val="00A84C4F"/>
    <w:rsid w:val="00A84D45"/>
    <w:rsid w:val="00A84E67"/>
    <w:rsid w:val="00A84F4D"/>
    <w:rsid w:val="00A851B2"/>
    <w:rsid w:val="00A85251"/>
    <w:rsid w:val="00A8561A"/>
    <w:rsid w:val="00A85D1F"/>
    <w:rsid w:val="00A85DCF"/>
    <w:rsid w:val="00A85EB3"/>
    <w:rsid w:val="00A85FC2"/>
    <w:rsid w:val="00A862C0"/>
    <w:rsid w:val="00A863E9"/>
    <w:rsid w:val="00A86674"/>
    <w:rsid w:val="00A868A1"/>
    <w:rsid w:val="00A86BD4"/>
    <w:rsid w:val="00A86F1B"/>
    <w:rsid w:val="00A86F2A"/>
    <w:rsid w:val="00A8700D"/>
    <w:rsid w:val="00A8757B"/>
    <w:rsid w:val="00A87880"/>
    <w:rsid w:val="00A87B15"/>
    <w:rsid w:val="00A87DE7"/>
    <w:rsid w:val="00A87E59"/>
    <w:rsid w:val="00A9028E"/>
    <w:rsid w:val="00A90324"/>
    <w:rsid w:val="00A905C9"/>
    <w:rsid w:val="00A90A63"/>
    <w:rsid w:val="00A90A92"/>
    <w:rsid w:val="00A90B12"/>
    <w:rsid w:val="00A90BE3"/>
    <w:rsid w:val="00A90DB4"/>
    <w:rsid w:val="00A90F5A"/>
    <w:rsid w:val="00A91127"/>
    <w:rsid w:val="00A9122F"/>
    <w:rsid w:val="00A912F7"/>
    <w:rsid w:val="00A91715"/>
    <w:rsid w:val="00A91843"/>
    <w:rsid w:val="00A918E5"/>
    <w:rsid w:val="00A919F5"/>
    <w:rsid w:val="00A929A1"/>
    <w:rsid w:val="00A92A39"/>
    <w:rsid w:val="00A92B43"/>
    <w:rsid w:val="00A92FAD"/>
    <w:rsid w:val="00A930D4"/>
    <w:rsid w:val="00A930FE"/>
    <w:rsid w:val="00A93246"/>
    <w:rsid w:val="00A934CF"/>
    <w:rsid w:val="00A9355C"/>
    <w:rsid w:val="00A93682"/>
    <w:rsid w:val="00A937AA"/>
    <w:rsid w:val="00A9383D"/>
    <w:rsid w:val="00A93893"/>
    <w:rsid w:val="00A9392F"/>
    <w:rsid w:val="00A939BE"/>
    <w:rsid w:val="00A93A8F"/>
    <w:rsid w:val="00A93CB5"/>
    <w:rsid w:val="00A93E04"/>
    <w:rsid w:val="00A93F17"/>
    <w:rsid w:val="00A93F5E"/>
    <w:rsid w:val="00A9429A"/>
    <w:rsid w:val="00A94419"/>
    <w:rsid w:val="00A948E8"/>
    <w:rsid w:val="00A9493B"/>
    <w:rsid w:val="00A94CA6"/>
    <w:rsid w:val="00A955EB"/>
    <w:rsid w:val="00A956BF"/>
    <w:rsid w:val="00A9577A"/>
    <w:rsid w:val="00A95825"/>
    <w:rsid w:val="00A95904"/>
    <w:rsid w:val="00A95AEE"/>
    <w:rsid w:val="00A95EE7"/>
    <w:rsid w:val="00A95F87"/>
    <w:rsid w:val="00A95F8E"/>
    <w:rsid w:val="00A96334"/>
    <w:rsid w:val="00A96367"/>
    <w:rsid w:val="00A965D3"/>
    <w:rsid w:val="00A965D8"/>
    <w:rsid w:val="00A969ED"/>
    <w:rsid w:val="00A96C0D"/>
    <w:rsid w:val="00A96C10"/>
    <w:rsid w:val="00A96C70"/>
    <w:rsid w:val="00A96C95"/>
    <w:rsid w:val="00A975DE"/>
    <w:rsid w:val="00A9777E"/>
    <w:rsid w:val="00A978E1"/>
    <w:rsid w:val="00A97A73"/>
    <w:rsid w:val="00A97C02"/>
    <w:rsid w:val="00A97CF4"/>
    <w:rsid w:val="00A97F3F"/>
    <w:rsid w:val="00AA0287"/>
    <w:rsid w:val="00AA03CA"/>
    <w:rsid w:val="00AA03F6"/>
    <w:rsid w:val="00AA04BE"/>
    <w:rsid w:val="00AA0730"/>
    <w:rsid w:val="00AA0B00"/>
    <w:rsid w:val="00AA0DB3"/>
    <w:rsid w:val="00AA107E"/>
    <w:rsid w:val="00AA10EE"/>
    <w:rsid w:val="00AA15EE"/>
    <w:rsid w:val="00AA168A"/>
    <w:rsid w:val="00AA1780"/>
    <w:rsid w:val="00AA17BB"/>
    <w:rsid w:val="00AA1974"/>
    <w:rsid w:val="00AA19F2"/>
    <w:rsid w:val="00AA1E28"/>
    <w:rsid w:val="00AA1F42"/>
    <w:rsid w:val="00AA20D6"/>
    <w:rsid w:val="00AA2212"/>
    <w:rsid w:val="00AA27F9"/>
    <w:rsid w:val="00AA2AC7"/>
    <w:rsid w:val="00AA2B89"/>
    <w:rsid w:val="00AA2C3F"/>
    <w:rsid w:val="00AA2CF8"/>
    <w:rsid w:val="00AA2F04"/>
    <w:rsid w:val="00AA2F93"/>
    <w:rsid w:val="00AA334B"/>
    <w:rsid w:val="00AA3A67"/>
    <w:rsid w:val="00AA3B80"/>
    <w:rsid w:val="00AA3E6F"/>
    <w:rsid w:val="00AA3F88"/>
    <w:rsid w:val="00AA46BE"/>
    <w:rsid w:val="00AA4C88"/>
    <w:rsid w:val="00AA4E60"/>
    <w:rsid w:val="00AA4F91"/>
    <w:rsid w:val="00AA5036"/>
    <w:rsid w:val="00AA506E"/>
    <w:rsid w:val="00AA5158"/>
    <w:rsid w:val="00AA5199"/>
    <w:rsid w:val="00AA51E9"/>
    <w:rsid w:val="00AA527D"/>
    <w:rsid w:val="00AA5973"/>
    <w:rsid w:val="00AA59A6"/>
    <w:rsid w:val="00AA5D83"/>
    <w:rsid w:val="00AA5E6F"/>
    <w:rsid w:val="00AA5F23"/>
    <w:rsid w:val="00AA5FE0"/>
    <w:rsid w:val="00AA6810"/>
    <w:rsid w:val="00AA6937"/>
    <w:rsid w:val="00AA6AF6"/>
    <w:rsid w:val="00AA6F96"/>
    <w:rsid w:val="00AA72E8"/>
    <w:rsid w:val="00AA783E"/>
    <w:rsid w:val="00AA7A7A"/>
    <w:rsid w:val="00AA7CE9"/>
    <w:rsid w:val="00AB024A"/>
    <w:rsid w:val="00AB0389"/>
    <w:rsid w:val="00AB0831"/>
    <w:rsid w:val="00AB0CCD"/>
    <w:rsid w:val="00AB0DAB"/>
    <w:rsid w:val="00AB0EC3"/>
    <w:rsid w:val="00AB10CB"/>
    <w:rsid w:val="00AB135C"/>
    <w:rsid w:val="00AB13EB"/>
    <w:rsid w:val="00AB17B8"/>
    <w:rsid w:val="00AB199B"/>
    <w:rsid w:val="00AB1B87"/>
    <w:rsid w:val="00AB2099"/>
    <w:rsid w:val="00AB2387"/>
    <w:rsid w:val="00AB23CE"/>
    <w:rsid w:val="00AB24D2"/>
    <w:rsid w:val="00AB282B"/>
    <w:rsid w:val="00AB2DC6"/>
    <w:rsid w:val="00AB2F12"/>
    <w:rsid w:val="00AB2FCC"/>
    <w:rsid w:val="00AB303D"/>
    <w:rsid w:val="00AB318C"/>
    <w:rsid w:val="00AB3453"/>
    <w:rsid w:val="00AB346F"/>
    <w:rsid w:val="00AB37FE"/>
    <w:rsid w:val="00AB3909"/>
    <w:rsid w:val="00AB3DEC"/>
    <w:rsid w:val="00AB4305"/>
    <w:rsid w:val="00AB440E"/>
    <w:rsid w:val="00AB449E"/>
    <w:rsid w:val="00AB46C0"/>
    <w:rsid w:val="00AB4C31"/>
    <w:rsid w:val="00AB4FC2"/>
    <w:rsid w:val="00AB506F"/>
    <w:rsid w:val="00AB52D5"/>
    <w:rsid w:val="00AB5479"/>
    <w:rsid w:val="00AB54B3"/>
    <w:rsid w:val="00AB5807"/>
    <w:rsid w:val="00AB5BC9"/>
    <w:rsid w:val="00AB5C98"/>
    <w:rsid w:val="00AB613B"/>
    <w:rsid w:val="00AB614C"/>
    <w:rsid w:val="00AB63C5"/>
    <w:rsid w:val="00AB6469"/>
    <w:rsid w:val="00AB6502"/>
    <w:rsid w:val="00AB65C4"/>
    <w:rsid w:val="00AB665C"/>
    <w:rsid w:val="00AB6B5F"/>
    <w:rsid w:val="00AB6B82"/>
    <w:rsid w:val="00AB6BEC"/>
    <w:rsid w:val="00AB6F12"/>
    <w:rsid w:val="00AB705E"/>
    <w:rsid w:val="00AB70BA"/>
    <w:rsid w:val="00AB70C2"/>
    <w:rsid w:val="00AB71F2"/>
    <w:rsid w:val="00AB72A3"/>
    <w:rsid w:val="00AB762D"/>
    <w:rsid w:val="00AB78BD"/>
    <w:rsid w:val="00AB7AC1"/>
    <w:rsid w:val="00AB7C07"/>
    <w:rsid w:val="00AB7EF9"/>
    <w:rsid w:val="00AC0452"/>
    <w:rsid w:val="00AC0466"/>
    <w:rsid w:val="00AC0AA5"/>
    <w:rsid w:val="00AC0AF6"/>
    <w:rsid w:val="00AC1008"/>
    <w:rsid w:val="00AC141E"/>
    <w:rsid w:val="00AC1591"/>
    <w:rsid w:val="00AC187C"/>
    <w:rsid w:val="00AC1B8E"/>
    <w:rsid w:val="00AC1DE4"/>
    <w:rsid w:val="00AC1F35"/>
    <w:rsid w:val="00AC25AA"/>
    <w:rsid w:val="00AC2701"/>
    <w:rsid w:val="00AC28B5"/>
    <w:rsid w:val="00AC28F7"/>
    <w:rsid w:val="00AC29A0"/>
    <w:rsid w:val="00AC29FF"/>
    <w:rsid w:val="00AC2A2D"/>
    <w:rsid w:val="00AC2B88"/>
    <w:rsid w:val="00AC2BC9"/>
    <w:rsid w:val="00AC2E42"/>
    <w:rsid w:val="00AC36D7"/>
    <w:rsid w:val="00AC374E"/>
    <w:rsid w:val="00AC39D0"/>
    <w:rsid w:val="00AC3D7D"/>
    <w:rsid w:val="00AC40AF"/>
    <w:rsid w:val="00AC45D9"/>
    <w:rsid w:val="00AC48DB"/>
    <w:rsid w:val="00AC4DB4"/>
    <w:rsid w:val="00AC4E69"/>
    <w:rsid w:val="00AC4FCA"/>
    <w:rsid w:val="00AC5541"/>
    <w:rsid w:val="00AC5800"/>
    <w:rsid w:val="00AC58DC"/>
    <w:rsid w:val="00AC5A48"/>
    <w:rsid w:val="00AC5C2F"/>
    <w:rsid w:val="00AC5EF5"/>
    <w:rsid w:val="00AC6156"/>
    <w:rsid w:val="00AC6361"/>
    <w:rsid w:val="00AC6398"/>
    <w:rsid w:val="00AC69C0"/>
    <w:rsid w:val="00AC6A00"/>
    <w:rsid w:val="00AC6A3A"/>
    <w:rsid w:val="00AC6CD1"/>
    <w:rsid w:val="00AC702B"/>
    <w:rsid w:val="00AC75DB"/>
    <w:rsid w:val="00AC7AE3"/>
    <w:rsid w:val="00AD0297"/>
    <w:rsid w:val="00AD0354"/>
    <w:rsid w:val="00AD0649"/>
    <w:rsid w:val="00AD0813"/>
    <w:rsid w:val="00AD0BA0"/>
    <w:rsid w:val="00AD11BF"/>
    <w:rsid w:val="00AD1747"/>
    <w:rsid w:val="00AD175C"/>
    <w:rsid w:val="00AD19B8"/>
    <w:rsid w:val="00AD1B9D"/>
    <w:rsid w:val="00AD1C4D"/>
    <w:rsid w:val="00AD1FA7"/>
    <w:rsid w:val="00AD20BF"/>
    <w:rsid w:val="00AD234D"/>
    <w:rsid w:val="00AD25FC"/>
    <w:rsid w:val="00AD274F"/>
    <w:rsid w:val="00AD281C"/>
    <w:rsid w:val="00AD28C4"/>
    <w:rsid w:val="00AD29F8"/>
    <w:rsid w:val="00AD2D0B"/>
    <w:rsid w:val="00AD2DEF"/>
    <w:rsid w:val="00AD31E4"/>
    <w:rsid w:val="00AD36F4"/>
    <w:rsid w:val="00AD38C9"/>
    <w:rsid w:val="00AD3BE7"/>
    <w:rsid w:val="00AD3CEC"/>
    <w:rsid w:val="00AD3D5B"/>
    <w:rsid w:val="00AD3DCC"/>
    <w:rsid w:val="00AD3EF0"/>
    <w:rsid w:val="00AD40D8"/>
    <w:rsid w:val="00AD456F"/>
    <w:rsid w:val="00AD4916"/>
    <w:rsid w:val="00AD494B"/>
    <w:rsid w:val="00AD4973"/>
    <w:rsid w:val="00AD4DD5"/>
    <w:rsid w:val="00AD4FB8"/>
    <w:rsid w:val="00AD524D"/>
    <w:rsid w:val="00AD5250"/>
    <w:rsid w:val="00AD52EF"/>
    <w:rsid w:val="00AD5651"/>
    <w:rsid w:val="00AD5868"/>
    <w:rsid w:val="00AD5DA0"/>
    <w:rsid w:val="00AD5DB6"/>
    <w:rsid w:val="00AD5E29"/>
    <w:rsid w:val="00AD6003"/>
    <w:rsid w:val="00AD6111"/>
    <w:rsid w:val="00AD6253"/>
    <w:rsid w:val="00AD62DD"/>
    <w:rsid w:val="00AD63BA"/>
    <w:rsid w:val="00AD6C78"/>
    <w:rsid w:val="00AD6DB5"/>
    <w:rsid w:val="00AD6DF6"/>
    <w:rsid w:val="00AD6F0D"/>
    <w:rsid w:val="00AD70D2"/>
    <w:rsid w:val="00AD71E7"/>
    <w:rsid w:val="00AD7507"/>
    <w:rsid w:val="00AD7544"/>
    <w:rsid w:val="00AD7BAB"/>
    <w:rsid w:val="00AD7F30"/>
    <w:rsid w:val="00AE0359"/>
    <w:rsid w:val="00AE0438"/>
    <w:rsid w:val="00AE04C0"/>
    <w:rsid w:val="00AE0DE4"/>
    <w:rsid w:val="00AE1287"/>
    <w:rsid w:val="00AE15FB"/>
    <w:rsid w:val="00AE1875"/>
    <w:rsid w:val="00AE1977"/>
    <w:rsid w:val="00AE19CB"/>
    <w:rsid w:val="00AE1D43"/>
    <w:rsid w:val="00AE1FF0"/>
    <w:rsid w:val="00AE2566"/>
    <w:rsid w:val="00AE2581"/>
    <w:rsid w:val="00AE282F"/>
    <w:rsid w:val="00AE2944"/>
    <w:rsid w:val="00AE2989"/>
    <w:rsid w:val="00AE29A3"/>
    <w:rsid w:val="00AE2DE7"/>
    <w:rsid w:val="00AE2E2B"/>
    <w:rsid w:val="00AE3090"/>
    <w:rsid w:val="00AE3277"/>
    <w:rsid w:val="00AE32F7"/>
    <w:rsid w:val="00AE331A"/>
    <w:rsid w:val="00AE3762"/>
    <w:rsid w:val="00AE3FA5"/>
    <w:rsid w:val="00AE417C"/>
    <w:rsid w:val="00AE417E"/>
    <w:rsid w:val="00AE4213"/>
    <w:rsid w:val="00AE4409"/>
    <w:rsid w:val="00AE45D0"/>
    <w:rsid w:val="00AE4609"/>
    <w:rsid w:val="00AE478F"/>
    <w:rsid w:val="00AE4E63"/>
    <w:rsid w:val="00AE4ED4"/>
    <w:rsid w:val="00AE4F74"/>
    <w:rsid w:val="00AE50D5"/>
    <w:rsid w:val="00AE531B"/>
    <w:rsid w:val="00AE5398"/>
    <w:rsid w:val="00AE54EB"/>
    <w:rsid w:val="00AE5832"/>
    <w:rsid w:val="00AE5D1C"/>
    <w:rsid w:val="00AE5D27"/>
    <w:rsid w:val="00AE5DD3"/>
    <w:rsid w:val="00AE5DE9"/>
    <w:rsid w:val="00AE5F29"/>
    <w:rsid w:val="00AE5FAD"/>
    <w:rsid w:val="00AE6211"/>
    <w:rsid w:val="00AE64CA"/>
    <w:rsid w:val="00AE66B7"/>
    <w:rsid w:val="00AE6900"/>
    <w:rsid w:val="00AE6AD9"/>
    <w:rsid w:val="00AE6B80"/>
    <w:rsid w:val="00AE6BAE"/>
    <w:rsid w:val="00AE6D0A"/>
    <w:rsid w:val="00AE6E4F"/>
    <w:rsid w:val="00AE775D"/>
    <w:rsid w:val="00AE7CE6"/>
    <w:rsid w:val="00AE7D11"/>
    <w:rsid w:val="00AE7E1D"/>
    <w:rsid w:val="00AF0A0A"/>
    <w:rsid w:val="00AF0B1E"/>
    <w:rsid w:val="00AF0CB1"/>
    <w:rsid w:val="00AF0DED"/>
    <w:rsid w:val="00AF1380"/>
    <w:rsid w:val="00AF13C5"/>
    <w:rsid w:val="00AF164F"/>
    <w:rsid w:val="00AF1742"/>
    <w:rsid w:val="00AF1796"/>
    <w:rsid w:val="00AF18B7"/>
    <w:rsid w:val="00AF18EE"/>
    <w:rsid w:val="00AF1E67"/>
    <w:rsid w:val="00AF2115"/>
    <w:rsid w:val="00AF224C"/>
    <w:rsid w:val="00AF234B"/>
    <w:rsid w:val="00AF243A"/>
    <w:rsid w:val="00AF29A2"/>
    <w:rsid w:val="00AF29D7"/>
    <w:rsid w:val="00AF2E4B"/>
    <w:rsid w:val="00AF3077"/>
    <w:rsid w:val="00AF31A0"/>
    <w:rsid w:val="00AF31A2"/>
    <w:rsid w:val="00AF3365"/>
    <w:rsid w:val="00AF3379"/>
    <w:rsid w:val="00AF3642"/>
    <w:rsid w:val="00AF386E"/>
    <w:rsid w:val="00AF39CE"/>
    <w:rsid w:val="00AF3B0F"/>
    <w:rsid w:val="00AF3C7E"/>
    <w:rsid w:val="00AF3F2A"/>
    <w:rsid w:val="00AF3F91"/>
    <w:rsid w:val="00AF4292"/>
    <w:rsid w:val="00AF42E8"/>
    <w:rsid w:val="00AF459C"/>
    <w:rsid w:val="00AF47E0"/>
    <w:rsid w:val="00AF4B54"/>
    <w:rsid w:val="00AF4CC6"/>
    <w:rsid w:val="00AF4E60"/>
    <w:rsid w:val="00AF4ED6"/>
    <w:rsid w:val="00AF55F5"/>
    <w:rsid w:val="00AF5810"/>
    <w:rsid w:val="00AF5995"/>
    <w:rsid w:val="00AF5A1D"/>
    <w:rsid w:val="00AF5AD0"/>
    <w:rsid w:val="00AF5C86"/>
    <w:rsid w:val="00AF5E24"/>
    <w:rsid w:val="00AF5EC0"/>
    <w:rsid w:val="00AF5EFE"/>
    <w:rsid w:val="00AF5F42"/>
    <w:rsid w:val="00AF5F6D"/>
    <w:rsid w:val="00AF60D3"/>
    <w:rsid w:val="00AF6204"/>
    <w:rsid w:val="00AF62F1"/>
    <w:rsid w:val="00AF6303"/>
    <w:rsid w:val="00AF63D3"/>
    <w:rsid w:val="00AF646D"/>
    <w:rsid w:val="00AF672D"/>
    <w:rsid w:val="00AF6A32"/>
    <w:rsid w:val="00AF6D27"/>
    <w:rsid w:val="00AF6E89"/>
    <w:rsid w:val="00AF6F72"/>
    <w:rsid w:val="00AF6FD4"/>
    <w:rsid w:val="00AF7150"/>
    <w:rsid w:val="00AF758B"/>
    <w:rsid w:val="00AF7649"/>
    <w:rsid w:val="00AF7732"/>
    <w:rsid w:val="00AF79B6"/>
    <w:rsid w:val="00AF7D11"/>
    <w:rsid w:val="00AF7E2B"/>
    <w:rsid w:val="00AF7E5B"/>
    <w:rsid w:val="00B00453"/>
    <w:rsid w:val="00B00512"/>
    <w:rsid w:val="00B00585"/>
    <w:rsid w:val="00B00673"/>
    <w:rsid w:val="00B00696"/>
    <w:rsid w:val="00B0081F"/>
    <w:rsid w:val="00B009D4"/>
    <w:rsid w:val="00B00C0C"/>
    <w:rsid w:val="00B00DF5"/>
    <w:rsid w:val="00B00E1C"/>
    <w:rsid w:val="00B014D0"/>
    <w:rsid w:val="00B017BD"/>
    <w:rsid w:val="00B0193C"/>
    <w:rsid w:val="00B01983"/>
    <w:rsid w:val="00B01AE9"/>
    <w:rsid w:val="00B01C60"/>
    <w:rsid w:val="00B01F45"/>
    <w:rsid w:val="00B021D0"/>
    <w:rsid w:val="00B0239E"/>
    <w:rsid w:val="00B023CF"/>
    <w:rsid w:val="00B02462"/>
    <w:rsid w:val="00B02588"/>
    <w:rsid w:val="00B02596"/>
    <w:rsid w:val="00B0261A"/>
    <w:rsid w:val="00B02891"/>
    <w:rsid w:val="00B0291C"/>
    <w:rsid w:val="00B029A9"/>
    <w:rsid w:val="00B02B56"/>
    <w:rsid w:val="00B02C11"/>
    <w:rsid w:val="00B02DB9"/>
    <w:rsid w:val="00B02DDC"/>
    <w:rsid w:val="00B0327E"/>
    <w:rsid w:val="00B034EE"/>
    <w:rsid w:val="00B03538"/>
    <w:rsid w:val="00B03637"/>
    <w:rsid w:val="00B03777"/>
    <w:rsid w:val="00B038D1"/>
    <w:rsid w:val="00B03926"/>
    <w:rsid w:val="00B03961"/>
    <w:rsid w:val="00B03EC3"/>
    <w:rsid w:val="00B03F51"/>
    <w:rsid w:val="00B03FB6"/>
    <w:rsid w:val="00B042DE"/>
    <w:rsid w:val="00B046BE"/>
    <w:rsid w:val="00B04B5E"/>
    <w:rsid w:val="00B04BE4"/>
    <w:rsid w:val="00B04C5B"/>
    <w:rsid w:val="00B04E0C"/>
    <w:rsid w:val="00B0537F"/>
    <w:rsid w:val="00B05391"/>
    <w:rsid w:val="00B0546B"/>
    <w:rsid w:val="00B05C96"/>
    <w:rsid w:val="00B061CA"/>
    <w:rsid w:val="00B0623A"/>
    <w:rsid w:val="00B06D02"/>
    <w:rsid w:val="00B06DA4"/>
    <w:rsid w:val="00B07025"/>
    <w:rsid w:val="00B07036"/>
    <w:rsid w:val="00B07238"/>
    <w:rsid w:val="00B07307"/>
    <w:rsid w:val="00B07339"/>
    <w:rsid w:val="00B07459"/>
    <w:rsid w:val="00B075A1"/>
    <w:rsid w:val="00B078DD"/>
    <w:rsid w:val="00B07ABE"/>
    <w:rsid w:val="00B07E77"/>
    <w:rsid w:val="00B10659"/>
    <w:rsid w:val="00B106A3"/>
    <w:rsid w:val="00B109FA"/>
    <w:rsid w:val="00B10DE3"/>
    <w:rsid w:val="00B10E44"/>
    <w:rsid w:val="00B10F22"/>
    <w:rsid w:val="00B1124C"/>
    <w:rsid w:val="00B112B8"/>
    <w:rsid w:val="00B112EA"/>
    <w:rsid w:val="00B11667"/>
    <w:rsid w:val="00B11677"/>
    <w:rsid w:val="00B117E6"/>
    <w:rsid w:val="00B11C9C"/>
    <w:rsid w:val="00B12007"/>
    <w:rsid w:val="00B12870"/>
    <w:rsid w:val="00B12A93"/>
    <w:rsid w:val="00B13218"/>
    <w:rsid w:val="00B1345D"/>
    <w:rsid w:val="00B134EA"/>
    <w:rsid w:val="00B135C4"/>
    <w:rsid w:val="00B13620"/>
    <w:rsid w:val="00B13908"/>
    <w:rsid w:val="00B13979"/>
    <w:rsid w:val="00B13CEB"/>
    <w:rsid w:val="00B140EE"/>
    <w:rsid w:val="00B142CA"/>
    <w:rsid w:val="00B143F7"/>
    <w:rsid w:val="00B14A68"/>
    <w:rsid w:val="00B14CB3"/>
    <w:rsid w:val="00B14CD2"/>
    <w:rsid w:val="00B151F9"/>
    <w:rsid w:val="00B153E7"/>
    <w:rsid w:val="00B15415"/>
    <w:rsid w:val="00B15724"/>
    <w:rsid w:val="00B15B1D"/>
    <w:rsid w:val="00B15B28"/>
    <w:rsid w:val="00B15D8C"/>
    <w:rsid w:val="00B15E3A"/>
    <w:rsid w:val="00B16079"/>
    <w:rsid w:val="00B1608A"/>
    <w:rsid w:val="00B160B3"/>
    <w:rsid w:val="00B160DB"/>
    <w:rsid w:val="00B16135"/>
    <w:rsid w:val="00B164B4"/>
    <w:rsid w:val="00B16508"/>
    <w:rsid w:val="00B16784"/>
    <w:rsid w:val="00B167DE"/>
    <w:rsid w:val="00B168CE"/>
    <w:rsid w:val="00B16AFE"/>
    <w:rsid w:val="00B16C79"/>
    <w:rsid w:val="00B16F33"/>
    <w:rsid w:val="00B171FF"/>
    <w:rsid w:val="00B17272"/>
    <w:rsid w:val="00B177C6"/>
    <w:rsid w:val="00B179BE"/>
    <w:rsid w:val="00B17C8C"/>
    <w:rsid w:val="00B17DC7"/>
    <w:rsid w:val="00B17FD0"/>
    <w:rsid w:val="00B2000B"/>
    <w:rsid w:val="00B20104"/>
    <w:rsid w:val="00B2022C"/>
    <w:rsid w:val="00B2034B"/>
    <w:rsid w:val="00B2049F"/>
    <w:rsid w:val="00B204CE"/>
    <w:rsid w:val="00B20918"/>
    <w:rsid w:val="00B20AA3"/>
    <w:rsid w:val="00B20ACD"/>
    <w:rsid w:val="00B20B26"/>
    <w:rsid w:val="00B20C33"/>
    <w:rsid w:val="00B21353"/>
    <w:rsid w:val="00B2158C"/>
    <w:rsid w:val="00B216FC"/>
    <w:rsid w:val="00B21AF3"/>
    <w:rsid w:val="00B21B92"/>
    <w:rsid w:val="00B21F06"/>
    <w:rsid w:val="00B221B1"/>
    <w:rsid w:val="00B22414"/>
    <w:rsid w:val="00B22557"/>
    <w:rsid w:val="00B22864"/>
    <w:rsid w:val="00B22C70"/>
    <w:rsid w:val="00B22DCC"/>
    <w:rsid w:val="00B22EAC"/>
    <w:rsid w:val="00B2334A"/>
    <w:rsid w:val="00B23899"/>
    <w:rsid w:val="00B239C7"/>
    <w:rsid w:val="00B23A4F"/>
    <w:rsid w:val="00B23C5B"/>
    <w:rsid w:val="00B23F64"/>
    <w:rsid w:val="00B24020"/>
    <w:rsid w:val="00B240EC"/>
    <w:rsid w:val="00B2431A"/>
    <w:rsid w:val="00B24804"/>
    <w:rsid w:val="00B24982"/>
    <w:rsid w:val="00B24ACC"/>
    <w:rsid w:val="00B24DDA"/>
    <w:rsid w:val="00B2505C"/>
    <w:rsid w:val="00B251F5"/>
    <w:rsid w:val="00B2528B"/>
    <w:rsid w:val="00B2528D"/>
    <w:rsid w:val="00B254E4"/>
    <w:rsid w:val="00B2571A"/>
    <w:rsid w:val="00B25AF1"/>
    <w:rsid w:val="00B25C0C"/>
    <w:rsid w:val="00B25D3C"/>
    <w:rsid w:val="00B2637C"/>
    <w:rsid w:val="00B264ED"/>
    <w:rsid w:val="00B2650E"/>
    <w:rsid w:val="00B2658B"/>
    <w:rsid w:val="00B2658F"/>
    <w:rsid w:val="00B268D5"/>
    <w:rsid w:val="00B269EF"/>
    <w:rsid w:val="00B26E64"/>
    <w:rsid w:val="00B26EB8"/>
    <w:rsid w:val="00B26FFE"/>
    <w:rsid w:val="00B2706A"/>
    <w:rsid w:val="00B2713D"/>
    <w:rsid w:val="00B272AD"/>
    <w:rsid w:val="00B27895"/>
    <w:rsid w:val="00B27A5D"/>
    <w:rsid w:val="00B27B4C"/>
    <w:rsid w:val="00B27BBA"/>
    <w:rsid w:val="00B300D9"/>
    <w:rsid w:val="00B301B4"/>
    <w:rsid w:val="00B3068C"/>
    <w:rsid w:val="00B3074D"/>
    <w:rsid w:val="00B307FF"/>
    <w:rsid w:val="00B30B23"/>
    <w:rsid w:val="00B30E0E"/>
    <w:rsid w:val="00B30E4C"/>
    <w:rsid w:val="00B30ECC"/>
    <w:rsid w:val="00B30FAE"/>
    <w:rsid w:val="00B30FB1"/>
    <w:rsid w:val="00B30FE3"/>
    <w:rsid w:val="00B31263"/>
    <w:rsid w:val="00B312C7"/>
    <w:rsid w:val="00B31DBE"/>
    <w:rsid w:val="00B31E04"/>
    <w:rsid w:val="00B321A8"/>
    <w:rsid w:val="00B322D2"/>
    <w:rsid w:val="00B3237B"/>
    <w:rsid w:val="00B32474"/>
    <w:rsid w:val="00B32604"/>
    <w:rsid w:val="00B32838"/>
    <w:rsid w:val="00B3283A"/>
    <w:rsid w:val="00B32939"/>
    <w:rsid w:val="00B32C61"/>
    <w:rsid w:val="00B331FB"/>
    <w:rsid w:val="00B3333C"/>
    <w:rsid w:val="00B335EF"/>
    <w:rsid w:val="00B3389F"/>
    <w:rsid w:val="00B33B87"/>
    <w:rsid w:val="00B33BB2"/>
    <w:rsid w:val="00B33DE0"/>
    <w:rsid w:val="00B33FBB"/>
    <w:rsid w:val="00B34C72"/>
    <w:rsid w:val="00B34DE9"/>
    <w:rsid w:val="00B3506E"/>
    <w:rsid w:val="00B3548E"/>
    <w:rsid w:val="00B3580B"/>
    <w:rsid w:val="00B35927"/>
    <w:rsid w:val="00B35EE5"/>
    <w:rsid w:val="00B35F80"/>
    <w:rsid w:val="00B36308"/>
    <w:rsid w:val="00B3648F"/>
    <w:rsid w:val="00B36529"/>
    <w:rsid w:val="00B3697F"/>
    <w:rsid w:val="00B36A02"/>
    <w:rsid w:val="00B36A2D"/>
    <w:rsid w:val="00B36BBD"/>
    <w:rsid w:val="00B36BD8"/>
    <w:rsid w:val="00B36CD4"/>
    <w:rsid w:val="00B371CD"/>
    <w:rsid w:val="00B37364"/>
    <w:rsid w:val="00B3747B"/>
    <w:rsid w:val="00B37577"/>
    <w:rsid w:val="00B377A1"/>
    <w:rsid w:val="00B4040F"/>
    <w:rsid w:val="00B40462"/>
    <w:rsid w:val="00B407B6"/>
    <w:rsid w:val="00B408F1"/>
    <w:rsid w:val="00B40D2B"/>
    <w:rsid w:val="00B40F50"/>
    <w:rsid w:val="00B4120F"/>
    <w:rsid w:val="00B41261"/>
    <w:rsid w:val="00B41338"/>
    <w:rsid w:val="00B41594"/>
    <w:rsid w:val="00B4162F"/>
    <w:rsid w:val="00B418E0"/>
    <w:rsid w:val="00B41A9B"/>
    <w:rsid w:val="00B41B1E"/>
    <w:rsid w:val="00B41BEF"/>
    <w:rsid w:val="00B41DFF"/>
    <w:rsid w:val="00B42652"/>
    <w:rsid w:val="00B427CA"/>
    <w:rsid w:val="00B42864"/>
    <w:rsid w:val="00B428B1"/>
    <w:rsid w:val="00B42B37"/>
    <w:rsid w:val="00B43070"/>
    <w:rsid w:val="00B43073"/>
    <w:rsid w:val="00B431D9"/>
    <w:rsid w:val="00B4374A"/>
    <w:rsid w:val="00B43884"/>
    <w:rsid w:val="00B438F5"/>
    <w:rsid w:val="00B43D3B"/>
    <w:rsid w:val="00B43EDC"/>
    <w:rsid w:val="00B43F41"/>
    <w:rsid w:val="00B445C1"/>
    <w:rsid w:val="00B446B3"/>
    <w:rsid w:val="00B44B7F"/>
    <w:rsid w:val="00B44C1A"/>
    <w:rsid w:val="00B44C4D"/>
    <w:rsid w:val="00B4505B"/>
    <w:rsid w:val="00B45318"/>
    <w:rsid w:val="00B4553C"/>
    <w:rsid w:val="00B4582A"/>
    <w:rsid w:val="00B458F7"/>
    <w:rsid w:val="00B45F0B"/>
    <w:rsid w:val="00B45FAD"/>
    <w:rsid w:val="00B46400"/>
    <w:rsid w:val="00B468C7"/>
    <w:rsid w:val="00B46AD8"/>
    <w:rsid w:val="00B46B29"/>
    <w:rsid w:val="00B47151"/>
    <w:rsid w:val="00B478A3"/>
    <w:rsid w:val="00B479EA"/>
    <w:rsid w:val="00B47A2F"/>
    <w:rsid w:val="00B47ACC"/>
    <w:rsid w:val="00B47BCE"/>
    <w:rsid w:val="00B47C22"/>
    <w:rsid w:val="00B47DC0"/>
    <w:rsid w:val="00B503C4"/>
    <w:rsid w:val="00B50B7F"/>
    <w:rsid w:val="00B51197"/>
    <w:rsid w:val="00B5131C"/>
    <w:rsid w:val="00B51A3B"/>
    <w:rsid w:val="00B51C12"/>
    <w:rsid w:val="00B51C29"/>
    <w:rsid w:val="00B51F2A"/>
    <w:rsid w:val="00B52089"/>
    <w:rsid w:val="00B523EA"/>
    <w:rsid w:val="00B5247D"/>
    <w:rsid w:val="00B52BE1"/>
    <w:rsid w:val="00B52CA4"/>
    <w:rsid w:val="00B52D7F"/>
    <w:rsid w:val="00B52DA9"/>
    <w:rsid w:val="00B52EF9"/>
    <w:rsid w:val="00B53112"/>
    <w:rsid w:val="00B53277"/>
    <w:rsid w:val="00B53519"/>
    <w:rsid w:val="00B5354E"/>
    <w:rsid w:val="00B535EF"/>
    <w:rsid w:val="00B5383F"/>
    <w:rsid w:val="00B53976"/>
    <w:rsid w:val="00B53DA7"/>
    <w:rsid w:val="00B54035"/>
    <w:rsid w:val="00B540D5"/>
    <w:rsid w:val="00B541D0"/>
    <w:rsid w:val="00B543A8"/>
    <w:rsid w:val="00B54C4C"/>
    <w:rsid w:val="00B54D93"/>
    <w:rsid w:val="00B550E3"/>
    <w:rsid w:val="00B553D3"/>
    <w:rsid w:val="00B55542"/>
    <w:rsid w:val="00B5558A"/>
    <w:rsid w:val="00B556C3"/>
    <w:rsid w:val="00B5580C"/>
    <w:rsid w:val="00B5589C"/>
    <w:rsid w:val="00B55A56"/>
    <w:rsid w:val="00B55E6E"/>
    <w:rsid w:val="00B55F56"/>
    <w:rsid w:val="00B5645C"/>
    <w:rsid w:val="00B56598"/>
    <w:rsid w:val="00B567BB"/>
    <w:rsid w:val="00B56A9B"/>
    <w:rsid w:val="00B56DA9"/>
    <w:rsid w:val="00B56E8E"/>
    <w:rsid w:val="00B56F43"/>
    <w:rsid w:val="00B56FF8"/>
    <w:rsid w:val="00B575D5"/>
    <w:rsid w:val="00B579D0"/>
    <w:rsid w:val="00B57B24"/>
    <w:rsid w:val="00B57C66"/>
    <w:rsid w:val="00B6022F"/>
    <w:rsid w:val="00B60308"/>
    <w:rsid w:val="00B6039F"/>
    <w:rsid w:val="00B603E9"/>
    <w:rsid w:val="00B605E2"/>
    <w:rsid w:val="00B60983"/>
    <w:rsid w:val="00B60D70"/>
    <w:rsid w:val="00B60D82"/>
    <w:rsid w:val="00B60DFF"/>
    <w:rsid w:val="00B60EEE"/>
    <w:rsid w:val="00B61148"/>
    <w:rsid w:val="00B61791"/>
    <w:rsid w:val="00B61844"/>
    <w:rsid w:val="00B61883"/>
    <w:rsid w:val="00B61B66"/>
    <w:rsid w:val="00B61FBD"/>
    <w:rsid w:val="00B62A36"/>
    <w:rsid w:val="00B62E8D"/>
    <w:rsid w:val="00B632FA"/>
    <w:rsid w:val="00B63320"/>
    <w:rsid w:val="00B6342B"/>
    <w:rsid w:val="00B639CD"/>
    <w:rsid w:val="00B63DE0"/>
    <w:rsid w:val="00B63E8D"/>
    <w:rsid w:val="00B640A0"/>
    <w:rsid w:val="00B642C5"/>
    <w:rsid w:val="00B649E2"/>
    <w:rsid w:val="00B64C43"/>
    <w:rsid w:val="00B65087"/>
    <w:rsid w:val="00B6518D"/>
    <w:rsid w:val="00B6520B"/>
    <w:rsid w:val="00B65429"/>
    <w:rsid w:val="00B6579A"/>
    <w:rsid w:val="00B657F7"/>
    <w:rsid w:val="00B65E17"/>
    <w:rsid w:val="00B65F66"/>
    <w:rsid w:val="00B65FBE"/>
    <w:rsid w:val="00B660AE"/>
    <w:rsid w:val="00B6612C"/>
    <w:rsid w:val="00B66360"/>
    <w:rsid w:val="00B6655B"/>
    <w:rsid w:val="00B66B71"/>
    <w:rsid w:val="00B66C24"/>
    <w:rsid w:val="00B66DFD"/>
    <w:rsid w:val="00B66F2E"/>
    <w:rsid w:val="00B671D0"/>
    <w:rsid w:val="00B673B7"/>
    <w:rsid w:val="00B6745D"/>
    <w:rsid w:val="00B67579"/>
    <w:rsid w:val="00B675C6"/>
    <w:rsid w:val="00B67CD1"/>
    <w:rsid w:val="00B700AD"/>
    <w:rsid w:val="00B70356"/>
    <w:rsid w:val="00B706EF"/>
    <w:rsid w:val="00B70AE5"/>
    <w:rsid w:val="00B70B0D"/>
    <w:rsid w:val="00B70D44"/>
    <w:rsid w:val="00B70F48"/>
    <w:rsid w:val="00B71695"/>
    <w:rsid w:val="00B716E5"/>
    <w:rsid w:val="00B718AB"/>
    <w:rsid w:val="00B71CCD"/>
    <w:rsid w:val="00B71CD8"/>
    <w:rsid w:val="00B726CF"/>
    <w:rsid w:val="00B726E2"/>
    <w:rsid w:val="00B72C04"/>
    <w:rsid w:val="00B72D17"/>
    <w:rsid w:val="00B72D84"/>
    <w:rsid w:val="00B72E38"/>
    <w:rsid w:val="00B72E70"/>
    <w:rsid w:val="00B73010"/>
    <w:rsid w:val="00B730D9"/>
    <w:rsid w:val="00B7360D"/>
    <w:rsid w:val="00B73651"/>
    <w:rsid w:val="00B73721"/>
    <w:rsid w:val="00B73C6E"/>
    <w:rsid w:val="00B74020"/>
    <w:rsid w:val="00B741AE"/>
    <w:rsid w:val="00B744EF"/>
    <w:rsid w:val="00B745EB"/>
    <w:rsid w:val="00B7468C"/>
    <w:rsid w:val="00B74A75"/>
    <w:rsid w:val="00B74D0A"/>
    <w:rsid w:val="00B75166"/>
    <w:rsid w:val="00B75318"/>
    <w:rsid w:val="00B75413"/>
    <w:rsid w:val="00B75544"/>
    <w:rsid w:val="00B75649"/>
    <w:rsid w:val="00B75E89"/>
    <w:rsid w:val="00B75FD5"/>
    <w:rsid w:val="00B76380"/>
    <w:rsid w:val="00B7678D"/>
    <w:rsid w:val="00B76B6C"/>
    <w:rsid w:val="00B76B9D"/>
    <w:rsid w:val="00B76CBE"/>
    <w:rsid w:val="00B76CFF"/>
    <w:rsid w:val="00B77063"/>
    <w:rsid w:val="00B7717E"/>
    <w:rsid w:val="00B77190"/>
    <w:rsid w:val="00B772F3"/>
    <w:rsid w:val="00B773E2"/>
    <w:rsid w:val="00B77A7D"/>
    <w:rsid w:val="00B77D39"/>
    <w:rsid w:val="00B77ED5"/>
    <w:rsid w:val="00B77FD8"/>
    <w:rsid w:val="00B8027F"/>
    <w:rsid w:val="00B80AA7"/>
    <w:rsid w:val="00B80D75"/>
    <w:rsid w:val="00B80E25"/>
    <w:rsid w:val="00B80F01"/>
    <w:rsid w:val="00B8152B"/>
    <w:rsid w:val="00B818E6"/>
    <w:rsid w:val="00B81B12"/>
    <w:rsid w:val="00B81D36"/>
    <w:rsid w:val="00B81ED0"/>
    <w:rsid w:val="00B81F74"/>
    <w:rsid w:val="00B8223E"/>
    <w:rsid w:val="00B82323"/>
    <w:rsid w:val="00B8243E"/>
    <w:rsid w:val="00B8268A"/>
    <w:rsid w:val="00B827C0"/>
    <w:rsid w:val="00B828E7"/>
    <w:rsid w:val="00B82B8B"/>
    <w:rsid w:val="00B82E96"/>
    <w:rsid w:val="00B82EA4"/>
    <w:rsid w:val="00B82FE4"/>
    <w:rsid w:val="00B8305A"/>
    <w:rsid w:val="00B8309A"/>
    <w:rsid w:val="00B830E9"/>
    <w:rsid w:val="00B83212"/>
    <w:rsid w:val="00B83417"/>
    <w:rsid w:val="00B8341E"/>
    <w:rsid w:val="00B83715"/>
    <w:rsid w:val="00B83B93"/>
    <w:rsid w:val="00B83DF8"/>
    <w:rsid w:val="00B8410F"/>
    <w:rsid w:val="00B8485A"/>
    <w:rsid w:val="00B84A1D"/>
    <w:rsid w:val="00B84AB9"/>
    <w:rsid w:val="00B84F71"/>
    <w:rsid w:val="00B84FF0"/>
    <w:rsid w:val="00B852AF"/>
    <w:rsid w:val="00B852DE"/>
    <w:rsid w:val="00B854D7"/>
    <w:rsid w:val="00B858D8"/>
    <w:rsid w:val="00B859C0"/>
    <w:rsid w:val="00B859FA"/>
    <w:rsid w:val="00B85A26"/>
    <w:rsid w:val="00B85D59"/>
    <w:rsid w:val="00B861AF"/>
    <w:rsid w:val="00B8660B"/>
    <w:rsid w:val="00B8667D"/>
    <w:rsid w:val="00B866AE"/>
    <w:rsid w:val="00B866B4"/>
    <w:rsid w:val="00B8671F"/>
    <w:rsid w:val="00B867DE"/>
    <w:rsid w:val="00B8683A"/>
    <w:rsid w:val="00B86A80"/>
    <w:rsid w:val="00B86C29"/>
    <w:rsid w:val="00B86CAF"/>
    <w:rsid w:val="00B86E90"/>
    <w:rsid w:val="00B870E0"/>
    <w:rsid w:val="00B87245"/>
    <w:rsid w:val="00B87475"/>
    <w:rsid w:val="00B8797B"/>
    <w:rsid w:val="00B87A89"/>
    <w:rsid w:val="00B87B28"/>
    <w:rsid w:val="00B87BA6"/>
    <w:rsid w:val="00B87BCF"/>
    <w:rsid w:val="00B87D48"/>
    <w:rsid w:val="00B87E3D"/>
    <w:rsid w:val="00B90017"/>
    <w:rsid w:val="00B90191"/>
    <w:rsid w:val="00B903D7"/>
    <w:rsid w:val="00B9054D"/>
    <w:rsid w:val="00B905E8"/>
    <w:rsid w:val="00B90A48"/>
    <w:rsid w:val="00B90AFD"/>
    <w:rsid w:val="00B90D42"/>
    <w:rsid w:val="00B90D87"/>
    <w:rsid w:val="00B91132"/>
    <w:rsid w:val="00B91510"/>
    <w:rsid w:val="00B915FB"/>
    <w:rsid w:val="00B91872"/>
    <w:rsid w:val="00B91874"/>
    <w:rsid w:val="00B91B2D"/>
    <w:rsid w:val="00B91C9D"/>
    <w:rsid w:val="00B91D51"/>
    <w:rsid w:val="00B921F5"/>
    <w:rsid w:val="00B92218"/>
    <w:rsid w:val="00B9241D"/>
    <w:rsid w:val="00B92790"/>
    <w:rsid w:val="00B927C4"/>
    <w:rsid w:val="00B9297D"/>
    <w:rsid w:val="00B929DC"/>
    <w:rsid w:val="00B92B17"/>
    <w:rsid w:val="00B93017"/>
    <w:rsid w:val="00B9309D"/>
    <w:rsid w:val="00B932FA"/>
    <w:rsid w:val="00B93329"/>
    <w:rsid w:val="00B9349B"/>
    <w:rsid w:val="00B9360C"/>
    <w:rsid w:val="00B93B70"/>
    <w:rsid w:val="00B93D23"/>
    <w:rsid w:val="00B93E3B"/>
    <w:rsid w:val="00B93E45"/>
    <w:rsid w:val="00B93F5B"/>
    <w:rsid w:val="00B94205"/>
    <w:rsid w:val="00B9442E"/>
    <w:rsid w:val="00B944BE"/>
    <w:rsid w:val="00B94604"/>
    <w:rsid w:val="00B94982"/>
    <w:rsid w:val="00B949B2"/>
    <w:rsid w:val="00B94BCD"/>
    <w:rsid w:val="00B94DF9"/>
    <w:rsid w:val="00B94EF8"/>
    <w:rsid w:val="00B95112"/>
    <w:rsid w:val="00B95184"/>
    <w:rsid w:val="00B95233"/>
    <w:rsid w:val="00B95753"/>
    <w:rsid w:val="00B9575E"/>
    <w:rsid w:val="00B95785"/>
    <w:rsid w:val="00B9589D"/>
    <w:rsid w:val="00B95B52"/>
    <w:rsid w:val="00B95D56"/>
    <w:rsid w:val="00B95EA8"/>
    <w:rsid w:val="00B9607F"/>
    <w:rsid w:val="00B962B3"/>
    <w:rsid w:val="00B96353"/>
    <w:rsid w:val="00B963A7"/>
    <w:rsid w:val="00B9641F"/>
    <w:rsid w:val="00B96421"/>
    <w:rsid w:val="00B96535"/>
    <w:rsid w:val="00B96AA0"/>
    <w:rsid w:val="00B96C03"/>
    <w:rsid w:val="00B96DAA"/>
    <w:rsid w:val="00B96E0C"/>
    <w:rsid w:val="00B97408"/>
    <w:rsid w:val="00B974EF"/>
    <w:rsid w:val="00B97B96"/>
    <w:rsid w:val="00B97D53"/>
    <w:rsid w:val="00BA0076"/>
    <w:rsid w:val="00BA00B2"/>
    <w:rsid w:val="00BA0400"/>
    <w:rsid w:val="00BA0482"/>
    <w:rsid w:val="00BA0536"/>
    <w:rsid w:val="00BA0758"/>
    <w:rsid w:val="00BA09A8"/>
    <w:rsid w:val="00BA0E28"/>
    <w:rsid w:val="00BA0F52"/>
    <w:rsid w:val="00BA1331"/>
    <w:rsid w:val="00BA170C"/>
    <w:rsid w:val="00BA1832"/>
    <w:rsid w:val="00BA1972"/>
    <w:rsid w:val="00BA1A32"/>
    <w:rsid w:val="00BA1B38"/>
    <w:rsid w:val="00BA1BDC"/>
    <w:rsid w:val="00BA1C89"/>
    <w:rsid w:val="00BA1E6A"/>
    <w:rsid w:val="00BA1EBA"/>
    <w:rsid w:val="00BA20E8"/>
    <w:rsid w:val="00BA217B"/>
    <w:rsid w:val="00BA26CC"/>
    <w:rsid w:val="00BA2A32"/>
    <w:rsid w:val="00BA2A55"/>
    <w:rsid w:val="00BA2B34"/>
    <w:rsid w:val="00BA2C42"/>
    <w:rsid w:val="00BA2D90"/>
    <w:rsid w:val="00BA2EF7"/>
    <w:rsid w:val="00BA2F95"/>
    <w:rsid w:val="00BA303E"/>
    <w:rsid w:val="00BA3101"/>
    <w:rsid w:val="00BA31D1"/>
    <w:rsid w:val="00BA32BB"/>
    <w:rsid w:val="00BA3522"/>
    <w:rsid w:val="00BA3686"/>
    <w:rsid w:val="00BA3C23"/>
    <w:rsid w:val="00BA3FE3"/>
    <w:rsid w:val="00BA43B0"/>
    <w:rsid w:val="00BA4436"/>
    <w:rsid w:val="00BA4486"/>
    <w:rsid w:val="00BA47A0"/>
    <w:rsid w:val="00BA47C1"/>
    <w:rsid w:val="00BA4ACD"/>
    <w:rsid w:val="00BA4B03"/>
    <w:rsid w:val="00BA4CA7"/>
    <w:rsid w:val="00BA51C8"/>
    <w:rsid w:val="00BA56C4"/>
    <w:rsid w:val="00BA5948"/>
    <w:rsid w:val="00BA5B91"/>
    <w:rsid w:val="00BA5D51"/>
    <w:rsid w:val="00BA5D82"/>
    <w:rsid w:val="00BA5F7E"/>
    <w:rsid w:val="00BA6297"/>
    <w:rsid w:val="00BA636C"/>
    <w:rsid w:val="00BA65EF"/>
    <w:rsid w:val="00BA695C"/>
    <w:rsid w:val="00BA6A40"/>
    <w:rsid w:val="00BA6B65"/>
    <w:rsid w:val="00BA7077"/>
    <w:rsid w:val="00BA760F"/>
    <w:rsid w:val="00BA76B6"/>
    <w:rsid w:val="00BA7829"/>
    <w:rsid w:val="00BA7AC2"/>
    <w:rsid w:val="00BA7B97"/>
    <w:rsid w:val="00BA7D28"/>
    <w:rsid w:val="00BA7E36"/>
    <w:rsid w:val="00BB00BB"/>
    <w:rsid w:val="00BB09F8"/>
    <w:rsid w:val="00BB0A72"/>
    <w:rsid w:val="00BB0B4C"/>
    <w:rsid w:val="00BB0BC8"/>
    <w:rsid w:val="00BB10C4"/>
    <w:rsid w:val="00BB1150"/>
    <w:rsid w:val="00BB1531"/>
    <w:rsid w:val="00BB1980"/>
    <w:rsid w:val="00BB198D"/>
    <w:rsid w:val="00BB1AFF"/>
    <w:rsid w:val="00BB1B44"/>
    <w:rsid w:val="00BB209F"/>
    <w:rsid w:val="00BB221F"/>
    <w:rsid w:val="00BB2492"/>
    <w:rsid w:val="00BB254A"/>
    <w:rsid w:val="00BB2A73"/>
    <w:rsid w:val="00BB2AF9"/>
    <w:rsid w:val="00BB2B5F"/>
    <w:rsid w:val="00BB2BE8"/>
    <w:rsid w:val="00BB2E1F"/>
    <w:rsid w:val="00BB2EE4"/>
    <w:rsid w:val="00BB3190"/>
    <w:rsid w:val="00BB3205"/>
    <w:rsid w:val="00BB32E8"/>
    <w:rsid w:val="00BB356C"/>
    <w:rsid w:val="00BB3AC0"/>
    <w:rsid w:val="00BB3B0B"/>
    <w:rsid w:val="00BB3EAC"/>
    <w:rsid w:val="00BB4676"/>
    <w:rsid w:val="00BB474E"/>
    <w:rsid w:val="00BB4B6C"/>
    <w:rsid w:val="00BB4B85"/>
    <w:rsid w:val="00BB4C42"/>
    <w:rsid w:val="00BB4E3A"/>
    <w:rsid w:val="00BB53D5"/>
    <w:rsid w:val="00BB546D"/>
    <w:rsid w:val="00BB5697"/>
    <w:rsid w:val="00BB59F6"/>
    <w:rsid w:val="00BB5BB3"/>
    <w:rsid w:val="00BB5E9E"/>
    <w:rsid w:val="00BB5FF1"/>
    <w:rsid w:val="00BB61C8"/>
    <w:rsid w:val="00BB6331"/>
    <w:rsid w:val="00BB6352"/>
    <w:rsid w:val="00BB6455"/>
    <w:rsid w:val="00BB6A6E"/>
    <w:rsid w:val="00BB6F24"/>
    <w:rsid w:val="00BB6F45"/>
    <w:rsid w:val="00BB7075"/>
    <w:rsid w:val="00BB70D1"/>
    <w:rsid w:val="00BB7180"/>
    <w:rsid w:val="00BB72D5"/>
    <w:rsid w:val="00BB7579"/>
    <w:rsid w:val="00BB77D8"/>
    <w:rsid w:val="00BB7891"/>
    <w:rsid w:val="00BC0013"/>
    <w:rsid w:val="00BC0625"/>
    <w:rsid w:val="00BC06DB"/>
    <w:rsid w:val="00BC07DA"/>
    <w:rsid w:val="00BC0812"/>
    <w:rsid w:val="00BC0BEB"/>
    <w:rsid w:val="00BC1011"/>
    <w:rsid w:val="00BC1113"/>
    <w:rsid w:val="00BC1CFD"/>
    <w:rsid w:val="00BC20BD"/>
    <w:rsid w:val="00BC20BE"/>
    <w:rsid w:val="00BC2331"/>
    <w:rsid w:val="00BC24D3"/>
    <w:rsid w:val="00BC26BE"/>
    <w:rsid w:val="00BC2ADF"/>
    <w:rsid w:val="00BC2B41"/>
    <w:rsid w:val="00BC2D56"/>
    <w:rsid w:val="00BC2D70"/>
    <w:rsid w:val="00BC2E56"/>
    <w:rsid w:val="00BC2EB2"/>
    <w:rsid w:val="00BC2EB5"/>
    <w:rsid w:val="00BC2ED7"/>
    <w:rsid w:val="00BC2F6B"/>
    <w:rsid w:val="00BC31C5"/>
    <w:rsid w:val="00BC3367"/>
    <w:rsid w:val="00BC3659"/>
    <w:rsid w:val="00BC3962"/>
    <w:rsid w:val="00BC39E7"/>
    <w:rsid w:val="00BC3A08"/>
    <w:rsid w:val="00BC3E4D"/>
    <w:rsid w:val="00BC44EB"/>
    <w:rsid w:val="00BC47A6"/>
    <w:rsid w:val="00BC47DC"/>
    <w:rsid w:val="00BC491C"/>
    <w:rsid w:val="00BC4A76"/>
    <w:rsid w:val="00BC4B2E"/>
    <w:rsid w:val="00BC524E"/>
    <w:rsid w:val="00BC5305"/>
    <w:rsid w:val="00BC53C2"/>
    <w:rsid w:val="00BC53F4"/>
    <w:rsid w:val="00BC551C"/>
    <w:rsid w:val="00BC59C3"/>
    <w:rsid w:val="00BC5C34"/>
    <w:rsid w:val="00BC5C50"/>
    <w:rsid w:val="00BC5E77"/>
    <w:rsid w:val="00BC6030"/>
    <w:rsid w:val="00BC635A"/>
    <w:rsid w:val="00BC6A25"/>
    <w:rsid w:val="00BC6B53"/>
    <w:rsid w:val="00BC6CB3"/>
    <w:rsid w:val="00BC6EF9"/>
    <w:rsid w:val="00BC74C7"/>
    <w:rsid w:val="00BC75DE"/>
    <w:rsid w:val="00BC7738"/>
    <w:rsid w:val="00BC7987"/>
    <w:rsid w:val="00BC7A6D"/>
    <w:rsid w:val="00BC7BC5"/>
    <w:rsid w:val="00BC7FD2"/>
    <w:rsid w:val="00BD0004"/>
    <w:rsid w:val="00BD003E"/>
    <w:rsid w:val="00BD03B2"/>
    <w:rsid w:val="00BD03EF"/>
    <w:rsid w:val="00BD07E9"/>
    <w:rsid w:val="00BD0C1A"/>
    <w:rsid w:val="00BD0E06"/>
    <w:rsid w:val="00BD0E08"/>
    <w:rsid w:val="00BD0E3F"/>
    <w:rsid w:val="00BD1140"/>
    <w:rsid w:val="00BD193E"/>
    <w:rsid w:val="00BD19FE"/>
    <w:rsid w:val="00BD1CB8"/>
    <w:rsid w:val="00BD1E7F"/>
    <w:rsid w:val="00BD1F5B"/>
    <w:rsid w:val="00BD20C4"/>
    <w:rsid w:val="00BD2418"/>
    <w:rsid w:val="00BD261E"/>
    <w:rsid w:val="00BD277B"/>
    <w:rsid w:val="00BD2964"/>
    <w:rsid w:val="00BD29F4"/>
    <w:rsid w:val="00BD2AC8"/>
    <w:rsid w:val="00BD3108"/>
    <w:rsid w:val="00BD38C8"/>
    <w:rsid w:val="00BD3B6B"/>
    <w:rsid w:val="00BD41E0"/>
    <w:rsid w:val="00BD42B0"/>
    <w:rsid w:val="00BD4656"/>
    <w:rsid w:val="00BD478B"/>
    <w:rsid w:val="00BD4C1F"/>
    <w:rsid w:val="00BD4CA7"/>
    <w:rsid w:val="00BD4E86"/>
    <w:rsid w:val="00BD509B"/>
    <w:rsid w:val="00BD52F5"/>
    <w:rsid w:val="00BD54C6"/>
    <w:rsid w:val="00BD572B"/>
    <w:rsid w:val="00BD5864"/>
    <w:rsid w:val="00BD5911"/>
    <w:rsid w:val="00BD5AD0"/>
    <w:rsid w:val="00BD5B45"/>
    <w:rsid w:val="00BD5CA9"/>
    <w:rsid w:val="00BD5CB6"/>
    <w:rsid w:val="00BD6640"/>
    <w:rsid w:val="00BD6712"/>
    <w:rsid w:val="00BD6741"/>
    <w:rsid w:val="00BD684A"/>
    <w:rsid w:val="00BD685B"/>
    <w:rsid w:val="00BD6A0C"/>
    <w:rsid w:val="00BD6D15"/>
    <w:rsid w:val="00BD7143"/>
    <w:rsid w:val="00BD763C"/>
    <w:rsid w:val="00BD772A"/>
    <w:rsid w:val="00BD794A"/>
    <w:rsid w:val="00BD7B8A"/>
    <w:rsid w:val="00BD7D03"/>
    <w:rsid w:val="00BD7E90"/>
    <w:rsid w:val="00BE000B"/>
    <w:rsid w:val="00BE0580"/>
    <w:rsid w:val="00BE062E"/>
    <w:rsid w:val="00BE0648"/>
    <w:rsid w:val="00BE06D0"/>
    <w:rsid w:val="00BE0861"/>
    <w:rsid w:val="00BE0A11"/>
    <w:rsid w:val="00BE0BFA"/>
    <w:rsid w:val="00BE0D81"/>
    <w:rsid w:val="00BE0E9C"/>
    <w:rsid w:val="00BE0FB8"/>
    <w:rsid w:val="00BE1963"/>
    <w:rsid w:val="00BE1A56"/>
    <w:rsid w:val="00BE1CB6"/>
    <w:rsid w:val="00BE1E16"/>
    <w:rsid w:val="00BE2003"/>
    <w:rsid w:val="00BE204D"/>
    <w:rsid w:val="00BE222B"/>
    <w:rsid w:val="00BE2436"/>
    <w:rsid w:val="00BE2470"/>
    <w:rsid w:val="00BE2569"/>
    <w:rsid w:val="00BE2860"/>
    <w:rsid w:val="00BE2A57"/>
    <w:rsid w:val="00BE2AB4"/>
    <w:rsid w:val="00BE2C2E"/>
    <w:rsid w:val="00BE3319"/>
    <w:rsid w:val="00BE3423"/>
    <w:rsid w:val="00BE38F8"/>
    <w:rsid w:val="00BE3A2D"/>
    <w:rsid w:val="00BE4023"/>
    <w:rsid w:val="00BE4091"/>
    <w:rsid w:val="00BE40F2"/>
    <w:rsid w:val="00BE43E6"/>
    <w:rsid w:val="00BE4434"/>
    <w:rsid w:val="00BE4479"/>
    <w:rsid w:val="00BE4879"/>
    <w:rsid w:val="00BE516A"/>
    <w:rsid w:val="00BE521C"/>
    <w:rsid w:val="00BE5314"/>
    <w:rsid w:val="00BE5416"/>
    <w:rsid w:val="00BE5751"/>
    <w:rsid w:val="00BE580E"/>
    <w:rsid w:val="00BE6086"/>
    <w:rsid w:val="00BE643B"/>
    <w:rsid w:val="00BE664B"/>
    <w:rsid w:val="00BE675E"/>
    <w:rsid w:val="00BE68A4"/>
    <w:rsid w:val="00BE68A5"/>
    <w:rsid w:val="00BE6B62"/>
    <w:rsid w:val="00BE6BBA"/>
    <w:rsid w:val="00BE6E93"/>
    <w:rsid w:val="00BE72C3"/>
    <w:rsid w:val="00BE776C"/>
    <w:rsid w:val="00BE77A6"/>
    <w:rsid w:val="00BE7921"/>
    <w:rsid w:val="00BE7F02"/>
    <w:rsid w:val="00BE7F69"/>
    <w:rsid w:val="00BE7F77"/>
    <w:rsid w:val="00BF0A59"/>
    <w:rsid w:val="00BF0B12"/>
    <w:rsid w:val="00BF10F3"/>
    <w:rsid w:val="00BF10FB"/>
    <w:rsid w:val="00BF119B"/>
    <w:rsid w:val="00BF1269"/>
    <w:rsid w:val="00BF1352"/>
    <w:rsid w:val="00BF1455"/>
    <w:rsid w:val="00BF178D"/>
    <w:rsid w:val="00BF1930"/>
    <w:rsid w:val="00BF1AE5"/>
    <w:rsid w:val="00BF1D13"/>
    <w:rsid w:val="00BF1FA8"/>
    <w:rsid w:val="00BF2474"/>
    <w:rsid w:val="00BF24BB"/>
    <w:rsid w:val="00BF2594"/>
    <w:rsid w:val="00BF2D6B"/>
    <w:rsid w:val="00BF2DD1"/>
    <w:rsid w:val="00BF309D"/>
    <w:rsid w:val="00BF30E4"/>
    <w:rsid w:val="00BF339D"/>
    <w:rsid w:val="00BF33CB"/>
    <w:rsid w:val="00BF372B"/>
    <w:rsid w:val="00BF39F7"/>
    <w:rsid w:val="00BF3A32"/>
    <w:rsid w:val="00BF3E17"/>
    <w:rsid w:val="00BF3F51"/>
    <w:rsid w:val="00BF44CD"/>
    <w:rsid w:val="00BF47E6"/>
    <w:rsid w:val="00BF4953"/>
    <w:rsid w:val="00BF4B2C"/>
    <w:rsid w:val="00BF5038"/>
    <w:rsid w:val="00BF5368"/>
    <w:rsid w:val="00BF53FA"/>
    <w:rsid w:val="00BF5463"/>
    <w:rsid w:val="00BF54B5"/>
    <w:rsid w:val="00BF54E8"/>
    <w:rsid w:val="00BF55AF"/>
    <w:rsid w:val="00BF5C6C"/>
    <w:rsid w:val="00BF5D76"/>
    <w:rsid w:val="00BF5EC3"/>
    <w:rsid w:val="00BF5F09"/>
    <w:rsid w:val="00BF6059"/>
    <w:rsid w:val="00BF622A"/>
    <w:rsid w:val="00BF6520"/>
    <w:rsid w:val="00BF6687"/>
    <w:rsid w:val="00BF679F"/>
    <w:rsid w:val="00BF6C61"/>
    <w:rsid w:val="00BF6E42"/>
    <w:rsid w:val="00BF725C"/>
    <w:rsid w:val="00BF72A4"/>
    <w:rsid w:val="00BF759D"/>
    <w:rsid w:val="00BF75AA"/>
    <w:rsid w:val="00BF7990"/>
    <w:rsid w:val="00BF7B78"/>
    <w:rsid w:val="00C0019B"/>
    <w:rsid w:val="00C002DF"/>
    <w:rsid w:val="00C00440"/>
    <w:rsid w:val="00C00622"/>
    <w:rsid w:val="00C007AB"/>
    <w:rsid w:val="00C007B6"/>
    <w:rsid w:val="00C00842"/>
    <w:rsid w:val="00C00C07"/>
    <w:rsid w:val="00C00E93"/>
    <w:rsid w:val="00C013E0"/>
    <w:rsid w:val="00C01426"/>
    <w:rsid w:val="00C01570"/>
    <w:rsid w:val="00C015F4"/>
    <w:rsid w:val="00C0168A"/>
    <w:rsid w:val="00C01886"/>
    <w:rsid w:val="00C01F97"/>
    <w:rsid w:val="00C020EB"/>
    <w:rsid w:val="00C020EE"/>
    <w:rsid w:val="00C02112"/>
    <w:rsid w:val="00C02302"/>
    <w:rsid w:val="00C02520"/>
    <w:rsid w:val="00C02635"/>
    <w:rsid w:val="00C02828"/>
    <w:rsid w:val="00C02836"/>
    <w:rsid w:val="00C02AC4"/>
    <w:rsid w:val="00C02D92"/>
    <w:rsid w:val="00C02F65"/>
    <w:rsid w:val="00C030A7"/>
    <w:rsid w:val="00C036C3"/>
    <w:rsid w:val="00C036D2"/>
    <w:rsid w:val="00C039DA"/>
    <w:rsid w:val="00C03A89"/>
    <w:rsid w:val="00C03C62"/>
    <w:rsid w:val="00C03E34"/>
    <w:rsid w:val="00C0460D"/>
    <w:rsid w:val="00C048A2"/>
    <w:rsid w:val="00C048AF"/>
    <w:rsid w:val="00C04CE0"/>
    <w:rsid w:val="00C04DCE"/>
    <w:rsid w:val="00C04E78"/>
    <w:rsid w:val="00C057F4"/>
    <w:rsid w:val="00C05C3D"/>
    <w:rsid w:val="00C05DA5"/>
    <w:rsid w:val="00C05EF2"/>
    <w:rsid w:val="00C05F4E"/>
    <w:rsid w:val="00C060D2"/>
    <w:rsid w:val="00C062B6"/>
    <w:rsid w:val="00C063B1"/>
    <w:rsid w:val="00C06734"/>
    <w:rsid w:val="00C06BCA"/>
    <w:rsid w:val="00C06D7F"/>
    <w:rsid w:val="00C075F1"/>
    <w:rsid w:val="00C079EC"/>
    <w:rsid w:val="00C07B39"/>
    <w:rsid w:val="00C07EC3"/>
    <w:rsid w:val="00C1010B"/>
    <w:rsid w:val="00C1057E"/>
    <w:rsid w:val="00C1062A"/>
    <w:rsid w:val="00C106D1"/>
    <w:rsid w:val="00C107A7"/>
    <w:rsid w:val="00C1093D"/>
    <w:rsid w:val="00C10BC6"/>
    <w:rsid w:val="00C10C24"/>
    <w:rsid w:val="00C10D87"/>
    <w:rsid w:val="00C1106C"/>
    <w:rsid w:val="00C110D0"/>
    <w:rsid w:val="00C1111F"/>
    <w:rsid w:val="00C112E6"/>
    <w:rsid w:val="00C114B7"/>
    <w:rsid w:val="00C11534"/>
    <w:rsid w:val="00C11627"/>
    <w:rsid w:val="00C11699"/>
    <w:rsid w:val="00C12122"/>
    <w:rsid w:val="00C12239"/>
    <w:rsid w:val="00C12359"/>
    <w:rsid w:val="00C12D88"/>
    <w:rsid w:val="00C133C7"/>
    <w:rsid w:val="00C13506"/>
    <w:rsid w:val="00C13978"/>
    <w:rsid w:val="00C13BB9"/>
    <w:rsid w:val="00C13C41"/>
    <w:rsid w:val="00C13D2F"/>
    <w:rsid w:val="00C13E28"/>
    <w:rsid w:val="00C141D6"/>
    <w:rsid w:val="00C144DE"/>
    <w:rsid w:val="00C14D6E"/>
    <w:rsid w:val="00C15225"/>
    <w:rsid w:val="00C152FA"/>
    <w:rsid w:val="00C1551E"/>
    <w:rsid w:val="00C15772"/>
    <w:rsid w:val="00C158D8"/>
    <w:rsid w:val="00C158E1"/>
    <w:rsid w:val="00C15D7D"/>
    <w:rsid w:val="00C16248"/>
    <w:rsid w:val="00C16337"/>
    <w:rsid w:val="00C164A6"/>
    <w:rsid w:val="00C166F1"/>
    <w:rsid w:val="00C172DA"/>
    <w:rsid w:val="00C174F5"/>
    <w:rsid w:val="00C1783D"/>
    <w:rsid w:val="00C17925"/>
    <w:rsid w:val="00C17ADF"/>
    <w:rsid w:val="00C17BA0"/>
    <w:rsid w:val="00C17BB1"/>
    <w:rsid w:val="00C17F11"/>
    <w:rsid w:val="00C20119"/>
    <w:rsid w:val="00C203F7"/>
    <w:rsid w:val="00C205C6"/>
    <w:rsid w:val="00C20694"/>
    <w:rsid w:val="00C206BB"/>
    <w:rsid w:val="00C206DA"/>
    <w:rsid w:val="00C20CA8"/>
    <w:rsid w:val="00C2120B"/>
    <w:rsid w:val="00C21432"/>
    <w:rsid w:val="00C217B3"/>
    <w:rsid w:val="00C217DE"/>
    <w:rsid w:val="00C218BB"/>
    <w:rsid w:val="00C21990"/>
    <w:rsid w:val="00C21A21"/>
    <w:rsid w:val="00C21D82"/>
    <w:rsid w:val="00C220F2"/>
    <w:rsid w:val="00C22105"/>
    <w:rsid w:val="00C2232D"/>
    <w:rsid w:val="00C2240B"/>
    <w:rsid w:val="00C22441"/>
    <w:rsid w:val="00C22A9B"/>
    <w:rsid w:val="00C22C28"/>
    <w:rsid w:val="00C22D30"/>
    <w:rsid w:val="00C22D61"/>
    <w:rsid w:val="00C23626"/>
    <w:rsid w:val="00C237D2"/>
    <w:rsid w:val="00C23B7A"/>
    <w:rsid w:val="00C243B1"/>
    <w:rsid w:val="00C24645"/>
    <w:rsid w:val="00C246E1"/>
    <w:rsid w:val="00C24854"/>
    <w:rsid w:val="00C24A1B"/>
    <w:rsid w:val="00C24A78"/>
    <w:rsid w:val="00C24B94"/>
    <w:rsid w:val="00C24C33"/>
    <w:rsid w:val="00C24C40"/>
    <w:rsid w:val="00C24DEC"/>
    <w:rsid w:val="00C24E2A"/>
    <w:rsid w:val="00C2508D"/>
    <w:rsid w:val="00C25529"/>
    <w:rsid w:val="00C255AF"/>
    <w:rsid w:val="00C256AD"/>
    <w:rsid w:val="00C25B26"/>
    <w:rsid w:val="00C25BA3"/>
    <w:rsid w:val="00C25CAE"/>
    <w:rsid w:val="00C2600F"/>
    <w:rsid w:val="00C264A4"/>
    <w:rsid w:val="00C26517"/>
    <w:rsid w:val="00C2674A"/>
    <w:rsid w:val="00C26832"/>
    <w:rsid w:val="00C26A31"/>
    <w:rsid w:val="00C26EDB"/>
    <w:rsid w:val="00C26FB1"/>
    <w:rsid w:val="00C270B6"/>
    <w:rsid w:val="00C27176"/>
    <w:rsid w:val="00C27186"/>
    <w:rsid w:val="00C27662"/>
    <w:rsid w:val="00C27AAA"/>
    <w:rsid w:val="00C27B17"/>
    <w:rsid w:val="00C27C27"/>
    <w:rsid w:val="00C27C97"/>
    <w:rsid w:val="00C27CEC"/>
    <w:rsid w:val="00C27E4F"/>
    <w:rsid w:val="00C30175"/>
    <w:rsid w:val="00C302C8"/>
    <w:rsid w:val="00C30526"/>
    <w:rsid w:val="00C30554"/>
    <w:rsid w:val="00C308E9"/>
    <w:rsid w:val="00C30914"/>
    <w:rsid w:val="00C30ACA"/>
    <w:rsid w:val="00C30D8D"/>
    <w:rsid w:val="00C31067"/>
    <w:rsid w:val="00C31085"/>
    <w:rsid w:val="00C3142A"/>
    <w:rsid w:val="00C3165F"/>
    <w:rsid w:val="00C3172A"/>
    <w:rsid w:val="00C3190A"/>
    <w:rsid w:val="00C31C0E"/>
    <w:rsid w:val="00C31DA2"/>
    <w:rsid w:val="00C31EA5"/>
    <w:rsid w:val="00C31EFA"/>
    <w:rsid w:val="00C322B8"/>
    <w:rsid w:val="00C32501"/>
    <w:rsid w:val="00C32583"/>
    <w:rsid w:val="00C326D0"/>
    <w:rsid w:val="00C32776"/>
    <w:rsid w:val="00C328BA"/>
    <w:rsid w:val="00C32ACE"/>
    <w:rsid w:val="00C32C76"/>
    <w:rsid w:val="00C32D4E"/>
    <w:rsid w:val="00C32DB1"/>
    <w:rsid w:val="00C32DDA"/>
    <w:rsid w:val="00C32E08"/>
    <w:rsid w:val="00C3301A"/>
    <w:rsid w:val="00C3313B"/>
    <w:rsid w:val="00C33426"/>
    <w:rsid w:val="00C3353D"/>
    <w:rsid w:val="00C335AF"/>
    <w:rsid w:val="00C3393B"/>
    <w:rsid w:val="00C33C45"/>
    <w:rsid w:val="00C33FDC"/>
    <w:rsid w:val="00C33FFC"/>
    <w:rsid w:val="00C345C6"/>
    <w:rsid w:val="00C34623"/>
    <w:rsid w:val="00C34682"/>
    <w:rsid w:val="00C34BBE"/>
    <w:rsid w:val="00C34C12"/>
    <w:rsid w:val="00C34FF7"/>
    <w:rsid w:val="00C3527D"/>
    <w:rsid w:val="00C35387"/>
    <w:rsid w:val="00C355AD"/>
    <w:rsid w:val="00C359FD"/>
    <w:rsid w:val="00C35B0F"/>
    <w:rsid w:val="00C35BE1"/>
    <w:rsid w:val="00C35CA6"/>
    <w:rsid w:val="00C36562"/>
    <w:rsid w:val="00C365CD"/>
    <w:rsid w:val="00C3675C"/>
    <w:rsid w:val="00C36815"/>
    <w:rsid w:val="00C36928"/>
    <w:rsid w:val="00C37026"/>
    <w:rsid w:val="00C370C9"/>
    <w:rsid w:val="00C37232"/>
    <w:rsid w:val="00C376E4"/>
    <w:rsid w:val="00C37875"/>
    <w:rsid w:val="00C3793D"/>
    <w:rsid w:val="00C37AC0"/>
    <w:rsid w:val="00C37B02"/>
    <w:rsid w:val="00C37C11"/>
    <w:rsid w:val="00C37CB4"/>
    <w:rsid w:val="00C37F17"/>
    <w:rsid w:val="00C40354"/>
    <w:rsid w:val="00C40927"/>
    <w:rsid w:val="00C40944"/>
    <w:rsid w:val="00C40AFF"/>
    <w:rsid w:val="00C40CDA"/>
    <w:rsid w:val="00C40D1E"/>
    <w:rsid w:val="00C41079"/>
    <w:rsid w:val="00C41210"/>
    <w:rsid w:val="00C41407"/>
    <w:rsid w:val="00C4148B"/>
    <w:rsid w:val="00C41507"/>
    <w:rsid w:val="00C41599"/>
    <w:rsid w:val="00C41C60"/>
    <w:rsid w:val="00C41CE1"/>
    <w:rsid w:val="00C41D30"/>
    <w:rsid w:val="00C41EE3"/>
    <w:rsid w:val="00C41F1A"/>
    <w:rsid w:val="00C41F43"/>
    <w:rsid w:val="00C420C8"/>
    <w:rsid w:val="00C42280"/>
    <w:rsid w:val="00C422D4"/>
    <w:rsid w:val="00C4256D"/>
    <w:rsid w:val="00C425E9"/>
    <w:rsid w:val="00C42687"/>
    <w:rsid w:val="00C42874"/>
    <w:rsid w:val="00C42A9A"/>
    <w:rsid w:val="00C42C48"/>
    <w:rsid w:val="00C43041"/>
    <w:rsid w:val="00C4337E"/>
    <w:rsid w:val="00C434DB"/>
    <w:rsid w:val="00C436A2"/>
    <w:rsid w:val="00C438D3"/>
    <w:rsid w:val="00C43B96"/>
    <w:rsid w:val="00C4416B"/>
    <w:rsid w:val="00C4429E"/>
    <w:rsid w:val="00C44A90"/>
    <w:rsid w:val="00C44BF8"/>
    <w:rsid w:val="00C4519D"/>
    <w:rsid w:val="00C45838"/>
    <w:rsid w:val="00C459C6"/>
    <w:rsid w:val="00C45CED"/>
    <w:rsid w:val="00C46026"/>
    <w:rsid w:val="00C46037"/>
    <w:rsid w:val="00C461DD"/>
    <w:rsid w:val="00C4641A"/>
    <w:rsid w:val="00C46624"/>
    <w:rsid w:val="00C46877"/>
    <w:rsid w:val="00C46A3A"/>
    <w:rsid w:val="00C46B29"/>
    <w:rsid w:val="00C46B85"/>
    <w:rsid w:val="00C47076"/>
    <w:rsid w:val="00C470E7"/>
    <w:rsid w:val="00C47303"/>
    <w:rsid w:val="00C47336"/>
    <w:rsid w:val="00C47990"/>
    <w:rsid w:val="00C479C0"/>
    <w:rsid w:val="00C47B63"/>
    <w:rsid w:val="00C47F24"/>
    <w:rsid w:val="00C47F76"/>
    <w:rsid w:val="00C50324"/>
    <w:rsid w:val="00C50336"/>
    <w:rsid w:val="00C509BF"/>
    <w:rsid w:val="00C50AB3"/>
    <w:rsid w:val="00C50AD0"/>
    <w:rsid w:val="00C50AF0"/>
    <w:rsid w:val="00C50B15"/>
    <w:rsid w:val="00C50B7A"/>
    <w:rsid w:val="00C50BB0"/>
    <w:rsid w:val="00C512FB"/>
    <w:rsid w:val="00C51664"/>
    <w:rsid w:val="00C5173A"/>
    <w:rsid w:val="00C51BB9"/>
    <w:rsid w:val="00C51E6B"/>
    <w:rsid w:val="00C51E7F"/>
    <w:rsid w:val="00C52012"/>
    <w:rsid w:val="00C52157"/>
    <w:rsid w:val="00C5238C"/>
    <w:rsid w:val="00C52465"/>
    <w:rsid w:val="00C526BE"/>
    <w:rsid w:val="00C52A4D"/>
    <w:rsid w:val="00C52C67"/>
    <w:rsid w:val="00C52E5B"/>
    <w:rsid w:val="00C53018"/>
    <w:rsid w:val="00C53029"/>
    <w:rsid w:val="00C53302"/>
    <w:rsid w:val="00C53725"/>
    <w:rsid w:val="00C53849"/>
    <w:rsid w:val="00C53941"/>
    <w:rsid w:val="00C53A30"/>
    <w:rsid w:val="00C53A61"/>
    <w:rsid w:val="00C53BDF"/>
    <w:rsid w:val="00C53C92"/>
    <w:rsid w:val="00C540F1"/>
    <w:rsid w:val="00C542C5"/>
    <w:rsid w:val="00C54428"/>
    <w:rsid w:val="00C545F4"/>
    <w:rsid w:val="00C546BF"/>
    <w:rsid w:val="00C549C1"/>
    <w:rsid w:val="00C54AEC"/>
    <w:rsid w:val="00C54C31"/>
    <w:rsid w:val="00C54C53"/>
    <w:rsid w:val="00C54CF3"/>
    <w:rsid w:val="00C54D08"/>
    <w:rsid w:val="00C551BB"/>
    <w:rsid w:val="00C554AB"/>
    <w:rsid w:val="00C55BDC"/>
    <w:rsid w:val="00C55D78"/>
    <w:rsid w:val="00C55E98"/>
    <w:rsid w:val="00C55F84"/>
    <w:rsid w:val="00C562F7"/>
    <w:rsid w:val="00C5647E"/>
    <w:rsid w:val="00C564C5"/>
    <w:rsid w:val="00C564E6"/>
    <w:rsid w:val="00C56898"/>
    <w:rsid w:val="00C56E6C"/>
    <w:rsid w:val="00C56F01"/>
    <w:rsid w:val="00C56FFC"/>
    <w:rsid w:val="00C574A1"/>
    <w:rsid w:val="00C577F7"/>
    <w:rsid w:val="00C578B4"/>
    <w:rsid w:val="00C578E9"/>
    <w:rsid w:val="00C57947"/>
    <w:rsid w:val="00C57A16"/>
    <w:rsid w:val="00C57A5D"/>
    <w:rsid w:val="00C60AB0"/>
    <w:rsid w:val="00C60D74"/>
    <w:rsid w:val="00C6106E"/>
    <w:rsid w:val="00C61389"/>
    <w:rsid w:val="00C6164A"/>
    <w:rsid w:val="00C61878"/>
    <w:rsid w:val="00C61ACB"/>
    <w:rsid w:val="00C61BD6"/>
    <w:rsid w:val="00C61F15"/>
    <w:rsid w:val="00C61F18"/>
    <w:rsid w:val="00C62131"/>
    <w:rsid w:val="00C622E1"/>
    <w:rsid w:val="00C62372"/>
    <w:rsid w:val="00C62589"/>
    <w:rsid w:val="00C627B1"/>
    <w:rsid w:val="00C62894"/>
    <w:rsid w:val="00C62B12"/>
    <w:rsid w:val="00C62BBC"/>
    <w:rsid w:val="00C62C00"/>
    <w:rsid w:val="00C62FCC"/>
    <w:rsid w:val="00C62FFD"/>
    <w:rsid w:val="00C63533"/>
    <w:rsid w:val="00C638C3"/>
    <w:rsid w:val="00C63D7C"/>
    <w:rsid w:val="00C63DAC"/>
    <w:rsid w:val="00C63E29"/>
    <w:rsid w:val="00C645B1"/>
    <w:rsid w:val="00C6483D"/>
    <w:rsid w:val="00C649AA"/>
    <w:rsid w:val="00C64A5C"/>
    <w:rsid w:val="00C64B09"/>
    <w:rsid w:val="00C64C17"/>
    <w:rsid w:val="00C65496"/>
    <w:rsid w:val="00C65752"/>
    <w:rsid w:val="00C6581F"/>
    <w:rsid w:val="00C6599A"/>
    <w:rsid w:val="00C659B0"/>
    <w:rsid w:val="00C65B94"/>
    <w:rsid w:val="00C65BBC"/>
    <w:rsid w:val="00C65DB6"/>
    <w:rsid w:val="00C65DBC"/>
    <w:rsid w:val="00C65EE5"/>
    <w:rsid w:val="00C6648E"/>
    <w:rsid w:val="00C6662E"/>
    <w:rsid w:val="00C6663C"/>
    <w:rsid w:val="00C66B20"/>
    <w:rsid w:val="00C66B53"/>
    <w:rsid w:val="00C66C13"/>
    <w:rsid w:val="00C66EBC"/>
    <w:rsid w:val="00C670B3"/>
    <w:rsid w:val="00C670FA"/>
    <w:rsid w:val="00C679A8"/>
    <w:rsid w:val="00C67B1F"/>
    <w:rsid w:val="00C701DE"/>
    <w:rsid w:val="00C701FE"/>
    <w:rsid w:val="00C70677"/>
    <w:rsid w:val="00C706BD"/>
    <w:rsid w:val="00C707B5"/>
    <w:rsid w:val="00C70C7A"/>
    <w:rsid w:val="00C71024"/>
    <w:rsid w:val="00C71867"/>
    <w:rsid w:val="00C71A6D"/>
    <w:rsid w:val="00C71B24"/>
    <w:rsid w:val="00C71E03"/>
    <w:rsid w:val="00C71EF7"/>
    <w:rsid w:val="00C7214C"/>
    <w:rsid w:val="00C7222E"/>
    <w:rsid w:val="00C722E8"/>
    <w:rsid w:val="00C72468"/>
    <w:rsid w:val="00C725D9"/>
    <w:rsid w:val="00C7292C"/>
    <w:rsid w:val="00C72A10"/>
    <w:rsid w:val="00C72B95"/>
    <w:rsid w:val="00C72CE7"/>
    <w:rsid w:val="00C72F93"/>
    <w:rsid w:val="00C7340E"/>
    <w:rsid w:val="00C73414"/>
    <w:rsid w:val="00C736F5"/>
    <w:rsid w:val="00C73775"/>
    <w:rsid w:val="00C73850"/>
    <w:rsid w:val="00C73894"/>
    <w:rsid w:val="00C738A0"/>
    <w:rsid w:val="00C738F7"/>
    <w:rsid w:val="00C73D04"/>
    <w:rsid w:val="00C73E27"/>
    <w:rsid w:val="00C742D4"/>
    <w:rsid w:val="00C74358"/>
    <w:rsid w:val="00C74775"/>
    <w:rsid w:val="00C7479B"/>
    <w:rsid w:val="00C74A99"/>
    <w:rsid w:val="00C74AE5"/>
    <w:rsid w:val="00C74E7B"/>
    <w:rsid w:val="00C74F11"/>
    <w:rsid w:val="00C752E8"/>
    <w:rsid w:val="00C75602"/>
    <w:rsid w:val="00C7565F"/>
    <w:rsid w:val="00C7568E"/>
    <w:rsid w:val="00C75813"/>
    <w:rsid w:val="00C7594E"/>
    <w:rsid w:val="00C75A84"/>
    <w:rsid w:val="00C75AEC"/>
    <w:rsid w:val="00C75CED"/>
    <w:rsid w:val="00C75DE9"/>
    <w:rsid w:val="00C760AA"/>
    <w:rsid w:val="00C76444"/>
    <w:rsid w:val="00C7676F"/>
    <w:rsid w:val="00C7679A"/>
    <w:rsid w:val="00C7688B"/>
    <w:rsid w:val="00C76F7D"/>
    <w:rsid w:val="00C7717C"/>
    <w:rsid w:val="00C77CCC"/>
    <w:rsid w:val="00C77F8D"/>
    <w:rsid w:val="00C80159"/>
    <w:rsid w:val="00C80286"/>
    <w:rsid w:val="00C80717"/>
    <w:rsid w:val="00C80732"/>
    <w:rsid w:val="00C80810"/>
    <w:rsid w:val="00C80A22"/>
    <w:rsid w:val="00C80A3E"/>
    <w:rsid w:val="00C80EC4"/>
    <w:rsid w:val="00C80FFA"/>
    <w:rsid w:val="00C81168"/>
    <w:rsid w:val="00C812D4"/>
    <w:rsid w:val="00C815EE"/>
    <w:rsid w:val="00C8172A"/>
    <w:rsid w:val="00C81A3B"/>
    <w:rsid w:val="00C81DA3"/>
    <w:rsid w:val="00C81F9B"/>
    <w:rsid w:val="00C81FA9"/>
    <w:rsid w:val="00C82068"/>
    <w:rsid w:val="00C82333"/>
    <w:rsid w:val="00C8270B"/>
    <w:rsid w:val="00C82BEC"/>
    <w:rsid w:val="00C82DFC"/>
    <w:rsid w:val="00C835CE"/>
    <w:rsid w:val="00C836E4"/>
    <w:rsid w:val="00C83F4C"/>
    <w:rsid w:val="00C841A4"/>
    <w:rsid w:val="00C841F8"/>
    <w:rsid w:val="00C843D0"/>
    <w:rsid w:val="00C844C1"/>
    <w:rsid w:val="00C84704"/>
    <w:rsid w:val="00C847AD"/>
    <w:rsid w:val="00C8499D"/>
    <w:rsid w:val="00C84F1B"/>
    <w:rsid w:val="00C85128"/>
    <w:rsid w:val="00C853FE"/>
    <w:rsid w:val="00C8545C"/>
    <w:rsid w:val="00C8555F"/>
    <w:rsid w:val="00C85AE8"/>
    <w:rsid w:val="00C85B0F"/>
    <w:rsid w:val="00C85FB7"/>
    <w:rsid w:val="00C86084"/>
    <w:rsid w:val="00C860D2"/>
    <w:rsid w:val="00C8633F"/>
    <w:rsid w:val="00C863CD"/>
    <w:rsid w:val="00C865D8"/>
    <w:rsid w:val="00C86783"/>
    <w:rsid w:val="00C869F2"/>
    <w:rsid w:val="00C86E67"/>
    <w:rsid w:val="00C86EFE"/>
    <w:rsid w:val="00C86F30"/>
    <w:rsid w:val="00C87000"/>
    <w:rsid w:val="00C877CA"/>
    <w:rsid w:val="00C879B8"/>
    <w:rsid w:val="00C87C05"/>
    <w:rsid w:val="00C87C44"/>
    <w:rsid w:val="00C87FC3"/>
    <w:rsid w:val="00C87FF5"/>
    <w:rsid w:val="00C90396"/>
    <w:rsid w:val="00C9061B"/>
    <w:rsid w:val="00C910AE"/>
    <w:rsid w:val="00C91105"/>
    <w:rsid w:val="00C9138C"/>
    <w:rsid w:val="00C9139B"/>
    <w:rsid w:val="00C918C0"/>
    <w:rsid w:val="00C91B76"/>
    <w:rsid w:val="00C91C6E"/>
    <w:rsid w:val="00C920F1"/>
    <w:rsid w:val="00C929AE"/>
    <w:rsid w:val="00C92A58"/>
    <w:rsid w:val="00C92D23"/>
    <w:rsid w:val="00C93C32"/>
    <w:rsid w:val="00C93C54"/>
    <w:rsid w:val="00C93D11"/>
    <w:rsid w:val="00C93D54"/>
    <w:rsid w:val="00C94012"/>
    <w:rsid w:val="00C94023"/>
    <w:rsid w:val="00C94422"/>
    <w:rsid w:val="00C94717"/>
    <w:rsid w:val="00C9475C"/>
    <w:rsid w:val="00C94B06"/>
    <w:rsid w:val="00C94BD6"/>
    <w:rsid w:val="00C94F17"/>
    <w:rsid w:val="00C94FDF"/>
    <w:rsid w:val="00C955DD"/>
    <w:rsid w:val="00C95613"/>
    <w:rsid w:val="00C956FE"/>
    <w:rsid w:val="00C95740"/>
    <w:rsid w:val="00C95BEE"/>
    <w:rsid w:val="00C96057"/>
    <w:rsid w:val="00C964DA"/>
    <w:rsid w:val="00C96541"/>
    <w:rsid w:val="00C9658D"/>
    <w:rsid w:val="00C96CEE"/>
    <w:rsid w:val="00C970F4"/>
    <w:rsid w:val="00C9744F"/>
    <w:rsid w:val="00C974DF"/>
    <w:rsid w:val="00C97521"/>
    <w:rsid w:val="00C97A7F"/>
    <w:rsid w:val="00C97BF1"/>
    <w:rsid w:val="00C97F2A"/>
    <w:rsid w:val="00CA0163"/>
    <w:rsid w:val="00CA0A49"/>
    <w:rsid w:val="00CA1230"/>
    <w:rsid w:val="00CA1512"/>
    <w:rsid w:val="00CA19E2"/>
    <w:rsid w:val="00CA1FFF"/>
    <w:rsid w:val="00CA2013"/>
    <w:rsid w:val="00CA222F"/>
    <w:rsid w:val="00CA2283"/>
    <w:rsid w:val="00CA25CD"/>
    <w:rsid w:val="00CA25EA"/>
    <w:rsid w:val="00CA2843"/>
    <w:rsid w:val="00CA2874"/>
    <w:rsid w:val="00CA28C2"/>
    <w:rsid w:val="00CA2939"/>
    <w:rsid w:val="00CA2A40"/>
    <w:rsid w:val="00CA2ADD"/>
    <w:rsid w:val="00CA2CA8"/>
    <w:rsid w:val="00CA3038"/>
    <w:rsid w:val="00CA3380"/>
    <w:rsid w:val="00CA34BE"/>
    <w:rsid w:val="00CA3BDF"/>
    <w:rsid w:val="00CA3D34"/>
    <w:rsid w:val="00CA46E5"/>
    <w:rsid w:val="00CA4C5F"/>
    <w:rsid w:val="00CA4C68"/>
    <w:rsid w:val="00CA511B"/>
    <w:rsid w:val="00CA51DA"/>
    <w:rsid w:val="00CA533E"/>
    <w:rsid w:val="00CA5690"/>
    <w:rsid w:val="00CA57D0"/>
    <w:rsid w:val="00CA58E7"/>
    <w:rsid w:val="00CA59B0"/>
    <w:rsid w:val="00CA59CA"/>
    <w:rsid w:val="00CA5C07"/>
    <w:rsid w:val="00CA5FC9"/>
    <w:rsid w:val="00CA608D"/>
    <w:rsid w:val="00CA6307"/>
    <w:rsid w:val="00CA67F4"/>
    <w:rsid w:val="00CA6A29"/>
    <w:rsid w:val="00CA6C25"/>
    <w:rsid w:val="00CA6E24"/>
    <w:rsid w:val="00CA70CB"/>
    <w:rsid w:val="00CA72F1"/>
    <w:rsid w:val="00CA7458"/>
    <w:rsid w:val="00CA7485"/>
    <w:rsid w:val="00CA7814"/>
    <w:rsid w:val="00CA7A22"/>
    <w:rsid w:val="00CA7BA4"/>
    <w:rsid w:val="00CA7BBE"/>
    <w:rsid w:val="00CA7CDE"/>
    <w:rsid w:val="00CA7EE3"/>
    <w:rsid w:val="00CB022C"/>
    <w:rsid w:val="00CB084E"/>
    <w:rsid w:val="00CB0A50"/>
    <w:rsid w:val="00CB0A5B"/>
    <w:rsid w:val="00CB0AF6"/>
    <w:rsid w:val="00CB0B54"/>
    <w:rsid w:val="00CB0B74"/>
    <w:rsid w:val="00CB0BBE"/>
    <w:rsid w:val="00CB0CA7"/>
    <w:rsid w:val="00CB1693"/>
    <w:rsid w:val="00CB19FE"/>
    <w:rsid w:val="00CB1DC9"/>
    <w:rsid w:val="00CB1E65"/>
    <w:rsid w:val="00CB20C1"/>
    <w:rsid w:val="00CB214D"/>
    <w:rsid w:val="00CB2167"/>
    <w:rsid w:val="00CB2417"/>
    <w:rsid w:val="00CB241D"/>
    <w:rsid w:val="00CB27F4"/>
    <w:rsid w:val="00CB2C75"/>
    <w:rsid w:val="00CB2DFF"/>
    <w:rsid w:val="00CB2F56"/>
    <w:rsid w:val="00CB2F9E"/>
    <w:rsid w:val="00CB2FAD"/>
    <w:rsid w:val="00CB2FB5"/>
    <w:rsid w:val="00CB352E"/>
    <w:rsid w:val="00CB3691"/>
    <w:rsid w:val="00CB3767"/>
    <w:rsid w:val="00CB39FB"/>
    <w:rsid w:val="00CB3A88"/>
    <w:rsid w:val="00CB3B0F"/>
    <w:rsid w:val="00CB3D6A"/>
    <w:rsid w:val="00CB494F"/>
    <w:rsid w:val="00CB4A9A"/>
    <w:rsid w:val="00CB505D"/>
    <w:rsid w:val="00CB5132"/>
    <w:rsid w:val="00CB5216"/>
    <w:rsid w:val="00CB5302"/>
    <w:rsid w:val="00CB545D"/>
    <w:rsid w:val="00CB569D"/>
    <w:rsid w:val="00CB5836"/>
    <w:rsid w:val="00CB5870"/>
    <w:rsid w:val="00CB59C3"/>
    <w:rsid w:val="00CB5AEF"/>
    <w:rsid w:val="00CB5DF1"/>
    <w:rsid w:val="00CB61CB"/>
    <w:rsid w:val="00CB62DC"/>
    <w:rsid w:val="00CB6801"/>
    <w:rsid w:val="00CB683D"/>
    <w:rsid w:val="00CB6920"/>
    <w:rsid w:val="00CB6A2E"/>
    <w:rsid w:val="00CB6F17"/>
    <w:rsid w:val="00CB7023"/>
    <w:rsid w:val="00CB72C3"/>
    <w:rsid w:val="00CB74E9"/>
    <w:rsid w:val="00CB7939"/>
    <w:rsid w:val="00CB7A73"/>
    <w:rsid w:val="00CB7DFD"/>
    <w:rsid w:val="00CC00A1"/>
    <w:rsid w:val="00CC0365"/>
    <w:rsid w:val="00CC04DF"/>
    <w:rsid w:val="00CC060B"/>
    <w:rsid w:val="00CC069B"/>
    <w:rsid w:val="00CC071A"/>
    <w:rsid w:val="00CC0935"/>
    <w:rsid w:val="00CC0B70"/>
    <w:rsid w:val="00CC0EB4"/>
    <w:rsid w:val="00CC1199"/>
    <w:rsid w:val="00CC11AB"/>
    <w:rsid w:val="00CC15CA"/>
    <w:rsid w:val="00CC1802"/>
    <w:rsid w:val="00CC18D0"/>
    <w:rsid w:val="00CC198E"/>
    <w:rsid w:val="00CC1EC3"/>
    <w:rsid w:val="00CC1F27"/>
    <w:rsid w:val="00CC2650"/>
    <w:rsid w:val="00CC26A3"/>
    <w:rsid w:val="00CC26B1"/>
    <w:rsid w:val="00CC26C3"/>
    <w:rsid w:val="00CC2B44"/>
    <w:rsid w:val="00CC2C73"/>
    <w:rsid w:val="00CC2E26"/>
    <w:rsid w:val="00CC311D"/>
    <w:rsid w:val="00CC3161"/>
    <w:rsid w:val="00CC32E5"/>
    <w:rsid w:val="00CC36E4"/>
    <w:rsid w:val="00CC3728"/>
    <w:rsid w:val="00CC3788"/>
    <w:rsid w:val="00CC3A1D"/>
    <w:rsid w:val="00CC3B8E"/>
    <w:rsid w:val="00CC3C2E"/>
    <w:rsid w:val="00CC3F88"/>
    <w:rsid w:val="00CC4022"/>
    <w:rsid w:val="00CC421A"/>
    <w:rsid w:val="00CC4488"/>
    <w:rsid w:val="00CC449B"/>
    <w:rsid w:val="00CC488A"/>
    <w:rsid w:val="00CC4E4E"/>
    <w:rsid w:val="00CC4E6A"/>
    <w:rsid w:val="00CC522E"/>
    <w:rsid w:val="00CC5546"/>
    <w:rsid w:val="00CC5678"/>
    <w:rsid w:val="00CC5897"/>
    <w:rsid w:val="00CC58CE"/>
    <w:rsid w:val="00CC593E"/>
    <w:rsid w:val="00CC5BE2"/>
    <w:rsid w:val="00CC5F3B"/>
    <w:rsid w:val="00CC6063"/>
    <w:rsid w:val="00CC6298"/>
    <w:rsid w:val="00CC62B2"/>
    <w:rsid w:val="00CC6920"/>
    <w:rsid w:val="00CC6A7F"/>
    <w:rsid w:val="00CC6BE3"/>
    <w:rsid w:val="00CC707B"/>
    <w:rsid w:val="00CC70DC"/>
    <w:rsid w:val="00CC7181"/>
    <w:rsid w:val="00CC7583"/>
    <w:rsid w:val="00CC7928"/>
    <w:rsid w:val="00CC79F2"/>
    <w:rsid w:val="00CC7C89"/>
    <w:rsid w:val="00CC7FA7"/>
    <w:rsid w:val="00CD02C6"/>
    <w:rsid w:val="00CD04F0"/>
    <w:rsid w:val="00CD06E6"/>
    <w:rsid w:val="00CD06E9"/>
    <w:rsid w:val="00CD0B11"/>
    <w:rsid w:val="00CD0B3C"/>
    <w:rsid w:val="00CD0EB4"/>
    <w:rsid w:val="00CD1410"/>
    <w:rsid w:val="00CD15AD"/>
    <w:rsid w:val="00CD1644"/>
    <w:rsid w:val="00CD16E6"/>
    <w:rsid w:val="00CD19CD"/>
    <w:rsid w:val="00CD1A4A"/>
    <w:rsid w:val="00CD1BEF"/>
    <w:rsid w:val="00CD1C4D"/>
    <w:rsid w:val="00CD1C60"/>
    <w:rsid w:val="00CD248E"/>
    <w:rsid w:val="00CD2611"/>
    <w:rsid w:val="00CD2AF4"/>
    <w:rsid w:val="00CD2C37"/>
    <w:rsid w:val="00CD2C73"/>
    <w:rsid w:val="00CD3096"/>
    <w:rsid w:val="00CD3AC8"/>
    <w:rsid w:val="00CD3D6A"/>
    <w:rsid w:val="00CD3E0C"/>
    <w:rsid w:val="00CD4191"/>
    <w:rsid w:val="00CD4311"/>
    <w:rsid w:val="00CD47A3"/>
    <w:rsid w:val="00CD4ADF"/>
    <w:rsid w:val="00CD518B"/>
    <w:rsid w:val="00CD566D"/>
    <w:rsid w:val="00CD5771"/>
    <w:rsid w:val="00CD59CB"/>
    <w:rsid w:val="00CD5B9C"/>
    <w:rsid w:val="00CD5D5E"/>
    <w:rsid w:val="00CD5DA1"/>
    <w:rsid w:val="00CD60CB"/>
    <w:rsid w:val="00CD627C"/>
    <w:rsid w:val="00CD66BE"/>
    <w:rsid w:val="00CD6A46"/>
    <w:rsid w:val="00CD7708"/>
    <w:rsid w:val="00CD7809"/>
    <w:rsid w:val="00CD7BE5"/>
    <w:rsid w:val="00CD7D89"/>
    <w:rsid w:val="00CD7F9B"/>
    <w:rsid w:val="00CE0039"/>
    <w:rsid w:val="00CE0378"/>
    <w:rsid w:val="00CE0A52"/>
    <w:rsid w:val="00CE0E13"/>
    <w:rsid w:val="00CE13B1"/>
    <w:rsid w:val="00CE152D"/>
    <w:rsid w:val="00CE183E"/>
    <w:rsid w:val="00CE1DF2"/>
    <w:rsid w:val="00CE20F8"/>
    <w:rsid w:val="00CE21A5"/>
    <w:rsid w:val="00CE21BC"/>
    <w:rsid w:val="00CE2209"/>
    <w:rsid w:val="00CE22C7"/>
    <w:rsid w:val="00CE23A8"/>
    <w:rsid w:val="00CE2502"/>
    <w:rsid w:val="00CE26FA"/>
    <w:rsid w:val="00CE29BC"/>
    <w:rsid w:val="00CE2BA6"/>
    <w:rsid w:val="00CE2BDC"/>
    <w:rsid w:val="00CE33BE"/>
    <w:rsid w:val="00CE371F"/>
    <w:rsid w:val="00CE3762"/>
    <w:rsid w:val="00CE3C15"/>
    <w:rsid w:val="00CE3C8E"/>
    <w:rsid w:val="00CE3E09"/>
    <w:rsid w:val="00CE3F6B"/>
    <w:rsid w:val="00CE4008"/>
    <w:rsid w:val="00CE4074"/>
    <w:rsid w:val="00CE430C"/>
    <w:rsid w:val="00CE47C7"/>
    <w:rsid w:val="00CE48E1"/>
    <w:rsid w:val="00CE4BC2"/>
    <w:rsid w:val="00CE4D3B"/>
    <w:rsid w:val="00CE4D9A"/>
    <w:rsid w:val="00CE4E4B"/>
    <w:rsid w:val="00CE4E70"/>
    <w:rsid w:val="00CE4F52"/>
    <w:rsid w:val="00CE4F83"/>
    <w:rsid w:val="00CE5319"/>
    <w:rsid w:val="00CE5592"/>
    <w:rsid w:val="00CE56E8"/>
    <w:rsid w:val="00CE5BF9"/>
    <w:rsid w:val="00CE5CD2"/>
    <w:rsid w:val="00CE5CD6"/>
    <w:rsid w:val="00CE5D05"/>
    <w:rsid w:val="00CE5D2F"/>
    <w:rsid w:val="00CE6267"/>
    <w:rsid w:val="00CE644A"/>
    <w:rsid w:val="00CE65DF"/>
    <w:rsid w:val="00CE67AE"/>
    <w:rsid w:val="00CE69E9"/>
    <w:rsid w:val="00CE6B7E"/>
    <w:rsid w:val="00CE78D8"/>
    <w:rsid w:val="00CE7952"/>
    <w:rsid w:val="00CE7AF1"/>
    <w:rsid w:val="00CF01BF"/>
    <w:rsid w:val="00CF01EA"/>
    <w:rsid w:val="00CF0849"/>
    <w:rsid w:val="00CF0A18"/>
    <w:rsid w:val="00CF0A9F"/>
    <w:rsid w:val="00CF0BF5"/>
    <w:rsid w:val="00CF0E84"/>
    <w:rsid w:val="00CF0F8D"/>
    <w:rsid w:val="00CF1064"/>
    <w:rsid w:val="00CF1146"/>
    <w:rsid w:val="00CF127F"/>
    <w:rsid w:val="00CF14A9"/>
    <w:rsid w:val="00CF1625"/>
    <w:rsid w:val="00CF16CD"/>
    <w:rsid w:val="00CF1B60"/>
    <w:rsid w:val="00CF1EF0"/>
    <w:rsid w:val="00CF1F84"/>
    <w:rsid w:val="00CF2041"/>
    <w:rsid w:val="00CF2113"/>
    <w:rsid w:val="00CF231B"/>
    <w:rsid w:val="00CF2411"/>
    <w:rsid w:val="00CF250B"/>
    <w:rsid w:val="00CF2559"/>
    <w:rsid w:val="00CF2726"/>
    <w:rsid w:val="00CF28DD"/>
    <w:rsid w:val="00CF2A2A"/>
    <w:rsid w:val="00CF2BDA"/>
    <w:rsid w:val="00CF3219"/>
    <w:rsid w:val="00CF3337"/>
    <w:rsid w:val="00CF34F5"/>
    <w:rsid w:val="00CF34F6"/>
    <w:rsid w:val="00CF3616"/>
    <w:rsid w:val="00CF390E"/>
    <w:rsid w:val="00CF397C"/>
    <w:rsid w:val="00CF4144"/>
    <w:rsid w:val="00CF43AB"/>
    <w:rsid w:val="00CF4D66"/>
    <w:rsid w:val="00CF50CF"/>
    <w:rsid w:val="00CF5235"/>
    <w:rsid w:val="00CF5373"/>
    <w:rsid w:val="00CF5410"/>
    <w:rsid w:val="00CF54AE"/>
    <w:rsid w:val="00CF55E5"/>
    <w:rsid w:val="00CF5655"/>
    <w:rsid w:val="00CF57B1"/>
    <w:rsid w:val="00CF59E5"/>
    <w:rsid w:val="00CF5B5A"/>
    <w:rsid w:val="00CF5BD9"/>
    <w:rsid w:val="00CF5C50"/>
    <w:rsid w:val="00CF5E83"/>
    <w:rsid w:val="00CF604E"/>
    <w:rsid w:val="00CF62B0"/>
    <w:rsid w:val="00CF6484"/>
    <w:rsid w:val="00CF64DE"/>
    <w:rsid w:val="00CF660C"/>
    <w:rsid w:val="00CF6692"/>
    <w:rsid w:val="00CF6712"/>
    <w:rsid w:val="00CF67FE"/>
    <w:rsid w:val="00CF698A"/>
    <w:rsid w:val="00CF6B4C"/>
    <w:rsid w:val="00CF6D82"/>
    <w:rsid w:val="00CF70C7"/>
    <w:rsid w:val="00CF70DA"/>
    <w:rsid w:val="00CF77AB"/>
    <w:rsid w:val="00CF7903"/>
    <w:rsid w:val="00CF799D"/>
    <w:rsid w:val="00CF7E00"/>
    <w:rsid w:val="00CF7E43"/>
    <w:rsid w:val="00CF7F2E"/>
    <w:rsid w:val="00D0007E"/>
    <w:rsid w:val="00D000CF"/>
    <w:rsid w:val="00D0018D"/>
    <w:rsid w:val="00D006C2"/>
    <w:rsid w:val="00D007EA"/>
    <w:rsid w:val="00D00878"/>
    <w:rsid w:val="00D00893"/>
    <w:rsid w:val="00D00A45"/>
    <w:rsid w:val="00D00B0B"/>
    <w:rsid w:val="00D00DD4"/>
    <w:rsid w:val="00D00F7E"/>
    <w:rsid w:val="00D00FB6"/>
    <w:rsid w:val="00D01043"/>
    <w:rsid w:val="00D011BF"/>
    <w:rsid w:val="00D012BE"/>
    <w:rsid w:val="00D01450"/>
    <w:rsid w:val="00D01608"/>
    <w:rsid w:val="00D01628"/>
    <w:rsid w:val="00D0166B"/>
    <w:rsid w:val="00D016FB"/>
    <w:rsid w:val="00D01A98"/>
    <w:rsid w:val="00D01CDD"/>
    <w:rsid w:val="00D01EAC"/>
    <w:rsid w:val="00D0240E"/>
    <w:rsid w:val="00D0254B"/>
    <w:rsid w:val="00D0259A"/>
    <w:rsid w:val="00D025B6"/>
    <w:rsid w:val="00D025FA"/>
    <w:rsid w:val="00D02790"/>
    <w:rsid w:val="00D02B37"/>
    <w:rsid w:val="00D02BED"/>
    <w:rsid w:val="00D02BF1"/>
    <w:rsid w:val="00D02C23"/>
    <w:rsid w:val="00D02E94"/>
    <w:rsid w:val="00D02F69"/>
    <w:rsid w:val="00D031DF"/>
    <w:rsid w:val="00D033C7"/>
    <w:rsid w:val="00D034A6"/>
    <w:rsid w:val="00D03809"/>
    <w:rsid w:val="00D038BA"/>
    <w:rsid w:val="00D03ACE"/>
    <w:rsid w:val="00D03B18"/>
    <w:rsid w:val="00D03F8F"/>
    <w:rsid w:val="00D0430C"/>
    <w:rsid w:val="00D04536"/>
    <w:rsid w:val="00D045B0"/>
    <w:rsid w:val="00D046D1"/>
    <w:rsid w:val="00D04B00"/>
    <w:rsid w:val="00D04B7A"/>
    <w:rsid w:val="00D04F9F"/>
    <w:rsid w:val="00D05199"/>
    <w:rsid w:val="00D0534B"/>
    <w:rsid w:val="00D05479"/>
    <w:rsid w:val="00D05540"/>
    <w:rsid w:val="00D05644"/>
    <w:rsid w:val="00D0565B"/>
    <w:rsid w:val="00D05B64"/>
    <w:rsid w:val="00D06042"/>
    <w:rsid w:val="00D061B3"/>
    <w:rsid w:val="00D063BB"/>
    <w:rsid w:val="00D064BA"/>
    <w:rsid w:val="00D065DE"/>
    <w:rsid w:val="00D06AF1"/>
    <w:rsid w:val="00D06E7F"/>
    <w:rsid w:val="00D06EDE"/>
    <w:rsid w:val="00D06F60"/>
    <w:rsid w:val="00D07123"/>
    <w:rsid w:val="00D0765D"/>
    <w:rsid w:val="00D07A4E"/>
    <w:rsid w:val="00D07F45"/>
    <w:rsid w:val="00D07F82"/>
    <w:rsid w:val="00D100A5"/>
    <w:rsid w:val="00D100A6"/>
    <w:rsid w:val="00D10186"/>
    <w:rsid w:val="00D105A5"/>
    <w:rsid w:val="00D10844"/>
    <w:rsid w:val="00D108E8"/>
    <w:rsid w:val="00D10AAF"/>
    <w:rsid w:val="00D10C41"/>
    <w:rsid w:val="00D10EB6"/>
    <w:rsid w:val="00D1103C"/>
    <w:rsid w:val="00D11B26"/>
    <w:rsid w:val="00D1238C"/>
    <w:rsid w:val="00D123CE"/>
    <w:rsid w:val="00D1258F"/>
    <w:rsid w:val="00D125B4"/>
    <w:rsid w:val="00D1279E"/>
    <w:rsid w:val="00D12A5C"/>
    <w:rsid w:val="00D12BC6"/>
    <w:rsid w:val="00D12BE8"/>
    <w:rsid w:val="00D13775"/>
    <w:rsid w:val="00D137BC"/>
    <w:rsid w:val="00D1396C"/>
    <w:rsid w:val="00D13FCE"/>
    <w:rsid w:val="00D14013"/>
    <w:rsid w:val="00D14246"/>
    <w:rsid w:val="00D14599"/>
    <w:rsid w:val="00D14692"/>
    <w:rsid w:val="00D14930"/>
    <w:rsid w:val="00D14961"/>
    <w:rsid w:val="00D14E2C"/>
    <w:rsid w:val="00D14FBB"/>
    <w:rsid w:val="00D152A3"/>
    <w:rsid w:val="00D153B0"/>
    <w:rsid w:val="00D153E2"/>
    <w:rsid w:val="00D15472"/>
    <w:rsid w:val="00D156EE"/>
    <w:rsid w:val="00D15858"/>
    <w:rsid w:val="00D15B24"/>
    <w:rsid w:val="00D15B2A"/>
    <w:rsid w:val="00D15BB5"/>
    <w:rsid w:val="00D15C9F"/>
    <w:rsid w:val="00D15E15"/>
    <w:rsid w:val="00D15FD4"/>
    <w:rsid w:val="00D166BC"/>
    <w:rsid w:val="00D1697D"/>
    <w:rsid w:val="00D16A7D"/>
    <w:rsid w:val="00D16C85"/>
    <w:rsid w:val="00D16D7E"/>
    <w:rsid w:val="00D16D81"/>
    <w:rsid w:val="00D16F7A"/>
    <w:rsid w:val="00D16FF5"/>
    <w:rsid w:val="00D17008"/>
    <w:rsid w:val="00D171D4"/>
    <w:rsid w:val="00D173B1"/>
    <w:rsid w:val="00D174C8"/>
    <w:rsid w:val="00D177C3"/>
    <w:rsid w:val="00D178B2"/>
    <w:rsid w:val="00D17BEE"/>
    <w:rsid w:val="00D17C03"/>
    <w:rsid w:val="00D17C8C"/>
    <w:rsid w:val="00D204BE"/>
    <w:rsid w:val="00D20832"/>
    <w:rsid w:val="00D20F14"/>
    <w:rsid w:val="00D210BB"/>
    <w:rsid w:val="00D21222"/>
    <w:rsid w:val="00D2135E"/>
    <w:rsid w:val="00D21539"/>
    <w:rsid w:val="00D2155C"/>
    <w:rsid w:val="00D22354"/>
    <w:rsid w:val="00D22385"/>
    <w:rsid w:val="00D22402"/>
    <w:rsid w:val="00D2258E"/>
    <w:rsid w:val="00D22D52"/>
    <w:rsid w:val="00D22E37"/>
    <w:rsid w:val="00D22F3D"/>
    <w:rsid w:val="00D23070"/>
    <w:rsid w:val="00D23261"/>
    <w:rsid w:val="00D233FC"/>
    <w:rsid w:val="00D23619"/>
    <w:rsid w:val="00D23818"/>
    <w:rsid w:val="00D23D43"/>
    <w:rsid w:val="00D24478"/>
    <w:rsid w:val="00D24579"/>
    <w:rsid w:val="00D2483F"/>
    <w:rsid w:val="00D24934"/>
    <w:rsid w:val="00D24A5C"/>
    <w:rsid w:val="00D24BE2"/>
    <w:rsid w:val="00D253CA"/>
    <w:rsid w:val="00D2591F"/>
    <w:rsid w:val="00D259F0"/>
    <w:rsid w:val="00D25A12"/>
    <w:rsid w:val="00D25B9E"/>
    <w:rsid w:val="00D25BB8"/>
    <w:rsid w:val="00D25D9D"/>
    <w:rsid w:val="00D262C0"/>
    <w:rsid w:val="00D2642E"/>
    <w:rsid w:val="00D2658E"/>
    <w:rsid w:val="00D26626"/>
    <w:rsid w:val="00D268B5"/>
    <w:rsid w:val="00D268D0"/>
    <w:rsid w:val="00D26A39"/>
    <w:rsid w:val="00D2723A"/>
    <w:rsid w:val="00D27294"/>
    <w:rsid w:val="00D275EB"/>
    <w:rsid w:val="00D276C5"/>
    <w:rsid w:val="00D2794D"/>
    <w:rsid w:val="00D27AE4"/>
    <w:rsid w:val="00D27D6D"/>
    <w:rsid w:val="00D27FEF"/>
    <w:rsid w:val="00D307B9"/>
    <w:rsid w:val="00D30818"/>
    <w:rsid w:val="00D30C95"/>
    <w:rsid w:val="00D30E1F"/>
    <w:rsid w:val="00D3108B"/>
    <w:rsid w:val="00D31277"/>
    <w:rsid w:val="00D31464"/>
    <w:rsid w:val="00D3155B"/>
    <w:rsid w:val="00D31756"/>
    <w:rsid w:val="00D318A5"/>
    <w:rsid w:val="00D318FB"/>
    <w:rsid w:val="00D319AE"/>
    <w:rsid w:val="00D31A1A"/>
    <w:rsid w:val="00D31B5D"/>
    <w:rsid w:val="00D31B91"/>
    <w:rsid w:val="00D31DC6"/>
    <w:rsid w:val="00D31FF0"/>
    <w:rsid w:val="00D32154"/>
    <w:rsid w:val="00D321D0"/>
    <w:rsid w:val="00D32315"/>
    <w:rsid w:val="00D32466"/>
    <w:rsid w:val="00D32488"/>
    <w:rsid w:val="00D32579"/>
    <w:rsid w:val="00D325CF"/>
    <w:rsid w:val="00D32AEF"/>
    <w:rsid w:val="00D32BE6"/>
    <w:rsid w:val="00D32D9D"/>
    <w:rsid w:val="00D32E3D"/>
    <w:rsid w:val="00D32EA2"/>
    <w:rsid w:val="00D33B73"/>
    <w:rsid w:val="00D33BB5"/>
    <w:rsid w:val="00D33BBA"/>
    <w:rsid w:val="00D33CD8"/>
    <w:rsid w:val="00D33F4B"/>
    <w:rsid w:val="00D3447C"/>
    <w:rsid w:val="00D347FB"/>
    <w:rsid w:val="00D34BBB"/>
    <w:rsid w:val="00D34E35"/>
    <w:rsid w:val="00D34E53"/>
    <w:rsid w:val="00D34F90"/>
    <w:rsid w:val="00D353A2"/>
    <w:rsid w:val="00D356F6"/>
    <w:rsid w:val="00D35736"/>
    <w:rsid w:val="00D35784"/>
    <w:rsid w:val="00D35FE3"/>
    <w:rsid w:val="00D36B30"/>
    <w:rsid w:val="00D36E03"/>
    <w:rsid w:val="00D36E9D"/>
    <w:rsid w:val="00D371A4"/>
    <w:rsid w:val="00D37267"/>
    <w:rsid w:val="00D37296"/>
    <w:rsid w:val="00D37383"/>
    <w:rsid w:val="00D375B2"/>
    <w:rsid w:val="00D375E0"/>
    <w:rsid w:val="00D377CB"/>
    <w:rsid w:val="00D37BEB"/>
    <w:rsid w:val="00D37D0F"/>
    <w:rsid w:val="00D401DC"/>
    <w:rsid w:val="00D404A0"/>
    <w:rsid w:val="00D406F0"/>
    <w:rsid w:val="00D40BAC"/>
    <w:rsid w:val="00D40C54"/>
    <w:rsid w:val="00D40DC0"/>
    <w:rsid w:val="00D40F67"/>
    <w:rsid w:val="00D411D6"/>
    <w:rsid w:val="00D416E5"/>
    <w:rsid w:val="00D41836"/>
    <w:rsid w:val="00D42824"/>
    <w:rsid w:val="00D42E74"/>
    <w:rsid w:val="00D430DC"/>
    <w:rsid w:val="00D4319A"/>
    <w:rsid w:val="00D43486"/>
    <w:rsid w:val="00D435A9"/>
    <w:rsid w:val="00D439D7"/>
    <w:rsid w:val="00D43B4B"/>
    <w:rsid w:val="00D43B6A"/>
    <w:rsid w:val="00D43E8F"/>
    <w:rsid w:val="00D4400D"/>
    <w:rsid w:val="00D44171"/>
    <w:rsid w:val="00D4431D"/>
    <w:rsid w:val="00D4443F"/>
    <w:rsid w:val="00D444A8"/>
    <w:rsid w:val="00D444CD"/>
    <w:rsid w:val="00D4453A"/>
    <w:rsid w:val="00D44C48"/>
    <w:rsid w:val="00D44EA9"/>
    <w:rsid w:val="00D450CA"/>
    <w:rsid w:val="00D45121"/>
    <w:rsid w:val="00D4517F"/>
    <w:rsid w:val="00D45484"/>
    <w:rsid w:val="00D4550C"/>
    <w:rsid w:val="00D45778"/>
    <w:rsid w:val="00D4577B"/>
    <w:rsid w:val="00D4593E"/>
    <w:rsid w:val="00D45A61"/>
    <w:rsid w:val="00D45ADB"/>
    <w:rsid w:val="00D45D7E"/>
    <w:rsid w:val="00D45EE7"/>
    <w:rsid w:val="00D45EF2"/>
    <w:rsid w:val="00D4605A"/>
    <w:rsid w:val="00D4609E"/>
    <w:rsid w:val="00D461E4"/>
    <w:rsid w:val="00D46451"/>
    <w:rsid w:val="00D46565"/>
    <w:rsid w:val="00D46670"/>
    <w:rsid w:val="00D46723"/>
    <w:rsid w:val="00D46943"/>
    <w:rsid w:val="00D4696D"/>
    <w:rsid w:val="00D46B08"/>
    <w:rsid w:val="00D46B4E"/>
    <w:rsid w:val="00D46BD9"/>
    <w:rsid w:val="00D46C7F"/>
    <w:rsid w:val="00D46D6E"/>
    <w:rsid w:val="00D47212"/>
    <w:rsid w:val="00D47385"/>
    <w:rsid w:val="00D477DB"/>
    <w:rsid w:val="00D47800"/>
    <w:rsid w:val="00D5005D"/>
    <w:rsid w:val="00D50724"/>
    <w:rsid w:val="00D50961"/>
    <w:rsid w:val="00D50B09"/>
    <w:rsid w:val="00D50B0D"/>
    <w:rsid w:val="00D50CAA"/>
    <w:rsid w:val="00D51008"/>
    <w:rsid w:val="00D510B2"/>
    <w:rsid w:val="00D51177"/>
    <w:rsid w:val="00D512E1"/>
    <w:rsid w:val="00D51435"/>
    <w:rsid w:val="00D5187C"/>
    <w:rsid w:val="00D518E5"/>
    <w:rsid w:val="00D51B7E"/>
    <w:rsid w:val="00D51BEE"/>
    <w:rsid w:val="00D51FF5"/>
    <w:rsid w:val="00D5274A"/>
    <w:rsid w:val="00D52A05"/>
    <w:rsid w:val="00D530C8"/>
    <w:rsid w:val="00D532E5"/>
    <w:rsid w:val="00D53327"/>
    <w:rsid w:val="00D537A0"/>
    <w:rsid w:val="00D53BA9"/>
    <w:rsid w:val="00D53F89"/>
    <w:rsid w:val="00D5433D"/>
    <w:rsid w:val="00D544F7"/>
    <w:rsid w:val="00D54648"/>
    <w:rsid w:val="00D54677"/>
    <w:rsid w:val="00D54CA2"/>
    <w:rsid w:val="00D556F5"/>
    <w:rsid w:val="00D55853"/>
    <w:rsid w:val="00D55936"/>
    <w:rsid w:val="00D55B18"/>
    <w:rsid w:val="00D55B1A"/>
    <w:rsid w:val="00D55B3D"/>
    <w:rsid w:val="00D55B72"/>
    <w:rsid w:val="00D55BA3"/>
    <w:rsid w:val="00D55D74"/>
    <w:rsid w:val="00D55EA5"/>
    <w:rsid w:val="00D56539"/>
    <w:rsid w:val="00D5657B"/>
    <w:rsid w:val="00D565EF"/>
    <w:rsid w:val="00D566B2"/>
    <w:rsid w:val="00D5678E"/>
    <w:rsid w:val="00D56985"/>
    <w:rsid w:val="00D5726B"/>
    <w:rsid w:val="00D572A6"/>
    <w:rsid w:val="00D578D9"/>
    <w:rsid w:val="00D578E6"/>
    <w:rsid w:val="00D5790F"/>
    <w:rsid w:val="00D60142"/>
    <w:rsid w:val="00D60538"/>
    <w:rsid w:val="00D60780"/>
    <w:rsid w:val="00D60C80"/>
    <w:rsid w:val="00D60D21"/>
    <w:rsid w:val="00D61089"/>
    <w:rsid w:val="00D611A4"/>
    <w:rsid w:val="00D6120C"/>
    <w:rsid w:val="00D61292"/>
    <w:rsid w:val="00D612C3"/>
    <w:rsid w:val="00D6130F"/>
    <w:rsid w:val="00D613BB"/>
    <w:rsid w:val="00D614B1"/>
    <w:rsid w:val="00D61627"/>
    <w:rsid w:val="00D616A1"/>
    <w:rsid w:val="00D6172F"/>
    <w:rsid w:val="00D61AE1"/>
    <w:rsid w:val="00D61C09"/>
    <w:rsid w:val="00D61C90"/>
    <w:rsid w:val="00D61CB0"/>
    <w:rsid w:val="00D61ECF"/>
    <w:rsid w:val="00D61F97"/>
    <w:rsid w:val="00D623A7"/>
    <w:rsid w:val="00D623C2"/>
    <w:rsid w:val="00D62431"/>
    <w:rsid w:val="00D62875"/>
    <w:rsid w:val="00D628FA"/>
    <w:rsid w:val="00D63594"/>
    <w:rsid w:val="00D63659"/>
    <w:rsid w:val="00D637ED"/>
    <w:rsid w:val="00D63979"/>
    <w:rsid w:val="00D63A7C"/>
    <w:rsid w:val="00D63C0E"/>
    <w:rsid w:val="00D63C54"/>
    <w:rsid w:val="00D63F1A"/>
    <w:rsid w:val="00D6405E"/>
    <w:rsid w:val="00D6447F"/>
    <w:rsid w:val="00D644D3"/>
    <w:rsid w:val="00D6465C"/>
    <w:rsid w:val="00D646AB"/>
    <w:rsid w:val="00D64880"/>
    <w:rsid w:val="00D64E9C"/>
    <w:rsid w:val="00D65081"/>
    <w:rsid w:val="00D65090"/>
    <w:rsid w:val="00D65235"/>
    <w:rsid w:val="00D65465"/>
    <w:rsid w:val="00D6557B"/>
    <w:rsid w:val="00D65594"/>
    <w:rsid w:val="00D656DA"/>
    <w:rsid w:val="00D659F7"/>
    <w:rsid w:val="00D6658A"/>
    <w:rsid w:val="00D666E2"/>
    <w:rsid w:val="00D66D88"/>
    <w:rsid w:val="00D66DAF"/>
    <w:rsid w:val="00D66E33"/>
    <w:rsid w:val="00D66F01"/>
    <w:rsid w:val="00D6704B"/>
    <w:rsid w:val="00D673CC"/>
    <w:rsid w:val="00D6796F"/>
    <w:rsid w:val="00D67AA8"/>
    <w:rsid w:val="00D67BB2"/>
    <w:rsid w:val="00D67E9F"/>
    <w:rsid w:val="00D67F27"/>
    <w:rsid w:val="00D708EB"/>
    <w:rsid w:val="00D70B56"/>
    <w:rsid w:val="00D70C9C"/>
    <w:rsid w:val="00D70E76"/>
    <w:rsid w:val="00D70F71"/>
    <w:rsid w:val="00D71352"/>
    <w:rsid w:val="00D714F6"/>
    <w:rsid w:val="00D716C9"/>
    <w:rsid w:val="00D71798"/>
    <w:rsid w:val="00D71A52"/>
    <w:rsid w:val="00D71CA4"/>
    <w:rsid w:val="00D71EED"/>
    <w:rsid w:val="00D7236E"/>
    <w:rsid w:val="00D72446"/>
    <w:rsid w:val="00D72463"/>
    <w:rsid w:val="00D72557"/>
    <w:rsid w:val="00D72691"/>
    <w:rsid w:val="00D7269F"/>
    <w:rsid w:val="00D7298D"/>
    <w:rsid w:val="00D72AFB"/>
    <w:rsid w:val="00D72B91"/>
    <w:rsid w:val="00D72CB8"/>
    <w:rsid w:val="00D72D1E"/>
    <w:rsid w:val="00D72D7B"/>
    <w:rsid w:val="00D72DE7"/>
    <w:rsid w:val="00D72E7C"/>
    <w:rsid w:val="00D72F95"/>
    <w:rsid w:val="00D73125"/>
    <w:rsid w:val="00D731EC"/>
    <w:rsid w:val="00D732DF"/>
    <w:rsid w:val="00D736A1"/>
    <w:rsid w:val="00D73768"/>
    <w:rsid w:val="00D73ACB"/>
    <w:rsid w:val="00D73B67"/>
    <w:rsid w:val="00D73C39"/>
    <w:rsid w:val="00D73CC6"/>
    <w:rsid w:val="00D73F71"/>
    <w:rsid w:val="00D73FD8"/>
    <w:rsid w:val="00D741DE"/>
    <w:rsid w:val="00D742E2"/>
    <w:rsid w:val="00D74662"/>
    <w:rsid w:val="00D7493A"/>
    <w:rsid w:val="00D74D63"/>
    <w:rsid w:val="00D752D2"/>
    <w:rsid w:val="00D75739"/>
    <w:rsid w:val="00D75845"/>
    <w:rsid w:val="00D758CB"/>
    <w:rsid w:val="00D75975"/>
    <w:rsid w:val="00D759E4"/>
    <w:rsid w:val="00D75AA4"/>
    <w:rsid w:val="00D75CA7"/>
    <w:rsid w:val="00D75EB2"/>
    <w:rsid w:val="00D75FED"/>
    <w:rsid w:val="00D76161"/>
    <w:rsid w:val="00D7641A"/>
    <w:rsid w:val="00D76B03"/>
    <w:rsid w:val="00D76B64"/>
    <w:rsid w:val="00D76EC0"/>
    <w:rsid w:val="00D76F15"/>
    <w:rsid w:val="00D7700D"/>
    <w:rsid w:val="00D77238"/>
    <w:rsid w:val="00D774B0"/>
    <w:rsid w:val="00D7762B"/>
    <w:rsid w:val="00D777D0"/>
    <w:rsid w:val="00D77814"/>
    <w:rsid w:val="00D778AA"/>
    <w:rsid w:val="00D77C08"/>
    <w:rsid w:val="00D80015"/>
    <w:rsid w:val="00D8003E"/>
    <w:rsid w:val="00D8006C"/>
    <w:rsid w:val="00D8025D"/>
    <w:rsid w:val="00D802E5"/>
    <w:rsid w:val="00D8040D"/>
    <w:rsid w:val="00D805DB"/>
    <w:rsid w:val="00D80714"/>
    <w:rsid w:val="00D80752"/>
    <w:rsid w:val="00D8081A"/>
    <w:rsid w:val="00D80972"/>
    <w:rsid w:val="00D80ACA"/>
    <w:rsid w:val="00D81598"/>
    <w:rsid w:val="00D81764"/>
    <w:rsid w:val="00D81A62"/>
    <w:rsid w:val="00D81D27"/>
    <w:rsid w:val="00D82264"/>
    <w:rsid w:val="00D82286"/>
    <w:rsid w:val="00D82767"/>
    <w:rsid w:val="00D8293B"/>
    <w:rsid w:val="00D82B6E"/>
    <w:rsid w:val="00D82CAB"/>
    <w:rsid w:val="00D83023"/>
    <w:rsid w:val="00D83371"/>
    <w:rsid w:val="00D834CC"/>
    <w:rsid w:val="00D8371F"/>
    <w:rsid w:val="00D8394A"/>
    <w:rsid w:val="00D83980"/>
    <w:rsid w:val="00D839A6"/>
    <w:rsid w:val="00D8403A"/>
    <w:rsid w:val="00D84320"/>
    <w:rsid w:val="00D8436A"/>
    <w:rsid w:val="00D844D8"/>
    <w:rsid w:val="00D847D2"/>
    <w:rsid w:val="00D849AC"/>
    <w:rsid w:val="00D84BB1"/>
    <w:rsid w:val="00D84E2E"/>
    <w:rsid w:val="00D84E37"/>
    <w:rsid w:val="00D84F04"/>
    <w:rsid w:val="00D84F61"/>
    <w:rsid w:val="00D850DE"/>
    <w:rsid w:val="00D8511E"/>
    <w:rsid w:val="00D85619"/>
    <w:rsid w:val="00D85632"/>
    <w:rsid w:val="00D8566C"/>
    <w:rsid w:val="00D857D1"/>
    <w:rsid w:val="00D85B81"/>
    <w:rsid w:val="00D85D2E"/>
    <w:rsid w:val="00D85D73"/>
    <w:rsid w:val="00D85F04"/>
    <w:rsid w:val="00D85FEF"/>
    <w:rsid w:val="00D8618F"/>
    <w:rsid w:val="00D8621F"/>
    <w:rsid w:val="00D8643D"/>
    <w:rsid w:val="00D865A6"/>
    <w:rsid w:val="00D86AE2"/>
    <w:rsid w:val="00D86D37"/>
    <w:rsid w:val="00D86D48"/>
    <w:rsid w:val="00D873C0"/>
    <w:rsid w:val="00D87462"/>
    <w:rsid w:val="00D875A8"/>
    <w:rsid w:val="00D875FE"/>
    <w:rsid w:val="00D87638"/>
    <w:rsid w:val="00D87DBC"/>
    <w:rsid w:val="00D87E52"/>
    <w:rsid w:val="00D90001"/>
    <w:rsid w:val="00D90428"/>
    <w:rsid w:val="00D904B8"/>
    <w:rsid w:val="00D9059C"/>
    <w:rsid w:val="00D90619"/>
    <w:rsid w:val="00D90713"/>
    <w:rsid w:val="00D907D8"/>
    <w:rsid w:val="00D9085E"/>
    <w:rsid w:val="00D90A00"/>
    <w:rsid w:val="00D90B24"/>
    <w:rsid w:val="00D90B63"/>
    <w:rsid w:val="00D90C79"/>
    <w:rsid w:val="00D91D3D"/>
    <w:rsid w:val="00D91E1C"/>
    <w:rsid w:val="00D92101"/>
    <w:rsid w:val="00D921F1"/>
    <w:rsid w:val="00D9220F"/>
    <w:rsid w:val="00D9231A"/>
    <w:rsid w:val="00D92355"/>
    <w:rsid w:val="00D92A95"/>
    <w:rsid w:val="00D92BF3"/>
    <w:rsid w:val="00D92C6B"/>
    <w:rsid w:val="00D92F0F"/>
    <w:rsid w:val="00D92F21"/>
    <w:rsid w:val="00D9318B"/>
    <w:rsid w:val="00D9334E"/>
    <w:rsid w:val="00D9335D"/>
    <w:rsid w:val="00D93765"/>
    <w:rsid w:val="00D93C5E"/>
    <w:rsid w:val="00D93E54"/>
    <w:rsid w:val="00D940BD"/>
    <w:rsid w:val="00D94218"/>
    <w:rsid w:val="00D94380"/>
    <w:rsid w:val="00D94453"/>
    <w:rsid w:val="00D9468D"/>
    <w:rsid w:val="00D946B4"/>
    <w:rsid w:val="00D94B49"/>
    <w:rsid w:val="00D94DE5"/>
    <w:rsid w:val="00D94EEA"/>
    <w:rsid w:val="00D95053"/>
    <w:rsid w:val="00D95190"/>
    <w:rsid w:val="00D952D4"/>
    <w:rsid w:val="00D955D5"/>
    <w:rsid w:val="00D956A1"/>
    <w:rsid w:val="00D9587B"/>
    <w:rsid w:val="00D95A6E"/>
    <w:rsid w:val="00D95FA9"/>
    <w:rsid w:val="00D9629F"/>
    <w:rsid w:val="00D96503"/>
    <w:rsid w:val="00D96D9A"/>
    <w:rsid w:val="00D97160"/>
    <w:rsid w:val="00D972EC"/>
    <w:rsid w:val="00D9763A"/>
    <w:rsid w:val="00D976A6"/>
    <w:rsid w:val="00D977A9"/>
    <w:rsid w:val="00D9784C"/>
    <w:rsid w:val="00D97CCA"/>
    <w:rsid w:val="00D97E54"/>
    <w:rsid w:val="00DA01BF"/>
    <w:rsid w:val="00DA0371"/>
    <w:rsid w:val="00DA037C"/>
    <w:rsid w:val="00DA0429"/>
    <w:rsid w:val="00DA0699"/>
    <w:rsid w:val="00DA078D"/>
    <w:rsid w:val="00DA081D"/>
    <w:rsid w:val="00DA093D"/>
    <w:rsid w:val="00DA0AF6"/>
    <w:rsid w:val="00DA0F69"/>
    <w:rsid w:val="00DA1209"/>
    <w:rsid w:val="00DA1A54"/>
    <w:rsid w:val="00DA2744"/>
    <w:rsid w:val="00DA27F3"/>
    <w:rsid w:val="00DA2918"/>
    <w:rsid w:val="00DA32DF"/>
    <w:rsid w:val="00DA3417"/>
    <w:rsid w:val="00DA341C"/>
    <w:rsid w:val="00DA35A6"/>
    <w:rsid w:val="00DA384C"/>
    <w:rsid w:val="00DA3BE7"/>
    <w:rsid w:val="00DA3C85"/>
    <w:rsid w:val="00DA3F58"/>
    <w:rsid w:val="00DA432A"/>
    <w:rsid w:val="00DA4649"/>
    <w:rsid w:val="00DA4713"/>
    <w:rsid w:val="00DA47FA"/>
    <w:rsid w:val="00DA4873"/>
    <w:rsid w:val="00DA4A01"/>
    <w:rsid w:val="00DA4A48"/>
    <w:rsid w:val="00DA4B53"/>
    <w:rsid w:val="00DA4EF1"/>
    <w:rsid w:val="00DA4F63"/>
    <w:rsid w:val="00DA5163"/>
    <w:rsid w:val="00DA52EE"/>
    <w:rsid w:val="00DA59BF"/>
    <w:rsid w:val="00DA59F4"/>
    <w:rsid w:val="00DA5B2E"/>
    <w:rsid w:val="00DA5BB4"/>
    <w:rsid w:val="00DA6EC0"/>
    <w:rsid w:val="00DA70CB"/>
    <w:rsid w:val="00DA716B"/>
    <w:rsid w:val="00DA7513"/>
    <w:rsid w:val="00DA75F1"/>
    <w:rsid w:val="00DA7717"/>
    <w:rsid w:val="00DA78DC"/>
    <w:rsid w:val="00DA7A88"/>
    <w:rsid w:val="00DA7D36"/>
    <w:rsid w:val="00DA7E22"/>
    <w:rsid w:val="00DA7E31"/>
    <w:rsid w:val="00DA7FE1"/>
    <w:rsid w:val="00DB03FD"/>
    <w:rsid w:val="00DB0833"/>
    <w:rsid w:val="00DB0BD5"/>
    <w:rsid w:val="00DB0DCC"/>
    <w:rsid w:val="00DB1166"/>
    <w:rsid w:val="00DB11A3"/>
    <w:rsid w:val="00DB1CCB"/>
    <w:rsid w:val="00DB1E16"/>
    <w:rsid w:val="00DB2003"/>
    <w:rsid w:val="00DB2128"/>
    <w:rsid w:val="00DB219F"/>
    <w:rsid w:val="00DB249E"/>
    <w:rsid w:val="00DB2558"/>
    <w:rsid w:val="00DB2C3A"/>
    <w:rsid w:val="00DB3373"/>
    <w:rsid w:val="00DB34F1"/>
    <w:rsid w:val="00DB3529"/>
    <w:rsid w:val="00DB3979"/>
    <w:rsid w:val="00DB3EB0"/>
    <w:rsid w:val="00DB43D1"/>
    <w:rsid w:val="00DB47E2"/>
    <w:rsid w:val="00DB484B"/>
    <w:rsid w:val="00DB48B0"/>
    <w:rsid w:val="00DB48CB"/>
    <w:rsid w:val="00DB499E"/>
    <w:rsid w:val="00DB4BCB"/>
    <w:rsid w:val="00DB500D"/>
    <w:rsid w:val="00DB529E"/>
    <w:rsid w:val="00DB53CA"/>
    <w:rsid w:val="00DB574F"/>
    <w:rsid w:val="00DB57E9"/>
    <w:rsid w:val="00DB58B5"/>
    <w:rsid w:val="00DB594C"/>
    <w:rsid w:val="00DB5978"/>
    <w:rsid w:val="00DB5A74"/>
    <w:rsid w:val="00DB629A"/>
    <w:rsid w:val="00DB6309"/>
    <w:rsid w:val="00DB6433"/>
    <w:rsid w:val="00DB6862"/>
    <w:rsid w:val="00DB6872"/>
    <w:rsid w:val="00DB6999"/>
    <w:rsid w:val="00DB69CC"/>
    <w:rsid w:val="00DB6A2B"/>
    <w:rsid w:val="00DB6A86"/>
    <w:rsid w:val="00DB6AED"/>
    <w:rsid w:val="00DB6BFC"/>
    <w:rsid w:val="00DB6CFA"/>
    <w:rsid w:val="00DB6E89"/>
    <w:rsid w:val="00DB6FC4"/>
    <w:rsid w:val="00DB70CD"/>
    <w:rsid w:val="00DB7291"/>
    <w:rsid w:val="00DB7724"/>
    <w:rsid w:val="00DB7928"/>
    <w:rsid w:val="00DB793B"/>
    <w:rsid w:val="00DB7D32"/>
    <w:rsid w:val="00DB7E23"/>
    <w:rsid w:val="00DB7EAF"/>
    <w:rsid w:val="00DC008F"/>
    <w:rsid w:val="00DC02E1"/>
    <w:rsid w:val="00DC0DE9"/>
    <w:rsid w:val="00DC0F18"/>
    <w:rsid w:val="00DC10E0"/>
    <w:rsid w:val="00DC1353"/>
    <w:rsid w:val="00DC1364"/>
    <w:rsid w:val="00DC1558"/>
    <w:rsid w:val="00DC15A0"/>
    <w:rsid w:val="00DC15E1"/>
    <w:rsid w:val="00DC1896"/>
    <w:rsid w:val="00DC1BCE"/>
    <w:rsid w:val="00DC1CCA"/>
    <w:rsid w:val="00DC1E57"/>
    <w:rsid w:val="00DC2322"/>
    <w:rsid w:val="00DC24F5"/>
    <w:rsid w:val="00DC25D3"/>
    <w:rsid w:val="00DC2836"/>
    <w:rsid w:val="00DC29EB"/>
    <w:rsid w:val="00DC2B62"/>
    <w:rsid w:val="00DC2C76"/>
    <w:rsid w:val="00DC3055"/>
    <w:rsid w:val="00DC3241"/>
    <w:rsid w:val="00DC33A6"/>
    <w:rsid w:val="00DC3BB3"/>
    <w:rsid w:val="00DC3BF7"/>
    <w:rsid w:val="00DC3D1B"/>
    <w:rsid w:val="00DC3ED6"/>
    <w:rsid w:val="00DC423B"/>
    <w:rsid w:val="00DC438D"/>
    <w:rsid w:val="00DC4463"/>
    <w:rsid w:val="00DC4913"/>
    <w:rsid w:val="00DC4B36"/>
    <w:rsid w:val="00DC4E2C"/>
    <w:rsid w:val="00DC4F48"/>
    <w:rsid w:val="00DC53B6"/>
    <w:rsid w:val="00DC56CE"/>
    <w:rsid w:val="00DC5872"/>
    <w:rsid w:val="00DC589C"/>
    <w:rsid w:val="00DC58FC"/>
    <w:rsid w:val="00DC5AA0"/>
    <w:rsid w:val="00DC5B71"/>
    <w:rsid w:val="00DC5BDC"/>
    <w:rsid w:val="00DC6165"/>
    <w:rsid w:val="00DC61F6"/>
    <w:rsid w:val="00DC634D"/>
    <w:rsid w:val="00DC63CB"/>
    <w:rsid w:val="00DC6524"/>
    <w:rsid w:val="00DC654B"/>
    <w:rsid w:val="00DC6642"/>
    <w:rsid w:val="00DC69C8"/>
    <w:rsid w:val="00DC6B7A"/>
    <w:rsid w:val="00DC6E46"/>
    <w:rsid w:val="00DC6EF2"/>
    <w:rsid w:val="00DC7758"/>
    <w:rsid w:val="00DC7788"/>
    <w:rsid w:val="00DC7D14"/>
    <w:rsid w:val="00DC7E7E"/>
    <w:rsid w:val="00DC7E90"/>
    <w:rsid w:val="00DC7EC3"/>
    <w:rsid w:val="00DD00B7"/>
    <w:rsid w:val="00DD015A"/>
    <w:rsid w:val="00DD0168"/>
    <w:rsid w:val="00DD0259"/>
    <w:rsid w:val="00DD031F"/>
    <w:rsid w:val="00DD062F"/>
    <w:rsid w:val="00DD0634"/>
    <w:rsid w:val="00DD078D"/>
    <w:rsid w:val="00DD08B8"/>
    <w:rsid w:val="00DD0BD4"/>
    <w:rsid w:val="00DD0FF0"/>
    <w:rsid w:val="00DD10CD"/>
    <w:rsid w:val="00DD1244"/>
    <w:rsid w:val="00DD1332"/>
    <w:rsid w:val="00DD1576"/>
    <w:rsid w:val="00DD15AB"/>
    <w:rsid w:val="00DD18A3"/>
    <w:rsid w:val="00DD2204"/>
    <w:rsid w:val="00DD227E"/>
    <w:rsid w:val="00DD2679"/>
    <w:rsid w:val="00DD2B4A"/>
    <w:rsid w:val="00DD2DD6"/>
    <w:rsid w:val="00DD2EEF"/>
    <w:rsid w:val="00DD3038"/>
    <w:rsid w:val="00DD30E2"/>
    <w:rsid w:val="00DD3350"/>
    <w:rsid w:val="00DD3355"/>
    <w:rsid w:val="00DD33C9"/>
    <w:rsid w:val="00DD34FC"/>
    <w:rsid w:val="00DD3901"/>
    <w:rsid w:val="00DD391D"/>
    <w:rsid w:val="00DD396A"/>
    <w:rsid w:val="00DD3DE1"/>
    <w:rsid w:val="00DD3ECB"/>
    <w:rsid w:val="00DD3FB1"/>
    <w:rsid w:val="00DD3FCF"/>
    <w:rsid w:val="00DD4793"/>
    <w:rsid w:val="00DD487C"/>
    <w:rsid w:val="00DD4947"/>
    <w:rsid w:val="00DD4A6D"/>
    <w:rsid w:val="00DD4C18"/>
    <w:rsid w:val="00DD4D54"/>
    <w:rsid w:val="00DD4D6A"/>
    <w:rsid w:val="00DD4F8C"/>
    <w:rsid w:val="00DD518D"/>
    <w:rsid w:val="00DD551F"/>
    <w:rsid w:val="00DD59E8"/>
    <w:rsid w:val="00DD59FE"/>
    <w:rsid w:val="00DD5AF4"/>
    <w:rsid w:val="00DD5BB8"/>
    <w:rsid w:val="00DD5DFF"/>
    <w:rsid w:val="00DD5F77"/>
    <w:rsid w:val="00DD6046"/>
    <w:rsid w:val="00DD6B34"/>
    <w:rsid w:val="00DD6C11"/>
    <w:rsid w:val="00DD7591"/>
    <w:rsid w:val="00DD75C2"/>
    <w:rsid w:val="00DD79F3"/>
    <w:rsid w:val="00DD7A38"/>
    <w:rsid w:val="00DD7AD2"/>
    <w:rsid w:val="00DD7CA7"/>
    <w:rsid w:val="00DE01E6"/>
    <w:rsid w:val="00DE0390"/>
    <w:rsid w:val="00DE06D6"/>
    <w:rsid w:val="00DE0779"/>
    <w:rsid w:val="00DE0D79"/>
    <w:rsid w:val="00DE0DF8"/>
    <w:rsid w:val="00DE0E50"/>
    <w:rsid w:val="00DE11F2"/>
    <w:rsid w:val="00DE1302"/>
    <w:rsid w:val="00DE130E"/>
    <w:rsid w:val="00DE168A"/>
    <w:rsid w:val="00DE16DC"/>
    <w:rsid w:val="00DE18A6"/>
    <w:rsid w:val="00DE19E6"/>
    <w:rsid w:val="00DE1C03"/>
    <w:rsid w:val="00DE1D30"/>
    <w:rsid w:val="00DE1D82"/>
    <w:rsid w:val="00DE1DDD"/>
    <w:rsid w:val="00DE1FBD"/>
    <w:rsid w:val="00DE226B"/>
    <w:rsid w:val="00DE2292"/>
    <w:rsid w:val="00DE264F"/>
    <w:rsid w:val="00DE2789"/>
    <w:rsid w:val="00DE28FC"/>
    <w:rsid w:val="00DE2AD7"/>
    <w:rsid w:val="00DE2BF9"/>
    <w:rsid w:val="00DE2C4E"/>
    <w:rsid w:val="00DE2CAC"/>
    <w:rsid w:val="00DE2CCE"/>
    <w:rsid w:val="00DE2F50"/>
    <w:rsid w:val="00DE3309"/>
    <w:rsid w:val="00DE395F"/>
    <w:rsid w:val="00DE3A24"/>
    <w:rsid w:val="00DE3B33"/>
    <w:rsid w:val="00DE3BB3"/>
    <w:rsid w:val="00DE3C9B"/>
    <w:rsid w:val="00DE3EC5"/>
    <w:rsid w:val="00DE43BB"/>
    <w:rsid w:val="00DE4494"/>
    <w:rsid w:val="00DE44FC"/>
    <w:rsid w:val="00DE45FE"/>
    <w:rsid w:val="00DE4724"/>
    <w:rsid w:val="00DE51B0"/>
    <w:rsid w:val="00DE51B2"/>
    <w:rsid w:val="00DE5826"/>
    <w:rsid w:val="00DE5CE6"/>
    <w:rsid w:val="00DE64A1"/>
    <w:rsid w:val="00DE669D"/>
    <w:rsid w:val="00DE676D"/>
    <w:rsid w:val="00DE6907"/>
    <w:rsid w:val="00DE6B26"/>
    <w:rsid w:val="00DE6D7F"/>
    <w:rsid w:val="00DE6E79"/>
    <w:rsid w:val="00DE6EAD"/>
    <w:rsid w:val="00DE7562"/>
    <w:rsid w:val="00DE7863"/>
    <w:rsid w:val="00DE7CBE"/>
    <w:rsid w:val="00DF0062"/>
    <w:rsid w:val="00DF0227"/>
    <w:rsid w:val="00DF02C1"/>
    <w:rsid w:val="00DF05E1"/>
    <w:rsid w:val="00DF0612"/>
    <w:rsid w:val="00DF08BC"/>
    <w:rsid w:val="00DF08C0"/>
    <w:rsid w:val="00DF0B86"/>
    <w:rsid w:val="00DF0C1C"/>
    <w:rsid w:val="00DF0FE4"/>
    <w:rsid w:val="00DF10BA"/>
    <w:rsid w:val="00DF18D2"/>
    <w:rsid w:val="00DF1C9C"/>
    <w:rsid w:val="00DF1E6E"/>
    <w:rsid w:val="00DF22FD"/>
    <w:rsid w:val="00DF23CF"/>
    <w:rsid w:val="00DF2445"/>
    <w:rsid w:val="00DF2463"/>
    <w:rsid w:val="00DF25D3"/>
    <w:rsid w:val="00DF27D5"/>
    <w:rsid w:val="00DF2835"/>
    <w:rsid w:val="00DF2A99"/>
    <w:rsid w:val="00DF2BFA"/>
    <w:rsid w:val="00DF2EF0"/>
    <w:rsid w:val="00DF3053"/>
    <w:rsid w:val="00DF30C6"/>
    <w:rsid w:val="00DF3358"/>
    <w:rsid w:val="00DF33A7"/>
    <w:rsid w:val="00DF35AD"/>
    <w:rsid w:val="00DF37F8"/>
    <w:rsid w:val="00DF386B"/>
    <w:rsid w:val="00DF3969"/>
    <w:rsid w:val="00DF39EE"/>
    <w:rsid w:val="00DF3E74"/>
    <w:rsid w:val="00DF3FBB"/>
    <w:rsid w:val="00DF3FEF"/>
    <w:rsid w:val="00DF40E6"/>
    <w:rsid w:val="00DF412A"/>
    <w:rsid w:val="00DF4544"/>
    <w:rsid w:val="00DF4C6A"/>
    <w:rsid w:val="00DF4E17"/>
    <w:rsid w:val="00DF5053"/>
    <w:rsid w:val="00DF527A"/>
    <w:rsid w:val="00DF52D9"/>
    <w:rsid w:val="00DF5438"/>
    <w:rsid w:val="00DF5467"/>
    <w:rsid w:val="00DF5832"/>
    <w:rsid w:val="00DF59A7"/>
    <w:rsid w:val="00DF59B1"/>
    <w:rsid w:val="00DF5A4B"/>
    <w:rsid w:val="00DF5D57"/>
    <w:rsid w:val="00DF6022"/>
    <w:rsid w:val="00DF63F2"/>
    <w:rsid w:val="00DF64A2"/>
    <w:rsid w:val="00DF66E0"/>
    <w:rsid w:val="00DF677C"/>
    <w:rsid w:val="00DF678E"/>
    <w:rsid w:val="00DF6886"/>
    <w:rsid w:val="00DF69BC"/>
    <w:rsid w:val="00DF6DEA"/>
    <w:rsid w:val="00DF6E2A"/>
    <w:rsid w:val="00DF6EA4"/>
    <w:rsid w:val="00DF72A5"/>
    <w:rsid w:val="00DF736D"/>
    <w:rsid w:val="00DF73D4"/>
    <w:rsid w:val="00DF761D"/>
    <w:rsid w:val="00DF763B"/>
    <w:rsid w:val="00DF774B"/>
    <w:rsid w:val="00DF79E5"/>
    <w:rsid w:val="00DF7D1B"/>
    <w:rsid w:val="00DF7E8B"/>
    <w:rsid w:val="00E00354"/>
    <w:rsid w:val="00E0067D"/>
    <w:rsid w:val="00E00942"/>
    <w:rsid w:val="00E00969"/>
    <w:rsid w:val="00E009F5"/>
    <w:rsid w:val="00E00C38"/>
    <w:rsid w:val="00E00FBC"/>
    <w:rsid w:val="00E019B3"/>
    <w:rsid w:val="00E01B80"/>
    <w:rsid w:val="00E01D81"/>
    <w:rsid w:val="00E01F4E"/>
    <w:rsid w:val="00E024C7"/>
    <w:rsid w:val="00E025EB"/>
    <w:rsid w:val="00E02B36"/>
    <w:rsid w:val="00E0317B"/>
    <w:rsid w:val="00E031CD"/>
    <w:rsid w:val="00E0327B"/>
    <w:rsid w:val="00E0367C"/>
    <w:rsid w:val="00E03989"/>
    <w:rsid w:val="00E03EB5"/>
    <w:rsid w:val="00E0445A"/>
    <w:rsid w:val="00E046E7"/>
    <w:rsid w:val="00E04725"/>
    <w:rsid w:val="00E04840"/>
    <w:rsid w:val="00E04996"/>
    <w:rsid w:val="00E04AE9"/>
    <w:rsid w:val="00E05048"/>
    <w:rsid w:val="00E05207"/>
    <w:rsid w:val="00E0523F"/>
    <w:rsid w:val="00E055B6"/>
    <w:rsid w:val="00E058D4"/>
    <w:rsid w:val="00E058F2"/>
    <w:rsid w:val="00E05A0F"/>
    <w:rsid w:val="00E05EED"/>
    <w:rsid w:val="00E06013"/>
    <w:rsid w:val="00E060AF"/>
    <w:rsid w:val="00E06137"/>
    <w:rsid w:val="00E0670C"/>
    <w:rsid w:val="00E0680D"/>
    <w:rsid w:val="00E06956"/>
    <w:rsid w:val="00E06991"/>
    <w:rsid w:val="00E06BEE"/>
    <w:rsid w:val="00E06D0F"/>
    <w:rsid w:val="00E06D17"/>
    <w:rsid w:val="00E06D60"/>
    <w:rsid w:val="00E06D6F"/>
    <w:rsid w:val="00E06E46"/>
    <w:rsid w:val="00E06F61"/>
    <w:rsid w:val="00E06F9D"/>
    <w:rsid w:val="00E0705D"/>
    <w:rsid w:val="00E07293"/>
    <w:rsid w:val="00E07350"/>
    <w:rsid w:val="00E0735E"/>
    <w:rsid w:val="00E075B4"/>
    <w:rsid w:val="00E07946"/>
    <w:rsid w:val="00E07AA6"/>
    <w:rsid w:val="00E07C52"/>
    <w:rsid w:val="00E10024"/>
    <w:rsid w:val="00E101C2"/>
    <w:rsid w:val="00E10329"/>
    <w:rsid w:val="00E10372"/>
    <w:rsid w:val="00E107AE"/>
    <w:rsid w:val="00E10806"/>
    <w:rsid w:val="00E1092B"/>
    <w:rsid w:val="00E1098A"/>
    <w:rsid w:val="00E10A32"/>
    <w:rsid w:val="00E10AFC"/>
    <w:rsid w:val="00E10D11"/>
    <w:rsid w:val="00E10D3C"/>
    <w:rsid w:val="00E1105B"/>
    <w:rsid w:val="00E11088"/>
    <w:rsid w:val="00E110D7"/>
    <w:rsid w:val="00E11604"/>
    <w:rsid w:val="00E117C0"/>
    <w:rsid w:val="00E11935"/>
    <w:rsid w:val="00E11A4C"/>
    <w:rsid w:val="00E11C03"/>
    <w:rsid w:val="00E11C47"/>
    <w:rsid w:val="00E11ED4"/>
    <w:rsid w:val="00E11F6D"/>
    <w:rsid w:val="00E11FD7"/>
    <w:rsid w:val="00E12165"/>
    <w:rsid w:val="00E12166"/>
    <w:rsid w:val="00E12598"/>
    <w:rsid w:val="00E12609"/>
    <w:rsid w:val="00E12B91"/>
    <w:rsid w:val="00E12BEF"/>
    <w:rsid w:val="00E12F81"/>
    <w:rsid w:val="00E130BF"/>
    <w:rsid w:val="00E13E65"/>
    <w:rsid w:val="00E13F57"/>
    <w:rsid w:val="00E140FD"/>
    <w:rsid w:val="00E14121"/>
    <w:rsid w:val="00E14296"/>
    <w:rsid w:val="00E143FB"/>
    <w:rsid w:val="00E14AB1"/>
    <w:rsid w:val="00E151FC"/>
    <w:rsid w:val="00E15C9C"/>
    <w:rsid w:val="00E1639B"/>
    <w:rsid w:val="00E169D9"/>
    <w:rsid w:val="00E16A76"/>
    <w:rsid w:val="00E16C13"/>
    <w:rsid w:val="00E16C98"/>
    <w:rsid w:val="00E1707C"/>
    <w:rsid w:val="00E17130"/>
    <w:rsid w:val="00E172F1"/>
    <w:rsid w:val="00E1735E"/>
    <w:rsid w:val="00E17704"/>
    <w:rsid w:val="00E1779D"/>
    <w:rsid w:val="00E17A25"/>
    <w:rsid w:val="00E17C78"/>
    <w:rsid w:val="00E200F3"/>
    <w:rsid w:val="00E204D5"/>
    <w:rsid w:val="00E20935"/>
    <w:rsid w:val="00E20A04"/>
    <w:rsid w:val="00E20DC1"/>
    <w:rsid w:val="00E2139C"/>
    <w:rsid w:val="00E21B71"/>
    <w:rsid w:val="00E21BD2"/>
    <w:rsid w:val="00E21FF6"/>
    <w:rsid w:val="00E22390"/>
    <w:rsid w:val="00E22A7E"/>
    <w:rsid w:val="00E22F00"/>
    <w:rsid w:val="00E231C5"/>
    <w:rsid w:val="00E2336B"/>
    <w:rsid w:val="00E23534"/>
    <w:rsid w:val="00E2388B"/>
    <w:rsid w:val="00E23E18"/>
    <w:rsid w:val="00E243C5"/>
    <w:rsid w:val="00E2441F"/>
    <w:rsid w:val="00E2444F"/>
    <w:rsid w:val="00E24545"/>
    <w:rsid w:val="00E24684"/>
    <w:rsid w:val="00E24A4D"/>
    <w:rsid w:val="00E24DD9"/>
    <w:rsid w:val="00E25109"/>
    <w:rsid w:val="00E251C1"/>
    <w:rsid w:val="00E25607"/>
    <w:rsid w:val="00E256E6"/>
    <w:rsid w:val="00E25CF3"/>
    <w:rsid w:val="00E25E55"/>
    <w:rsid w:val="00E25F3A"/>
    <w:rsid w:val="00E26204"/>
    <w:rsid w:val="00E2640D"/>
    <w:rsid w:val="00E26423"/>
    <w:rsid w:val="00E2649A"/>
    <w:rsid w:val="00E266BE"/>
    <w:rsid w:val="00E26747"/>
    <w:rsid w:val="00E267AB"/>
    <w:rsid w:val="00E26CBD"/>
    <w:rsid w:val="00E26EC3"/>
    <w:rsid w:val="00E2735B"/>
    <w:rsid w:val="00E2751F"/>
    <w:rsid w:val="00E276DB"/>
    <w:rsid w:val="00E276F1"/>
    <w:rsid w:val="00E2775F"/>
    <w:rsid w:val="00E27A8A"/>
    <w:rsid w:val="00E3046B"/>
    <w:rsid w:val="00E30545"/>
    <w:rsid w:val="00E3071C"/>
    <w:rsid w:val="00E30892"/>
    <w:rsid w:val="00E30938"/>
    <w:rsid w:val="00E30B6D"/>
    <w:rsid w:val="00E30E39"/>
    <w:rsid w:val="00E30F8E"/>
    <w:rsid w:val="00E31025"/>
    <w:rsid w:val="00E311C3"/>
    <w:rsid w:val="00E311E2"/>
    <w:rsid w:val="00E31282"/>
    <w:rsid w:val="00E312ED"/>
    <w:rsid w:val="00E31454"/>
    <w:rsid w:val="00E318FE"/>
    <w:rsid w:val="00E31B52"/>
    <w:rsid w:val="00E322FE"/>
    <w:rsid w:val="00E32633"/>
    <w:rsid w:val="00E328A8"/>
    <w:rsid w:val="00E32AE9"/>
    <w:rsid w:val="00E32AEE"/>
    <w:rsid w:val="00E32BFC"/>
    <w:rsid w:val="00E32E5B"/>
    <w:rsid w:val="00E32E72"/>
    <w:rsid w:val="00E33030"/>
    <w:rsid w:val="00E331C1"/>
    <w:rsid w:val="00E33721"/>
    <w:rsid w:val="00E3376F"/>
    <w:rsid w:val="00E33C0B"/>
    <w:rsid w:val="00E33CA7"/>
    <w:rsid w:val="00E33E1C"/>
    <w:rsid w:val="00E34A6A"/>
    <w:rsid w:val="00E34A87"/>
    <w:rsid w:val="00E34D0A"/>
    <w:rsid w:val="00E352D4"/>
    <w:rsid w:val="00E35312"/>
    <w:rsid w:val="00E35DC2"/>
    <w:rsid w:val="00E35FB3"/>
    <w:rsid w:val="00E360F1"/>
    <w:rsid w:val="00E363DD"/>
    <w:rsid w:val="00E36441"/>
    <w:rsid w:val="00E36650"/>
    <w:rsid w:val="00E3682C"/>
    <w:rsid w:val="00E36869"/>
    <w:rsid w:val="00E36DB5"/>
    <w:rsid w:val="00E36E85"/>
    <w:rsid w:val="00E373DC"/>
    <w:rsid w:val="00E375EC"/>
    <w:rsid w:val="00E37863"/>
    <w:rsid w:val="00E37B33"/>
    <w:rsid w:val="00E37C86"/>
    <w:rsid w:val="00E37DFD"/>
    <w:rsid w:val="00E37ECC"/>
    <w:rsid w:val="00E37F12"/>
    <w:rsid w:val="00E40072"/>
    <w:rsid w:val="00E4011D"/>
    <w:rsid w:val="00E404A1"/>
    <w:rsid w:val="00E40648"/>
    <w:rsid w:val="00E40739"/>
    <w:rsid w:val="00E407EB"/>
    <w:rsid w:val="00E40A9F"/>
    <w:rsid w:val="00E40AA3"/>
    <w:rsid w:val="00E40E9F"/>
    <w:rsid w:val="00E40F2B"/>
    <w:rsid w:val="00E41282"/>
    <w:rsid w:val="00E412C3"/>
    <w:rsid w:val="00E41418"/>
    <w:rsid w:val="00E4141D"/>
    <w:rsid w:val="00E41454"/>
    <w:rsid w:val="00E414D4"/>
    <w:rsid w:val="00E41781"/>
    <w:rsid w:val="00E41AB1"/>
    <w:rsid w:val="00E41DB0"/>
    <w:rsid w:val="00E41EC6"/>
    <w:rsid w:val="00E41FFB"/>
    <w:rsid w:val="00E42056"/>
    <w:rsid w:val="00E420E2"/>
    <w:rsid w:val="00E42390"/>
    <w:rsid w:val="00E42752"/>
    <w:rsid w:val="00E42785"/>
    <w:rsid w:val="00E42910"/>
    <w:rsid w:val="00E42C2F"/>
    <w:rsid w:val="00E4321F"/>
    <w:rsid w:val="00E43858"/>
    <w:rsid w:val="00E43B4C"/>
    <w:rsid w:val="00E43DDC"/>
    <w:rsid w:val="00E43E45"/>
    <w:rsid w:val="00E44065"/>
    <w:rsid w:val="00E44212"/>
    <w:rsid w:val="00E442E5"/>
    <w:rsid w:val="00E4431C"/>
    <w:rsid w:val="00E44381"/>
    <w:rsid w:val="00E443B7"/>
    <w:rsid w:val="00E444FE"/>
    <w:rsid w:val="00E44574"/>
    <w:rsid w:val="00E44577"/>
    <w:rsid w:val="00E448A1"/>
    <w:rsid w:val="00E44968"/>
    <w:rsid w:val="00E44AFE"/>
    <w:rsid w:val="00E44B7F"/>
    <w:rsid w:val="00E44E89"/>
    <w:rsid w:val="00E4583C"/>
    <w:rsid w:val="00E459AC"/>
    <w:rsid w:val="00E45CB8"/>
    <w:rsid w:val="00E46154"/>
    <w:rsid w:val="00E46235"/>
    <w:rsid w:val="00E4625D"/>
    <w:rsid w:val="00E464E1"/>
    <w:rsid w:val="00E46548"/>
    <w:rsid w:val="00E46742"/>
    <w:rsid w:val="00E469EF"/>
    <w:rsid w:val="00E46C90"/>
    <w:rsid w:val="00E46CE6"/>
    <w:rsid w:val="00E46D2C"/>
    <w:rsid w:val="00E47126"/>
    <w:rsid w:val="00E475D7"/>
    <w:rsid w:val="00E47CA7"/>
    <w:rsid w:val="00E47D78"/>
    <w:rsid w:val="00E47F2E"/>
    <w:rsid w:val="00E47FBE"/>
    <w:rsid w:val="00E501EF"/>
    <w:rsid w:val="00E5051B"/>
    <w:rsid w:val="00E5059F"/>
    <w:rsid w:val="00E50A7F"/>
    <w:rsid w:val="00E50E47"/>
    <w:rsid w:val="00E50ED1"/>
    <w:rsid w:val="00E5124E"/>
    <w:rsid w:val="00E5164F"/>
    <w:rsid w:val="00E516C0"/>
    <w:rsid w:val="00E517C6"/>
    <w:rsid w:val="00E518CD"/>
    <w:rsid w:val="00E51C08"/>
    <w:rsid w:val="00E51D08"/>
    <w:rsid w:val="00E51E0F"/>
    <w:rsid w:val="00E51EA0"/>
    <w:rsid w:val="00E52274"/>
    <w:rsid w:val="00E5229B"/>
    <w:rsid w:val="00E522A3"/>
    <w:rsid w:val="00E5234E"/>
    <w:rsid w:val="00E5236E"/>
    <w:rsid w:val="00E52550"/>
    <w:rsid w:val="00E52622"/>
    <w:rsid w:val="00E52631"/>
    <w:rsid w:val="00E526AB"/>
    <w:rsid w:val="00E528D5"/>
    <w:rsid w:val="00E528FB"/>
    <w:rsid w:val="00E52CCD"/>
    <w:rsid w:val="00E52E9B"/>
    <w:rsid w:val="00E530EF"/>
    <w:rsid w:val="00E53420"/>
    <w:rsid w:val="00E534E9"/>
    <w:rsid w:val="00E53584"/>
    <w:rsid w:val="00E5361E"/>
    <w:rsid w:val="00E536F3"/>
    <w:rsid w:val="00E538E2"/>
    <w:rsid w:val="00E53E15"/>
    <w:rsid w:val="00E5406C"/>
    <w:rsid w:val="00E54861"/>
    <w:rsid w:val="00E54871"/>
    <w:rsid w:val="00E549D6"/>
    <w:rsid w:val="00E54E03"/>
    <w:rsid w:val="00E54E0B"/>
    <w:rsid w:val="00E54F90"/>
    <w:rsid w:val="00E54F9E"/>
    <w:rsid w:val="00E550C0"/>
    <w:rsid w:val="00E5536F"/>
    <w:rsid w:val="00E555D2"/>
    <w:rsid w:val="00E557F1"/>
    <w:rsid w:val="00E55960"/>
    <w:rsid w:val="00E55991"/>
    <w:rsid w:val="00E5619B"/>
    <w:rsid w:val="00E56254"/>
    <w:rsid w:val="00E56316"/>
    <w:rsid w:val="00E5668D"/>
    <w:rsid w:val="00E56A63"/>
    <w:rsid w:val="00E56AB7"/>
    <w:rsid w:val="00E56C81"/>
    <w:rsid w:val="00E570DA"/>
    <w:rsid w:val="00E57571"/>
    <w:rsid w:val="00E576C5"/>
    <w:rsid w:val="00E57796"/>
    <w:rsid w:val="00E57993"/>
    <w:rsid w:val="00E57A84"/>
    <w:rsid w:val="00E57BF3"/>
    <w:rsid w:val="00E57C10"/>
    <w:rsid w:val="00E57ED6"/>
    <w:rsid w:val="00E60193"/>
    <w:rsid w:val="00E601B4"/>
    <w:rsid w:val="00E601EB"/>
    <w:rsid w:val="00E602DA"/>
    <w:rsid w:val="00E6030E"/>
    <w:rsid w:val="00E6079A"/>
    <w:rsid w:val="00E6088D"/>
    <w:rsid w:val="00E60AB7"/>
    <w:rsid w:val="00E60B71"/>
    <w:rsid w:val="00E60DFD"/>
    <w:rsid w:val="00E614A4"/>
    <w:rsid w:val="00E617B2"/>
    <w:rsid w:val="00E619ED"/>
    <w:rsid w:val="00E61C63"/>
    <w:rsid w:val="00E6203B"/>
    <w:rsid w:val="00E6222C"/>
    <w:rsid w:val="00E622A6"/>
    <w:rsid w:val="00E6230A"/>
    <w:rsid w:val="00E6272E"/>
    <w:rsid w:val="00E62839"/>
    <w:rsid w:val="00E62A09"/>
    <w:rsid w:val="00E62CC2"/>
    <w:rsid w:val="00E62E41"/>
    <w:rsid w:val="00E62E81"/>
    <w:rsid w:val="00E62EF7"/>
    <w:rsid w:val="00E630DF"/>
    <w:rsid w:val="00E6318F"/>
    <w:rsid w:val="00E63716"/>
    <w:rsid w:val="00E63734"/>
    <w:rsid w:val="00E63866"/>
    <w:rsid w:val="00E6394A"/>
    <w:rsid w:val="00E63A76"/>
    <w:rsid w:val="00E63C12"/>
    <w:rsid w:val="00E63CAC"/>
    <w:rsid w:val="00E63ED7"/>
    <w:rsid w:val="00E64228"/>
    <w:rsid w:val="00E64344"/>
    <w:rsid w:val="00E64352"/>
    <w:rsid w:val="00E643D9"/>
    <w:rsid w:val="00E644EC"/>
    <w:rsid w:val="00E64757"/>
    <w:rsid w:val="00E649F4"/>
    <w:rsid w:val="00E64F08"/>
    <w:rsid w:val="00E651F7"/>
    <w:rsid w:val="00E655C2"/>
    <w:rsid w:val="00E65A3C"/>
    <w:rsid w:val="00E65BC0"/>
    <w:rsid w:val="00E65E8F"/>
    <w:rsid w:val="00E65F09"/>
    <w:rsid w:val="00E65F91"/>
    <w:rsid w:val="00E662E0"/>
    <w:rsid w:val="00E66573"/>
    <w:rsid w:val="00E665BB"/>
    <w:rsid w:val="00E665F7"/>
    <w:rsid w:val="00E66660"/>
    <w:rsid w:val="00E667FE"/>
    <w:rsid w:val="00E66949"/>
    <w:rsid w:val="00E66A45"/>
    <w:rsid w:val="00E66A6B"/>
    <w:rsid w:val="00E66A75"/>
    <w:rsid w:val="00E66D5A"/>
    <w:rsid w:val="00E66E20"/>
    <w:rsid w:val="00E66EA2"/>
    <w:rsid w:val="00E6706E"/>
    <w:rsid w:val="00E67132"/>
    <w:rsid w:val="00E673B9"/>
    <w:rsid w:val="00E67570"/>
    <w:rsid w:val="00E675D1"/>
    <w:rsid w:val="00E678B1"/>
    <w:rsid w:val="00E6799B"/>
    <w:rsid w:val="00E70039"/>
    <w:rsid w:val="00E701B0"/>
    <w:rsid w:val="00E70699"/>
    <w:rsid w:val="00E70A0B"/>
    <w:rsid w:val="00E70AE6"/>
    <w:rsid w:val="00E70BFA"/>
    <w:rsid w:val="00E70D35"/>
    <w:rsid w:val="00E70D5F"/>
    <w:rsid w:val="00E70D68"/>
    <w:rsid w:val="00E70DE7"/>
    <w:rsid w:val="00E713DE"/>
    <w:rsid w:val="00E71440"/>
    <w:rsid w:val="00E71515"/>
    <w:rsid w:val="00E7156D"/>
    <w:rsid w:val="00E7162E"/>
    <w:rsid w:val="00E71ABA"/>
    <w:rsid w:val="00E71B4D"/>
    <w:rsid w:val="00E71C53"/>
    <w:rsid w:val="00E7202D"/>
    <w:rsid w:val="00E72071"/>
    <w:rsid w:val="00E720D1"/>
    <w:rsid w:val="00E72471"/>
    <w:rsid w:val="00E7272A"/>
    <w:rsid w:val="00E72EDB"/>
    <w:rsid w:val="00E73028"/>
    <w:rsid w:val="00E73146"/>
    <w:rsid w:val="00E73573"/>
    <w:rsid w:val="00E73729"/>
    <w:rsid w:val="00E73778"/>
    <w:rsid w:val="00E738CA"/>
    <w:rsid w:val="00E73D42"/>
    <w:rsid w:val="00E73FD3"/>
    <w:rsid w:val="00E74871"/>
    <w:rsid w:val="00E74964"/>
    <w:rsid w:val="00E74C26"/>
    <w:rsid w:val="00E74E78"/>
    <w:rsid w:val="00E74EF6"/>
    <w:rsid w:val="00E7507A"/>
    <w:rsid w:val="00E750CD"/>
    <w:rsid w:val="00E75359"/>
    <w:rsid w:val="00E75612"/>
    <w:rsid w:val="00E757D9"/>
    <w:rsid w:val="00E758CB"/>
    <w:rsid w:val="00E75AFC"/>
    <w:rsid w:val="00E75DCA"/>
    <w:rsid w:val="00E7604A"/>
    <w:rsid w:val="00E76201"/>
    <w:rsid w:val="00E7644C"/>
    <w:rsid w:val="00E7652F"/>
    <w:rsid w:val="00E76721"/>
    <w:rsid w:val="00E76830"/>
    <w:rsid w:val="00E76B8A"/>
    <w:rsid w:val="00E76CF2"/>
    <w:rsid w:val="00E76DE4"/>
    <w:rsid w:val="00E76DEE"/>
    <w:rsid w:val="00E77363"/>
    <w:rsid w:val="00E7739A"/>
    <w:rsid w:val="00E773FA"/>
    <w:rsid w:val="00E77744"/>
    <w:rsid w:val="00E777AB"/>
    <w:rsid w:val="00E77874"/>
    <w:rsid w:val="00E77B3E"/>
    <w:rsid w:val="00E800A1"/>
    <w:rsid w:val="00E806F8"/>
    <w:rsid w:val="00E8073A"/>
    <w:rsid w:val="00E80ABA"/>
    <w:rsid w:val="00E80C12"/>
    <w:rsid w:val="00E80D22"/>
    <w:rsid w:val="00E80D99"/>
    <w:rsid w:val="00E80E99"/>
    <w:rsid w:val="00E80FBB"/>
    <w:rsid w:val="00E81093"/>
    <w:rsid w:val="00E81339"/>
    <w:rsid w:val="00E813EB"/>
    <w:rsid w:val="00E8169E"/>
    <w:rsid w:val="00E817A7"/>
    <w:rsid w:val="00E81DEE"/>
    <w:rsid w:val="00E81FAD"/>
    <w:rsid w:val="00E820EE"/>
    <w:rsid w:val="00E82434"/>
    <w:rsid w:val="00E825BE"/>
    <w:rsid w:val="00E827AB"/>
    <w:rsid w:val="00E82C2D"/>
    <w:rsid w:val="00E82DF0"/>
    <w:rsid w:val="00E82F82"/>
    <w:rsid w:val="00E82F95"/>
    <w:rsid w:val="00E8303B"/>
    <w:rsid w:val="00E8311D"/>
    <w:rsid w:val="00E831CE"/>
    <w:rsid w:val="00E83341"/>
    <w:rsid w:val="00E837D7"/>
    <w:rsid w:val="00E837D8"/>
    <w:rsid w:val="00E83AF7"/>
    <w:rsid w:val="00E83BB3"/>
    <w:rsid w:val="00E83CD9"/>
    <w:rsid w:val="00E83EA3"/>
    <w:rsid w:val="00E84368"/>
    <w:rsid w:val="00E848E2"/>
    <w:rsid w:val="00E84C77"/>
    <w:rsid w:val="00E84CF9"/>
    <w:rsid w:val="00E85504"/>
    <w:rsid w:val="00E8569E"/>
    <w:rsid w:val="00E857DA"/>
    <w:rsid w:val="00E85C3A"/>
    <w:rsid w:val="00E85DD7"/>
    <w:rsid w:val="00E86841"/>
    <w:rsid w:val="00E86C91"/>
    <w:rsid w:val="00E871B8"/>
    <w:rsid w:val="00E87550"/>
    <w:rsid w:val="00E875DA"/>
    <w:rsid w:val="00E87B31"/>
    <w:rsid w:val="00E87B90"/>
    <w:rsid w:val="00E87E5D"/>
    <w:rsid w:val="00E90067"/>
    <w:rsid w:val="00E90125"/>
    <w:rsid w:val="00E901CD"/>
    <w:rsid w:val="00E9032B"/>
    <w:rsid w:val="00E903CD"/>
    <w:rsid w:val="00E903E4"/>
    <w:rsid w:val="00E90737"/>
    <w:rsid w:val="00E90797"/>
    <w:rsid w:val="00E90888"/>
    <w:rsid w:val="00E90D19"/>
    <w:rsid w:val="00E90F82"/>
    <w:rsid w:val="00E90FFF"/>
    <w:rsid w:val="00E9108F"/>
    <w:rsid w:val="00E91430"/>
    <w:rsid w:val="00E9148F"/>
    <w:rsid w:val="00E9192E"/>
    <w:rsid w:val="00E9192F"/>
    <w:rsid w:val="00E91AA3"/>
    <w:rsid w:val="00E91DE2"/>
    <w:rsid w:val="00E9215A"/>
    <w:rsid w:val="00E92391"/>
    <w:rsid w:val="00E92B3E"/>
    <w:rsid w:val="00E92D7F"/>
    <w:rsid w:val="00E92EE9"/>
    <w:rsid w:val="00E92F5F"/>
    <w:rsid w:val="00E93011"/>
    <w:rsid w:val="00E93320"/>
    <w:rsid w:val="00E93515"/>
    <w:rsid w:val="00E937D9"/>
    <w:rsid w:val="00E937EC"/>
    <w:rsid w:val="00E93A69"/>
    <w:rsid w:val="00E940F8"/>
    <w:rsid w:val="00E941F1"/>
    <w:rsid w:val="00E943D2"/>
    <w:rsid w:val="00E9459F"/>
    <w:rsid w:val="00E94654"/>
    <w:rsid w:val="00E9484F"/>
    <w:rsid w:val="00E9496D"/>
    <w:rsid w:val="00E94A7E"/>
    <w:rsid w:val="00E94BD6"/>
    <w:rsid w:val="00E95160"/>
    <w:rsid w:val="00E956A9"/>
    <w:rsid w:val="00E95A66"/>
    <w:rsid w:val="00E95E30"/>
    <w:rsid w:val="00E96271"/>
    <w:rsid w:val="00E967E3"/>
    <w:rsid w:val="00E97020"/>
    <w:rsid w:val="00E9729E"/>
    <w:rsid w:val="00E97635"/>
    <w:rsid w:val="00E97CFD"/>
    <w:rsid w:val="00EA00CF"/>
    <w:rsid w:val="00EA02B8"/>
    <w:rsid w:val="00EA0B44"/>
    <w:rsid w:val="00EA0D33"/>
    <w:rsid w:val="00EA0DB4"/>
    <w:rsid w:val="00EA1361"/>
    <w:rsid w:val="00EA1440"/>
    <w:rsid w:val="00EA16FF"/>
    <w:rsid w:val="00EA176F"/>
    <w:rsid w:val="00EA17C1"/>
    <w:rsid w:val="00EA19D0"/>
    <w:rsid w:val="00EA1C11"/>
    <w:rsid w:val="00EA1C32"/>
    <w:rsid w:val="00EA1C3E"/>
    <w:rsid w:val="00EA1F6C"/>
    <w:rsid w:val="00EA1F86"/>
    <w:rsid w:val="00EA212E"/>
    <w:rsid w:val="00EA21B5"/>
    <w:rsid w:val="00EA2273"/>
    <w:rsid w:val="00EA2354"/>
    <w:rsid w:val="00EA2402"/>
    <w:rsid w:val="00EA2536"/>
    <w:rsid w:val="00EA2638"/>
    <w:rsid w:val="00EA2839"/>
    <w:rsid w:val="00EA2919"/>
    <w:rsid w:val="00EA2B04"/>
    <w:rsid w:val="00EA2CEA"/>
    <w:rsid w:val="00EA2DB4"/>
    <w:rsid w:val="00EA2DC2"/>
    <w:rsid w:val="00EA2E3F"/>
    <w:rsid w:val="00EA31BF"/>
    <w:rsid w:val="00EA33F1"/>
    <w:rsid w:val="00EA3636"/>
    <w:rsid w:val="00EA398F"/>
    <w:rsid w:val="00EA3AB3"/>
    <w:rsid w:val="00EA3AFA"/>
    <w:rsid w:val="00EA3C2E"/>
    <w:rsid w:val="00EA3CCA"/>
    <w:rsid w:val="00EA3CD8"/>
    <w:rsid w:val="00EA4071"/>
    <w:rsid w:val="00EA430C"/>
    <w:rsid w:val="00EA436B"/>
    <w:rsid w:val="00EA43E9"/>
    <w:rsid w:val="00EA472D"/>
    <w:rsid w:val="00EA47F1"/>
    <w:rsid w:val="00EA4836"/>
    <w:rsid w:val="00EA4A2D"/>
    <w:rsid w:val="00EA4AB7"/>
    <w:rsid w:val="00EA4BD1"/>
    <w:rsid w:val="00EA4C83"/>
    <w:rsid w:val="00EA50F1"/>
    <w:rsid w:val="00EA5335"/>
    <w:rsid w:val="00EA53CB"/>
    <w:rsid w:val="00EA5AC5"/>
    <w:rsid w:val="00EA5B19"/>
    <w:rsid w:val="00EA5D21"/>
    <w:rsid w:val="00EA646C"/>
    <w:rsid w:val="00EA6510"/>
    <w:rsid w:val="00EA6A12"/>
    <w:rsid w:val="00EA6CA0"/>
    <w:rsid w:val="00EA731F"/>
    <w:rsid w:val="00EA74F0"/>
    <w:rsid w:val="00EA75E8"/>
    <w:rsid w:val="00EA77FE"/>
    <w:rsid w:val="00EA7828"/>
    <w:rsid w:val="00EA7B72"/>
    <w:rsid w:val="00EA7DCC"/>
    <w:rsid w:val="00EA7F6E"/>
    <w:rsid w:val="00EB0158"/>
    <w:rsid w:val="00EB019E"/>
    <w:rsid w:val="00EB097C"/>
    <w:rsid w:val="00EB0C2D"/>
    <w:rsid w:val="00EB0D3E"/>
    <w:rsid w:val="00EB0DF8"/>
    <w:rsid w:val="00EB0E31"/>
    <w:rsid w:val="00EB1075"/>
    <w:rsid w:val="00EB10F1"/>
    <w:rsid w:val="00EB131B"/>
    <w:rsid w:val="00EB17B4"/>
    <w:rsid w:val="00EB18D6"/>
    <w:rsid w:val="00EB1A16"/>
    <w:rsid w:val="00EB1E5F"/>
    <w:rsid w:val="00EB1EB3"/>
    <w:rsid w:val="00EB28F8"/>
    <w:rsid w:val="00EB2A37"/>
    <w:rsid w:val="00EB2CAE"/>
    <w:rsid w:val="00EB2DD4"/>
    <w:rsid w:val="00EB2FCC"/>
    <w:rsid w:val="00EB2FE5"/>
    <w:rsid w:val="00EB3021"/>
    <w:rsid w:val="00EB3388"/>
    <w:rsid w:val="00EB3515"/>
    <w:rsid w:val="00EB35C8"/>
    <w:rsid w:val="00EB3A04"/>
    <w:rsid w:val="00EB3B5C"/>
    <w:rsid w:val="00EB3FB2"/>
    <w:rsid w:val="00EB3FFC"/>
    <w:rsid w:val="00EB412B"/>
    <w:rsid w:val="00EB4291"/>
    <w:rsid w:val="00EB4761"/>
    <w:rsid w:val="00EB4D77"/>
    <w:rsid w:val="00EB4F84"/>
    <w:rsid w:val="00EB5340"/>
    <w:rsid w:val="00EB54A5"/>
    <w:rsid w:val="00EB57CB"/>
    <w:rsid w:val="00EB5A24"/>
    <w:rsid w:val="00EB5D5F"/>
    <w:rsid w:val="00EB5EE2"/>
    <w:rsid w:val="00EB5F10"/>
    <w:rsid w:val="00EB6076"/>
    <w:rsid w:val="00EB60A1"/>
    <w:rsid w:val="00EB68F5"/>
    <w:rsid w:val="00EB6950"/>
    <w:rsid w:val="00EB695A"/>
    <w:rsid w:val="00EB6A66"/>
    <w:rsid w:val="00EB6CBD"/>
    <w:rsid w:val="00EB6DD9"/>
    <w:rsid w:val="00EB6F2B"/>
    <w:rsid w:val="00EB6F86"/>
    <w:rsid w:val="00EB71D0"/>
    <w:rsid w:val="00EB7346"/>
    <w:rsid w:val="00EB7484"/>
    <w:rsid w:val="00EB756C"/>
    <w:rsid w:val="00EB7608"/>
    <w:rsid w:val="00EB7A46"/>
    <w:rsid w:val="00EB7C00"/>
    <w:rsid w:val="00EB7C72"/>
    <w:rsid w:val="00EB7E8D"/>
    <w:rsid w:val="00EB7F3F"/>
    <w:rsid w:val="00EB7FF8"/>
    <w:rsid w:val="00EC001B"/>
    <w:rsid w:val="00EC0DF6"/>
    <w:rsid w:val="00EC1431"/>
    <w:rsid w:val="00EC1775"/>
    <w:rsid w:val="00EC17A4"/>
    <w:rsid w:val="00EC1EEA"/>
    <w:rsid w:val="00EC20A5"/>
    <w:rsid w:val="00EC22A9"/>
    <w:rsid w:val="00EC2534"/>
    <w:rsid w:val="00EC2805"/>
    <w:rsid w:val="00EC28BE"/>
    <w:rsid w:val="00EC29A4"/>
    <w:rsid w:val="00EC29A7"/>
    <w:rsid w:val="00EC2B08"/>
    <w:rsid w:val="00EC2B72"/>
    <w:rsid w:val="00EC2E8E"/>
    <w:rsid w:val="00EC303D"/>
    <w:rsid w:val="00EC363E"/>
    <w:rsid w:val="00EC3713"/>
    <w:rsid w:val="00EC3746"/>
    <w:rsid w:val="00EC3799"/>
    <w:rsid w:val="00EC3B20"/>
    <w:rsid w:val="00EC3B70"/>
    <w:rsid w:val="00EC3BC3"/>
    <w:rsid w:val="00EC3CA8"/>
    <w:rsid w:val="00EC3F4F"/>
    <w:rsid w:val="00EC4445"/>
    <w:rsid w:val="00EC4862"/>
    <w:rsid w:val="00EC4972"/>
    <w:rsid w:val="00EC49B9"/>
    <w:rsid w:val="00EC4A15"/>
    <w:rsid w:val="00EC4A48"/>
    <w:rsid w:val="00EC4E3C"/>
    <w:rsid w:val="00EC5A33"/>
    <w:rsid w:val="00EC5D8C"/>
    <w:rsid w:val="00EC5E41"/>
    <w:rsid w:val="00EC617B"/>
    <w:rsid w:val="00EC621F"/>
    <w:rsid w:val="00EC67FF"/>
    <w:rsid w:val="00EC68BD"/>
    <w:rsid w:val="00EC6A03"/>
    <w:rsid w:val="00EC6B28"/>
    <w:rsid w:val="00EC7116"/>
    <w:rsid w:val="00EC72DE"/>
    <w:rsid w:val="00EC7720"/>
    <w:rsid w:val="00EC7B83"/>
    <w:rsid w:val="00EC7C11"/>
    <w:rsid w:val="00EC7CCE"/>
    <w:rsid w:val="00EC7FEB"/>
    <w:rsid w:val="00ED0051"/>
    <w:rsid w:val="00ED05D6"/>
    <w:rsid w:val="00ED0D2E"/>
    <w:rsid w:val="00ED0FC2"/>
    <w:rsid w:val="00ED1914"/>
    <w:rsid w:val="00ED1DFE"/>
    <w:rsid w:val="00ED210D"/>
    <w:rsid w:val="00ED238D"/>
    <w:rsid w:val="00ED2666"/>
    <w:rsid w:val="00ED2673"/>
    <w:rsid w:val="00ED2A07"/>
    <w:rsid w:val="00ED2AAF"/>
    <w:rsid w:val="00ED2D05"/>
    <w:rsid w:val="00ED300B"/>
    <w:rsid w:val="00ED313A"/>
    <w:rsid w:val="00ED329A"/>
    <w:rsid w:val="00ED3401"/>
    <w:rsid w:val="00ED369A"/>
    <w:rsid w:val="00ED3990"/>
    <w:rsid w:val="00ED3F5A"/>
    <w:rsid w:val="00ED409F"/>
    <w:rsid w:val="00ED4138"/>
    <w:rsid w:val="00ED43E8"/>
    <w:rsid w:val="00ED46D1"/>
    <w:rsid w:val="00ED49A8"/>
    <w:rsid w:val="00ED50F7"/>
    <w:rsid w:val="00ED5393"/>
    <w:rsid w:val="00ED53D9"/>
    <w:rsid w:val="00ED5508"/>
    <w:rsid w:val="00ED565D"/>
    <w:rsid w:val="00ED59BB"/>
    <w:rsid w:val="00ED5A14"/>
    <w:rsid w:val="00ED5BF7"/>
    <w:rsid w:val="00ED61C7"/>
    <w:rsid w:val="00ED6581"/>
    <w:rsid w:val="00ED6612"/>
    <w:rsid w:val="00ED6645"/>
    <w:rsid w:val="00ED67A7"/>
    <w:rsid w:val="00ED696A"/>
    <w:rsid w:val="00ED6AC6"/>
    <w:rsid w:val="00ED6ACD"/>
    <w:rsid w:val="00ED70CD"/>
    <w:rsid w:val="00ED71FB"/>
    <w:rsid w:val="00ED72DB"/>
    <w:rsid w:val="00ED72FC"/>
    <w:rsid w:val="00ED7B19"/>
    <w:rsid w:val="00ED7B30"/>
    <w:rsid w:val="00ED7BC0"/>
    <w:rsid w:val="00ED7D10"/>
    <w:rsid w:val="00EE00D8"/>
    <w:rsid w:val="00EE0145"/>
    <w:rsid w:val="00EE018D"/>
    <w:rsid w:val="00EE0242"/>
    <w:rsid w:val="00EE0E2D"/>
    <w:rsid w:val="00EE1066"/>
    <w:rsid w:val="00EE1368"/>
    <w:rsid w:val="00EE1371"/>
    <w:rsid w:val="00EE1562"/>
    <w:rsid w:val="00EE16C6"/>
    <w:rsid w:val="00EE1853"/>
    <w:rsid w:val="00EE1C23"/>
    <w:rsid w:val="00EE1CF0"/>
    <w:rsid w:val="00EE20ED"/>
    <w:rsid w:val="00EE216F"/>
    <w:rsid w:val="00EE23C1"/>
    <w:rsid w:val="00EE23D3"/>
    <w:rsid w:val="00EE259E"/>
    <w:rsid w:val="00EE2727"/>
    <w:rsid w:val="00EE275B"/>
    <w:rsid w:val="00EE277F"/>
    <w:rsid w:val="00EE27C5"/>
    <w:rsid w:val="00EE2867"/>
    <w:rsid w:val="00EE2BEB"/>
    <w:rsid w:val="00EE2C4E"/>
    <w:rsid w:val="00EE2F1D"/>
    <w:rsid w:val="00EE2FD9"/>
    <w:rsid w:val="00EE351D"/>
    <w:rsid w:val="00EE3939"/>
    <w:rsid w:val="00EE3ADE"/>
    <w:rsid w:val="00EE3C54"/>
    <w:rsid w:val="00EE3C95"/>
    <w:rsid w:val="00EE3D7F"/>
    <w:rsid w:val="00EE43AB"/>
    <w:rsid w:val="00EE44A2"/>
    <w:rsid w:val="00EE495D"/>
    <w:rsid w:val="00EE4A0E"/>
    <w:rsid w:val="00EE4AE8"/>
    <w:rsid w:val="00EE4B1D"/>
    <w:rsid w:val="00EE4B81"/>
    <w:rsid w:val="00EE4BCB"/>
    <w:rsid w:val="00EE4D75"/>
    <w:rsid w:val="00EE5273"/>
    <w:rsid w:val="00EE5400"/>
    <w:rsid w:val="00EE5540"/>
    <w:rsid w:val="00EE561D"/>
    <w:rsid w:val="00EE57C6"/>
    <w:rsid w:val="00EE57F7"/>
    <w:rsid w:val="00EE5E05"/>
    <w:rsid w:val="00EE5EDE"/>
    <w:rsid w:val="00EE6321"/>
    <w:rsid w:val="00EE6393"/>
    <w:rsid w:val="00EE665C"/>
    <w:rsid w:val="00EE66F3"/>
    <w:rsid w:val="00EE6870"/>
    <w:rsid w:val="00EE6CEF"/>
    <w:rsid w:val="00EE6DD3"/>
    <w:rsid w:val="00EE6EB6"/>
    <w:rsid w:val="00EE70B7"/>
    <w:rsid w:val="00EE7296"/>
    <w:rsid w:val="00EE76EB"/>
    <w:rsid w:val="00EE7833"/>
    <w:rsid w:val="00EE7860"/>
    <w:rsid w:val="00EE7973"/>
    <w:rsid w:val="00EE7ECA"/>
    <w:rsid w:val="00EF01F0"/>
    <w:rsid w:val="00EF0295"/>
    <w:rsid w:val="00EF03AA"/>
    <w:rsid w:val="00EF0816"/>
    <w:rsid w:val="00EF08BA"/>
    <w:rsid w:val="00EF10BE"/>
    <w:rsid w:val="00EF14E5"/>
    <w:rsid w:val="00EF1533"/>
    <w:rsid w:val="00EF1733"/>
    <w:rsid w:val="00EF18E1"/>
    <w:rsid w:val="00EF1B70"/>
    <w:rsid w:val="00EF1F38"/>
    <w:rsid w:val="00EF212E"/>
    <w:rsid w:val="00EF265B"/>
    <w:rsid w:val="00EF27ED"/>
    <w:rsid w:val="00EF28AB"/>
    <w:rsid w:val="00EF2C64"/>
    <w:rsid w:val="00EF2EB2"/>
    <w:rsid w:val="00EF2FA3"/>
    <w:rsid w:val="00EF2FF7"/>
    <w:rsid w:val="00EF36D5"/>
    <w:rsid w:val="00EF37BB"/>
    <w:rsid w:val="00EF391D"/>
    <w:rsid w:val="00EF39A9"/>
    <w:rsid w:val="00EF3BAA"/>
    <w:rsid w:val="00EF3D22"/>
    <w:rsid w:val="00EF3EF5"/>
    <w:rsid w:val="00EF4424"/>
    <w:rsid w:val="00EF4738"/>
    <w:rsid w:val="00EF47C0"/>
    <w:rsid w:val="00EF4C11"/>
    <w:rsid w:val="00EF4C28"/>
    <w:rsid w:val="00EF4DA8"/>
    <w:rsid w:val="00EF4DBA"/>
    <w:rsid w:val="00EF5598"/>
    <w:rsid w:val="00EF55CA"/>
    <w:rsid w:val="00EF5630"/>
    <w:rsid w:val="00EF5767"/>
    <w:rsid w:val="00EF5A3E"/>
    <w:rsid w:val="00EF5C08"/>
    <w:rsid w:val="00EF5D81"/>
    <w:rsid w:val="00EF61EF"/>
    <w:rsid w:val="00EF641F"/>
    <w:rsid w:val="00EF65A3"/>
    <w:rsid w:val="00EF6831"/>
    <w:rsid w:val="00EF6967"/>
    <w:rsid w:val="00EF6ADF"/>
    <w:rsid w:val="00EF6B7F"/>
    <w:rsid w:val="00EF6DE3"/>
    <w:rsid w:val="00EF6DE4"/>
    <w:rsid w:val="00EF6E61"/>
    <w:rsid w:val="00EF72D5"/>
    <w:rsid w:val="00EF7502"/>
    <w:rsid w:val="00EF7836"/>
    <w:rsid w:val="00EF791B"/>
    <w:rsid w:val="00EF7BF7"/>
    <w:rsid w:val="00EF7C73"/>
    <w:rsid w:val="00F0023F"/>
    <w:rsid w:val="00F0041C"/>
    <w:rsid w:val="00F00761"/>
    <w:rsid w:val="00F009C3"/>
    <w:rsid w:val="00F00AFB"/>
    <w:rsid w:val="00F00B18"/>
    <w:rsid w:val="00F00BF3"/>
    <w:rsid w:val="00F00E00"/>
    <w:rsid w:val="00F00E83"/>
    <w:rsid w:val="00F013A3"/>
    <w:rsid w:val="00F013A8"/>
    <w:rsid w:val="00F0160F"/>
    <w:rsid w:val="00F01898"/>
    <w:rsid w:val="00F01A9A"/>
    <w:rsid w:val="00F01EAE"/>
    <w:rsid w:val="00F01EEC"/>
    <w:rsid w:val="00F01F6C"/>
    <w:rsid w:val="00F02228"/>
    <w:rsid w:val="00F02317"/>
    <w:rsid w:val="00F02335"/>
    <w:rsid w:val="00F02709"/>
    <w:rsid w:val="00F027E2"/>
    <w:rsid w:val="00F02A09"/>
    <w:rsid w:val="00F02A31"/>
    <w:rsid w:val="00F02D09"/>
    <w:rsid w:val="00F02EAA"/>
    <w:rsid w:val="00F03020"/>
    <w:rsid w:val="00F032FE"/>
    <w:rsid w:val="00F039EC"/>
    <w:rsid w:val="00F03A6B"/>
    <w:rsid w:val="00F03C23"/>
    <w:rsid w:val="00F03D4B"/>
    <w:rsid w:val="00F041F4"/>
    <w:rsid w:val="00F04335"/>
    <w:rsid w:val="00F04550"/>
    <w:rsid w:val="00F04557"/>
    <w:rsid w:val="00F0487E"/>
    <w:rsid w:val="00F049A7"/>
    <w:rsid w:val="00F04CCB"/>
    <w:rsid w:val="00F04D95"/>
    <w:rsid w:val="00F0505E"/>
    <w:rsid w:val="00F05547"/>
    <w:rsid w:val="00F05592"/>
    <w:rsid w:val="00F055C3"/>
    <w:rsid w:val="00F056B5"/>
    <w:rsid w:val="00F056D2"/>
    <w:rsid w:val="00F058D3"/>
    <w:rsid w:val="00F05B77"/>
    <w:rsid w:val="00F05B95"/>
    <w:rsid w:val="00F05C17"/>
    <w:rsid w:val="00F062A6"/>
    <w:rsid w:val="00F064AF"/>
    <w:rsid w:val="00F069B6"/>
    <w:rsid w:val="00F06A19"/>
    <w:rsid w:val="00F06AC3"/>
    <w:rsid w:val="00F06AE7"/>
    <w:rsid w:val="00F06B51"/>
    <w:rsid w:val="00F06BC9"/>
    <w:rsid w:val="00F06F33"/>
    <w:rsid w:val="00F06FC7"/>
    <w:rsid w:val="00F06FDE"/>
    <w:rsid w:val="00F075D2"/>
    <w:rsid w:val="00F078C7"/>
    <w:rsid w:val="00F0793E"/>
    <w:rsid w:val="00F07CD2"/>
    <w:rsid w:val="00F100C7"/>
    <w:rsid w:val="00F10102"/>
    <w:rsid w:val="00F1037F"/>
    <w:rsid w:val="00F10554"/>
    <w:rsid w:val="00F1071D"/>
    <w:rsid w:val="00F107B3"/>
    <w:rsid w:val="00F107E2"/>
    <w:rsid w:val="00F108C1"/>
    <w:rsid w:val="00F10C5E"/>
    <w:rsid w:val="00F11045"/>
    <w:rsid w:val="00F1106E"/>
    <w:rsid w:val="00F1155F"/>
    <w:rsid w:val="00F116CF"/>
    <w:rsid w:val="00F1180A"/>
    <w:rsid w:val="00F11B38"/>
    <w:rsid w:val="00F11BF6"/>
    <w:rsid w:val="00F11C4B"/>
    <w:rsid w:val="00F11CE1"/>
    <w:rsid w:val="00F11EC5"/>
    <w:rsid w:val="00F12404"/>
    <w:rsid w:val="00F1249D"/>
    <w:rsid w:val="00F12FBD"/>
    <w:rsid w:val="00F13009"/>
    <w:rsid w:val="00F13438"/>
    <w:rsid w:val="00F134AD"/>
    <w:rsid w:val="00F134E3"/>
    <w:rsid w:val="00F135A2"/>
    <w:rsid w:val="00F138E2"/>
    <w:rsid w:val="00F1390B"/>
    <w:rsid w:val="00F13A43"/>
    <w:rsid w:val="00F13ACD"/>
    <w:rsid w:val="00F13BFE"/>
    <w:rsid w:val="00F13D02"/>
    <w:rsid w:val="00F13DDA"/>
    <w:rsid w:val="00F13ED4"/>
    <w:rsid w:val="00F146F8"/>
    <w:rsid w:val="00F1484C"/>
    <w:rsid w:val="00F1498D"/>
    <w:rsid w:val="00F149A8"/>
    <w:rsid w:val="00F14AE0"/>
    <w:rsid w:val="00F1503D"/>
    <w:rsid w:val="00F152CD"/>
    <w:rsid w:val="00F15520"/>
    <w:rsid w:val="00F15C4D"/>
    <w:rsid w:val="00F15CEE"/>
    <w:rsid w:val="00F15E2C"/>
    <w:rsid w:val="00F15F2D"/>
    <w:rsid w:val="00F16D3D"/>
    <w:rsid w:val="00F16DE8"/>
    <w:rsid w:val="00F16E2A"/>
    <w:rsid w:val="00F171C1"/>
    <w:rsid w:val="00F171D9"/>
    <w:rsid w:val="00F1760A"/>
    <w:rsid w:val="00F17AF4"/>
    <w:rsid w:val="00F17C4C"/>
    <w:rsid w:val="00F200AE"/>
    <w:rsid w:val="00F20112"/>
    <w:rsid w:val="00F201A2"/>
    <w:rsid w:val="00F20260"/>
    <w:rsid w:val="00F202AD"/>
    <w:rsid w:val="00F20301"/>
    <w:rsid w:val="00F20364"/>
    <w:rsid w:val="00F209F1"/>
    <w:rsid w:val="00F20A4B"/>
    <w:rsid w:val="00F20AA6"/>
    <w:rsid w:val="00F20D18"/>
    <w:rsid w:val="00F20E6F"/>
    <w:rsid w:val="00F20F45"/>
    <w:rsid w:val="00F2107B"/>
    <w:rsid w:val="00F2160B"/>
    <w:rsid w:val="00F219E7"/>
    <w:rsid w:val="00F21AD0"/>
    <w:rsid w:val="00F21C72"/>
    <w:rsid w:val="00F21D56"/>
    <w:rsid w:val="00F21D92"/>
    <w:rsid w:val="00F21ED3"/>
    <w:rsid w:val="00F22006"/>
    <w:rsid w:val="00F2230B"/>
    <w:rsid w:val="00F22711"/>
    <w:rsid w:val="00F2276A"/>
    <w:rsid w:val="00F22C31"/>
    <w:rsid w:val="00F22D30"/>
    <w:rsid w:val="00F22EA6"/>
    <w:rsid w:val="00F22FC5"/>
    <w:rsid w:val="00F234C9"/>
    <w:rsid w:val="00F23509"/>
    <w:rsid w:val="00F23592"/>
    <w:rsid w:val="00F23850"/>
    <w:rsid w:val="00F23AD0"/>
    <w:rsid w:val="00F23C43"/>
    <w:rsid w:val="00F23DAD"/>
    <w:rsid w:val="00F23E6B"/>
    <w:rsid w:val="00F23EC5"/>
    <w:rsid w:val="00F24052"/>
    <w:rsid w:val="00F2413F"/>
    <w:rsid w:val="00F243BF"/>
    <w:rsid w:val="00F243FB"/>
    <w:rsid w:val="00F24E32"/>
    <w:rsid w:val="00F25179"/>
    <w:rsid w:val="00F25602"/>
    <w:rsid w:val="00F257A9"/>
    <w:rsid w:val="00F25A3E"/>
    <w:rsid w:val="00F25CF3"/>
    <w:rsid w:val="00F25D58"/>
    <w:rsid w:val="00F25FB7"/>
    <w:rsid w:val="00F2615D"/>
    <w:rsid w:val="00F2629F"/>
    <w:rsid w:val="00F265BC"/>
    <w:rsid w:val="00F2661D"/>
    <w:rsid w:val="00F2663A"/>
    <w:rsid w:val="00F266B4"/>
    <w:rsid w:val="00F266DA"/>
    <w:rsid w:val="00F26796"/>
    <w:rsid w:val="00F2687A"/>
    <w:rsid w:val="00F26BC9"/>
    <w:rsid w:val="00F26D4B"/>
    <w:rsid w:val="00F26EC2"/>
    <w:rsid w:val="00F270CE"/>
    <w:rsid w:val="00F270DE"/>
    <w:rsid w:val="00F2718D"/>
    <w:rsid w:val="00F27581"/>
    <w:rsid w:val="00F27750"/>
    <w:rsid w:val="00F27820"/>
    <w:rsid w:val="00F279FD"/>
    <w:rsid w:val="00F27B74"/>
    <w:rsid w:val="00F27C02"/>
    <w:rsid w:val="00F27C96"/>
    <w:rsid w:val="00F3028E"/>
    <w:rsid w:val="00F3059B"/>
    <w:rsid w:val="00F30747"/>
    <w:rsid w:val="00F3087C"/>
    <w:rsid w:val="00F309FC"/>
    <w:rsid w:val="00F30A7E"/>
    <w:rsid w:val="00F30C83"/>
    <w:rsid w:val="00F3135A"/>
    <w:rsid w:val="00F31750"/>
    <w:rsid w:val="00F318FA"/>
    <w:rsid w:val="00F31DC1"/>
    <w:rsid w:val="00F31FF5"/>
    <w:rsid w:val="00F32044"/>
    <w:rsid w:val="00F32094"/>
    <w:rsid w:val="00F3213C"/>
    <w:rsid w:val="00F321C6"/>
    <w:rsid w:val="00F324D8"/>
    <w:rsid w:val="00F329E7"/>
    <w:rsid w:val="00F32A81"/>
    <w:rsid w:val="00F32B8E"/>
    <w:rsid w:val="00F32BEB"/>
    <w:rsid w:val="00F33154"/>
    <w:rsid w:val="00F3338C"/>
    <w:rsid w:val="00F33404"/>
    <w:rsid w:val="00F337E2"/>
    <w:rsid w:val="00F33B10"/>
    <w:rsid w:val="00F33C5B"/>
    <w:rsid w:val="00F33CD4"/>
    <w:rsid w:val="00F33D64"/>
    <w:rsid w:val="00F33EA7"/>
    <w:rsid w:val="00F3406B"/>
    <w:rsid w:val="00F341AD"/>
    <w:rsid w:val="00F348BA"/>
    <w:rsid w:val="00F34B55"/>
    <w:rsid w:val="00F34EF6"/>
    <w:rsid w:val="00F3508F"/>
    <w:rsid w:val="00F350AC"/>
    <w:rsid w:val="00F350D0"/>
    <w:rsid w:val="00F351C5"/>
    <w:rsid w:val="00F352BD"/>
    <w:rsid w:val="00F355F3"/>
    <w:rsid w:val="00F3591C"/>
    <w:rsid w:val="00F35E81"/>
    <w:rsid w:val="00F35FF5"/>
    <w:rsid w:val="00F36602"/>
    <w:rsid w:val="00F36655"/>
    <w:rsid w:val="00F36797"/>
    <w:rsid w:val="00F36827"/>
    <w:rsid w:val="00F369F5"/>
    <w:rsid w:val="00F36C38"/>
    <w:rsid w:val="00F36E2F"/>
    <w:rsid w:val="00F36F7C"/>
    <w:rsid w:val="00F3792C"/>
    <w:rsid w:val="00F37B08"/>
    <w:rsid w:val="00F37BBD"/>
    <w:rsid w:val="00F37EC7"/>
    <w:rsid w:val="00F37FE7"/>
    <w:rsid w:val="00F40131"/>
    <w:rsid w:val="00F40153"/>
    <w:rsid w:val="00F40311"/>
    <w:rsid w:val="00F40340"/>
    <w:rsid w:val="00F405EE"/>
    <w:rsid w:val="00F40781"/>
    <w:rsid w:val="00F40B5C"/>
    <w:rsid w:val="00F40D57"/>
    <w:rsid w:val="00F41188"/>
    <w:rsid w:val="00F41745"/>
    <w:rsid w:val="00F41C02"/>
    <w:rsid w:val="00F42265"/>
    <w:rsid w:val="00F422B7"/>
    <w:rsid w:val="00F42300"/>
    <w:rsid w:val="00F425D4"/>
    <w:rsid w:val="00F426F8"/>
    <w:rsid w:val="00F42764"/>
    <w:rsid w:val="00F427AF"/>
    <w:rsid w:val="00F428A9"/>
    <w:rsid w:val="00F428FB"/>
    <w:rsid w:val="00F42BE2"/>
    <w:rsid w:val="00F42C2E"/>
    <w:rsid w:val="00F42D4C"/>
    <w:rsid w:val="00F4341B"/>
    <w:rsid w:val="00F43836"/>
    <w:rsid w:val="00F439CB"/>
    <w:rsid w:val="00F43B3F"/>
    <w:rsid w:val="00F43CB4"/>
    <w:rsid w:val="00F43E3A"/>
    <w:rsid w:val="00F43EFB"/>
    <w:rsid w:val="00F43F16"/>
    <w:rsid w:val="00F441D2"/>
    <w:rsid w:val="00F441E8"/>
    <w:rsid w:val="00F4462B"/>
    <w:rsid w:val="00F4477F"/>
    <w:rsid w:val="00F449B2"/>
    <w:rsid w:val="00F44F20"/>
    <w:rsid w:val="00F4504D"/>
    <w:rsid w:val="00F4521B"/>
    <w:rsid w:val="00F4532D"/>
    <w:rsid w:val="00F45392"/>
    <w:rsid w:val="00F4555D"/>
    <w:rsid w:val="00F457B1"/>
    <w:rsid w:val="00F45BC1"/>
    <w:rsid w:val="00F4614D"/>
    <w:rsid w:val="00F46803"/>
    <w:rsid w:val="00F4681A"/>
    <w:rsid w:val="00F46934"/>
    <w:rsid w:val="00F46A10"/>
    <w:rsid w:val="00F46F09"/>
    <w:rsid w:val="00F46FC1"/>
    <w:rsid w:val="00F47123"/>
    <w:rsid w:val="00F47130"/>
    <w:rsid w:val="00F471BE"/>
    <w:rsid w:val="00F475C9"/>
    <w:rsid w:val="00F4769C"/>
    <w:rsid w:val="00F47776"/>
    <w:rsid w:val="00F47786"/>
    <w:rsid w:val="00F477A0"/>
    <w:rsid w:val="00F478FC"/>
    <w:rsid w:val="00F479F4"/>
    <w:rsid w:val="00F47B0B"/>
    <w:rsid w:val="00F47DF0"/>
    <w:rsid w:val="00F47E3A"/>
    <w:rsid w:val="00F501A1"/>
    <w:rsid w:val="00F5032F"/>
    <w:rsid w:val="00F503FE"/>
    <w:rsid w:val="00F504E4"/>
    <w:rsid w:val="00F50829"/>
    <w:rsid w:val="00F50B61"/>
    <w:rsid w:val="00F51098"/>
    <w:rsid w:val="00F51186"/>
    <w:rsid w:val="00F51218"/>
    <w:rsid w:val="00F5121B"/>
    <w:rsid w:val="00F5156F"/>
    <w:rsid w:val="00F518C4"/>
    <w:rsid w:val="00F51940"/>
    <w:rsid w:val="00F51D23"/>
    <w:rsid w:val="00F51DEC"/>
    <w:rsid w:val="00F51FCD"/>
    <w:rsid w:val="00F52131"/>
    <w:rsid w:val="00F52361"/>
    <w:rsid w:val="00F5271F"/>
    <w:rsid w:val="00F527A1"/>
    <w:rsid w:val="00F528C4"/>
    <w:rsid w:val="00F52B9A"/>
    <w:rsid w:val="00F52DEA"/>
    <w:rsid w:val="00F52F02"/>
    <w:rsid w:val="00F533FF"/>
    <w:rsid w:val="00F5347B"/>
    <w:rsid w:val="00F5379A"/>
    <w:rsid w:val="00F537F1"/>
    <w:rsid w:val="00F53AB3"/>
    <w:rsid w:val="00F53D64"/>
    <w:rsid w:val="00F53F5B"/>
    <w:rsid w:val="00F54245"/>
    <w:rsid w:val="00F54485"/>
    <w:rsid w:val="00F5459D"/>
    <w:rsid w:val="00F54603"/>
    <w:rsid w:val="00F5466C"/>
    <w:rsid w:val="00F54BA4"/>
    <w:rsid w:val="00F54F7B"/>
    <w:rsid w:val="00F55194"/>
    <w:rsid w:val="00F55283"/>
    <w:rsid w:val="00F553DC"/>
    <w:rsid w:val="00F554A1"/>
    <w:rsid w:val="00F55BE3"/>
    <w:rsid w:val="00F55ED8"/>
    <w:rsid w:val="00F55F64"/>
    <w:rsid w:val="00F560D5"/>
    <w:rsid w:val="00F56272"/>
    <w:rsid w:val="00F5637D"/>
    <w:rsid w:val="00F56528"/>
    <w:rsid w:val="00F5663B"/>
    <w:rsid w:val="00F569A8"/>
    <w:rsid w:val="00F56C39"/>
    <w:rsid w:val="00F56EF0"/>
    <w:rsid w:val="00F572D2"/>
    <w:rsid w:val="00F57394"/>
    <w:rsid w:val="00F576FB"/>
    <w:rsid w:val="00F5787C"/>
    <w:rsid w:val="00F60699"/>
    <w:rsid w:val="00F60C7E"/>
    <w:rsid w:val="00F60D84"/>
    <w:rsid w:val="00F60E17"/>
    <w:rsid w:val="00F60EE1"/>
    <w:rsid w:val="00F60EFB"/>
    <w:rsid w:val="00F6113D"/>
    <w:rsid w:val="00F612A0"/>
    <w:rsid w:val="00F61338"/>
    <w:rsid w:val="00F6134B"/>
    <w:rsid w:val="00F6147C"/>
    <w:rsid w:val="00F614C2"/>
    <w:rsid w:val="00F61661"/>
    <w:rsid w:val="00F61959"/>
    <w:rsid w:val="00F6197E"/>
    <w:rsid w:val="00F61A3E"/>
    <w:rsid w:val="00F61CFC"/>
    <w:rsid w:val="00F6245D"/>
    <w:rsid w:val="00F62523"/>
    <w:rsid w:val="00F628CB"/>
    <w:rsid w:val="00F62E11"/>
    <w:rsid w:val="00F62E4A"/>
    <w:rsid w:val="00F633A7"/>
    <w:rsid w:val="00F63495"/>
    <w:rsid w:val="00F63BF3"/>
    <w:rsid w:val="00F63CAF"/>
    <w:rsid w:val="00F63DA5"/>
    <w:rsid w:val="00F63DF8"/>
    <w:rsid w:val="00F63F00"/>
    <w:rsid w:val="00F63F7E"/>
    <w:rsid w:val="00F63FED"/>
    <w:rsid w:val="00F6409F"/>
    <w:rsid w:val="00F6415E"/>
    <w:rsid w:val="00F645B3"/>
    <w:rsid w:val="00F645F0"/>
    <w:rsid w:val="00F646E2"/>
    <w:rsid w:val="00F647CF"/>
    <w:rsid w:val="00F64A04"/>
    <w:rsid w:val="00F64AE6"/>
    <w:rsid w:val="00F64D0D"/>
    <w:rsid w:val="00F651DF"/>
    <w:rsid w:val="00F652F7"/>
    <w:rsid w:val="00F65362"/>
    <w:rsid w:val="00F658A1"/>
    <w:rsid w:val="00F6616B"/>
    <w:rsid w:val="00F661F1"/>
    <w:rsid w:val="00F662BF"/>
    <w:rsid w:val="00F6639F"/>
    <w:rsid w:val="00F66614"/>
    <w:rsid w:val="00F668C0"/>
    <w:rsid w:val="00F66A12"/>
    <w:rsid w:val="00F66AA5"/>
    <w:rsid w:val="00F66B2A"/>
    <w:rsid w:val="00F66CE6"/>
    <w:rsid w:val="00F66E1F"/>
    <w:rsid w:val="00F66F7A"/>
    <w:rsid w:val="00F66F92"/>
    <w:rsid w:val="00F67028"/>
    <w:rsid w:val="00F67374"/>
    <w:rsid w:val="00F67533"/>
    <w:rsid w:val="00F6777E"/>
    <w:rsid w:val="00F67EA1"/>
    <w:rsid w:val="00F702F1"/>
    <w:rsid w:val="00F70481"/>
    <w:rsid w:val="00F704C8"/>
    <w:rsid w:val="00F7052A"/>
    <w:rsid w:val="00F70584"/>
    <w:rsid w:val="00F705FD"/>
    <w:rsid w:val="00F70A24"/>
    <w:rsid w:val="00F70F81"/>
    <w:rsid w:val="00F7102B"/>
    <w:rsid w:val="00F711F4"/>
    <w:rsid w:val="00F71266"/>
    <w:rsid w:val="00F71607"/>
    <w:rsid w:val="00F7161A"/>
    <w:rsid w:val="00F71ABA"/>
    <w:rsid w:val="00F71FC4"/>
    <w:rsid w:val="00F7217A"/>
    <w:rsid w:val="00F72376"/>
    <w:rsid w:val="00F724B7"/>
    <w:rsid w:val="00F7256C"/>
    <w:rsid w:val="00F72594"/>
    <w:rsid w:val="00F729DF"/>
    <w:rsid w:val="00F72A97"/>
    <w:rsid w:val="00F72B56"/>
    <w:rsid w:val="00F72BBE"/>
    <w:rsid w:val="00F72C5F"/>
    <w:rsid w:val="00F72E99"/>
    <w:rsid w:val="00F731C3"/>
    <w:rsid w:val="00F73237"/>
    <w:rsid w:val="00F73248"/>
    <w:rsid w:val="00F73335"/>
    <w:rsid w:val="00F73423"/>
    <w:rsid w:val="00F738B0"/>
    <w:rsid w:val="00F73971"/>
    <w:rsid w:val="00F74706"/>
    <w:rsid w:val="00F74AC6"/>
    <w:rsid w:val="00F74B35"/>
    <w:rsid w:val="00F74C70"/>
    <w:rsid w:val="00F74E7B"/>
    <w:rsid w:val="00F74F7E"/>
    <w:rsid w:val="00F75176"/>
    <w:rsid w:val="00F7518A"/>
    <w:rsid w:val="00F7535F"/>
    <w:rsid w:val="00F75EC7"/>
    <w:rsid w:val="00F75FC6"/>
    <w:rsid w:val="00F75FCF"/>
    <w:rsid w:val="00F762E1"/>
    <w:rsid w:val="00F76363"/>
    <w:rsid w:val="00F764AD"/>
    <w:rsid w:val="00F765DD"/>
    <w:rsid w:val="00F7689F"/>
    <w:rsid w:val="00F76A92"/>
    <w:rsid w:val="00F76B50"/>
    <w:rsid w:val="00F77133"/>
    <w:rsid w:val="00F772AB"/>
    <w:rsid w:val="00F774C0"/>
    <w:rsid w:val="00F7763E"/>
    <w:rsid w:val="00F77680"/>
    <w:rsid w:val="00F77686"/>
    <w:rsid w:val="00F778D9"/>
    <w:rsid w:val="00F80321"/>
    <w:rsid w:val="00F806E8"/>
    <w:rsid w:val="00F80A53"/>
    <w:rsid w:val="00F8101A"/>
    <w:rsid w:val="00F8107A"/>
    <w:rsid w:val="00F81191"/>
    <w:rsid w:val="00F81342"/>
    <w:rsid w:val="00F813B9"/>
    <w:rsid w:val="00F813F2"/>
    <w:rsid w:val="00F8145D"/>
    <w:rsid w:val="00F81740"/>
    <w:rsid w:val="00F81822"/>
    <w:rsid w:val="00F81FD4"/>
    <w:rsid w:val="00F82095"/>
    <w:rsid w:val="00F820CC"/>
    <w:rsid w:val="00F8219B"/>
    <w:rsid w:val="00F82371"/>
    <w:rsid w:val="00F8240C"/>
    <w:rsid w:val="00F82562"/>
    <w:rsid w:val="00F825A5"/>
    <w:rsid w:val="00F826A9"/>
    <w:rsid w:val="00F82B4C"/>
    <w:rsid w:val="00F82ECE"/>
    <w:rsid w:val="00F8325C"/>
    <w:rsid w:val="00F835ED"/>
    <w:rsid w:val="00F836B5"/>
    <w:rsid w:val="00F838AC"/>
    <w:rsid w:val="00F839CB"/>
    <w:rsid w:val="00F83ADC"/>
    <w:rsid w:val="00F83AFC"/>
    <w:rsid w:val="00F83D4B"/>
    <w:rsid w:val="00F83DF3"/>
    <w:rsid w:val="00F83EBE"/>
    <w:rsid w:val="00F83F4E"/>
    <w:rsid w:val="00F843D8"/>
    <w:rsid w:val="00F84484"/>
    <w:rsid w:val="00F84529"/>
    <w:rsid w:val="00F84E7B"/>
    <w:rsid w:val="00F85003"/>
    <w:rsid w:val="00F85167"/>
    <w:rsid w:val="00F8536D"/>
    <w:rsid w:val="00F85397"/>
    <w:rsid w:val="00F855AB"/>
    <w:rsid w:val="00F856F5"/>
    <w:rsid w:val="00F85934"/>
    <w:rsid w:val="00F85962"/>
    <w:rsid w:val="00F859D6"/>
    <w:rsid w:val="00F85E82"/>
    <w:rsid w:val="00F85EAA"/>
    <w:rsid w:val="00F86561"/>
    <w:rsid w:val="00F8666E"/>
    <w:rsid w:val="00F869C8"/>
    <w:rsid w:val="00F87160"/>
    <w:rsid w:val="00F8767B"/>
    <w:rsid w:val="00F87B22"/>
    <w:rsid w:val="00F87C9D"/>
    <w:rsid w:val="00F87FD8"/>
    <w:rsid w:val="00F902F7"/>
    <w:rsid w:val="00F905DC"/>
    <w:rsid w:val="00F908A7"/>
    <w:rsid w:val="00F908E9"/>
    <w:rsid w:val="00F90AE4"/>
    <w:rsid w:val="00F90B2B"/>
    <w:rsid w:val="00F90DE7"/>
    <w:rsid w:val="00F90F89"/>
    <w:rsid w:val="00F90FC1"/>
    <w:rsid w:val="00F91089"/>
    <w:rsid w:val="00F91099"/>
    <w:rsid w:val="00F91145"/>
    <w:rsid w:val="00F914F5"/>
    <w:rsid w:val="00F91782"/>
    <w:rsid w:val="00F917F3"/>
    <w:rsid w:val="00F918B3"/>
    <w:rsid w:val="00F91E32"/>
    <w:rsid w:val="00F91EE1"/>
    <w:rsid w:val="00F9203A"/>
    <w:rsid w:val="00F9218F"/>
    <w:rsid w:val="00F92352"/>
    <w:rsid w:val="00F92444"/>
    <w:rsid w:val="00F92559"/>
    <w:rsid w:val="00F92850"/>
    <w:rsid w:val="00F9285A"/>
    <w:rsid w:val="00F92AD0"/>
    <w:rsid w:val="00F92B62"/>
    <w:rsid w:val="00F92C5A"/>
    <w:rsid w:val="00F92DF7"/>
    <w:rsid w:val="00F92E45"/>
    <w:rsid w:val="00F930D4"/>
    <w:rsid w:val="00F9317F"/>
    <w:rsid w:val="00F93426"/>
    <w:rsid w:val="00F9361F"/>
    <w:rsid w:val="00F93B05"/>
    <w:rsid w:val="00F93B0C"/>
    <w:rsid w:val="00F93DF9"/>
    <w:rsid w:val="00F93F84"/>
    <w:rsid w:val="00F940AD"/>
    <w:rsid w:val="00F94138"/>
    <w:rsid w:val="00F943FC"/>
    <w:rsid w:val="00F9443C"/>
    <w:rsid w:val="00F9459E"/>
    <w:rsid w:val="00F94AA3"/>
    <w:rsid w:val="00F94E45"/>
    <w:rsid w:val="00F94FB3"/>
    <w:rsid w:val="00F9520F"/>
    <w:rsid w:val="00F955D5"/>
    <w:rsid w:val="00F9564F"/>
    <w:rsid w:val="00F956A8"/>
    <w:rsid w:val="00F956D0"/>
    <w:rsid w:val="00F956D7"/>
    <w:rsid w:val="00F95883"/>
    <w:rsid w:val="00F959E6"/>
    <w:rsid w:val="00F95D34"/>
    <w:rsid w:val="00F96291"/>
    <w:rsid w:val="00F96417"/>
    <w:rsid w:val="00F965C5"/>
    <w:rsid w:val="00F965CC"/>
    <w:rsid w:val="00F967F2"/>
    <w:rsid w:val="00F96AD6"/>
    <w:rsid w:val="00F96C4D"/>
    <w:rsid w:val="00F96E0E"/>
    <w:rsid w:val="00F96EBF"/>
    <w:rsid w:val="00F97403"/>
    <w:rsid w:val="00F9745E"/>
    <w:rsid w:val="00F97564"/>
    <w:rsid w:val="00F97878"/>
    <w:rsid w:val="00F9796E"/>
    <w:rsid w:val="00F97B93"/>
    <w:rsid w:val="00F97BE5"/>
    <w:rsid w:val="00F97E0B"/>
    <w:rsid w:val="00FA0384"/>
    <w:rsid w:val="00FA060C"/>
    <w:rsid w:val="00FA07CA"/>
    <w:rsid w:val="00FA0927"/>
    <w:rsid w:val="00FA0BA5"/>
    <w:rsid w:val="00FA0DB2"/>
    <w:rsid w:val="00FA13D6"/>
    <w:rsid w:val="00FA1482"/>
    <w:rsid w:val="00FA14B1"/>
    <w:rsid w:val="00FA1623"/>
    <w:rsid w:val="00FA1A5C"/>
    <w:rsid w:val="00FA1ADD"/>
    <w:rsid w:val="00FA1D2C"/>
    <w:rsid w:val="00FA1D8C"/>
    <w:rsid w:val="00FA1DD8"/>
    <w:rsid w:val="00FA1EF6"/>
    <w:rsid w:val="00FA20A4"/>
    <w:rsid w:val="00FA21C0"/>
    <w:rsid w:val="00FA285E"/>
    <w:rsid w:val="00FA28A3"/>
    <w:rsid w:val="00FA2910"/>
    <w:rsid w:val="00FA2998"/>
    <w:rsid w:val="00FA32ED"/>
    <w:rsid w:val="00FA372C"/>
    <w:rsid w:val="00FA37E3"/>
    <w:rsid w:val="00FA38D6"/>
    <w:rsid w:val="00FA3942"/>
    <w:rsid w:val="00FA3A8A"/>
    <w:rsid w:val="00FA3AB9"/>
    <w:rsid w:val="00FA3D20"/>
    <w:rsid w:val="00FA4307"/>
    <w:rsid w:val="00FA44FC"/>
    <w:rsid w:val="00FA466E"/>
    <w:rsid w:val="00FA4784"/>
    <w:rsid w:val="00FA4C21"/>
    <w:rsid w:val="00FA4E27"/>
    <w:rsid w:val="00FA50F4"/>
    <w:rsid w:val="00FA5780"/>
    <w:rsid w:val="00FA5996"/>
    <w:rsid w:val="00FA5E96"/>
    <w:rsid w:val="00FA5EBD"/>
    <w:rsid w:val="00FA614B"/>
    <w:rsid w:val="00FA631B"/>
    <w:rsid w:val="00FA64BC"/>
    <w:rsid w:val="00FA652E"/>
    <w:rsid w:val="00FA6557"/>
    <w:rsid w:val="00FA6D39"/>
    <w:rsid w:val="00FA6E8E"/>
    <w:rsid w:val="00FA71CB"/>
    <w:rsid w:val="00FA71CE"/>
    <w:rsid w:val="00FA7463"/>
    <w:rsid w:val="00FA74F5"/>
    <w:rsid w:val="00FA76E4"/>
    <w:rsid w:val="00FA7949"/>
    <w:rsid w:val="00FA7A03"/>
    <w:rsid w:val="00FA7D97"/>
    <w:rsid w:val="00FA7EC4"/>
    <w:rsid w:val="00FA7EFE"/>
    <w:rsid w:val="00FB00F1"/>
    <w:rsid w:val="00FB015E"/>
    <w:rsid w:val="00FB026D"/>
    <w:rsid w:val="00FB038E"/>
    <w:rsid w:val="00FB0452"/>
    <w:rsid w:val="00FB07D2"/>
    <w:rsid w:val="00FB0DDC"/>
    <w:rsid w:val="00FB0E50"/>
    <w:rsid w:val="00FB0ED5"/>
    <w:rsid w:val="00FB108E"/>
    <w:rsid w:val="00FB1399"/>
    <w:rsid w:val="00FB148F"/>
    <w:rsid w:val="00FB14A7"/>
    <w:rsid w:val="00FB1596"/>
    <w:rsid w:val="00FB18DD"/>
    <w:rsid w:val="00FB1943"/>
    <w:rsid w:val="00FB1A64"/>
    <w:rsid w:val="00FB1EB7"/>
    <w:rsid w:val="00FB220E"/>
    <w:rsid w:val="00FB227A"/>
    <w:rsid w:val="00FB22C2"/>
    <w:rsid w:val="00FB2358"/>
    <w:rsid w:val="00FB2672"/>
    <w:rsid w:val="00FB2D3F"/>
    <w:rsid w:val="00FB315A"/>
    <w:rsid w:val="00FB32E2"/>
    <w:rsid w:val="00FB35CA"/>
    <w:rsid w:val="00FB366C"/>
    <w:rsid w:val="00FB3B65"/>
    <w:rsid w:val="00FB3C7C"/>
    <w:rsid w:val="00FB3F4E"/>
    <w:rsid w:val="00FB40BC"/>
    <w:rsid w:val="00FB4337"/>
    <w:rsid w:val="00FB4354"/>
    <w:rsid w:val="00FB4515"/>
    <w:rsid w:val="00FB45D8"/>
    <w:rsid w:val="00FB49A3"/>
    <w:rsid w:val="00FB49B9"/>
    <w:rsid w:val="00FB4D03"/>
    <w:rsid w:val="00FB4D06"/>
    <w:rsid w:val="00FB4E14"/>
    <w:rsid w:val="00FB526E"/>
    <w:rsid w:val="00FB5311"/>
    <w:rsid w:val="00FB5328"/>
    <w:rsid w:val="00FB53E2"/>
    <w:rsid w:val="00FB57E6"/>
    <w:rsid w:val="00FB583D"/>
    <w:rsid w:val="00FB589A"/>
    <w:rsid w:val="00FB58D9"/>
    <w:rsid w:val="00FB5DEA"/>
    <w:rsid w:val="00FB6235"/>
    <w:rsid w:val="00FB64F1"/>
    <w:rsid w:val="00FB66A3"/>
    <w:rsid w:val="00FB6948"/>
    <w:rsid w:val="00FB6A77"/>
    <w:rsid w:val="00FB6AFA"/>
    <w:rsid w:val="00FB6B97"/>
    <w:rsid w:val="00FB7350"/>
    <w:rsid w:val="00FB7738"/>
    <w:rsid w:val="00FB7775"/>
    <w:rsid w:val="00FB78E8"/>
    <w:rsid w:val="00FB7C3F"/>
    <w:rsid w:val="00FB7DAB"/>
    <w:rsid w:val="00FC0299"/>
    <w:rsid w:val="00FC0307"/>
    <w:rsid w:val="00FC03E6"/>
    <w:rsid w:val="00FC0D05"/>
    <w:rsid w:val="00FC0E81"/>
    <w:rsid w:val="00FC0FEF"/>
    <w:rsid w:val="00FC102A"/>
    <w:rsid w:val="00FC1121"/>
    <w:rsid w:val="00FC1436"/>
    <w:rsid w:val="00FC18C1"/>
    <w:rsid w:val="00FC1BA4"/>
    <w:rsid w:val="00FC1BB2"/>
    <w:rsid w:val="00FC2777"/>
    <w:rsid w:val="00FC296A"/>
    <w:rsid w:val="00FC2981"/>
    <w:rsid w:val="00FC2AEA"/>
    <w:rsid w:val="00FC2BE2"/>
    <w:rsid w:val="00FC2E37"/>
    <w:rsid w:val="00FC307B"/>
    <w:rsid w:val="00FC308C"/>
    <w:rsid w:val="00FC365F"/>
    <w:rsid w:val="00FC37B0"/>
    <w:rsid w:val="00FC3A92"/>
    <w:rsid w:val="00FC3C60"/>
    <w:rsid w:val="00FC3D0E"/>
    <w:rsid w:val="00FC3F83"/>
    <w:rsid w:val="00FC3FE6"/>
    <w:rsid w:val="00FC4261"/>
    <w:rsid w:val="00FC42B7"/>
    <w:rsid w:val="00FC4387"/>
    <w:rsid w:val="00FC45DA"/>
    <w:rsid w:val="00FC46F3"/>
    <w:rsid w:val="00FC48ED"/>
    <w:rsid w:val="00FC4BC2"/>
    <w:rsid w:val="00FC4BD1"/>
    <w:rsid w:val="00FC4CF1"/>
    <w:rsid w:val="00FC4F76"/>
    <w:rsid w:val="00FC4FF2"/>
    <w:rsid w:val="00FC5B5A"/>
    <w:rsid w:val="00FC5DDD"/>
    <w:rsid w:val="00FC5DE6"/>
    <w:rsid w:val="00FC5E1A"/>
    <w:rsid w:val="00FC5EB8"/>
    <w:rsid w:val="00FC5F5D"/>
    <w:rsid w:val="00FC618F"/>
    <w:rsid w:val="00FC629E"/>
    <w:rsid w:val="00FC6391"/>
    <w:rsid w:val="00FC6445"/>
    <w:rsid w:val="00FC648B"/>
    <w:rsid w:val="00FC66EA"/>
    <w:rsid w:val="00FC68D8"/>
    <w:rsid w:val="00FC69F8"/>
    <w:rsid w:val="00FC6BAA"/>
    <w:rsid w:val="00FC6BB8"/>
    <w:rsid w:val="00FC6CFF"/>
    <w:rsid w:val="00FC6D5D"/>
    <w:rsid w:val="00FC6F93"/>
    <w:rsid w:val="00FC703A"/>
    <w:rsid w:val="00FC7080"/>
    <w:rsid w:val="00FC7105"/>
    <w:rsid w:val="00FC72B6"/>
    <w:rsid w:val="00FC72FD"/>
    <w:rsid w:val="00FC7306"/>
    <w:rsid w:val="00FC76BA"/>
    <w:rsid w:val="00FC7759"/>
    <w:rsid w:val="00FC77B7"/>
    <w:rsid w:val="00FC7877"/>
    <w:rsid w:val="00FC789F"/>
    <w:rsid w:val="00FC7984"/>
    <w:rsid w:val="00FC7AC4"/>
    <w:rsid w:val="00FC7AEC"/>
    <w:rsid w:val="00FC7C74"/>
    <w:rsid w:val="00FC7CC2"/>
    <w:rsid w:val="00FC7D11"/>
    <w:rsid w:val="00FD046B"/>
    <w:rsid w:val="00FD0568"/>
    <w:rsid w:val="00FD0570"/>
    <w:rsid w:val="00FD100F"/>
    <w:rsid w:val="00FD130E"/>
    <w:rsid w:val="00FD154B"/>
    <w:rsid w:val="00FD17B6"/>
    <w:rsid w:val="00FD1B3E"/>
    <w:rsid w:val="00FD1F37"/>
    <w:rsid w:val="00FD21D1"/>
    <w:rsid w:val="00FD2587"/>
    <w:rsid w:val="00FD2ADF"/>
    <w:rsid w:val="00FD2E19"/>
    <w:rsid w:val="00FD328D"/>
    <w:rsid w:val="00FD32C3"/>
    <w:rsid w:val="00FD33DA"/>
    <w:rsid w:val="00FD33EB"/>
    <w:rsid w:val="00FD3650"/>
    <w:rsid w:val="00FD3B23"/>
    <w:rsid w:val="00FD418E"/>
    <w:rsid w:val="00FD42F7"/>
    <w:rsid w:val="00FD4538"/>
    <w:rsid w:val="00FD4941"/>
    <w:rsid w:val="00FD4A29"/>
    <w:rsid w:val="00FD4AF1"/>
    <w:rsid w:val="00FD4B9B"/>
    <w:rsid w:val="00FD517F"/>
    <w:rsid w:val="00FD551A"/>
    <w:rsid w:val="00FD59C7"/>
    <w:rsid w:val="00FD5A18"/>
    <w:rsid w:val="00FD6034"/>
    <w:rsid w:val="00FD6258"/>
    <w:rsid w:val="00FD628F"/>
    <w:rsid w:val="00FD6547"/>
    <w:rsid w:val="00FD65F1"/>
    <w:rsid w:val="00FD661E"/>
    <w:rsid w:val="00FD6940"/>
    <w:rsid w:val="00FD6965"/>
    <w:rsid w:val="00FD6AE3"/>
    <w:rsid w:val="00FD6C6A"/>
    <w:rsid w:val="00FD6CBF"/>
    <w:rsid w:val="00FD77BD"/>
    <w:rsid w:val="00FD78A2"/>
    <w:rsid w:val="00FD795E"/>
    <w:rsid w:val="00FD79C4"/>
    <w:rsid w:val="00FD7DD0"/>
    <w:rsid w:val="00FD7E27"/>
    <w:rsid w:val="00FE0058"/>
    <w:rsid w:val="00FE0363"/>
    <w:rsid w:val="00FE1600"/>
    <w:rsid w:val="00FE166F"/>
    <w:rsid w:val="00FE1808"/>
    <w:rsid w:val="00FE1E50"/>
    <w:rsid w:val="00FE1F30"/>
    <w:rsid w:val="00FE1FCF"/>
    <w:rsid w:val="00FE206D"/>
    <w:rsid w:val="00FE2297"/>
    <w:rsid w:val="00FE2326"/>
    <w:rsid w:val="00FE23EE"/>
    <w:rsid w:val="00FE248C"/>
    <w:rsid w:val="00FE2517"/>
    <w:rsid w:val="00FE2EA1"/>
    <w:rsid w:val="00FE3017"/>
    <w:rsid w:val="00FE358D"/>
    <w:rsid w:val="00FE38DE"/>
    <w:rsid w:val="00FE3B7A"/>
    <w:rsid w:val="00FE3BC8"/>
    <w:rsid w:val="00FE3CD6"/>
    <w:rsid w:val="00FE3DEB"/>
    <w:rsid w:val="00FE4336"/>
    <w:rsid w:val="00FE4486"/>
    <w:rsid w:val="00FE47CB"/>
    <w:rsid w:val="00FE4B05"/>
    <w:rsid w:val="00FE544B"/>
    <w:rsid w:val="00FE55A1"/>
    <w:rsid w:val="00FE5688"/>
    <w:rsid w:val="00FE57D7"/>
    <w:rsid w:val="00FE5A09"/>
    <w:rsid w:val="00FE5A62"/>
    <w:rsid w:val="00FE5BF4"/>
    <w:rsid w:val="00FE5CD7"/>
    <w:rsid w:val="00FE5D34"/>
    <w:rsid w:val="00FE5EE9"/>
    <w:rsid w:val="00FE5F03"/>
    <w:rsid w:val="00FE6446"/>
    <w:rsid w:val="00FE6567"/>
    <w:rsid w:val="00FE66D2"/>
    <w:rsid w:val="00FE67D2"/>
    <w:rsid w:val="00FE6942"/>
    <w:rsid w:val="00FE6999"/>
    <w:rsid w:val="00FE6B0F"/>
    <w:rsid w:val="00FE6FEB"/>
    <w:rsid w:val="00FE78D9"/>
    <w:rsid w:val="00FE79B7"/>
    <w:rsid w:val="00FF018B"/>
    <w:rsid w:val="00FF01EC"/>
    <w:rsid w:val="00FF0306"/>
    <w:rsid w:val="00FF054A"/>
    <w:rsid w:val="00FF07AF"/>
    <w:rsid w:val="00FF07D4"/>
    <w:rsid w:val="00FF0F31"/>
    <w:rsid w:val="00FF0F6B"/>
    <w:rsid w:val="00FF111D"/>
    <w:rsid w:val="00FF11E8"/>
    <w:rsid w:val="00FF1392"/>
    <w:rsid w:val="00FF15A8"/>
    <w:rsid w:val="00FF15F2"/>
    <w:rsid w:val="00FF160D"/>
    <w:rsid w:val="00FF1B07"/>
    <w:rsid w:val="00FF1E13"/>
    <w:rsid w:val="00FF1EDE"/>
    <w:rsid w:val="00FF1FB1"/>
    <w:rsid w:val="00FF2000"/>
    <w:rsid w:val="00FF2473"/>
    <w:rsid w:val="00FF2488"/>
    <w:rsid w:val="00FF24EA"/>
    <w:rsid w:val="00FF28B3"/>
    <w:rsid w:val="00FF2DC6"/>
    <w:rsid w:val="00FF2E40"/>
    <w:rsid w:val="00FF3102"/>
    <w:rsid w:val="00FF381E"/>
    <w:rsid w:val="00FF3864"/>
    <w:rsid w:val="00FF397A"/>
    <w:rsid w:val="00FF41C6"/>
    <w:rsid w:val="00FF43CB"/>
    <w:rsid w:val="00FF446E"/>
    <w:rsid w:val="00FF45AA"/>
    <w:rsid w:val="00FF4609"/>
    <w:rsid w:val="00FF48E7"/>
    <w:rsid w:val="00FF4B56"/>
    <w:rsid w:val="00FF52F4"/>
    <w:rsid w:val="00FF546E"/>
    <w:rsid w:val="00FF5856"/>
    <w:rsid w:val="00FF5A01"/>
    <w:rsid w:val="00FF5ADA"/>
    <w:rsid w:val="00FF5FF8"/>
    <w:rsid w:val="00FF6098"/>
    <w:rsid w:val="00FF65D8"/>
    <w:rsid w:val="00FF6749"/>
    <w:rsid w:val="00FF68B4"/>
    <w:rsid w:val="00FF6A9C"/>
    <w:rsid w:val="00FF6DC9"/>
    <w:rsid w:val="00FF7498"/>
    <w:rsid w:val="00FF75D2"/>
    <w:rsid w:val="00FF7816"/>
    <w:rsid w:val="00FF784F"/>
    <w:rsid w:val="00FF78E8"/>
    <w:rsid w:val="00FF7B81"/>
    <w:rsid w:val="00FF7E3F"/>
    <w:rsid w:val="0243119F"/>
    <w:rsid w:val="043C7071"/>
    <w:rsid w:val="049E624B"/>
    <w:rsid w:val="0557EA2A"/>
    <w:rsid w:val="05AD7FF9"/>
    <w:rsid w:val="06BDFA18"/>
    <w:rsid w:val="0742C23D"/>
    <w:rsid w:val="07BDB7A0"/>
    <w:rsid w:val="08698337"/>
    <w:rsid w:val="08879E5C"/>
    <w:rsid w:val="08A2E290"/>
    <w:rsid w:val="09C85FAF"/>
    <w:rsid w:val="0A0898E5"/>
    <w:rsid w:val="0A09AE90"/>
    <w:rsid w:val="0AF24E40"/>
    <w:rsid w:val="0B4B8059"/>
    <w:rsid w:val="0B5C0A6A"/>
    <w:rsid w:val="0CD5CD95"/>
    <w:rsid w:val="0D18BBCC"/>
    <w:rsid w:val="0DC750FA"/>
    <w:rsid w:val="0DFDC081"/>
    <w:rsid w:val="0E8F4DA7"/>
    <w:rsid w:val="0F0F4F0A"/>
    <w:rsid w:val="0F5D2948"/>
    <w:rsid w:val="10231972"/>
    <w:rsid w:val="108774E1"/>
    <w:rsid w:val="1101A8F7"/>
    <w:rsid w:val="11344E14"/>
    <w:rsid w:val="116F5A16"/>
    <w:rsid w:val="12050BCF"/>
    <w:rsid w:val="12089CD1"/>
    <w:rsid w:val="1261E2D8"/>
    <w:rsid w:val="12DDB910"/>
    <w:rsid w:val="12E88E7D"/>
    <w:rsid w:val="141F9652"/>
    <w:rsid w:val="14DDD0C7"/>
    <w:rsid w:val="154685AC"/>
    <w:rsid w:val="15880AD5"/>
    <w:rsid w:val="1633A14E"/>
    <w:rsid w:val="169B37DF"/>
    <w:rsid w:val="17CFD8C0"/>
    <w:rsid w:val="184A7085"/>
    <w:rsid w:val="186BB6CD"/>
    <w:rsid w:val="190AD8A8"/>
    <w:rsid w:val="19DC63AA"/>
    <w:rsid w:val="19DD7121"/>
    <w:rsid w:val="19EA8701"/>
    <w:rsid w:val="1A1BF97C"/>
    <w:rsid w:val="1A6AFAB1"/>
    <w:rsid w:val="1AEA156A"/>
    <w:rsid w:val="1C70BCC4"/>
    <w:rsid w:val="1C9DE1ED"/>
    <w:rsid w:val="1CB2227B"/>
    <w:rsid w:val="1CBD4C61"/>
    <w:rsid w:val="1D05078E"/>
    <w:rsid w:val="1D6D69C9"/>
    <w:rsid w:val="1D8309CE"/>
    <w:rsid w:val="1E02FE47"/>
    <w:rsid w:val="1E24594B"/>
    <w:rsid w:val="1EA37C7D"/>
    <w:rsid w:val="1F3F706B"/>
    <w:rsid w:val="1FA1C760"/>
    <w:rsid w:val="209B634F"/>
    <w:rsid w:val="21488F6A"/>
    <w:rsid w:val="216249DD"/>
    <w:rsid w:val="2174CB70"/>
    <w:rsid w:val="21C55853"/>
    <w:rsid w:val="221893E9"/>
    <w:rsid w:val="227A6A16"/>
    <w:rsid w:val="22F30FFD"/>
    <w:rsid w:val="23046281"/>
    <w:rsid w:val="23B7CBD9"/>
    <w:rsid w:val="2450DDBD"/>
    <w:rsid w:val="24A61634"/>
    <w:rsid w:val="24AB4F5E"/>
    <w:rsid w:val="26692604"/>
    <w:rsid w:val="270A61D3"/>
    <w:rsid w:val="28159574"/>
    <w:rsid w:val="291CCACF"/>
    <w:rsid w:val="2A1BF82F"/>
    <w:rsid w:val="2A1DD5A9"/>
    <w:rsid w:val="2A60028E"/>
    <w:rsid w:val="2B1B8231"/>
    <w:rsid w:val="2BFFDE31"/>
    <w:rsid w:val="2CA85975"/>
    <w:rsid w:val="2CC16EBA"/>
    <w:rsid w:val="2D0396B9"/>
    <w:rsid w:val="2E8239CC"/>
    <w:rsid w:val="2F27E633"/>
    <w:rsid w:val="2F503BB5"/>
    <w:rsid w:val="2FD2776C"/>
    <w:rsid w:val="2FDA9FE0"/>
    <w:rsid w:val="3015C3A3"/>
    <w:rsid w:val="30FB1B7F"/>
    <w:rsid w:val="31D2BB91"/>
    <w:rsid w:val="328B77A3"/>
    <w:rsid w:val="344BACD3"/>
    <w:rsid w:val="3459339D"/>
    <w:rsid w:val="3478F4E9"/>
    <w:rsid w:val="34B16890"/>
    <w:rsid w:val="36C399DA"/>
    <w:rsid w:val="36EF66A6"/>
    <w:rsid w:val="382E2763"/>
    <w:rsid w:val="38522261"/>
    <w:rsid w:val="38C097D1"/>
    <w:rsid w:val="3902C1CA"/>
    <w:rsid w:val="3A041879"/>
    <w:rsid w:val="3A2129D2"/>
    <w:rsid w:val="3A2345E3"/>
    <w:rsid w:val="3A80C1AE"/>
    <w:rsid w:val="3AA77240"/>
    <w:rsid w:val="3AD8796F"/>
    <w:rsid w:val="3AFAF3AA"/>
    <w:rsid w:val="3B628F73"/>
    <w:rsid w:val="3B740613"/>
    <w:rsid w:val="3C426DB0"/>
    <w:rsid w:val="3D7E9749"/>
    <w:rsid w:val="3DB3DF79"/>
    <w:rsid w:val="3E83D77B"/>
    <w:rsid w:val="3E876C43"/>
    <w:rsid w:val="3E8C0104"/>
    <w:rsid w:val="40418695"/>
    <w:rsid w:val="40AD4E1C"/>
    <w:rsid w:val="40F948EB"/>
    <w:rsid w:val="415D56D9"/>
    <w:rsid w:val="43320ED5"/>
    <w:rsid w:val="437BF6FF"/>
    <w:rsid w:val="439247B9"/>
    <w:rsid w:val="43DCF154"/>
    <w:rsid w:val="448B6709"/>
    <w:rsid w:val="449DF4F1"/>
    <w:rsid w:val="46925723"/>
    <w:rsid w:val="46A4AA14"/>
    <w:rsid w:val="4801D6C6"/>
    <w:rsid w:val="4817F529"/>
    <w:rsid w:val="4867C594"/>
    <w:rsid w:val="494B0DB1"/>
    <w:rsid w:val="49F403EB"/>
    <w:rsid w:val="4A37BB25"/>
    <w:rsid w:val="4AF5BA43"/>
    <w:rsid w:val="4C75B545"/>
    <w:rsid w:val="4C79F610"/>
    <w:rsid w:val="4CC15F3C"/>
    <w:rsid w:val="4CC39DBC"/>
    <w:rsid w:val="4E688BFB"/>
    <w:rsid w:val="506AA9C5"/>
    <w:rsid w:val="5158FD69"/>
    <w:rsid w:val="515D7D1D"/>
    <w:rsid w:val="5262D339"/>
    <w:rsid w:val="5268A844"/>
    <w:rsid w:val="5282329D"/>
    <w:rsid w:val="5362D4C2"/>
    <w:rsid w:val="53A104A1"/>
    <w:rsid w:val="53E982DC"/>
    <w:rsid w:val="540B8769"/>
    <w:rsid w:val="558C90CF"/>
    <w:rsid w:val="565F5FF3"/>
    <w:rsid w:val="56981B68"/>
    <w:rsid w:val="56BAED36"/>
    <w:rsid w:val="57909819"/>
    <w:rsid w:val="579F2E89"/>
    <w:rsid w:val="57B1D56D"/>
    <w:rsid w:val="57F3BD46"/>
    <w:rsid w:val="57FA7EB9"/>
    <w:rsid w:val="57FBA8D6"/>
    <w:rsid w:val="58392E3B"/>
    <w:rsid w:val="58A5882A"/>
    <w:rsid w:val="5C5176A6"/>
    <w:rsid w:val="5CFDBC8D"/>
    <w:rsid w:val="5D1711F9"/>
    <w:rsid w:val="5DAB8C1D"/>
    <w:rsid w:val="5F32CFCD"/>
    <w:rsid w:val="601E0E22"/>
    <w:rsid w:val="605BB473"/>
    <w:rsid w:val="61089833"/>
    <w:rsid w:val="611CD3D9"/>
    <w:rsid w:val="626522EA"/>
    <w:rsid w:val="63C21082"/>
    <w:rsid w:val="63D47C9C"/>
    <w:rsid w:val="64432EE3"/>
    <w:rsid w:val="663A6D87"/>
    <w:rsid w:val="66BE551A"/>
    <w:rsid w:val="67A2727A"/>
    <w:rsid w:val="67C2637F"/>
    <w:rsid w:val="68568B5D"/>
    <w:rsid w:val="688E7255"/>
    <w:rsid w:val="695EA7EB"/>
    <w:rsid w:val="6A10AC41"/>
    <w:rsid w:val="6A2048FD"/>
    <w:rsid w:val="6B2B434E"/>
    <w:rsid w:val="6BD09013"/>
    <w:rsid w:val="6C0201C5"/>
    <w:rsid w:val="6C0E05E4"/>
    <w:rsid w:val="6DA5162B"/>
    <w:rsid w:val="6DF4ACAA"/>
    <w:rsid w:val="6E3EB20A"/>
    <w:rsid w:val="6E498DDE"/>
    <w:rsid w:val="6EAF06BA"/>
    <w:rsid w:val="6F2C0885"/>
    <w:rsid w:val="6F3AB8D8"/>
    <w:rsid w:val="6FDD93D1"/>
    <w:rsid w:val="6FEC4BA6"/>
    <w:rsid w:val="71A9BF94"/>
    <w:rsid w:val="71CF78A9"/>
    <w:rsid w:val="7331460E"/>
    <w:rsid w:val="75939FFC"/>
    <w:rsid w:val="75F0E1DB"/>
    <w:rsid w:val="760F69FF"/>
    <w:rsid w:val="76ABC677"/>
    <w:rsid w:val="76E2E52A"/>
    <w:rsid w:val="76FFEE13"/>
    <w:rsid w:val="7727661E"/>
    <w:rsid w:val="77B9E654"/>
    <w:rsid w:val="783252CD"/>
    <w:rsid w:val="78A57D63"/>
    <w:rsid w:val="794E76CE"/>
    <w:rsid w:val="795D2D1A"/>
    <w:rsid w:val="79718FDE"/>
    <w:rsid w:val="79825EA3"/>
    <w:rsid w:val="79F3B8B6"/>
    <w:rsid w:val="7A197E9C"/>
    <w:rsid w:val="7A4CB96C"/>
    <w:rsid w:val="7BA1014B"/>
    <w:rsid w:val="7C0D7CC8"/>
    <w:rsid w:val="7CE75B41"/>
    <w:rsid w:val="7E2709B0"/>
    <w:rsid w:val="7F38BCDF"/>
    <w:rsid w:val="7FCE031D"/>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8E0C7BE"/>
  <w15:chartTrackingRefBased/>
  <w15:docId w15:val="{A959B6FE-19DF-4B65-9AF4-7FE461A92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0" w:qFormat="1"/>
    <w:lsdException w:name="heading 2" w:semiHidden="1" w:uiPriority="90" w:unhideWhenUsed="1" w:qFormat="1"/>
    <w:lsdException w:name="heading 3" w:semiHidden="1" w:uiPriority="90" w:unhideWhenUsed="1" w:qFormat="1"/>
    <w:lsdException w:name="heading 4" w:semiHidden="1" w:uiPriority="9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5" w:unhideWhenUsed="1"/>
    <w:lsdException w:name="List Number" w:semiHidden="1" w:uiPriority="3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5" w:unhideWhenUsed="1"/>
    <w:lsdException w:name="List Bullet 3" w:semiHidden="1" w:uiPriority="35" w:unhideWhenUsed="1"/>
    <w:lsdException w:name="List Bullet 4" w:semiHidden="1" w:uiPriority="35" w:unhideWhenUsed="1"/>
    <w:lsdException w:name="List Bullet 5" w:semiHidden="1" w:unhideWhenUsed="1"/>
    <w:lsdException w:name="List Number 2" w:semiHidden="1" w:uiPriority="30" w:unhideWhenUsed="1"/>
    <w:lsdException w:name="List Number 3" w:semiHidden="1" w:uiPriority="30" w:unhideWhenUsed="1"/>
    <w:lsdException w:name="List Number 4" w:semiHidden="1" w:uiPriority="30" w:unhideWhenUsed="1"/>
    <w:lsdException w:name="List Number 5" w:semiHidden="1" w:unhideWhenUsed="1"/>
    <w:lsdException w:name="Title" w:uiPriority="4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0"/>
    <w:qFormat/>
    <w:rsid w:val="00DB62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0"/>
    <w:unhideWhenUsed/>
    <w:qFormat/>
    <w:rsid w:val="00DB62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0"/>
    <w:unhideWhenUsed/>
    <w:qFormat/>
    <w:rsid w:val="00DB62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0"/>
    <w:unhideWhenUsed/>
    <w:qFormat/>
    <w:rsid w:val="00DB62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DB62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DB62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semiHidden/>
    <w:unhideWhenUsed/>
    <w:qFormat/>
    <w:rsid w:val="00DB62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semiHidden/>
    <w:unhideWhenUsed/>
    <w:qFormat/>
    <w:rsid w:val="00DB62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semiHidden/>
    <w:unhideWhenUsed/>
    <w:qFormat/>
    <w:rsid w:val="00DB62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0"/>
    <w:rsid w:val="00DB62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0"/>
    <w:rsid w:val="00DB62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0"/>
    <w:rsid w:val="00DB62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0"/>
    <w:rsid w:val="00DB629A"/>
    <w:rPr>
      <w:rFonts w:eastAsiaTheme="majorEastAsia" w:cstheme="majorBidi"/>
      <w:i/>
      <w:iCs/>
      <w:color w:val="0F4761" w:themeColor="accent1" w:themeShade="BF"/>
    </w:rPr>
  </w:style>
  <w:style w:type="character" w:customStyle="1" w:styleId="Heading5Char">
    <w:name w:val="Heading 5 Char"/>
    <w:basedOn w:val="DefaultParagraphFont"/>
    <w:link w:val="Heading5"/>
    <w:rsid w:val="00DB629A"/>
    <w:rPr>
      <w:rFonts w:eastAsiaTheme="majorEastAsia" w:cstheme="majorBidi"/>
      <w:color w:val="0F4761" w:themeColor="accent1" w:themeShade="BF"/>
    </w:rPr>
  </w:style>
  <w:style w:type="character" w:customStyle="1" w:styleId="Heading6Char">
    <w:name w:val="Heading 6 Char"/>
    <w:basedOn w:val="DefaultParagraphFont"/>
    <w:link w:val="Heading6"/>
    <w:rsid w:val="00DB629A"/>
    <w:rPr>
      <w:rFonts w:eastAsiaTheme="majorEastAsia" w:cstheme="majorBidi"/>
      <w:i/>
      <w:iCs/>
      <w:color w:val="595959" w:themeColor="text1" w:themeTint="A6"/>
    </w:rPr>
  </w:style>
  <w:style w:type="character" w:customStyle="1" w:styleId="Heading7Char">
    <w:name w:val="Heading 7 Char"/>
    <w:basedOn w:val="DefaultParagraphFont"/>
    <w:link w:val="Heading7"/>
    <w:semiHidden/>
    <w:rsid w:val="00DB629A"/>
    <w:rPr>
      <w:rFonts w:eastAsiaTheme="majorEastAsia" w:cstheme="majorBidi"/>
      <w:color w:val="595959" w:themeColor="text1" w:themeTint="A6"/>
    </w:rPr>
  </w:style>
  <w:style w:type="character" w:customStyle="1" w:styleId="Heading8Char">
    <w:name w:val="Heading 8 Char"/>
    <w:basedOn w:val="DefaultParagraphFont"/>
    <w:link w:val="Heading8"/>
    <w:semiHidden/>
    <w:rsid w:val="00DB629A"/>
    <w:rPr>
      <w:rFonts w:eastAsiaTheme="majorEastAsia" w:cstheme="majorBidi"/>
      <w:i/>
      <w:iCs/>
      <w:color w:val="272727" w:themeColor="text1" w:themeTint="D8"/>
    </w:rPr>
  </w:style>
  <w:style w:type="character" w:customStyle="1" w:styleId="Heading9Char">
    <w:name w:val="Heading 9 Char"/>
    <w:basedOn w:val="DefaultParagraphFont"/>
    <w:link w:val="Heading9"/>
    <w:semiHidden/>
    <w:rsid w:val="00DB629A"/>
    <w:rPr>
      <w:rFonts w:eastAsiaTheme="majorEastAsia" w:cstheme="majorBidi"/>
      <w:color w:val="272727" w:themeColor="text1" w:themeTint="D8"/>
    </w:rPr>
  </w:style>
  <w:style w:type="paragraph" w:styleId="Title">
    <w:name w:val="Title"/>
    <w:basedOn w:val="Normal"/>
    <w:next w:val="Normal"/>
    <w:link w:val="TitleChar"/>
    <w:uiPriority w:val="40"/>
    <w:qFormat/>
    <w:rsid w:val="00DB62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40"/>
    <w:rsid w:val="00DB62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62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62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629A"/>
    <w:pPr>
      <w:spacing w:before="160"/>
      <w:jc w:val="center"/>
    </w:pPr>
    <w:rPr>
      <w:i/>
      <w:iCs/>
      <w:color w:val="404040" w:themeColor="text1" w:themeTint="BF"/>
    </w:rPr>
  </w:style>
  <w:style w:type="character" w:customStyle="1" w:styleId="QuoteChar">
    <w:name w:val="Quote Char"/>
    <w:basedOn w:val="DefaultParagraphFont"/>
    <w:link w:val="Quote"/>
    <w:uiPriority w:val="29"/>
    <w:rsid w:val="00DB629A"/>
    <w:rPr>
      <w:i/>
      <w:iCs/>
      <w:color w:val="404040" w:themeColor="text1" w:themeTint="BF"/>
    </w:rPr>
  </w:style>
  <w:style w:type="paragraph" w:styleId="ListParagraph">
    <w:name w:val="List Paragraph"/>
    <w:basedOn w:val="Normal"/>
    <w:uiPriority w:val="34"/>
    <w:qFormat/>
    <w:rsid w:val="00DB629A"/>
    <w:pPr>
      <w:ind w:left="720"/>
      <w:contextualSpacing/>
    </w:pPr>
  </w:style>
  <w:style w:type="character" w:styleId="IntenseEmphasis">
    <w:name w:val="Intense Emphasis"/>
    <w:basedOn w:val="DefaultParagraphFont"/>
    <w:uiPriority w:val="21"/>
    <w:qFormat/>
    <w:rsid w:val="00DB629A"/>
    <w:rPr>
      <w:i/>
      <w:iCs/>
      <w:color w:val="0F4761" w:themeColor="accent1" w:themeShade="BF"/>
    </w:rPr>
  </w:style>
  <w:style w:type="paragraph" w:styleId="IntenseQuote">
    <w:name w:val="Intense Quote"/>
    <w:basedOn w:val="Normal"/>
    <w:next w:val="Normal"/>
    <w:link w:val="IntenseQuoteChar"/>
    <w:uiPriority w:val="30"/>
    <w:qFormat/>
    <w:rsid w:val="00DB62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629A"/>
    <w:rPr>
      <w:i/>
      <w:iCs/>
      <w:color w:val="0F4761" w:themeColor="accent1" w:themeShade="BF"/>
    </w:rPr>
  </w:style>
  <w:style w:type="character" w:styleId="IntenseReference">
    <w:name w:val="Intense Reference"/>
    <w:basedOn w:val="DefaultParagraphFont"/>
    <w:uiPriority w:val="32"/>
    <w:qFormat/>
    <w:rsid w:val="00DB629A"/>
    <w:rPr>
      <w:b/>
      <w:bCs/>
      <w:smallCaps/>
      <w:color w:val="0F4761" w:themeColor="accent1" w:themeShade="BF"/>
      <w:spacing w:val="5"/>
    </w:rPr>
  </w:style>
  <w:style w:type="character" w:customStyle="1" w:styleId="Marker">
    <w:name w:val="Marker"/>
    <w:basedOn w:val="DefaultParagraphFont"/>
    <w:rsid w:val="00EF641F"/>
    <w:rPr>
      <w:color w:val="0000FF"/>
      <w:shd w:val="clear" w:color="auto" w:fill="auto"/>
    </w:rPr>
  </w:style>
  <w:style w:type="paragraph" w:styleId="Header">
    <w:name w:val="header"/>
    <w:basedOn w:val="Normal"/>
    <w:link w:val="HeaderChar"/>
    <w:unhideWhenUsed/>
    <w:rsid w:val="00EF641F"/>
    <w:pPr>
      <w:tabs>
        <w:tab w:val="center" w:pos="4513"/>
        <w:tab w:val="right" w:pos="9026"/>
      </w:tabs>
      <w:spacing w:after="0" w:line="240" w:lineRule="auto"/>
    </w:pPr>
  </w:style>
  <w:style w:type="character" w:customStyle="1" w:styleId="HeaderChar">
    <w:name w:val="Header Char"/>
    <w:basedOn w:val="DefaultParagraphFont"/>
    <w:link w:val="Header"/>
    <w:rsid w:val="00EF641F"/>
  </w:style>
  <w:style w:type="paragraph" w:styleId="Footer">
    <w:name w:val="footer"/>
    <w:basedOn w:val="Normal"/>
    <w:link w:val="FooterChar"/>
    <w:unhideWhenUsed/>
    <w:rsid w:val="00EF641F"/>
    <w:pPr>
      <w:tabs>
        <w:tab w:val="center" w:pos="4513"/>
        <w:tab w:val="right" w:pos="9026"/>
      </w:tabs>
      <w:spacing w:after="0" w:line="240" w:lineRule="auto"/>
    </w:pPr>
  </w:style>
  <w:style w:type="character" w:customStyle="1" w:styleId="FooterChar">
    <w:name w:val="Footer Char"/>
    <w:basedOn w:val="DefaultParagraphFont"/>
    <w:link w:val="Footer"/>
    <w:rsid w:val="00EF641F"/>
  </w:style>
  <w:style w:type="paragraph" w:customStyle="1" w:styleId="Pagedecouverture">
    <w:name w:val="Page de couverture"/>
    <w:basedOn w:val="Normal"/>
    <w:next w:val="Normal"/>
    <w:rsid w:val="00EF641F"/>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EF641F"/>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EF641F"/>
    <w:rPr>
      <w:rFonts w:ascii="Times New Roman" w:hAnsi="Times New Roman" w:cs="Times New Roman"/>
      <w:sz w:val="24"/>
    </w:rPr>
  </w:style>
  <w:style w:type="paragraph" w:customStyle="1" w:styleId="FooterSensitivity">
    <w:name w:val="Footer Sensitivity"/>
    <w:basedOn w:val="Normal"/>
    <w:link w:val="FooterSensitivityChar"/>
    <w:rsid w:val="00EF641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EF641F"/>
    <w:rPr>
      <w:rFonts w:ascii="Times New Roman" w:hAnsi="Times New Roman" w:cs="Times New Roman"/>
      <w:b/>
      <w:sz w:val="32"/>
    </w:rPr>
  </w:style>
  <w:style w:type="paragraph" w:customStyle="1" w:styleId="HeaderCoverPage">
    <w:name w:val="Header Cover Page"/>
    <w:basedOn w:val="Normal"/>
    <w:link w:val="HeaderCoverPageChar"/>
    <w:rsid w:val="00EF641F"/>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EF641F"/>
    <w:rPr>
      <w:rFonts w:ascii="Times New Roman" w:hAnsi="Times New Roman" w:cs="Times New Roman"/>
      <w:sz w:val="24"/>
    </w:rPr>
  </w:style>
  <w:style w:type="paragraph" w:customStyle="1" w:styleId="HeaderSensitivity">
    <w:name w:val="Header Sensitivity"/>
    <w:basedOn w:val="Normal"/>
    <w:link w:val="HeaderSensitivityChar"/>
    <w:rsid w:val="00EF641F"/>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EF641F"/>
    <w:rPr>
      <w:rFonts w:ascii="Times New Roman" w:hAnsi="Times New Roman" w:cs="Times New Roman"/>
      <w:b/>
      <w:sz w:val="32"/>
    </w:rPr>
  </w:style>
  <w:style w:type="paragraph" w:customStyle="1" w:styleId="HeaderSensitivityRight">
    <w:name w:val="Header Sensitivity Right"/>
    <w:basedOn w:val="Normal"/>
    <w:link w:val="HeaderSensitivityRightChar"/>
    <w:rsid w:val="00EF641F"/>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EF641F"/>
    <w:rPr>
      <w:rFonts w:ascii="Times New Roman" w:hAnsi="Times New Roman" w:cs="Times New Roman"/>
      <w:sz w:val="28"/>
    </w:rPr>
  </w:style>
  <w:style w:type="paragraph" w:styleId="TOCHeading">
    <w:name w:val="TOC Heading"/>
    <w:basedOn w:val="Heading1"/>
    <w:next w:val="Normal"/>
    <w:unhideWhenUsed/>
    <w:qFormat/>
    <w:rsid w:val="00770D39"/>
    <w:pPr>
      <w:spacing w:before="240" w:after="0"/>
      <w:outlineLvl w:val="9"/>
    </w:pPr>
    <w:rPr>
      <w:kern w:val="0"/>
      <w:sz w:val="32"/>
      <w:szCs w:val="32"/>
      <w14:ligatures w14:val="none"/>
    </w:rPr>
  </w:style>
  <w:style w:type="paragraph" w:styleId="TOC2">
    <w:name w:val="toc 2"/>
    <w:basedOn w:val="Normal"/>
    <w:next w:val="Normal"/>
    <w:autoRedefine/>
    <w:unhideWhenUsed/>
    <w:rsid w:val="00770D39"/>
    <w:pPr>
      <w:spacing w:after="100"/>
      <w:ind w:left="220"/>
    </w:pPr>
    <w:rPr>
      <w:rFonts w:eastAsiaTheme="minorEastAsia" w:cs="Times New Roman"/>
      <w:kern w:val="0"/>
      <w14:ligatures w14:val="none"/>
    </w:rPr>
  </w:style>
  <w:style w:type="paragraph" w:styleId="TOC1">
    <w:name w:val="toc 1"/>
    <w:basedOn w:val="Normal"/>
    <w:next w:val="Normal"/>
    <w:autoRedefine/>
    <w:unhideWhenUsed/>
    <w:rsid w:val="00770D39"/>
    <w:pPr>
      <w:spacing w:after="100"/>
    </w:pPr>
    <w:rPr>
      <w:rFonts w:eastAsiaTheme="minorEastAsia" w:cs="Times New Roman"/>
      <w:kern w:val="0"/>
      <w14:ligatures w14:val="none"/>
    </w:rPr>
  </w:style>
  <w:style w:type="paragraph" w:styleId="TOC3">
    <w:name w:val="toc 3"/>
    <w:basedOn w:val="Normal"/>
    <w:next w:val="Normal"/>
    <w:autoRedefine/>
    <w:uiPriority w:val="39"/>
    <w:unhideWhenUsed/>
    <w:rsid w:val="00770D39"/>
    <w:pPr>
      <w:spacing w:after="100"/>
      <w:ind w:left="440"/>
    </w:pPr>
    <w:rPr>
      <w:rFonts w:eastAsiaTheme="minorEastAsia" w:cs="Times New Roman"/>
      <w:kern w:val="0"/>
      <w14:ligatures w14:val="none"/>
    </w:rPr>
  </w:style>
  <w:style w:type="character" w:styleId="Hyperlink">
    <w:name w:val="Hyperlink"/>
    <w:basedOn w:val="DefaultParagraphFont"/>
    <w:uiPriority w:val="99"/>
    <w:unhideWhenUsed/>
    <w:rsid w:val="00770D39"/>
    <w:rPr>
      <w:color w:val="467886" w:themeColor="hyperlink"/>
      <w:u w:val="single"/>
    </w:rPr>
  </w:style>
  <w:style w:type="character" w:styleId="CommentReference">
    <w:name w:val="annotation reference"/>
    <w:basedOn w:val="DefaultParagraphFont"/>
    <w:uiPriority w:val="99"/>
    <w:semiHidden/>
    <w:unhideWhenUsed/>
    <w:rsid w:val="004C2FD8"/>
    <w:rPr>
      <w:sz w:val="16"/>
      <w:szCs w:val="16"/>
    </w:rPr>
  </w:style>
  <w:style w:type="paragraph" w:styleId="CommentText">
    <w:name w:val="annotation text"/>
    <w:basedOn w:val="Normal"/>
    <w:link w:val="CommentTextChar"/>
    <w:uiPriority w:val="99"/>
    <w:unhideWhenUsed/>
    <w:rsid w:val="004C2FD8"/>
    <w:pPr>
      <w:spacing w:line="240" w:lineRule="auto"/>
    </w:pPr>
    <w:rPr>
      <w:sz w:val="20"/>
      <w:szCs w:val="20"/>
    </w:rPr>
  </w:style>
  <w:style w:type="character" w:customStyle="1" w:styleId="CommentTextChar">
    <w:name w:val="Comment Text Char"/>
    <w:basedOn w:val="DefaultParagraphFont"/>
    <w:link w:val="CommentText"/>
    <w:uiPriority w:val="99"/>
    <w:rsid w:val="004C2FD8"/>
    <w:rPr>
      <w:sz w:val="20"/>
      <w:szCs w:val="20"/>
    </w:rPr>
  </w:style>
  <w:style w:type="paragraph" w:styleId="CommentSubject">
    <w:name w:val="annotation subject"/>
    <w:basedOn w:val="CommentText"/>
    <w:next w:val="CommentText"/>
    <w:link w:val="CommentSubjectChar"/>
    <w:uiPriority w:val="99"/>
    <w:semiHidden/>
    <w:unhideWhenUsed/>
    <w:rsid w:val="004C2FD8"/>
    <w:rPr>
      <w:b/>
      <w:bCs/>
    </w:rPr>
  </w:style>
  <w:style w:type="character" w:customStyle="1" w:styleId="CommentSubjectChar">
    <w:name w:val="Comment Subject Char"/>
    <w:basedOn w:val="CommentTextChar"/>
    <w:link w:val="CommentSubject"/>
    <w:uiPriority w:val="99"/>
    <w:semiHidden/>
    <w:rsid w:val="004C2FD8"/>
    <w:rPr>
      <w:b/>
      <w:bCs/>
      <w:sz w:val="20"/>
      <w:szCs w:val="20"/>
    </w:rPr>
  </w:style>
  <w:style w:type="character" w:styleId="FootnoteReference">
    <w:name w:val="footnote reference"/>
    <w:semiHidden/>
    <w:rsid w:val="00506ABD"/>
    <w:rPr>
      <w:vertAlign w:val="superscript"/>
    </w:rPr>
  </w:style>
  <w:style w:type="paragraph" w:styleId="FootnoteText">
    <w:name w:val="footnote text"/>
    <w:basedOn w:val="Normal"/>
    <w:link w:val="FootnoteTextChar"/>
    <w:rsid w:val="00506ABD"/>
    <w:pPr>
      <w:spacing w:after="120" w:line="240" w:lineRule="auto"/>
      <w:ind w:left="357" w:hanging="357"/>
      <w:jc w:val="both"/>
    </w:pPr>
    <w:rPr>
      <w:rFonts w:ascii="Times New Roman" w:eastAsia="Times New Roman" w:hAnsi="Times New Roman" w:cs="Times New Roman"/>
      <w:kern w:val="0"/>
      <w:sz w:val="20"/>
      <w:szCs w:val="20"/>
      <w:lang w:eastAsia="en-IE"/>
      <w14:ligatures w14:val="none"/>
    </w:rPr>
  </w:style>
  <w:style w:type="character" w:customStyle="1" w:styleId="FootnoteTextChar">
    <w:name w:val="Footnote Text Char"/>
    <w:basedOn w:val="DefaultParagraphFont"/>
    <w:link w:val="FootnoteText"/>
    <w:rsid w:val="00506ABD"/>
    <w:rPr>
      <w:rFonts w:ascii="Times New Roman" w:eastAsia="Times New Roman" w:hAnsi="Times New Roman" w:cs="Times New Roman"/>
      <w:kern w:val="0"/>
      <w:sz w:val="20"/>
      <w:szCs w:val="20"/>
      <w:lang w:val="ro-RO" w:eastAsia="en-IE"/>
      <w14:ligatures w14:val="none"/>
    </w:rPr>
  </w:style>
  <w:style w:type="paragraph" w:customStyle="1" w:styleId="Text1">
    <w:name w:val="Text 1"/>
    <w:basedOn w:val="Normal"/>
    <w:qFormat/>
    <w:rsid w:val="00506ABD"/>
    <w:pPr>
      <w:spacing w:after="240" w:line="240" w:lineRule="auto"/>
      <w:ind w:left="482"/>
      <w:jc w:val="both"/>
    </w:pPr>
    <w:rPr>
      <w:rFonts w:ascii="Times New Roman" w:eastAsia="Times New Roman" w:hAnsi="Times New Roman" w:cs="Times New Roman"/>
      <w:kern w:val="0"/>
      <w:sz w:val="24"/>
      <w:szCs w:val="20"/>
      <w:lang w:eastAsia="en-IE"/>
      <w14:ligatures w14:val="none"/>
    </w:rPr>
  </w:style>
  <w:style w:type="character" w:customStyle="1" w:styleId="UnresolvedMention">
    <w:name w:val="Unresolved Mention"/>
    <w:basedOn w:val="DefaultParagraphFont"/>
    <w:uiPriority w:val="99"/>
    <w:semiHidden/>
    <w:unhideWhenUsed/>
    <w:rsid w:val="00B15E3A"/>
    <w:rPr>
      <w:color w:val="605E5C"/>
      <w:shd w:val="clear" w:color="auto" w:fill="E1DFDD"/>
    </w:rPr>
  </w:style>
  <w:style w:type="paragraph" w:customStyle="1" w:styleId="Text3">
    <w:name w:val="Text 3"/>
    <w:basedOn w:val="Normal"/>
    <w:qFormat/>
    <w:rsid w:val="00C41210"/>
    <w:pPr>
      <w:spacing w:after="240" w:line="240" w:lineRule="auto"/>
      <w:ind w:left="1202"/>
      <w:jc w:val="both"/>
    </w:pPr>
    <w:rPr>
      <w:rFonts w:ascii="Times New Roman" w:eastAsia="Times New Roman" w:hAnsi="Times New Roman" w:cs="Times New Roman"/>
      <w:kern w:val="0"/>
      <w:sz w:val="24"/>
      <w:szCs w:val="20"/>
      <w:lang w:eastAsia="en-IE"/>
      <w14:ligatures w14:val="none"/>
    </w:rPr>
  </w:style>
  <w:style w:type="character" w:customStyle="1" w:styleId="Mention">
    <w:name w:val="Mention"/>
    <w:basedOn w:val="DefaultParagraphFont"/>
    <w:uiPriority w:val="99"/>
    <w:unhideWhenUsed/>
    <w:rsid w:val="00EB7484"/>
    <w:rPr>
      <w:color w:val="2B579A"/>
      <w:shd w:val="clear" w:color="auto" w:fill="E1DFDD"/>
    </w:rPr>
  </w:style>
  <w:style w:type="paragraph" w:customStyle="1" w:styleId="Text2">
    <w:name w:val="Text 2"/>
    <w:basedOn w:val="Normal"/>
    <w:qFormat/>
    <w:rsid w:val="009035F8"/>
    <w:pPr>
      <w:spacing w:after="240" w:line="240" w:lineRule="auto"/>
      <w:ind w:left="1202"/>
      <w:jc w:val="both"/>
    </w:pPr>
    <w:rPr>
      <w:rFonts w:ascii="Times New Roman" w:eastAsia="Times New Roman" w:hAnsi="Times New Roman" w:cs="Times New Roman"/>
      <w:kern w:val="0"/>
      <w:sz w:val="24"/>
      <w:szCs w:val="20"/>
      <w:lang w:eastAsia="en-IE"/>
      <w14:ligatures w14:val="none"/>
    </w:rPr>
  </w:style>
  <w:style w:type="character" w:customStyle="1" w:styleId="BodyPlaceholderText">
    <w:name w:val="BodyPlaceholderText"/>
    <w:basedOn w:val="PlaceholderText"/>
    <w:semiHidden/>
    <w:rsid w:val="00F70481"/>
    <w:rPr>
      <w:color w:val="288061"/>
    </w:rPr>
  </w:style>
  <w:style w:type="character" w:customStyle="1" w:styleId="CrossReference">
    <w:name w:val="Cross Reference"/>
    <w:basedOn w:val="DefaultParagraphFont"/>
    <w:semiHidden/>
    <w:rsid w:val="00F70481"/>
    <w:rPr>
      <w:i/>
    </w:rPr>
  </w:style>
  <w:style w:type="character" w:customStyle="1" w:styleId="InstructionBlue">
    <w:name w:val="InstructionBlue"/>
    <w:semiHidden/>
    <w:rsid w:val="00F70481"/>
    <w:rPr>
      <w:i/>
      <w:color w:val="3366CC"/>
    </w:rPr>
  </w:style>
  <w:style w:type="character" w:customStyle="1" w:styleId="InstructionPlaceholder">
    <w:name w:val="InstructionPlaceholder"/>
    <w:semiHidden/>
    <w:rsid w:val="00F70481"/>
    <w:rPr>
      <w:color w:val="CB3535"/>
    </w:rPr>
  </w:style>
  <w:style w:type="character" w:customStyle="1" w:styleId="InstructionRed">
    <w:name w:val="InstructionRed"/>
    <w:semiHidden/>
    <w:rsid w:val="00F70481"/>
    <w:rPr>
      <w:i/>
      <w:color w:val="CB3535"/>
    </w:rPr>
  </w:style>
  <w:style w:type="character" w:customStyle="1" w:styleId="MarkingLabel">
    <w:name w:val="MarkingLabel"/>
    <w:semiHidden/>
    <w:rsid w:val="00F70481"/>
    <w:rPr>
      <w:b/>
      <w:caps/>
      <w:sz w:val="28"/>
    </w:rPr>
  </w:style>
  <w:style w:type="character" w:customStyle="1" w:styleId="MarkingText">
    <w:name w:val="MarkingText"/>
    <w:semiHidden/>
    <w:rsid w:val="00F70481"/>
    <w:rPr>
      <w:i/>
      <w:sz w:val="28"/>
    </w:rPr>
  </w:style>
  <w:style w:type="character" w:styleId="PlaceholderText">
    <w:name w:val="Placeholder Text"/>
    <w:basedOn w:val="DefaultParagraphFont"/>
    <w:semiHidden/>
    <w:rsid w:val="00F70481"/>
    <w:rPr>
      <w:color w:val="288061"/>
    </w:rPr>
  </w:style>
  <w:style w:type="paragraph" w:customStyle="1" w:styleId="AfterTable">
    <w:name w:val="After Table"/>
    <w:semiHidden/>
    <w:rsid w:val="00F70481"/>
    <w:pPr>
      <w:spacing w:after="0" w:line="240" w:lineRule="auto"/>
    </w:pPr>
    <w:rPr>
      <w:rFonts w:ascii="Times New Roman" w:eastAsia="Times New Roman" w:hAnsi="Times New Roman" w:cs="Times New Roman"/>
      <w:kern w:val="0"/>
      <w:sz w:val="4"/>
      <w:szCs w:val="20"/>
      <w:lang w:eastAsia="en-IE"/>
      <w14:ligatures w14:val="none"/>
    </w:rPr>
  </w:style>
  <w:style w:type="paragraph" w:customStyle="1" w:styleId="AnnexTitle">
    <w:name w:val="AnnexTitle"/>
    <w:basedOn w:val="Normal"/>
    <w:next w:val="Normal"/>
    <w:uiPriority w:val="45"/>
    <w:qFormat/>
    <w:rsid w:val="00F70481"/>
    <w:pPr>
      <w:pageBreakBefore/>
      <w:numPr>
        <w:numId w:val="19"/>
      </w:numPr>
      <w:tabs>
        <w:tab w:val="clear" w:pos="2268"/>
      </w:tabs>
      <w:spacing w:after="480" w:line="240" w:lineRule="auto"/>
      <w:ind w:left="0" w:firstLine="0"/>
      <w:jc w:val="both"/>
      <w:outlineLvl w:val="0"/>
    </w:pPr>
    <w:rPr>
      <w:rFonts w:ascii="Times New Roman" w:eastAsia="Times New Roman" w:hAnsi="Times New Roman" w:cs="Times New Roman"/>
      <w:b/>
      <w:kern w:val="0"/>
      <w:sz w:val="32"/>
      <w:szCs w:val="20"/>
      <w:lang w:eastAsia="en-IE"/>
      <w14:ligatures w14:val="none"/>
    </w:rPr>
  </w:style>
  <w:style w:type="paragraph" w:styleId="Caption">
    <w:name w:val="caption"/>
    <w:basedOn w:val="Normal"/>
    <w:next w:val="Normal"/>
    <w:semiHidden/>
    <w:rsid w:val="00F70481"/>
    <w:pPr>
      <w:spacing w:before="160" w:after="240" w:line="240" w:lineRule="auto"/>
      <w:jc w:val="both"/>
    </w:pPr>
    <w:rPr>
      <w:rFonts w:ascii="Times New Roman" w:eastAsia="Times New Roman" w:hAnsi="Times New Roman" w:cs="Times New Roman"/>
      <w:i/>
      <w:kern w:val="0"/>
      <w:szCs w:val="20"/>
      <w:lang w:eastAsia="en-IE"/>
      <w14:ligatures w14:val="none"/>
    </w:rPr>
  </w:style>
  <w:style w:type="paragraph" w:customStyle="1" w:styleId="ChapterTitle">
    <w:name w:val="ChapterTitle"/>
    <w:basedOn w:val="Normal"/>
    <w:next w:val="SectionTitle"/>
    <w:uiPriority w:val="43"/>
    <w:qFormat/>
    <w:rsid w:val="00F70481"/>
    <w:pPr>
      <w:keepNext/>
      <w:spacing w:after="480" w:line="240" w:lineRule="auto"/>
      <w:jc w:val="center"/>
      <w:outlineLvl w:val="0"/>
    </w:pPr>
    <w:rPr>
      <w:rFonts w:ascii="Times New Roman" w:eastAsia="Times New Roman" w:hAnsi="Times New Roman" w:cs="Times New Roman"/>
      <w:b/>
      <w:kern w:val="0"/>
      <w:sz w:val="32"/>
      <w:szCs w:val="20"/>
      <w:lang w:eastAsia="en-IE"/>
      <w14:ligatures w14:val="none"/>
    </w:rPr>
  </w:style>
  <w:style w:type="paragraph" w:customStyle="1" w:styleId="ConfidentialUE">
    <w:name w:val="Confidential UE"/>
    <w:basedOn w:val="Normal"/>
    <w:semiHidden/>
    <w:rsid w:val="00F70481"/>
    <w:pPr>
      <w:spacing w:after="0" w:line="240" w:lineRule="auto"/>
      <w:jc w:val="center"/>
    </w:pPr>
    <w:rPr>
      <w:rFonts w:ascii="Times New Roman" w:eastAsia="Times New Roman" w:hAnsi="Times New Roman" w:cs="Times New Roman"/>
      <w:b/>
      <w:caps/>
      <w:kern w:val="0"/>
      <w:sz w:val="32"/>
      <w:szCs w:val="20"/>
      <w:bdr w:val="single" w:sz="18" w:space="0" w:color="auto"/>
      <w:lang w:eastAsia="en-IE"/>
      <w14:ligatures w14:val="none"/>
    </w:rPr>
  </w:style>
  <w:style w:type="paragraph" w:customStyle="1" w:styleId="Contact">
    <w:name w:val="Contact"/>
    <w:basedOn w:val="Normal"/>
    <w:semiHidden/>
    <w:rsid w:val="00F70481"/>
    <w:pPr>
      <w:spacing w:before="480" w:after="0" w:line="240" w:lineRule="auto"/>
      <w:ind w:left="567" w:hanging="567"/>
      <w:contextualSpacing/>
    </w:pPr>
    <w:rPr>
      <w:rFonts w:ascii="Times New Roman" w:eastAsia="Times New Roman" w:hAnsi="Times New Roman" w:cs="Times New Roman"/>
      <w:kern w:val="0"/>
      <w:sz w:val="24"/>
      <w:szCs w:val="20"/>
      <w:lang w:eastAsia="en-IE"/>
      <w14:ligatures w14:val="none"/>
    </w:rPr>
  </w:style>
  <w:style w:type="paragraph" w:customStyle="1" w:styleId="ContNum">
    <w:name w:val="ContNum"/>
    <w:basedOn w:val="Normal"/>
    <w:uiPriority w:val="20"/>
    <w:qFormat/>
    <w:rsid w:val="00F70481"/>
    <w:pPr>
      <w:numPr>
        <w:numId w:val="18"/>
      </w:numPr>
      <w:tabs>
        <w:tab w:val="clear" w:pos="476"/>
      </w:tabs>
      <w:spacing w:after="240" w:line="240" w:lineRule="auto"/>
      <w:ind w:left="0" w:firstLine="0"/>
      <w:jc w:val="both"/>
    </w:pPr>
    <w:rPr>
      <w:rFonts w:ascii="Times New Roman" w:eastAsia="Times New Roman" w:hAnsi="Times New Roman" w:cs="Times New Roman"/>
      <w:kern w:val="0"/>
      <w:sz w:val="24"/>
      <w:szCs w:val="20"/>
      <w:lang w:eastAsia="en-IE"/>
      <w14:ligatures w14:val="none"/>
    </w:rPr>
  </w:style>
  <w:style w:type="paragraph" w:customStyle="1" w:styleId="ContNumLevel2">
    <w:name w:val="ContNum (Level 2)"/>
    <w:basedOn w:val="Normal"/>
    <w:uiPriority w:val="20"/>
    <w:rsid w:val="00F70481"/>
    <w:pPr>
      <w:numPr>
        <w:ilvl w:val="1"/>
        <w:numId w:val="18"/>
      </w:numPr>
      <w:tabs>
        <w:tab w:val="clear" w:pos="952"/>
      </w:tabs>
      <w:spacing w:after="240" w:line="240" w:lineRule="auto"/>
      <w:ind w:left="0" w:firstLine="0"/>
      <w:jc w:val="both"/>
    </w:pPr>
    <w:rPr>
      <w:rFonts w:ascii="Times New Roman" w:eastAsia="Times New Roman" w:hAnsi="Times New Roman" w:cs="Times New Roman"/>
      <w:kern w:val="0"/>
      <w:sz w:val="24"/>
      <w:szCs w:val="20"/>
      <w:lang w:eastAsia="en-IE"/>
      <w14:ligatures w14:val="none"/>
    </w:rPr>
  </w:style>
  <w:style w:type="paragraph" w:customStyle="1" w:styleId="ContNumLevel3">
    <w:name w:val="ContNum (Level 3)"/>
    <w:basedOn w:val="Normal"/>
    <w:uiPriority w:val="20"/>
    <w:rsid w:val="00F70481"/>
    <w:pPr>
      <w:numPr>
        <w:ilvl w:val="2"/>
        <w:numId w:val="18"/>
      </w:numPr>
      <w:tabs>
        <w:tab w:val="clear" w:pos="1429"/>
      </w:tabs>
      <w:spacing w:after="240" w:line="240" w:lineRule="auto"/>
      <w:ind w:left="0" w:firstLine="0"/>
      <w:jc w:val="both"/>
    </w:pPr>
    <w:rPr>
      <w:rFonts w:ascii="Times New Roman" w:eastAsia="Times New Roman" w:hAnsi="Times New Roman" w:cs="Times New Roman"/>
      <w:kern w:val="0"/>
      <w:sz w:val="24"/>
      <w:szCs w:val="20"/>
      <w:lang w:eastAsia="en-IE"/>
      <w14:ligatures w14:val="none"/>
    </w:rPr>
  </w:style>
  <w:style w:type="paragraph" w:styleId="Date">
    <w:name w:val="Date"/>
    <w:basedOn w:val="Normal"/>
    <w:next w:val="References"/>
    <w:link w:val="DateChar"/>
    <w:semiHidden/>
    <w:rsid w:val="00F70481"/>
    <w:pPr>
      <w:spacing w:after="0" w:line="240" w:lineRule="auto"/>
      <w:ind w:left="5102" w:right="-567"/>
    </w:pPr>
    <w:rPr>
      <w:rFonts w:ascii="Times New Roman" w:eastAsia="Times New Roman" w:hAnsi="Times New Roman" w:cs="Times New Roman"/>
      <w:kern w:val="0"/>
      <w:sz w:val="24"/>
      <w:szCs w:val="20"/>
      <w:lang w:eastAsia="en-IE"/>
      <w14:ligatures w14:val="none"/>
    </w:rPr>
  </w:style>
  <w:style w:type="character" w:customStyle="1" w:styleId="DateChar">
    <w:name w:val="Date Char"/>
    <w:basedOn w:val="DefaultParagraphFont"/>
    <w:link w:val="Date"/>
    <w:semiHidden/>
    <w:rsid w:val="00F70481"/>
    <w:rPr>
      <w:rFonts w:ascii="Times New Roman" w:eastAsia="Times New Roman" w:hAnsi="Times New Roman" w:cs="Times New Roman"/>
      <w:kern w:val="0"/>
      <w:sz w:val="24"/>
      <w:szCs w:val="20"/>
      <w:lang w:val="ro-RO" w:eastAsia="en-IE"/>
      <w14:ligatures w14:val="none"/>
    </w:rPr>
  </w:style>
  <w:style w:type="paragraph" w:customStyle="1" w:styleId="Designator">
    <w:name w:val="Designator"/>
    <w:basedOn w:val="Normal"/>
    <w:semiHidden/>
    <w:rsid w:val="00F70481"/>
    <w:pPr>
      <w:spacing w:after="0" w:line="240" w:lineRule="auto"/>
      <w:jc w:val="center"/>
    </w:pPr>
    <w:rPr>
      <w:rFonts w:ascii="Times New Roman" w:eastAsia="Times New Roman" w:hAnsi="Times New Roman" w:cs="Times New Roman"/>
      <w:b/>
      <w:caps/>
      <w:kern w:val="0"/>
      <w:sz w:val="32"/>
      <w:szCs w:val="20"/>
      <w:lang w:eastAsia="en-IE"/>
      <w14:ligatures w14:val="none"/>
    </w:rPr>
  </w:style>
  <w:style w:type="paragraph" w:customStyle="1" w:styleId="DoubSign">
    <w:name w:val="DoubSign"/>
    <w:basedOn w:val="Normal"/>
    <w:semiHidden/>
    <w:rsid w:val="00F70481"/>
    <w:pPr>
      <w:spacing w:before="1200" w:after="0" w:line="240" w:lineRule="auto"/>
    </w:pPr>
    <w:rPr>
      <w:rFonts w:ascii="Times New Roman" w:eastAsia="Times New Roman" w:hAnsi="Times New Roman" w:cs="Times New Roman"/>
      <w:kern w:val="0"/>
      <w:sz w:val="24"/>
      <w:szCs w:val="20"/>
      <w:lang w:eastAsia="en-IE"/>
      <w14:ligatures w14:val="none"/>
    </w:rPr>
  </w:style>
  <w:style w:type="paragraph" w:customStyle="1" w:styleId="EmptyParagraph">
    <w:name w:val="Empty Paragraph"/>
    <w:basedOn w:val="Normal"/>
    <w:next w:val="Normal"/>
    <w:semiHidden/>
    <w:rsid w:val="00F70481"/>
    <w:pPr>
      <w:spacing w:before="240" w:after="240" w:line="240" w:lineRule="auto"/>
      <w:jc w:val="both"/>
    </w:pPr>
    <w:rPr>
      <w:rFonts w:ascii="Times New Roman" w:eastAsia="Times New Roman" w:hAnsi="Times New Roman" w:cs="Times New Roman"/>
      <w:kern w:val="0"/>
      <w:sz w:val="24"/>
      <w:szCs w:val="20"/>
      <w:lang w:eastAsia="en-IE"/>
      <w14:ligatures w14:val="none"/>
    </w:rPr>
  </w:style>
  <w:style w:type="paragraph" w:styleId="EndnoteText">
    <w:name w:val="endnote text"/>
    <w:basedOn w:val="Normal"/>
    <w:link w:val="EndnoteTextChar"/>
    <w:semiHidden/>
    <w:rsid w:val="00F70481"/>
    <w:pPr>
      <w:spacing w:after="120" w:line="240" w:lineRule="auto"/>
      <w:ind w:left="357" w:hanging="357"/>
      <w:jc w:val="both"/>
    </w:pPr>
    <w:rPr>
      <w:rFonts w:ascii="Times New Roman" w:eastAsia="Times New Roman" w:hAnsi="Times New Roman" w:cs="Times New Roman"/>
      <w:kern w:val="0"/>
      <w:sz w:val="20"/>
      <w:szCs w:val="20"/>
      <w:lang w:eastAsia="en-IE"/>
      <w14:ligatures w14:val="none"/>
    </w:rPr>
  </w:style>
  <w:style w:type="character" w:customStyle="1" w:styleId="EndnoteTextChar">
    <w:name w:val="Endnote Text Char"/>
    <w:basedOn w:val="DefaultParagraphFont"/>
    <w:link w:val="EndnoteText"/>
    <w:semiHidden/>
    <w:rsid w:val="00F70481"/>
    <w:rPr>
      <w:rFonts w:ascii="Times New Roman" w:eastAsia="Times New Roman" w:hAnsi="Times New Roman" w:cs="Times New Roman"/>
      <w:kern w:val="0"/>
      <w:sz w:val="20"/>
      <w:szCs w:val="20"/>
      <w:lang w:val="ro-RO" w:eastAsia="en-IE"/>
      <w14:ligatures w14:val="none"/>
    </w:rPr>
  </w:style>
  <w:style w:type="paragraph" w:customStyle="1" w:styleId="FigureBody">
    <w:name w:val="Figure Body"/>
    <w:basedOn w:val="Normal"/>
    <w:next w:val="FigureSource"/>
    <w:uiPriority w:val="99"/>
    <w:semiHidden/>
    <w:unhideWhenUsed/>
    <w:rsid w:val="00F70481"/>
    <w:pPr>
      <w:keepNext/>
      <w:spacing w:after="40" w:line="240" w:lineRule="auto"/>
      <w:jc w:val="both"/>
    </w:pPr>
    <w:rPr>
      <w:rFonts w:ascii="Times New Roman" w:eastAsia="Times New Roman" w:hAnsi="Times New Roman" w:cs="Times New Roman"/>
      <w:kern w:val="0"/>
      <w:sz w:val="24"/>
      <w:szCs w:val="20"/>
      <w:lang w:eastAsia="en-IE"/>
      <w14:ligatures w14:val="none"/>
    </w:rPr>
  </w:style>
  <w:style w:type="paragraph" w:customStyle="1" w:styleId="FigureBody1">
    <w:name w:val="Figure Body 1"/>
    <w:basedOn w:val="Text1"/>
    <w:next w:val="FigureSource1"/>
    <w:uiPriority w:val="99"/>
    <w:semiHidden/>
    <w:unhideWhenUsed/>
    <w:rsid w:val="00F70481"/>
    <w:pPr>
      <w:keepNext/>
      <w:spacing w:after="40"/>
    </w:pPr>
  </w:style>
  <w:style w:type="paragraph" w:customStyle="1" w:styleId="FigureBody2">
    <w:name w:val="Figure Body 2"/>
    <w:basedOn w:val="Text2"/>
    <w:next w:val="FigureSource2"/>
    <w:uiPriority w:val="99"/>
    <w:semiHidden/>
    <w:unhideWhenUsed/>
    <w:rsid w:val="00F70481"/>
    <w:pPr>
      <w:keepNext/>
      <w:spacing w:after="40"/>
    </w:pPr>
  </w:style>
  <w:style w:type="paragraph" w:customStyle="1" w:styleId="FigureBody3">
    <w:name w:val="Figure Body 3"/>
    <w:basedOn w:val="Text3"/>
    <w:next w:val="FigureSource3"/>
    <w:uiPriority w:val="99"/>
    <w:semiHidden/>
    <w:unhideWhenUsed/>
    <w:rsid w:val="00F70481"/>
    <w:pPr>
      <w:keepNext/>
      <w:spacing w:after="40"/>
    </w:pPr>
  </w:style>
  <w:style w:type="paragraph" w:customStyle="1" w:styleId="FigureBody4">
    <w:name w:val="Figure Body 4"/>
    <w:basedOn w:val="Text4"/>
    <w:next w:val="FigureSource4"/>
    <w:uiPriority w:val="99"/>
    <w:semiHidden/>
    <w:unhideWhenUsed/>
    <w:rsid w:val="00F70481"/>
    <w:pPr>
      <w:keepNext/>
      <w:spacing w:after="40"/>
    </w:pPr>
  </w:style>
  <w:style w:type="paragraph" w:customStyle="1" w:styleId="FigureSource">
    <w:name w:val="Figure Source"/>
    <w:basedOn w:val="Normal"/>
    <w:next w:val="Normal"/>
    <w:uiPriority w:val="99"/>
    <w:semiHidden/>
    <w:unhideWhenUsed/>
    <w:rsid w:val="00F70481"/>
    <w:pPr>
      <w:spacing w:after="240" w:line="240" w:lineRule="auto"/>
      <w:jc w:val="both"/>
    </w:pPr>
    <w:rPr>
      <w:rFonts w:ascii="Times New Roman" w:eastAsia="Times New Roman" w:hAnsi="Times New Roman" w:cs="Times New Roman"/>
      <w:kern w:val="0"/>
      <w:sz w:val="20"/>
      <w:szCs w:val="20"/>
      <w:lang w:eastAsia="en-IE"/>
      <w14:ligatures w14:val="none"/>
    </w:rPr>
  </w:style>
  <w:style w:type="paragraph" w:customStyle="1" w:styleId="FigureSource1">
    <w:name w:val="Figure Source 1"/>
    <w:basedOn w:val="Text1"/>
    <w:next w:val="Text1"/>
    <w:uiPriority w:val="99"/>
    <w:semiHidden/>
    <w:unhideWhenUsed/>
    <w:rsid w:val="00F70481"/>
    <w:rPr>
      <w:sz w:val="20"/>
    </w:rPr>
  </w:style>
  <w:style w:type="paragraph" w:customStyle="1" w:styleId="FigureSource2">
    <w:name w:val="Figure Source 2"/>
    <w:basedOn w:val="Text2"/>
    <w:next w:val="Text2"/>
    <w:uiPriority w:val="99"/>
    <w:semiHidden/>
    <w:unhideWhenUsed/>
    <w:rsid w:val="00F70481"/>
    <w:rPr>
      <w:sz w:val="20"/>
    </w:rPr>
  </w:style>
  <w:style w:type="paragraph" w:customStyle="1" w:styleId="FigureSource3">
    <w:name w:val="Figure Source 3"/>
    <w:basedOn w:val="Text3"/>
    <w:next w:val="Text3"/>
    <w:uiPriority w:val="99"/>
    <w:semiHidden/>
    <w:unhideWhenUsed/>
    <w:rsid w:val="00F70481"/>
    <w:rPr>
      <w:sz w:val="20"/>
    </w:rPr>
  </w:style>
  <w:style w:type="paragraph" w:customStyle="1" w:styleId="FigureSource4">
    <w:name w:val="Figure Source 4"/>
    <w:basedOn w:val="Text4"/>
    <w:next w:val="Text4"/>
    <w:uiPriority w:val="99"/>
    <w:semiHidden/>
    <w:unhideWhenUsed/>
    <w:rsid w:val="00F70481"/>
    <w:rPr>
      <w:sz w:val="20"/>
    </w:rPr>
  </w:style>
  <w:style w:type="paragraph" w:customStyle="1" w:styleId="FigureTitle">
    <w:name w:val="Figure Title"/>
    <w:basedOn w:val="Normal"/>
    <w:next w:val="FigureBody"/>
    <w:uiPriority w:val="99"/>
    <w:semiHidden/>
    <w:unhideWhenUsed/>
    <w:rsid w:val="00F70481"/>
    <w:pPr>
      <w:keepNext/>
      <w:spacing w:after="120" w:line="240" w:lineRule="auto"/>
      <w:jc w:val="both"/>
    </w:pPr>
    <w:rPr>
      <w:rFonts w:ascii="Times New Roman" w:eastAsia="Times New Roman" w:hAnsi="Times New Roman" w:cs="Times New Roman"/>
      <w:b/>
      <w:i/>
      <w:kern w:val="0"/>
      <w:sz w:val="24"/>
      <w:szCs w:val="20"/>
      <w:lang w:eastAsia="en-IE"/>
      <w14:ligatures w14:val="none"/>
    </w:rPr>
  </w:style>
  <w:style w:type="paragraph" w:customStyle="1" w:styleId="FigureTitle1">
    <w:name w:val="Figure Title 1"/>
    <w:basedOn w:val="Text1"/>
    <w:next w:val="FigureBody1"/>
    <w:uiPriority w:val="99"/>
    <w:semiHidden/>
    <w:unhideWhenUsed/>
    <w:rsid w:val="00F70481"/>
    <w:pPr>
      <w:keepNext/>
      <w:spacing w:after="120"/>
    </w:pPr>
    <w:rPr>
      <w:b/>
      <w:i/>
    </w:rPr>
  </w:style>
  <w:style w:type="paragraph" w:customStyle="1" w:styleId="FigureTitle2">
    <w:name w:val="Figure Title 2"/>
    <w:basedOn w:val="Text2"/>
    <w:next w:val="FigureBody2"/>
    <w:uiPriority w:val="99"/>
    <w:semiHidden/>
    <w:unhideWhenUsed/>
    <w:rsid w:val="00F70481"/>
    <w:pPr>
      <w:keepNext/>
      <w:spacing w:after="120"/>
    </w:pPr>
    <w:rPr>
      <w:b/>
      <w:i/>
    </w:rPr>
  </w:style>
  <w:style w:type="paragraph" w:customStyle="1" w:styleId="FigureTitle3">
    <w:name w:val="Figure Title 3"/>
    <w:basedOn w:val="Text3"/>
    <w:next w:val="FigureBody3"/>
    <w:uiPriority w:val="99"/>
    <w:semiHidden/>
    <w:unhideWhenUsed/>
    <w:rsid w:val="00F70481"/>
    <w:pPr>
      <w:keepNext/>
      <w:spacing w:after="120"/>
    </w:pPr>
    <w:rPr>
      <w:b/>
      <w:i/>
    </w:rPr>
  </w:style>
  <w:style w:type="paragraph" w:customStyle="1" w:styleId="FigureTitle4">
    <w:name w:val="Figure Title 4"/>
    <w:basedOn w:val="Text4"/>
    <w:next w:val="FigureBody4"/>
    <w:uiPriority w:val="99"/>
    <w:semiHidden/>
    <w:unhideWhenUsed/>
    <w:rsid w:val="00F70481"/>
    <w:pPr>
      <w:keepNext/>
      <w:spacing w:after="120"/>
    </w:pPr>
    <w:rPr>
      <w:b/>
      <w:i/>
    </w:rPr>
  </w:style>
  <w:style w:type="paragraph" w:customStyle="1" w:styleId="FooterLine">
    <w:name w:val="Footer Line"/>
    <w:basedOn w:val="Footer"/>
    <w:next w:val="Footer"/>
    <w:semiHidden/>
    <w:rsid w:val="00F70481"/>
    <w:pPr>
      <w:tabs>
        <w:tab w:val="clear" w:pos="4513"/>
        <w:tab w:val="clear" w:pos="9026"/>
        <w:tab w:val="right" w:pos="8646"/>
      </w:tabs>
      <w:spacing w:before="120" w:line="264" w:lineRule="auto"/>
      <w:jc w:val="both"/>
    </w:pPr>
    <w:rPr>
      <w:rFonts w:ascii="Times New Roman" w:eastAsia="Times New Roman" w:hAnsi="Times New Roman" w:cs="Times New Roman"/>
      <w:kern w:val="0"/>
      <w:sz w:val="16"/>
      <w:szCs w:val="20"/>
      <w:lang w:eastAsia="en-IE"/>
      <w14:ligatures w14:val="none"/>
    </w:rPr>
  </w:style>
  <w:style w:type="paragraph" w:customStyle="1" w:styleId="HistoryTable">
    <w:name w:val="HistoryTable"/>
    <w:basedOn w:val="Normal"/>
    <w:semiHidden/>
    <w:rsid w:val="00F70481"/>
    <w:pPr>
      <w:spacing w:before="60" w:after="60" w:line="240" w:lineRule="auto"/>
    </w:pPr>
    <w:rPr>
      <w:rFonts w:ascii="Times New Roman" w:eastAsia="Times New Roman" w:hAnsi="Times New Roman" w:cs="Times New Roman"/>
      <w:kern w:val="0"/>
      <w:sz w:val="20"/>
      <w:szCs w:val="20"/>
      <w:lang w:eastAsia="en-IE"/>
      <w14:ligatures w14:val="none"/>
    </w:rPr>
  </w:style>
  <w:style w:type="paragraph" w:customStyle="1" w:styleId="HistTableHeading">
    <w:name w:val="HistTableHeading"/>
    <w:basedOn w:val="Normal"/>
    <w:next w:val="HistoryTable"/>
    <w:semiHidden/>
    <w:rsid w:val="00F70481"/>
    <w:pPr>
      <w:spacing w:before="240" w:after="240" w:line="240" w:lineRule="auto"/>
      <w:jc w:val="center"/>
    </w:pPr>
    <w:rPr>
      <w:rFonts w:ascii="Times New Roman Bold" w:eastAsia="Times New Roman" w:hAnsi="Times New Roman Bold" w:cs="Times New Roman"/>
      <w:b/>
      <w:caps/>
      <w:kern w:val="0"/>
      <w:sz w:val="24"/>
      <w:szCs w:val="20"/>
      <w:lang w:eastAsia="en-IE"/>
      <w14:ligatures w14:val="none"/>
    </w:rPr>
  </w:style>
  <w:style w:type="paragraph" w:customStyle="1" w:styleId="LegalNumPar">
    <w:name w:val="LegalNumPar"/>
    <w:basedOn w:val="Normal"/>
    <w:uiPriority w:val="20"/>
    <w:qFormat/>
    <w:rsid w:val="00F70481"/>
    <w:pPr>
      <w:numPr>
        <w:numId w:val="17"/>
      </w:numPr>
      <w:tabs>
        <w:tab w:val="clear" w:pos="476"/>
      </w:tabs>
      <w:spacing w:after="240" w:line="360" w:lineRule="auto"/>
      <w:ind w:left="0" w:firstLine="0"/>
      <w:jc w:val="both"/>
    </w:pPr>
    <w:rPr>
      <w:rFonts w:ascii="Times New Roman" w:eastAsia="Times New Roman" w:hAnsi="Times New Roman" w:cs="Times New Roman"/>
      <w:kern w:val="0"/>
      <w:sz w:val="24"/>
      <w:szCs w:val="20"/>
      <w:lang w:eastAsia="en-IE"/>
      <w14:ligatures w14:val="none"/>
    </w:rPr>
  </w:style>
  <w:style w:type="paragraph" w:customStyle="1" w:styleId="LegalNumPar2">
    <w:name w:val="LegalNumPar2"/>
    <w:basedOn w:val="Normal"/>
    <w:uiPriority w:val="20"/>
    <w:rsid w:val="00F70481"/>
    <w:pPr>
      <w:numPr>
        <w:ilvl w:val="1"/>
        <w:numId w:val="17"/>
      </w:numPr>
      <w:tabs>
        <w:tab w:val="clear" w:pos="952"/>
      </w:tabs>
      <w:spacing w:after="240" w:line="360" w:lineRule="auto"/>
      <w:ind w:left="0" w:firstLine="0"/>
      <w:jc w:val="both"/>
    </w:pPr>
    <w:rPr>
      <w:rFonts w:ascii="Times New Roman" w:eastAsia="Times New Roman" w:hAnsi="Times New Roman" w:cs="Times New Roman"/>
      <w:kern w:val="0"/>
      <w:sz w:val="24"/>
      <w:szCs w:val="20"/>
      <w:lang w:eastAsia="en-IE"/>
      <w14:ligatures w14:val="none"/>
    </w:rPr>
  </w:style>
  <w:style w:type="paragraph" w:customStyle="1" w:styleId="LegalNumPar3">
    <w:name w:val="LegalNumPar3"/>
    <w:basedOn w:val="Normal"/>
    <w:uiPriority w:val="20"/>
    <w:rsid w:val="00F70481"/>
    <w:pPr>
      <w:numPr>
        <w:ilvl w:val="2"/>
        <w:numId w:val="17"/>
      </w:numPr>
      <w:tabs>
        <w:tab w:val="clear" w:pos="1429"/>
      </w:tabs>
      <w:spacing w:after="240" w:line="360" w:lineRule="auto"/>
      <w:ind w:left="0" w:firstLine="0"/>
      <w:jc w:val="both"/>
    </w:pPr>
    <w:rPr>
      <w:rFonts w:ascii="Times New Roman" w:eastAsia="Times New Roman" w:hAnsi="Times New Roman" w:cs="Times New Roman"/>
      <w:kern w:val="0"/>
      <w:sz w:val="24"/>
      <w:szCs w:val="20"/>
      <w:lang w:eastAsia="en-IE"/>
      <w14:ligatures w14:val="none"/>
    </w:rPr>
  </w:style>
  <w:style w:type="paragraph" w:styleId="ListBullet">
    <w:name w:val="List Bullet"/>
    <w:basedOn w:val="Normal"/>
    <w:uiPriority w:val="35"/>
    <w:rsid w:val="00F70481"/>
    <w:pPr>
      <w:numPr>
        <w:numId w:val="16"/>
      </w:numPr>
      <w:tabs>
        <w:tab w:val="clear" w:pos="283"/>
      </w:tabs>
      <w:spacing w:after="240" w:line="240" w:lineRule="auto"/>
      <w:ind w:left="0" w:firstLine="0"/>
      <w:jc w:val="both"/>
    </w:pPr>
    <w:rPr>
      <w:rFonts w:ascii="Times New Roman" w:eastAsia="Times New Roman" w:hAnsi="Times New Roman" w:cs="Times New Roman"/>
      <w:kern w:val="0"/>
      <w:sz w:val="24"/>
      <w:szCs w:val="20"/>
      <w:lang w:eastAsia="en-IE"/>
      <w14:ligatures w14:val="none"/>
    </w:rPr>
  </w:style>
  <w:style w:type="paragraph" w:customStyle="1" w:styleId="ListBulletLevel2">
    <w:name w:val="List Bullet (Level 2)"/>
    <w:basedOn w:val="Normal"/>
    <w:uiPriority w:val="35"/>
    <w:semiHidden/>
    <w:unhideWhenUsed/>
    <w:rsid w:val="00F70481"/>
    <w:pPr>
      <w:numPr>
        <w:ilvl w:val="1"/>
        <w:numId w:val="16"/>
      </w:numPr>
      <w:tabs>
        <w:tab w:val="clear" w:pos="567"/>
      </w:tabs>
      <w:spacing w:after="240" w:line="240" w:lineRule="auto"/>
      <w:ind w:left="0" w:firstLine="0"/>
      <w:jc w:val="both"/>
    </w:pPr>
    <w:rPr>
      <w:rFonts w:ascii="Times New Roman" w:eastAsia="Times New Roman" w:hAnsi="Times New Roman" w:cs="Times New Roman"/>
      <w:kern w:val="0"/>
      <w:sz w:val="24"/>
      <w:szCs w:val="20"/>
      <w:lang w:eastAsia="en-IE"/>
      <w14:ligatures w14:val="none"/>
    </w:rPr>
  </w:style>
  <w:style w:type="paragraph" w:customStyle="1" w:styleId="ListBulletLevel3">
    <w:name w:val="List Bullet (Level 3)"/>
    <w:basedOn w:val="Normal"/>
    <w:uiPriority w:val="35"/>
    <w:semiHidden/>
    <w:unhideWhenUsed/>
    <w:rsid w:val="00F70481"/>
    <w:pPr>
      <w:numPr>
        <w:ilvl w:val="2"/>
        <w:numId w:val="16"/>
      </w:numPr>
      <w:tabs>
        <w:tab w:val="clear" w:pos="850"/>
      </w:tabs>
      <w:spacing w:after="240" w:line="240" w:lineRule="auto"/>
      <w:ind w:left="0" w:firstLine="0"/>
      <w:jc w:val="both"/>
    </w:pPr>
    <w:rPr>
      <w:rFonts w:ascii="Times New Roman" w:eastAsia="Times New Roman" w:hAnsi="Times New Roman" w:cs="Times New Roman"/>
      <w:kern w:val="0"/>
      <w:sz w:val="24"/>
      <w:szCs w:val="20"/>
      <w:lang w:eastAsia="en-IE"/>
      <w14:ligatures w14:val="none"/>
    </w:rPr>
  </w:style>
  <w:style w:type="paragraph" w:customStyle="1" w:styleId="ListBulletLevel4">
    <w:name w:val="List Bullet (Level 4)"/>
    <w:basedOn w:val="Normal"/>
    <w:uiPriority w:val="35"/>
    <w:semiHidden/>
    <w:unhideWhenUsed/>
    <w:rsid w:val="00F70481"/>
    <w:pPr>
      <w:numPr>
        <w:ilvl w:val="3"/>
        <w:numId w:val="16"/>
      </w:numPr>
      <w:tabs>
        <w:tab w:val="clear" w:pos="1134"/>
      </w:tabs>
      <w:spacing w:after="240" w:line="240" w:lineRule="auto"/>
      <w:ind w:left="0" w:firstLine="0"/>
      <w:jc w:val="both"/>
    </w:pPr>
    <w:rPr>
      <w:rFonts w:ascii="Times New Roman" w:eastAsia="Times New Roman" w:hAnsi="Times New Roman" w:cs="Times New Roman"/>
      <w:kern w:val="0"/>
      <w:sz w:val="24"/>
      <w:szCs w:val="20"/>
      <w:lang w:eastAsia="en-IE"/>
      <w14:ligatures w14:val="none"/>
    </w:rPr>
  </w:style>
  <w:style w:type="paragraph" w:customStyle="1" w:styleId="ListBullet1">
    <w:name w:val="List Bullet 1"/>
    <w:basedOn w:val="Text1"/>
    <w:uiPriority w:val="35"/>
    <w:rsid w:val="00F70481"/>
    <w:pPr>
      <w:numPr>
        <w:numId w:val="15"/>
      </w:numPr>
      <w:tabs>
        <w:tab w:val="clear" w:pos="765"/>
      </w:tabs>
      <w:ind w:left="0" w:firstLine="0"/>
    </w:pPr>
  </w:style>
  <w:style w:type="paragraph" w:customStyle="1" w:styleId="ListBullet1Level2">
    <w:name w:val="List Bullet 1 (Level 2)"/>
    <w:basedOn w:val="Text1"/>
    <w:uiPriority w:val="35"/>
    <w:semiHidden/>
    <w:unhideWhenUsed/>
    <w:rsid w:val="00F70481"/>
    <w:pPr>
      <w:numPr>
        <w:ilvl w:val="1"/>
        <w:numId w:val="15"/>
      </w:numPr>
      <w:tabs>
        <w:tab w:val="clear" w:pos="1049"/>
      </w:tabs>
      <w:ind w:left="0" w:firstLine="0"/>
    </w:pPr>
  </w:style>
  <w:style w:type="paragraph" w:customStyle="1" w:styleId="ListBullet1Level3">
    <w:name w:val="List Bullet 1 (Level 3)"/>
    <w:basedOn w:val="Text1"/>
    <w:uiPriority w:val="35"/>
    <w:semiHidden/>
    <w:unhideWhenUsed/>
    <w:rsid w:val="00F70481"/>
    <w:pPr>
      <w:numPr>
        <w:ilvl w:val="2"/>
        <w:numId w:val="15"/>
      </w:numPr>
      <w:tabs>
        <w:tab w:val="clear" w:pos="1332"/>
      </w:tabs>
      <w:ind w:left="0" w:firstLine="0"/>
    </w:pPr>
  </w:style>
  <w:style w:type="paragraph" w:customStyle="1" w:styleId="ListBullet1Level4">
    <w:name w:val="List Bullet 1 (Level 4)"/>
    <w:basedOn w:val="Text1"/>
    <w:uiPriority w:val="35"/>
    <w:semiHidden/>
    <w:unhideWhenUsed/>
    <w:rsid w:val="00F70481"/>
    <w:pPr>
      <w:numPr>
        <w:ilvl w:val="3"/>
        <w:numId w:val="15"/>
      </w:numPr>
      <w:tabs>
        <w:tab w:val="clear" w:pos="1616"/>
      </w:tabs>
      <w:ind w:left="0" w:firstLine="0"/>
    </w:pPr>
  </w:style>
  <w:style w:type="paragraph" w:styleId="ListBullet2">
    <w:name w:val="List Bullet 2"/>
    <w:basedOn w:val="Text2"/>
    <w:uiPriority w:val="35"/>
    <w:rsid w:val="00F70481"/>
    <w:pPr>
      <w:numPr>
        <w:numId w:val="14"/>
      </w:numPr>
      <w:tabs>
        <w:tab w:val="clear" w:pos="1485"/>
      </w:tabs>
      <w:ind w:left="0" w:firstLine="0"/>
    </w:pPr>
  </w:style>
  <w:style w:type="paragraph" w:customStyle="1" w:styleId="ListBullet2Level2">
    <w:name w:val="List Bullet 2 (Level 2)"/>
    <w:basedOn w:val="Text2"/>
    <w:uiPriority w:val="35"/>
    <w:semiHidden/>
    <w:unhideWhenUsed/>
    <w:rsid w:val="00F70481"/>
    <w:pPr>
      <w:numPr>
        <w:ilvl w:val="1"/>
        <w:numId w:val="14"/>
      </w:numPr>
      <w:tabs>
        <w:tab w:val="clear" w:pos="1769"/>
      </w:tabs>
      <w:ind w:left="0" w:firstLine="0"/>
    </w:pPr>
  </w:style>
  <w:style w:type="paragraph" w:customStyle="1" w:styleId="ListBullet2Level3">
    <w:name w:val="List Bullet 2 (Level 3)"/>
    <w:basedOn w:val="Text2"/>
    <w:uiPriority w:val="35"/>
    <w:semiHidden/>
    <w:unhideWhenUsed/>
    <w:rsid w:val="00F70481"/>
    <w:pPr>
      <w:numPr>
        <w:ilvl w:val="2"/>
        <w:numId w:val="14"/>
      </w:numPr>
      <w:tabs>
        <w:tab w:val="clear" w:pos="2052"/>
      </w:tabs>
      <w:ind w:left="0" w:firstLine="0"/>
    </w:pPr>
  </w:style>
  <w:style w:type="paragraph" w:customStyle="1" w:styleId="ListBullet2Level4">
    <w:name w:val="List Bullet 2 (Level 4)"/>
    <w:basedOn w:val="Text2"/>
    <w:uiPriority w:val="35"/>
    <w:semiHidden/>
    <w:unhideWhenUsed/>
    <w:rsid w:val="00F70481"/>
    <w:pPr>
      <w:numPr>
        <w:ilvl w:val="3"/>
        <w:numId w:val="14"/>
      </w:numPr>
      <w:tabs>
        <w:tab w:val="clear" w:pos="2336"/>
      </w:tabs>
      <w:ind w:left="0" w:firstLine="0"/>
    </w:pPr>
  </w:style>
  <w:style w:type="paragraph" w:styleId="ListBullet3">
    <w:name w:val="List Bullet 3"/>
    <w:basedOn w:val="Text3"/>
    <w:uiPriority w:val="35"/>
    <w:rsid w:val="00F70481"/>
    <w:pPr>
      <w:numPr>
        <w:numId w:val="13"/>
      </w:numPr>
      <w:tabs>
        <w:tab w:val="clear" w:pos="1485"/>
      </w:tabs>
      <w:ind w:left="0" w:firstLine="0"/>
    </w:pPr>
  </w:style>
  <w:style w:type="paragraph" w:customStyle="1" w:styleId="ListBullet3Level2">
    <w:name w:val="List Bullet 3 (Level 2)"/>
    <w:basedOn w:val="Text3"/>
    <w:uiPriority w:val="35"/>
    <w:semiHidden/>
    <w:unhideWhenUsed/>
    <w:rsid w:val="00F70481"/>
    <w:pPr>
      <w:numPr>
        <w:ilvl w:val="1"/>
        <w:numId w:val="13"/>
      </w:numPr>
      <w:tabs>
        <w:tab w:val="clear" w:pos="1769"/>
      </w:tabs>
      <w:ind w:left="0" w:firstLine="0"/>
    </w:pPr>
  </w:style>
  <w:style w:type="paragraph" w:customStyle="1" w:styleId="ListBullet3Level3">
    <w:name w:val="List Bullet 3 (Level 3)"/>
    <w:basedOn w:val="Text3"/>
    <w:uiPriority w:val="35"/>
    <w:semiHidden/>
    <w:unhideWhenUsed/>
    <w:rsid w:val="00F70481"/>
    <w:pPr>
      <w:numPr>
        <w:ilvl w:val="2"/>
        <w:numId w:val="13"/>
      </w:numPr>
      <w:tabs>
        <w:tab w:val="clear" w:pos="2052"/>
      </w:tabs>
      <w:ind w:left="0" w:firstLine="0"/>
    </w:pPr>
  </w:style>
  <w:style w:type="paragraph" w:customStyle="1" w:styleId="ListBullet3Level4">
    <w:name w:val="List Bullet 3 (Level 4)"/>
    <w:basedOn w:val="Text3"/>
    <w:uiPriority w:val="35"/>
    <w:semiHidden/>
    <w:unhideWhenUsed/>
    <w:rsid w:val="00F70481"/>
    <w:pPr>
      <w:numPr>
        <w:ilvl w:val="3"/>
        <w:numId w:val="13"/>
      </w:numPr>
      <w:tabs>
        <w:tab w:val="clear" w:pos="2336"/>
      </w:tabs>
      <w:ind w:left="0" w:firstLine="0"/>
    </w:pPr>
  </w:style>
  <w:style w:type="paragraph" w:styleId="ListBullet4">
    <w:name w:val="List Bullet 4"/>
    <w:basedOn w:val="Text4"/>
    <w:uiPriority w:val="35"/>
    <w:rsid w:val="00F70481"/>
    <w:pPr>
      <w:numPr>
        <w:numId w:val="12"/>
      </w:numPr>
      <w:tabs>
        <w:tab w:val="clear" w:pos="1485"/>
      </w:tabs>
      <w:ind w:left="0" w:firstLine="0"/>
    </w:pPr>
  </w:style>
  <w:style w:type="paragraph" w:customStyle="1" w:styleId="ListBullet4Level2">
    <w:name w:val="List Bullet 4 (Level 2)"/>
    <w:basedOn w:val="Text4"/>
    <w:uiPriority w:val="35"/>
    <w:semiHidden/>
    <w:unhideWhenUsed/>
    <w:rsid w:val="00F70481"/>
    <w:pPr>
      <w:numPr>
        <w:ilvl w:val="1"/>
        <w:numId w:val="12"/>
      </w:numPr>
      <w:tabs>
        <w:tab w:val="clear" w:pos="1769"/>
      </w:tabs>
      <w:ind w:left="0" w:firstLine="0"/>
    </w:pPr>
  </w:style>
  <w:style w:type="paragraph" w:customStyle="1" w:styleId="ListBullet4Level3">
    <w:name w:val="List Bullet 4 (Level 3)"/>
    <w:basedOn w:val="Text4"/>
    <w:uiPriority w:val="35"/>
    <w:semiHidden/>
    <w:unhideWhenUsed/>
    <w:rsid w:val="00F70481"/>
    <w:pPr>
      <w:numPr>
        <w:ilvl w:val="2"/>
        <w:numId w:val="12"/>
      </w:numPr>
      <w:tabs>
        <w:tab w:val="clear" w:pos="2052"/>
      </w:tabs>
      <w:ind w:left="0" w:firstLine="0"/>
    </w:pPr>
  </w:style>
  <w:style w:type="paragraph" w:customStyle="1" w:styleId="ListBullet4Level4">
    <w:name w:val="List Bullet 4 (Level 4)"/>
    <w:basedOn w:val="Text4"/>
    <w:uiPriority w:val="35"/>
    <w:semiHidden/>
    <w:unhideWhenUsed/>
    <w:rsid w:val="00F70481"/>
    <w:pPr>
      <w:numPr>
        <w:ilvl w:val="3"/>
        <w:numId w:val="12"/>
      </w:numPr>
      <w:tabs>
        <w:tab w:val="clear" w:pos="2336"/>
      </w:tabs>
      <w:ind w:left="0" w:firstLine="0"/>
    </w:pPr>
  </w:style>
  <w:style w:type="paragraph" w:customStyle="1" w:styleId="ListDash">
    <w:name w:val="List Dash"/>
    <w:basedOn w:val="Normal"/>
    <w:uiPriority w:val="35"/>
    <w:rsid w:val="00F70481"/>
    <w:pPr>
      <w:numPr>
        <w:numId w:val="6"/>
      </w:numPr>
      <w:tabs>
        <w:tab w:val="clear" w:pos="283"/>
      </w:tabs>
      <w:spacing w:after="240" w:line="240" w:lineRule="auto"/>
      <w:ind w:left="0" w:firstLine="0"/>
      <w:jc w:val="both"/>
    </w:pPr>
    <w:rPr>
      <w:rFonts w:ascii="Times New Roman" w:eastAsia="Times New Roman" w:hAnsi="Times New Roman" w:cs="Times New Roman"/>
      <w:kern w:val="0"/>
      <w:sz w:val="24"/>
      <w:szCs w:val="20"/>
      <w:lang w:eastAsia="en-IE"/>
      <w14:ligatures w14:val="none"/>
    </w:rPr>
  </w:style>
  <w:style w:type="paragraph" w:customStyle="1" w:styleId="ListDashLevel2">
    <w:name w:val="List Dash (Level 2)"/>
    <w:basedOn w:val="Normal"/>
    <w:semiHidden/>
    <w:unhideWhenUsed/>
    <w:rsid w:val="00F70481"/>
    <w:pPr>
      <w:numPr>
        <w:ilvl w:val="1"/>
        <w:numId w:val="6"/>
      </w:numPr>
      <w:tabs>
        <w:tab w:val="clear" w:pos="567"/>
      </w:tabs>
      <w:spacing w:after="240" w:line="240" w:lineRule="auto"/>
      <w:ind w:left="0" w:firstLine="0"/>
      <w:jc w:val="both"/>
    </w:pPr>
    <w:rPr>
      <w:rFonts w:ascii="Times New Roman" w:eastAsia="Times New Roman" w:hAnsi="Times New Roman" w:cs="Times New Roman"/>
      <w:kern w:val="0"/>
      <w:sz w:val="24"/>
      <w:szCs w:val="20"/>
      <w:lang w:eastAsia="en-IE"/>
      <w14:ligatures w14:val="none"/>
    </w:rPr>
  </w:style>
  <w:style w:type="paragraph" w:customStyle="1" w:styleId="ListDashLevel3">
    <w:name w:val="List Dash (Level 3)"/>
    <w:basedOn w:val="Normal"/>
    <w:semiHidden/>
    <w:unhideWhenUsed/>
    <w:rsid w:val="00F70481"/>
    <w:pPr>
      <w:numPr>
        <w:ilvl w:val="2"/>
        <w:numId w:val="6"/>
      </w:numPr>
      <w:tabs>
        <w:tab w:val="clear" w:pos="850"/>
      </w:tabs>
      <w:spacing w:after="240" w:line="240" w:lineRule="auto"/>
      <w:ind w:left="0" w:firstLine="0"/>
      <w:jc w:val="both"/>
    </w:pPr>
    <w:rPr>
      <w:rFonts w:ascii="Times New Roman" w:eastAsia="Times New Roman" w:hAnsi="Times New Roman" w:cs="Times New Roman"/>
      <w:kern w:val="0"/>
      <w:sz w:val="24"/>
      <w:szCs w:val="20"/>
      <w:lang w:eastAsia="en-IE"/>
      <w14:ligatures w14:val="none"/>
    </w:rPr>
  </w:style>
  <w:style w:type="paragraph" w:customStyle="1" w:styleId="ListDashLevel4">
    <w:name w:val="List Dash (Level 4)"/>
    <w:basedOn w:val="Normal"/>
    <w:semiHidden/>
    <w:unhideWhenUsed/>
    <w:rsid w:val="00F70481"/>
    <w:pPr>
      <w:numPr>
        <w:ilvl w:val="3"/>
        <w:numId w:val="6"/>
      </w:numPr>
      <w:tabs>
        <w:tab w:val="clear" w:pos="1134"/>
      </w:tabs>
      <w:spacing w:after="240" w:line="240" w:lineRule="auto"/>
      <w:ind w:left="0" w:firstLine="0"/>
      <w:jc w:val="both"/>
    </w:pPr>
    <w:rPr>
      <w:rFonts w:ascii="Times New Roman" w:eastAsia="Times New Roman" w:hAnsi="Times New Roman" w:cs="Times New Roman"/>
      <w:kern w:val="0"/>
      <w:sz w:val="24"/>
      <w:szCs w:val="20"/>
      <w:lang w:eastAsia="en-IE"/>
      <w14:ligatures w14:val="none"/>
    </w:rPr>
  </w:style>
  <w:style w:type="paragraph" w:customStyle="1" w:styleId="ListDash1">
    <w:name w:val="List Dash 1"/>
    <w:basedOn w:val="Text1"/>
    <w:uiPriority w:val="35"/>
    <w:rsid w:val="00F70481"/>
    <w:pPr>
      <w:numPr>
        <w:numId w:val="5"/>
      </w:numPr>
      <w:tabs>
        <w:tab w:val="clear" w:pos="765"/>
      </w:tabs>
      <w:ind w:left="0" w:firstLine="0"/>
    </w:pPr>
  </w:style>
  <w:style w:type="paragraph" w:customStyle="1" w:styleId="ListDash1Level2">
    <w:name w:val="List Dash 1 (Level 2)"/>
    <w:basedOn w:val="Text1"/>
    <w:uiPriority w:val="35"/>
    <w:semiHidden/>
    <w:unhideWhenUsed/>
    <w:rsid w:val="00F70481"/>
    <w:pPr>
      <w:numPr>
        <w:ilvl w:val="1"/>
        <w:numId w:val="5"/>
      </w:numPr>
      <w:tabs>
        <w:tab w:val="clear" w:pos="1049"/>
      </w:tabs>
      <w:ind w:left="0" w:firstLine="0"/>
    </w:pPr>
  </w:style>
  <w:style w:type="paragraph" w:customStyle="1" w:styleId="ListDash1Level3">
    <w:name w:val="List Dash 1 (Level 3)"/>
    <w:basedOn w:val="Text1"/>
    <w:uiPriority w:val="35"/>
    <w:semiHidden/>
    <w:unhideWhenUsed/>
    <w:rsid w:val="00F70481"/>
    <w:pPr>
      <w:numPr>
        <w:ilvl w:val="2"/>
        <w:numId w:val="5"/>
      </w:numPr>
      <w:tabs>
        <w:tab w:val="clear" w:pos="1332"/>
      </w:tabs>
      <w:ind w:left="0" w:firstLine="0"/>
    </w:pPr>
  </w:style>
  <w:style w:type="paragraph" w:customStyle="1" w:styleId="ListDash1Level4">
    <w:name w:val="List Dash 1 (Level 4)"/>
    <w:basedOn w:val="Text1"/>
    <w:uiPriority w:val="35"/>
    <w:semiHidden/>
    <w:unhideWhenUsed/>
    <w:rsid w:val="00F70481"/>
    <w:pPr>
      <w:numPr>
        <w:ilvl w:val="3"/>
        <w:numId w:val="5"/>
      </w:numPr>
      <w:tabs>
        <w:tab w:val="clear" w:pos="1616"/>
      </w:tabs>
      <w:ind w:left="0" w:firstLine="0"/>
    </w:pPr>
  </w:style>
  <w:style w:type="paragraph" w:customStyle="1" w:styleId="ListDash2">
    <w:name w:val="List Dash 2"/>
    <w:basedOn w:val="Text2"/>
    <w:uiPriority w:val="35"/>
    <w:rsid w:val="00F70481"/>
    <w:pPr>
      <w:numPr>
        <w:numId w:val="4"/>
      </w:numPr>
      <w:tabs>
        <w:tab w:val="clear" w:pos="1485"/>
      </w:tabs>
      <w:ind w:left="0" w:firstLine="0"/>
    </w:pPr>
  </w:style>
  <w:style w:type="paragraph" w:customStyle="1" w:styleId="ListDash2Level2">
    <w:name w:val="List Dash 2 (Level 2)"/>
    <w:basedOn w:val="Text2"/>
    <w:uiPriority w:val="35"/>
    <w:semiHidden/>
    <w:unhideWhenUsed/>
    <w:rsid w:val="00F70481"/>
    <w:pPr>
      <w:numPr>
        <w:ilvl w:val="1"/>
        <w:numId w:val="4"/>
      </w:numPr>
      <w:tabs>
        <w:tab w:val="clear" w:pos="1769"/>
      </w:tabs>
      <w:ind w:left="0" w:firstLine="0"/>
    </w:pPr>
  </w:style>
  <w:style w:type="paragraph" w:customStyle="1" w:styleId="ListDash2Level3">
    <w:name w:val="List Dash 2 (Level 3)"/>
    <w:basedOn w:val="Text2"/>
    <w:uiPriority w:val="35"/>
    <w:semiHidden/>
    <w:unhideWhenUsed/>
    <w:rsid w:val="00F70481"/>
    <w:pPr>
      <w:numPr>
        <w:ilvl w:val="2"/>
        <w:numId w:val="4"/>
      </w:numPr>
      <w:tabs>
        <w:tab w:val="clear" w:pos="2052"/>
      </w:tabs>
      <w:ind w:left="0" w:firstLine="0"/>
    </w:pPr>
  </w:style>
  <w:style w:type="paragraph" w:customStyle="1" w:styleId="ListDash2Level4">
    <w:name w:val="List Dash 2 (Level 4)"/>
    <w:basedOn w:val="Text2"/>
    <w:uiPriority w:val="35"/>
    <w:semiHidden/>
    <w:unhideWhenUsed/>
    <w:rsid w:val="00F70481"/>
    <w:pPr>
      <w:numPr>
        <w:ilvl w:val="3"/>
        <w:numId w:val="4"/>
      </w:numPr>
      <w:tabs>
        <w:tab w:val="clear" w:pos="2336"/>
      </w:tabs>
      <w:ind w:left="0" w:firstLine="0"/>
    </w:pPr>
  </w:style>
  <w:style w:type="paragraph" w:customStyle="1" w:styleId="ListDash3">
    <w:name w:val="List Dash 3"/>
    <w:basedOn w:val="Text3"/>
    <w:uiPriority w:val="35"/>
    <w:rsid w:val="00F70481"/>
    <w:pPr>
      <w:numPr>
        <w:numId w:val="3"/>
      </w:numPr>
      <w:tabs>
        <w:tab w:val="clear" w:pos="1485"/>
      </w:tabs>
      <w:ind w:left="0" w:firstLine="0"/>
    </w:pPr>
  </w:style>
  <w:style w:type="paragraph" w:customStyle="1" w:styleId="ListDash3Level2">
    <w:name w:val="List Dash 3 (Level 2)"/>
    <w:basedOn w:val="Text3"/>
    <w:uiPriority w:val="35"/>
    <w:semiHidden/>
    <w:unhideWhenUsed/>
    <w:rsid w:val="00F70481"/>
    <w:pPr>
      <w:numPr>
        <w:ilvl w:val="1"/>
        <w:numId w:val="3"/>
      </w:numPr>
      <w:tabs>
        <w:tab w:val="clear" w:pos="1769"/>
      </w:tabs>
      <w:ind w:left="0" w:firstLine="0"/>
    </w:pPr>
  </w:style>
  <w:style w:type="paragraph" w:customStyle="1" w:styleId="ListDash3Level3">
    <w:name w:val="List Dash 3 (Level 3)"/>
    <w:basedOn w:val="Text3"/>
    <w:uiPriority w:val="35"/>
    <w:semiHidden/>
    <w:unhideWhenUsed/>
    <w:rsid w:val="00F70481"/>
    <w:pPr>
      <w:numPr>
        <w:ilvl w:val="2"/>
        <w:numId w:val="3"/>
      </w:numPr>
      <w:tabs>
        <w:tab w:val="clear" w:pos="2052"/>
      </w:tabs>
      <w:ind w:left="0" w:firstLine="0"/>
    </w:pPr>
  </w:style>
  <w:style w:type="paragraph" w:customStyle="1" w:styleId="ListDash3Level4">
    <w:name w:val="List Dash 3 (Level 4)"/>
    <w:basedOn w:val="Text3"/>
    <w:uiPriority w:val="35"/>
    <w:semiHidden/>
    <w:unhideWhenUsed/>
    <w:rsid w:val="00F70481"/>
    <w:pPr>
      <w:numPr>
        <w:ilvl w:val="3"/>
        <w:numId w:val="3"/>
      </w:numPr>
      <w:tabs>
        <w:tab w:val="clear" w:pos="2336"/>
      </w:tabs>
      <w:ind w:left="0" w:firstLine="0"/>
    </w:pPr>
  </w:style>
  <w:style w:type="paragraph" w:customStyle="1" w:styleId="ListDash4">
    <w:name w:val="List Dash 4"/>
    <w:basedOn w:val="Text4"/>
    <w:uiPriority w:val="35"/>
    <w:rsid w:val="00F70481"/>
    <w:pPr>
      <w:numPr>
        <w:numId w:val="2"/>
      </w:numPr>
      <w:tabs>
        <w:tab w:val="clear" w:pos="1485"/>
      </w:tabs>
      <w:ind w:left="0" w:firstLine="0"/>
    </w:pPr>
  </w:style>
  <w:style w:type="paragraph" w:customStyle="1" w:styleId="ListDash4Level2">
    <w:name w:val="List Dash 4 (Level 2)"/>
    <w:basedOn w:val="Text4"/>
    <w:uiPriority w:val="35"/>
    <w:semiHidden/>
    <w:unhideWhenUsed/>
    <w:rsid w:val="00F70481"/>
    <w:pPr>
      <w:numPr>
        <w:ilvl w:val="1"/>
        <w:numId w:val="2"/>
      </w:numPr>
      <w:tabs>
        <w:tab w:val="clear" w:pos="1769"/>
      </w:tabs>
      <w:ind w:left="0" w:firstLine="0"/>
    </w:pPr>
  </w:style>
  <w:style w:type="paragraph" w:customStyle="1" w:styleId="ListDash4Level3">
    <w:name w:val="List Dash 4 (Level 3)"/>
    <w:basedOn w:val="Text4"/>
    <w:uiPriority w:val="35"/>
    <w:semiHidden/>
    <w:unhideWhenUsed/>
    <w:rsid w:val="00F70481"/>
    <w:pPr>
      <w:numPr>
        <w:ilvl w:val="2"/>
        <w:numId w:val="2"/>
      </w:numPr>
      <w:tabs>
        <w:tab w:val="clear" w:pos="2052"/>
      </w:tabs>
      <w:ind w:left="0" w:firstLine="0"/>
    </w:pPr>
  </w:style>
  <w:style w:type="paragraph" w:customStyle="1" w:styleId="ListDash4Level4">
    <w:name w:val="List Dash 4 (Level 4)"/>
    <w:basedOn w:val="Text4"/>
    <w:uiPriority w:val="35"/>
    <w:semiHidden/>
    <w:unhideWhenUsed/>
    <w:rsid w:val="00F70481"/>
    <w:pPr>
      <w:numPr>
        <w:ilvl w:val="3"/>
        <w:numId w:val="2"/>
      </w:numPr>
      <w:tabs>
        <w:tab w:val="clear" w:pos="2336"/>
      </w:tabs>
      <w:ind w:left="0" w:firstLine="0"/>
    </w:pPr>
  </w:style>
  <w:style w:type="paragraph" w:styleId="ListNumber">
    <w:name w:val="List Number"/>
    <w:basedOn w:val="Normal"/>
    <w:uiPriority w:val="30"/>
    <w:rsid w:val="00F70481"/>
    <w:pPr>
      <w:numPr>
        <w:numId w:val="11"/>
      </w:numPr>
      <w:tabs>
        <w:tab w:val="clear" w:pos="709"/>
      </w:tabs>
      <w:spacing w:after="240" w:line="240" w:lineRule="auto"/>
      <w:ind w:left="0" w:firstLine="0"/>
      <w:jc w:val="both"/>
    </w:pPr>
    <w:rPr>
      <w:rFonts w:ascii="Times New Roman" w:eastAsia="Times New Roman" w:hAnsi="Times New Roman" w:cs="Times New Roman"/>
      <w:kern w:val="0"/>
      <w:sz w:val="24"/>
      <w:szCs w:val="20"/>
      <w:lang w:eastAsia="en-IE"/>
      <w14:ligatures w14:val="none"/>
    </w:rPr>
  </w:style>
  <w:style w:type="paragraph" w:customStyle="1" w:styleId="ListNumberLevel2">
    <w:name w:val="List Number (Level 2)"/>
    <w:basedOn w:val="Normal"/>
    <w:uiPriority w:val="30"/>
    <w:rsid w:val="00F70481"/>
    <w:pPr>
      <w:numPr>
        <w:ilvl w:val="1"/>
        <w:numId w:val="11"/>
      </w:numPr>
      <w:tabs>
        <w:tab w:val="clear" w:pos="1417"/>
      </w:tabs>
      <w:spacing w:after="240" w:line="240" w:lineRule="auto"/>
      <w:ind w:left="0" w:firstLine="0"/>
      <w:jc w:val="both"/>
    </w:pPr>
    <w:rPr>
      <w:rFonts w:ascii="Times New Roman" w:eastAsia="Times New Roman" w:hAnsi="Times New Roman" w:cs="Times New Roman"/>
      <w:kern w:val="0"/>
      <w:sz w:val="24"/>
      <w:szCs w:val="20"/>
      <w:lang w:eastAsia="en-IE"/>
      <w14:ligatures w14:val="none"/>
    </w:rPr>
  </w:style>
  <w:style w:type="paragraph" w:customStyle="1" w:styleId="ListNumberLevel3">
    <w:name w:val="List Number (Level 3)"/>
    <w:basedOn w:val="Normal"/>
    <w:uiPriority w:val="30"/>
    <w:rsid w:val="00F70481"/>
    <w:pPr>
      <w:numPr>
        <w:ilvl w:val="2"/>
        <w:numId w:val="11"/>
      </w:numPr>
      <w:tabs>
        <w:tab w:val="clear" w:pos="2126"/>
      </w:tabs>
      <w:spacing w:after="240" w:line="240" w:lineRule="auto"/>
      <w:ind w:left="0" w:firstLine="0"/>
      <w:jc w:val="both"/>
    </w:pPr>
    <w:rPr>
      <w:rFonts w:ascii="Times New Roman" w:eastAsia="Times New Roman" w:hAnsi="Times New Roman" w:cs="Times New Roman"/>
      <w:kern w:val="0"/>
      <w:sz w:val="24"/>
      <w:szCs w:val="20"/>
      <w:lang w:eastAsia="en-IE"/>
      <w14:ligatures w14:val="none"/>
    </w:rPr>
  </w:style>
  <w:style w:type="paragraph" w:customStyle="1" w:styleId="ListNumberLevel4">
    <w:name w:val="List Number (Level 4)"/>
    <w:basedOn w:val="Normal"/>
    <w:uiPriority w:val="30"/>
    <w:rsid w:val="00F70481"/>
    <w:pPr>
      <w:numPr>
        <w:ilvl w:val="3"/>
        <w:numId w:val="11"/>
      </w:numPr>
      <w:tabs>
        <w:tab w:val="clear" w:pos="2835"/>
      </w:tabs>
      <w:spacing w:after="240" w:line="240" w:lineRule="auto"/>
      <w:ind w:left="0" w:firstLine="0"/>
      <w:jc w:val="both"/>
    </w:pPr>
    <w:rPr>
      <w:rFonts w:ascii="Times New Roman" w:eastAsia="Times New Roman" w:hAnsi="Times New Roman" w:cs="Times New Roman"/>
      <w:kern w:val="0"/>
      <w:sz w:val="24"/>
      <w:szCs w:val="20"/>
      <w:lang w:eastAsia="en-IE"/>
      <w14:ligatures w14:val="none"/>
    </w:rPr>
  </w:style>
  <w:style w:type="paragraph" w:customStyle="1" w:styleId="ListNumber1">
    <w:name w:val="List Number 1"/>
    <w:basedOn w:val="Text1"/>
    <w:uiPriority w:val="30"/>
    <w:rsid w:val="00F70481"/>
    <w:pPr>
      <w:numPr>
        <w:numId w:val="10"/>
      </w:numPr>
      <w:tabs>
        <w:tab w:val="clear" w:pos="1191"/>
      </w:tabs>
      <w:ind w:left="0" w:firstLine="0"/>
    </w:pPr>
  </w:style>
  <w:style w:type="paragraph" w:customStyle="1" w:styleId="ListNumber1Level2">
    <w:name w:val="List Number 1 (Level 2)"/>
    <w:basedOn w:val="Text1"/>
    <w:uiPriority w:val="30"/>
    <w:semiHidden/>
    <w:unhideWhenUsed/>
    <w:rsid w:val="00F70481"/>
    <w:pPr>
      <w:numPr>
        <w:ilvl w:val="1"/>
        <w:numId w:val="10"/>
      </w:numPr>
      <w:tabs>
        <w:tab w:val="clear" w:pos="1899"/>
      </w:tabs>
      <w:ind w:left="0" w:firstLine="0"/>
    </w:pPr>
  </w:style>
  <w:style w:type="paragraph" w:customStyle="1" w:styleId="ListNumber1Level3">
    <w:name w:val="List Number 1 (Level 3)"/>
    <w:basedOn w:val="Text1"/>
    <w:uiPriority w:val="30"/>
    <w:semiHidden/>
    <w:unhideWhenUsed/>
    <w:rsid w:val="00F70481"/>
    <w:pPr>
      <w:numPr>
        <w:ilvl w:val="2"/>
        <w:numId w:val="10"/>
      </w:numPr>
      <w:tabs>
        <w:tab w:val="clear" w:pos="2608"/>
      </w:tabs>
      <w:ind w:left="0" w:firstLine="0"/>
    </w:pPr>
  </w:style>
  <w:style w:type="paragraph" w:customStyle="1" w:styleId="ListNumber1Level4">
    <w:name w:val="List Number 1 (Level 4)"/>
    <w:basedOn w:val="Text1"/>
    <w:uiPriority w:val="30"/>
    <w:semiHidden/>
    <w:unhideWhenUsed/>
    <w:rsid w:val="00F70481"/>
    <w:pPr>
      <w:numPr>
        <w:ilvl w:val="3"/>
        <w:numId w:val="10"/>
      </w:numPr>
      <w:tabs>
        <w:tab w:val="clear" w:pos="3317"/>
      </w:tabs>
      <w:ind w:left="0" w:firstLine="0"/>
    </w:pPr>
  </w:style>
  <w:style w:type="paragraph" w:styleId="ListNumber2">
    <w:name w:val="List Number 2"/>
    <w:basedOn w:val="Text2"/>
    <w:uiPriority w:val="30"/>
    <w:rsid w:val="00F70481"/>
    <w:pPr>
      <w:numPr>
        <w:numId w:val="9"/>
      </w:numPr>
      <w:tabs>
        <w:tab w:val="clear" w:pos="1911"/>
      </w:tabs>
      <w:ind w:left="0" w:firstLine="0"/>
    </w:pPr>
  </w:style>
  <w:style w:type="paragraph" w:customStyle="1" w:styleId="ListNumber2Level2">
    <w:name w:val="List Number 2 (Level 2)"/>
    <w:basedOn w:val="Text2"/>
    <w:uiPriority w:val="30"/>
    <w:semiHidden/>
    <w:unhideWhenUsed/>
    <w:rsid w:val="00F70481"/>
    <w:pPr>
      <w:numPr>
        <w:ilvl w:val="1"/>
        <w:numId w:val="9"/>
      </w:numPr>
      <w:tabs>
        <w:tab w:val="clear" w:pos="2619"/>
      </w:tabs>
      <w:ind w:left="0" w:firstLine="0"/>
    </w:pPr>
  </w:style>
  <w:style w:type="paragraph" w:customStyle="1" w:styleId="ListNumber2Level3">
    <w:name w:val="List Number 2 (Level 3)"/>
    <w:basedOn w:val="Text2"/>
    <w:uiPriority w:val="30"/>
    <w:semiHidden/>
    <w:unhideWhenUsed/>
    <w:rsid w:val="00F70481"/>
    <w:pPr>
      <w:numPr>
        <w:ilvl w:val="2"/>
        <w:numId w:val="9"/>
      </w:numPr>
      <w:tabs>
        <w:tab w:val="clear" w:pos="3328"/>
      </w:tabs>
      <w:ind w:left="0" w:firstLine="0"/>
    </w:pPr>
  </w:style>
  <w:style w:type="paragraph" w:customStyle="1" w:styleId="ListNumber2Level4">
    <w:name w:val="List Number 2 (Level 4)"/>
    <w:basedOn w:val="Text2"/>
    <w:uiPriority w:val="30"/>
    <w:semiHidden/>
    <w:unhideWhenUsed/>
    <w:rsid w:val="00F70481"/>
    <w:pPr>
      <w:numPr>
        <w:ilvl w:val="3"/>
        <w:numId w:val="9"/>
      </w:numPr>
      <w:tabs>
        <w:tab w:val="clear" w:pos="4037"/>
      </w:tabs>
      <w:ind w:left="0" w:firstLine="0"/>
    </w:pPr>
  </w:style>
  <w:style w:type="paragraph" w:styleId="ListNumber3">
    <w:name w:val="List Number 3"/>
    <w:basedOn w:val="Text3"/>
    <w:uiPriority w:val="30"/>
    <w:rsid w:val="00F70481"/>
    <w:pPr>
      <w:numPr>
        <w:numId w:val="8"/>
      </w:numPr>
      <w:tabs>
        <w:tab w:val="clear" w:pos="1911"/>
      </w:tabs>
      <w:ind w:left="0" w:firstLine="0"/>
    </w:pPr>
  </w:style>
  <w:style w:type="paragraph" w:customStyle="1" w:styleId="ListNumber3Level2">
    <w:name w:val="List Number 3 (Level 2)"/>
    <w:basedOn w:val="Text3"/>
    <w:uiPriority w:val="30"/>
    <w:semiHidden/>
    <w:unhideWhenUsed/>
    <w:rsid w:val="00F70481"/>
    <w:pPr>
      <w:numPr>
        <w:ilvl w:val="1"/>
        <w:numId w:val="8"/>
      </w:numPr>
      <w:tabs>
        <w:tab w:val="clear" w:pos="2619"/>
      </w:tabs>
      <w:ind w:left="0" w:firstLine="0"/>
    </w:pPr>
  </w:style>
  <w:style w:type="paragraph" w:customStyle="1" w:styleId="ListNumber3Level3">
    <w:name w:val="List Number 3 (Level 3)"/>
    <w:basedOn w:val="Text3"/>
    <w:uiPriority w:val="30"/>
    <w:semiHidden/>
    <w:unhideWhenUsed/>
    <w:rsid w:val="00F70481"/>
    <w:pPr>
      <w:numPr>
        <w:ilvl w:val="2"/>
        <w:numId w:val="8"/>
      </w:numPr>
      <w:tabs>
        <w:tab w:val="clear" w:pos="3328"/>
      </w:tabs>
      <w:ind w:left="0" w:firstLine="0"/>
    </w:pPr>
  </w:style>
  <w:style w:type="paragraph" w:customStyle="1" w:styleId="ListNumber3Level4">
    <w:name w:val="List Number 3 (Level 4)"/>
    <w:basedOn w:val="Text3"/>
    <w:uiPriority w:val="30"/>
    <w:semiHidden/>
    <w:unhideWhenUsed/>
    <w:rsid w:val="00F70481"/>
    <w:pPr>
      <w:numPr>
        <w:ilvl w:val="3"/>
        <w:numId w:val="8"/>
      </w:numPr>
      <w:tabs>
        <w:tab w:val="clear" w:pos="4037"/>
      </w:tabs>
      <w:ind w:left="0" w:firstLine="0"/>
    </w:pPr>
  </w:style>
  <w:style w:type="paragraph" w:styleId="ListNumber4">
    <w:name w:val="List Number 4"/>
    <w:basedOn w:val="Text4"/>
    <w:uiPriority w:val="30"/>
    <w:rsid w:val="00F70481"/>
    <w:pPr>
      <w:numPr>
        <w:numId w:val="7"/>
      </w:numPr>
      <w:tabs>
        <w:tab w:val="clear" w:pos="1911"/>
      </w:tabs>
      <w:ind w:left="0" w:firstLine="0"/>
    </w:pPr>
  </w:style>
  <w:style w:type="paragraph" w:customStyle="1" w:styleId="ListNumber4Level2">
    <w:name w:val="List Number 4 (Level 2)"/>
    <w:basedOn w:val="Text4"/>
    <w:uiPriority w:val="30"/>
    <w:semiHidden/>
    <w:unhideWhenUsed/>
    <w:rsid w:val="00F70481"/>
    <w:pPr>
      <w:numPr>
        <w:ilvl w:val="1"/>
        <w:numId w:val="7"/>
      </w:numPr>
      <w:tabs>
        <w:tab w:val="clear" w:pos="2619"/>
      </w:tabs>
      <w:ind w:left="0" w:firstLine="0"/>
    </w:pPr>
  </w:style>
  <w:style w:type="paragraph" w:customStyle="1" w:styleId="ListNumber4Level3">
    <w:name w:val="List Number 4 (Level 3)"/>
    <w:basedOn w:val="Text4"/>
    <w:uiPriority w:val="30"/>
    <w:semiHidden/>
    <w:unhideWhenUsed/>
    <w:rsid w:val="00F70481"/>
    <w:pPr>
      <w:numPr>
        <w:ilvl w:val="2"/>
        <w:numId w:val="7"/>
      </w:numPr>
      <w:tabs>
        <w:tab w:val="clear" w:pos="3328"/>
      </w:tabs>
      <w:ind w:left="0" w:firstLine="0"/>
    </w:pPr>
  </w:style>
  <w:style w:type="paragraph" w:customStyle="1" w:styleId="ListNumber4Level4">
    <w:name w:val="List Number 4 (Level 4)"/>
    <w:basedOn w:val="Text4"/>
    <w:uiPriority w:val="30"/>
    <w:semiHidden/>
    <w:unhideWhenUsed/>
    <w:rsid w:val="00F70481"/>
    <w:pPr>
      <w:numPr>
        <w:ilvl w:val="3"/>
        <w:numId w:val="7"/>
      </w:numPr>
      <w:tabs>
        <w:tab w:val="clear" w:pos="4037"/>
      </w:tabs>
      <w:ind w:left="0" w:firstLine="0"/>
    </w:pPr>
  </w:style>
  <w:style w:type="paragraph" w:customStyle="1" w:styleId="Marking">
    <w:name w:val="Marking"/>
    <w:basedOn w:val="Normal"/>
    <w:semiHidden/>
    <w:rsid w:val="00F70481"/>
    <w:pPr>
      <w:spacing w:after="240" w:line="240" w:lineRule="auto"/>
      <w:ind w:left="5102" w:right="-680"/>
      <w:contextualSpacing/>
    </w:pPr>
    <w:rPr>
      <w:rFonts w:ascii="Times New Roman" w:eastAsia="Times New Roman" w:hAnsi="Times New Roman" w:cs="Times New Roman"/>
      <w:kern w:val="0"/>
      <w:sz w:val="28"/>
      <w:szCs w:val="20"/>
      <w:lang w:eastAsia="en-IE"/>
      <w14:ligatures w14:val="none"/>
    </w:rPr>
  </w:style>
  <w:style w:type="paragraph" w:customStyle="1" w:styleId="NumPar1">
    <w:name w:val="NumPar 1"/>
    <w:basedOn w:val="Heading1"/>
    <w:uiPriority w:val="1"/>
    <w:qFormat/>
    <w:rsid w:val="00F70481"/>
    <w:pPr>
      <w:keepNext w:val="0"/>
      <w:keepLines w:val="0"/>
      <w:tabs>
        <w:tab w:val="num" w:pos="482"/>
      </w:tabs>
      <w:spacing w:before="0" w:after="240" w:line="240" w:lineRule="auto"/>
      <w:jc w:val="both"/>
      <w:outlineLvl w:val="9"/>
    </w:pPr>
    <w:rPr>
      <w:rFonts w:ascii="Times New Roman" w:eastAsia="Times New Roman" w:hAnsi="Times New Roman" w:cs="Times New Roman"/>
      <w:b/>
      <w:color w:val="auto"/>
      <w:kern w:val="0"/>
      <w:sz w:val="24"/>
      <w:szCs w:val="20"/>
      <w:lang w:eastAsia="en-IE"/>
      <w14:ligatures w14:val="none"/>
    </w:rPr>
  </w:style>
  <w:style w:type="paragraph" w:customStyle="1" w:styleId="NumPar2">
    <w:name w:val="NumPar 2"/>
    <w:basedOn w:val="Heading2"/>
    <w:uiPriority w:val="20"/>
    <w:qFormat/>
    <w:rsid w:val="00F70481"/>
    <w:pPr>
      <w:keepNext w:val="0"/>
      <w:keepLines w:val="0"/>
      <w:numPr>
        <w:ilvl w:val="1"/>
      </w:numPr>
      <w:tabs>
        <w:tab w:val="num" w:pos="1202"/>
      </w:tabs>
      <w:spacing w:before="0" w:after="240" w:line="240" w:lineRule="auto"/>
      <w:ind w:left="1202" w:hanging="720"/>
      <w:jc w:val="both"/>
      <w:outlineLvl w:val="9"/>
    </w:pPr>
    <w:rPr>
      <w:rFonts w:ascii="Times New Roman" w:eastAsia="Times New Roman" w:hAnsi="Times New Roman" w:cs="Times New Roman"/>
      <w:i/>
      <w:color w:val="auto"/>
      <w:kern w:val="0"/>
      <w:sz w:val="24"/>
      <w:szCs w:val="20"/>
      <w:lang w:eastAsia="en-IE"/>
      <w14:ligatures w14:val="none"/>
    </w:rPr>
  </w:style>
  <w:style w:type="paragraph" w:customStyle="1" w:styleId="NumPar3">
    <w:name w:val="NumPar 3"/>
    <w:basedOn w:val="Heading3"/>
    <w:uiPriority w:val="20"/>
    <w:qFormat/>
    <w:rsid w:val="00F70481"/>
    <w:pPr>
      <w:keepNext w:val="0"/>
      <w:keepLines w:val="0"/>
      <w:numPr>
        <w:ilvl w:val="2"/>
      </w:numPr>
      <w:tabs>
        <w:tab w:val="num" w:pos="2438"/>
      </w:tabs>
      <w:spacing w:before="0" w:after="240" w:line="240" w:lineRule="auto"/>
      <w:ind w:left="2211" w:hanging="1009"/>
      <w:jc w:val="both"/>
      <w:outlineLvl w:val="9"/>
    </w:pPr>
    <w:rPr>
      <w:rFonts w:ascii="Times New Roman" w:eastAsia="Times New Roman" w:hAnsi="Times New Roman" w:cs="Times New Roman"/>
      <w:color w:val="auto"/>
      <w:kern w:val="0"/>
      <w:sz w:val="24"/>
      <w:szCs w:val="20"/>
      <w:lang w:eastAsia="en-IE"/>
      <w14:ligatures w14:val="none"/>
    </w:rPr>
  </w:style>
  <w:style w:type="paragraph" w:customStyle="1" w:styleId="NumPar4">
    <w:name w:val="NumPar 4"/>
    <w:basedOn w:val="Heading4"/>
    <w:uiPriority w:val="20"/>
    <w:qFormat/>
    <w:rsid w:val="00F70481"/>
    <w:pPr>
      <w:keepNext w:val="0"/>
      <w:keepLines w:val="0"/>
      <w:numPr>
        <w:ilvl w:val="3"/>
      </w:numPr>
      <w:tabs>
        <w:tab w:val="num" w:pos="2438"/>
      </w:tabs>
      <w:spacing w:before="0" w:after="240" w:line="240" w:lineRule="auto"/>
      <w:ind w:left="2211" w:hanging="1009"/>
      <w:jc w:val="both"/>
      <w:outlineLvl w:val="9"/>
    </w:pPr>
    <w:rPr>
      <w:rFonts w:ascii="Times New Roman" w:eastAsia="Times New Roman" w:hAnsi="Times New Roman" w:cs="Times New Roman"/>
      <w:i w:val="0"/>
      <w:iCs w:val="0"/>
      <w:color w:val="auto"/>
      <w:kern w:val="0"/>
      <w:sz w:val="24"/>
      <w:szCs w:val="20"/>
      <w:lang w:eastAsia="en-IE"/>
      <w14:ligatures w14:val="none"/>
    </w:rPr>
  </w:style>
  <w:style w:type="paragraph" w:customStyle="1" w:styleId="PartTitle">
    <w:name w:val="PartTitle"/>
    <w:basedOn w:val="Normal"/>
    <w:next w:val="ChapterTitle"/>
    <w:uiPriority w:val="42"/>
    <w:qFormat/>
    <w:rsid w:val="00F70481"/>
    <w:pPr>
      <w:keepNext/>
      <w:pageBreakBefore/>
      <w:spacing w:after="480" w:line="240" w:lineRule="auto"/>
      <w:jc w:val="center"/>
      <w:outlineLvl w:val="0"/>
    </w:pPr>
    <w:rPr>
      <w:rFonts w:ascii="Times New Roman" w:eastAsia="Times New Roman" w:hAnsi="Times New Roman" w:cs="Times New Roman"/>
      <w:b/>
      <w:kern w:val="0"/>
      <w:sz w:val="36"/>
      <w:szCs w:val="20"/>
      <w:lang w:eastAsia="en-IE"/>
      <w14:ligatures w14:val="none"/>
    </w:rPr>
  </w:style>
  <w:style w:type="paragraph" w:customStyle="1" w:styleId="References">
    <w:name w:val="References"/>
    <w:basedOn w:val="Normal"/>
    <w:semiHidden/>
    <w:rsid w:val="00F70481"/>
    <w:pPr>
      <w:spacing w:after="240" w:line="240" w:lineRule="auto"/>
      <w:ind w:left="5102" w:right="-567"/>
      <w:contextualSpacing/>
    </w:pPr>
    <w:rPr>
      <w:rFonts w:ascii="Times New Roman" w:eastAsia="Times New Roman" w:hAnsi="Times New Roman" w:cs="Times New Roman"/>
      <w:kern w:val="0"/>
      <w:sz w:val="20"/>
      <w:szCs w:val="20"/>
      <w:lang w:eastAsia="en-IE"/>
      <w14:ligatures w14:val="none"/>
    </w:rPr>
  </w:style>
  <w:style w:type="paragraph" w:customStyle="1" w:styleId="Releasable">
    <w:name w:val="Releasable"/>
    <w:basedOn w:val="Normal"/>
    <w:semiHidden/>
    <w:rsid w:val="00F70481"/>
    <w:pPr>
      <w:spacing w:after="0" w:line="240" w:lineRule="auto"/>
      <w:jc w:val="center"/>
    </w:pPr>
    <w:rPr>
      <w:rFonts w:ascii="Times New Roman" w:eastAsia="Times New Roman" w:hAnsi="Times New Roman" w:cs="Times New Roman"/>
      <w:b/>
      <w:caps/>
      <w:kern w:val="0"/>
      <w:sz w:val="32"/>
      <w:szCs w:val="20"/>
      <w:lang w:eastAsia="en-IE"/>
      <w14:ligatures w14:val="none"/>
    </w:rPr>
  </w:style>
  <w:style w:type="paragraph" w:customStyle="1" w:styleId="RUE">
    <w:name w:val="RUE"/>
    <w:basedOn w:val="Normal"/>
    <w:semiHidden/>
    <w:rsid w:val="00F70481"/>
    <w:pPr>
      <w:spacing w:after="0" w:line="240" w:lineRule="auto"/>
      <w:jc w:val="center"/>
    </w:pPr>
    <w:rPr>
      <w:rFonts w:ascii="Times New Roman" w:eastAsia="Times New Roman" w:hAnsi="Times New Roman" w:cs="Times New Roman"/>
      <w:b/>
      <w:caps/>
      <w:kern w:val="0"/>
      <w:sz w:val="32"/>
      <w:szCs w:val="20"/>
      <w:bdr w:val="single" w:sz="18" w:space="0" w:color="auto"/>
      <w:lang w:eastAsia="en-IE"/>
      <w14:ligatures w14:val="none"/>
    </w:rPr>
  </w:style>
  <w:style w:type="paragraph" w:customStyle="1" w:styleId="SecretUE">
    <w:name w:val="Secret UE"/>
    <w:basedOn w:val="Normal"/>
    <w:semiHidden/>
    <w:rsid w:val="00F70481"/>
    <w:pPr>
      <w:spacing w:after="0" w:line="240" w:lineRule="auto"/>
      <w:jc w:val="center"/>
    </w:pPr>
    <w:rPr>
      <w:rFonts w:ascii="Times New Roman" w:eastAsia="Times New Roman" w:hAnsi="Times New Roman" w:cs="Times New Roman"/>
      <w:b/>
      <w:caps/>
      <w:color w:val="FF0000"/>
      <w:kern w:val="0"/>
      <w:sz w:val="32"/>
      <w:szCs w:val="20"/>
      <w:bdr w:val="single" w:sz="18" w:space="0" w:color="FF0000"/>
      <w:lang w:eastAsia="en-IE"/>
      <w14:ligatures w14:val="none"/>
    </w:rPr>
  </w:style>
  <w:style w:type="paragraph" w:customStyle="1" w:styleId="SectionTitle">
    <w:name w:val="SectionTitle"/>
    <w:basedOn w:val="Normal"/>
    <w:next w:val="Heading1"/>
    <w:uiPriority w:val="44"/>
    <w:qFormat/>
    <w:rsid w:val="00F70481"/>
    <w:pPr>
      <w:keepNext/>
      <w:spacing w:after="480" w:line="240" w:lineRule="auto"/>
      <w:jc w:val="center"/>
      <w:outlineLvl w:val="0"/>
    </w:pPr>
    <w:rPr>
      <w:rFonts w:ascii="Times New Roman" w:eastAsia="Times New Roman" w:hAnsi="Times New Roman" w:cs="Times New Roman"/>
      <w:b/>
      <w:smallCaps/>
      <w:kern w:val="0"/>
      <w:sz w:val="28"/>
      <w:szCs w:val="20"/>
      <w:lang w:eastAsia="en-IE"/>
      <w14:ligatures w14:val="none"/>
    </w:rPr>
  </w:style>
  <w:style w:type="paragraph" w:styleId="Signature">
    <w:name w:val="Signature"/>
    <w:basedOn w:val="Normal"/>
    <w:link w:val="SignatureChar"/>
    <w:semiHidden/>
    <w:rsid w:val="00F70481"/>
    <w:pPr>
      <w:spacing w:before="1200" w:after="0" w:line="240" w:lineRule="auto"/>
      <w:ind w:left="5102"/>
      <w:jc w:val="center"/>
    </w:pPr>
    <w:rPr>
      <w:rFonts w:ascii="Times New Roman" w:eastAsia="Times New Roman" w:hAnsi="Times New Roman" w:cs="Times New Roman"/>
      <w:kern w:val="0"/>
      <w:sz w:val="24"/>
      <w:szCs w:val="20"/>
      <w:lang w:eastAsia="en-IE"/>
      <w14:ligatures w14:val="none"/>
    </w:rPr>
  </w:style>
  <w:style w:type="character" w:customStyle="1" w:styleId="SignatureChar">
    <w:name w:val="Signature Char"/>
    <w:basedOn w:val="DefaultParagraphFont"/>
    <w:link w:val="Signature"/>
    <w:semiHidden/>
    <w:rsid w:val="00F70481"/>
    <w:rPr>
      <w:rFonts w:ascii="Times New Roman" w:eastAsia="Times New Roman" w:hAnsi="Times New Roman" w:cs="Times New Roman"/>
      <w:kern w:val="0"/>
      <w:sz w:val="24"/>
      <w:szCs w:val="20"/>
      <w:lang w:val="ro-RO" w:eastAsia="en-IE"/>
      <w14:ligatures w14:val="none"/>
    </w:rPr>
  </w:style>
  <w:style w:type="paragraph" w:customStyle="1" w:styleId="SignatureL">
    <w:name w:val="SignatureL"/>
    <w:basedOn w:val="Normal"/>
    <w:semiHidden/>
    <w:rsid w:val="00F70481"/>
    <w:pPr>
      <w:spacing w:before="1200" w:after="0" w:line="240" w:lineRule="auto"/>
    </w:pPr>
    <w:rPr>
      <w:rFonts w:ascii="Times New Roman" w:eastAsia="Times New Roman" w:hAnsi="Times New Roman" w:cs="Times New Roman"/>
      <w:kern w:val="0"/>
      <w:sz w:val="24"/>
      <w:szCs w:val="20"/>
      <w:lang w:eastAsia="en-IE"/>
      <w14:ligatures w14:val="none"/>
    </w:rPr>
  </w:style>
  <w:style w:type="paragraph" w:customStyle="1" w:styleId="SubTitle1">
    <w:name w:val="SubTitle 1"/>
    <w:basedOn w:val="Normal"/>
    <w:next w:val="SubTitle2"/>
    <w:uiPriority w:val="41"/>
    <w:qFormat/>
    <w:rsid w:val="00F70481"/>
    <w:pPr>
      <w:spacing w:after="240" w:line="240" w:lineRule="auto"/>
      <w:jc w:val="center"/>
    </w:pPr>
    <w:rPr>
      <w:rFonts w:ascii="Times New Roman" w:eastAsia="Times New Roman" w:hAnsi="Times New Roman" w:cs="Times New Roman"/>
      <w:b/>
      <w:kern w:val="0"/>
      <w:sz w:val="40"/>
      <w:szCs w:val="20"/>
      <w:lang w:eastAsia="en-IE"/>
      <w14:ligatures w14:val="none"/>
    </w:rPr>
  </w:style>
  <w:style w:type="paragraph" w:customStyle="1" w:styleId="SubTitle2">
    <w:name w:val="SubTitle 2"/>
    <w:basedOn w:val="Normal"/>
    <w:uiPriority w:val="41"/>
    <w:qFormat/>
    <w:rsid w:val="00F70481"/>
    <w:pPr>
      <w:spacing w:after="240" w:line="240" w:lineRule="auto"/>
      <w:jc w:val="center"/>
    </w:pPr>
    <w:rPr>
      <w:rFonts w:ascii="Times New Roman" w:eastAsia="Times New Roman" w:hAnsi="Times New Roman" w:cs="Times New Roman"/>
      <w:b/>
      <w:kern w:val="0"/>
      <w:sz w:val="32"/>
      <w:szCs w:val="20"/>
      <w:lang w:eastAsia="en-IE"/>
      <w14:ligatures w14:val="none"/>
    </w:rPr>
  </w:style>
  <w:style w:type="paragraph" w:customStyle="1" w:styleId="TableListBullet">
    <w:name w:val="Table List Bullet"/>
    <w:basedOn w:val="TableText"/>
    <w:uiPriority w:val="55"/>
    <w:rsid w:val="00F70481"/>
    <w:pPr>
      <w:numPr>
        <w:numId w:val="20"/>
      </w:numPr>
      <w:tabs>
        <w:tab w:val="clear" w:pos="283"/>
      </w:tabs>
      <w:ind w:left="0" w:firstLine="0"/>
    </w:pPr>
  </w:style>
  <w:style w:type="paragraph" w:customStyle="1" w:styleId="TableListBulletLevel2">
    <w:name w:val="Table List Bullet (Level 2)"/>
    <w:basedOn w:val="TableText"/>
    <w:uiPriority w:val="55"/>
    <w:semiHidden/>
    <w:unhideWhenUsed/>
    <w:rsid w:val="00F70481"/>
    <w:pPr>
      <w:numPr>
        <w:ilvl w:val="1"/>
        <w:numId w:val="20"/>
      </w:numPr>
      <w:tabs>
        <w:tab w:val="clear" w:pos="567"/>
      </w:tabs>
      <w:ind w:left="0" w:firstLine="0"/>
    </w:pPr>
  </w:style>
  <w:style w:type="paragraph" w:customStyle="1" w:styleId="TableListBulletLevel3">
    <w:name w:val="Table List Bullet (Level 3)"/>
    <w:basedOn w:val="TableText"/>
    <w:uiPriority w:val="55"/>
    <w:semiHidden/>
    <w:unhideWhenUsed/>
    <w:rsid w:val="00F70481"/>
    <w:pPr>
      <w:numPr>
        <w:ilvl w:val="2"/>
        <w:numId w:val="20"/>
      </w:numPr>
      <w:tabs>
        <w:tab w:val="clear" w:pos="850"/>
      </w:tabs>
      <w:ind w:left="0" w:firstLine="0"/>
    </w:pPr>
  </w:style>
  <w:style w:type="paragraph" w:customStyle="1" w:styleId="TableListBulletLevel4">
    <w:name w:val="Table List Bullet (Level 4)"/>
    <w:basedOn w:val="TableText"/>
    <w:uiPriority w:val="55"/>
    <w:semiHidden/>
    <w:unhideWhenUsed/>
    <w:rsid w:val="00F70481"/>
    <w:pPr>
      <w:numPr>
        <w:ilvl w:val="3"/>
        <w:numId w:val="20"/>
      </w:numPr>
      <w:tabs>
        <w:tab w:val="clear" w:pos="1134"/>
      </w:tabs>
      <w:ind w:left="0" w:firstLine="0"/>
    </w:pPr>
  </w:style>
  <w:style w:type="paragraph" w:customStyle="1" w:styleId="TableListDash">
    <w:name w:val="Table List Dash"/>
    <w:basedOn w:val="TableText"/>
    <w:uiPriority w:val="55"/>
    <w:rsid w:val="00F70481"/>
    <w:pPr>
      <w:numPr>
        <w:numId w:val="21"/>
      </w:numPr>
      <w:tabs>
        <w:tab w:val="clear" w:pos="283"/>
      </w:tabs>
      <w:ind w:left="0" w:firstLine="0"/>
    </w:pPr>
  </w:style>
  <w:style w:type="paragraph" w:customStyle="1" w:styleId="TableListDashLevel2">
    <w:name w:val="Table List Dash (Level 2)"/>
    <w:basedOn w:val="TableText"/>
    <w:uiPriority w:val="55"/>
    <w:semiHidden/>
    <w:unhideWhenUsed/>
    <w:rsid w:val="00F70481"/>
    <w:pPr>
      <w:numPr>
        <w:ilvl w:val="1"/>
        <w:numId w:val="21"/>
      </w:numPr>
      <w:tabs>
        <w:tab w:val="clear" w:pos="567"/>
      </w:tabs>
      <w:ind w:left="0" w:firstLine="0"/>
    </w:pPr>
  </w:style>
  <w:style w:type="paragraph" w:customStyle="1" w:styleId="TableListDashLevel3">
    <w:name w:val="Table List Dash (Level 3)"/>
    <w:basedOn w:val="TableText"/>
    <w:uiPriority w:val="55"/>
    <w:semiHidden/>
    <w:unhideWhenUsed/>
    <w:rsid w:val="00F70481"/>
    <w:pPr>
      <w:numPr>
        <w:ilvl w:val="2"/>
        <w:numId w:val="21"/>
      </w:numPr>
      <w:tabs>
        <w:tab w:val="clear" w:pos="850"/>
      </w:tabs>
      <w:ind w:left="0" w:firstLine="0"/>
    </w:pPr>
  </w:style>
  <w:style w:type="paragraph" w:customStyle="1" w:styleId="TableListDashLevel4">
    <w:name w:val="Table List Dash (Level 4)"/>
    <w:basedOn w:val="TableText"/>
    <w:uiPriority w:val="55"/>
    <w:semiHidden/>
    <w:unhideWhenUsed/>
    <w:rsid w:val="00F70481"/>
    <w:pPr>
      <w:numPr>
        <w:ilvl w:val="3"/>
        <w:numId w:val="21"/>
      </w:numPr>
      <w:tabs>
        <w:tab w:val="clear" w:pos="1134"/>
      </w:tabs>
      <w:ind w:left="0" w:firstLine="0"/>
    </w:pPr>
  </w:style>
  <w:style w:type="paragraph" w:customStyle="1" w:styleId="TableListNumber">
    <w:name w:val="Table List Number"/>
    <w:basedOn w:val="TableText"/>
    <w:uiPriority w:val="55"/>
    <w:rsid w:val="00F70481"/>
    <w:pPr>
      <w:numPr>
        <w:numId w:val="22"/>
      </w:numPr>
      <w:tabs>
        <w:tab w:val="clear" w:pos="454"/>
      </w:tabs>
      <w:ind w:left="0" w:firstLine="0"/>
    </w:pPr>
  </w:style>
  <w:style w:type="paragraph" w:customStyle="1" w:styleId="TableListNumberLevel2">
    <w:name w:val="Table List Number (Level 2)"/>
    <w:basedOn w:val="TableText"/>
    <w:uiPriority w:val="55"/>
    <w:semiHidden/>
    <w:unhideWhenUsed/>
    <w:rsid w:val="00F70481"/>
    <w:pPr>
      <w:numPr>
        <w:ilvl w:val="1"/>
        <w:numId w:val="22"/>
      </w:numPr>
      <w:tabs>
        <w:tab w:val="clear" w:pos="907"/>
      </w:tabs>
      <w:ind w:left="0" w:firstLine="0"/>
    </w:pPr>
  </w:style>
  <w:style w:type="paragraph" w:customStyle="1" w:styleId="TableListNumberLevel3">
    <w:name w:val="Table List Number (Level 3)"/>
    <w:basedOn w:val="TableText"/>
    <w:uiPriority w:val="55"/>
    <w:semiHidden/>
    <w:unhideWhenUsed/>
    <w:rsid w:val="00F70481"/>
    <w:pPr>
      <w:numPr>
        <w:ilvl w:val="2"/>
        <w:numId w:val="22"/>
      </w:numPr>
      <w:tabs>
        <w:tab w:val="clear" w:pos="1361"/>
      </w:tabs>
      <w:ind w:left="0" w:firstLine="0"/>
    </w:pPr>
  </w:style>
  <w:style w:type="paragraph" w:customStyle="1" w:styleId="TableListNumberLevel4">
    <w:name w:val="Table List Number (Level 4)"/>
    <w:basedOn w:val="TableText"/>
    <w:uiPriority w:val="55"/>
    <w:semiHidden/>
    <w:unhideWhenUsed/>
    <w:rsid w:val="00F70481"/>
    <w:pPr>
      <w:numPr>
        <w:ilvl w:val="3"/>
        <w:numId w:val="22"/>
      </w:numPr>
      <w:tabs>
        <w:tab w:val="clear" w:pos="1814"/>
      </w:tabs>
      <w:ind w:left="0" w:firstLine="0"/>
    </w:pPr>
  </w:style>
  <w:style w:type="paragraph" w:customStyle="1" w:styleId="TableSource">
    <w:name w:val="Table Source"/>
    <w:basedOn w:val="Normal"/>
    <w:next w:val="Normal"/>
    <w:uiPriority w:val="99"/>
    <w:semiHidden/>
    <w:unhideWhenUsed/>
    <w:rsid w:val="00F70481"/>
    <w:pPr>
      <w:spacing w:after="240" w:line="240" w:lineRule="auto"/>
      <w:jc w:val="both"/>
    </w:pPr>
    <w:rPr>
      <w:rFonts w:ascii="Times New Roman" w:eastAsia="Times New Roman" w:hAnsi="Times New Roman" w:cs="Times New Roman"/>
      <w:kern w:val="0"/>
      <w:sz w:val="20"/>
      <w:szCs w:val="20"/>
      <w:lang w:eastAsia="en-IE"/>
      <w14:ligatures w14:val="none"/>
    </w:rPr>
  </w:style>
  <w:style w:type="paragraph" w:customStyle="1" w:styleId="TableSource1">
    <w:name w:val="Table Source 1"/>
    <w:basedOn w:val="Text1"/>
    <w:next w:val="Text1"/>
    <w:uiPriority w:val="99"/>
    <w:semiHidden/>
    <w:unhideWhenUsed/>
    <w:rsid w:val="00F70481"/>
    <w:rPr>
      <w:sz w:val="20"/>
    </w:rPr>
  </w:style>
  <w:style w:type="paragraph" w:customStyle="1" w:styleId="TableSource2">
    <w:name w:val="Table Source 2"/>
    <w:basedOn w:val="Text2"/>
    <w:next w:val="Text2"/>
    <w:uiPriority w:val="99"/>
    <w:semiHidden/>
    <w:unhideWhenUsed/>
    <w:rsid w:val="00F70481"/>
    <w:rPr>
      <w:sz w:val="20"/>
    </w:rPr>
  </w:style>
  <w:style w:type="paragraph" w:customStyle="1" w:styleId="TableSource3">
    <w:name w:val="Table Source 3"/>
    <w:basedOn w:val="Text3"/>
    <w:next w:val="Text3"/>
    <w:uiPriority w:val="99"/>
    <w:semiHidden/>
    <w:unhideWhenUsed/>
    <w:rsid w:val="00F70481"/>
    <w:rPr>
      <w:sz w:val="20"/>
    </w:rPr>
  </w:style>
  <w:style w:type="paragraph" w:customStyle="1" w:styleId="TableSource4">
    <w:name w:val="Table Source 4"/>
    <w:basedOn w:val="Text4"/>
    <w:next w:val="Text4"/>
    <w:uiPriority w:val="99"/>
    <w:semiHidden/>
    <w:unhideWhenUsed/>
    <w:rsid w:val="00F70481"/>
    <w:rPr>
      <w:sz w:val="20"/>
    </w:rPr>
  </w:style>
  <w:style w:type="paragraph" w:customStyle="1" w:styleId="TableText">
    <w:name w:val="Table Text"/>
    <w:basedOn w:val="Normal"/>
    <w:uiPriority w:val="50"/>
    <w:qFormat/>
    <w:rsid w:val="00F70481"/>
    <w:pPr>
      <w:spacing w:before="60" w:after="60" w:line="240" w:lineRule="auto"/>
    </w:pPr>
    <w:rPr>
      <w:rFonts w:ascii="Times New Roman" w:eastAsia="Times New Roman" w:hAnsi="Times New Roman" w:cs="Times New Roman"/>
      <w:kern w:val="0"/>
      <w:sz w:val="24"/>
      <w:szCs w:val="20"/>
      <w:lang w:eastAsia="en-IE"/>
      <w14:ligatures w14:val="none"/>
    </w:rPr>
  </w:style>
  <w:style w:type="paragraph" w:customStyle="1" w:styleId="TableTitle">
    <w:name w:val="Table Title"/>
    <w:basedOn w:val="Normal"/>
    <w:uiPriority w:val="99"/>
    <w:semiHidden/>
    <w:unhideWhenUsed/>
    <w:rsid w:val="00F70481"/>
    <w:pPr>
      <w:keepNext/>
      <w:spacing w:after="120" w:line="240" w:lineRule="auto"/>
      <w:jc w:val="both"/>
    </w:pPr>
    <w:rPr>
      <w:rFonts w:ascii="Times New Roman" w:eastAsia="Times New Roman" w:hAnsi="Times New Roman" w:cs="Times New Roman"/>
      <w:b/>
      <w:i/>
      <w:kern w:val="0"/>
      <w:sz w:val="24"/>
      <w:szCs w:val="20"/>
      <w:lang w:eastAsia="en-IE"/>
      <w14:ligatures w14:val="none"/>
    </w:rPr>
  </w:style>
  <w:style w:type="paragraph" w:customStyle="1" w:styleId="TableTitle1">
    <w:name w:val="Table Title 1"/>
    <w:basedOn w:val="Text1"/>
    <w:uiPriority w:val="99"/>
    <w:semiHidden/>
    <w:unhideWhenUsed/>
    <w:rsid w:val="00F70481"/>
    <w:pPr>
      <w:keepNext/>
      <w:spacing w:after="120"/>
    </w:pPr>
    <w:rPr>
      <w:b/>
      <w:i/>
    </w:rPr>
  </w:style>
  <w:style w:type="paragraph" w:customStyle="1" w:styleId="TableTitle2">
    <w:name w:val="Table Title 2"/>
    <w:basedOn w:val="Text2"/>
    <w:uiPriority w:val="99"/>
    <w:semiHidden/>
    <w:unhideWhenUsed/>
    <w:rsid w:val="00F70481"/>
    <w:pPr>
      <w:keepNext/>
      <w:spacing w:after="120"/>
    </w:pPr>
    <w:rPr>
      <w:b/>
      <w:i/>
    </w:rPr>
  </w:style>
  <w:style w:type="paragraph" w:customStyle="1" w:styleId="TableTitle3">
    <w:name w:val="Table Title 3"/>
    <w:basedOn w:val="Text3"/>
    <w:uiPriority w:val="99"/>
    <w:semiHidden/>
    <w:unhideWhenUsed/>
    <w:rsid w:val="00F70481"/>
    <w:pPr>
      <w:keepNext/>
      <w:spacing w:after="120"/>
    </w:pPr>
    <w:rPr>
      <w:b/>
      <w:i/>
    </w:rPr>
  </w:style>
  <w:style w:type="paragraph" w:customStyle="1" w:styleId="TableTitle4">
    <w:name w:val="Table Title 4"/>
    <w:basedOn w:val="Text4"/>
    <w:uiPriority w:val="99"/>
    <w:semiHidden/>
    <w:unhideWhenUsed/>
    <w:rsid w:val="00F70481"/>
    <w:pPr>
      <w:keepNext/>
      <w:spacing w:after="120"/>
    </w:pPr>
    <w:rPr>
      <w:b/>
      <w:i/>
    </w:rPr>
  </w:style>
  <w:style w:type="paragraph" w:customStyle="1" w:styleId="Text4">
    <w:name w:val="Text 4"/>
    <w:basedOn w:val="Normal"/>
    <w:qFormat/>
    <w:rsid w:val="00F70481"/>
    <w:pPr>
      <w:spacing w:after="240" w:line="240" w:lineRule="auto"/>
      <w:ind w:left="1202"/>
      <w:jc w:val="both"/>
    </w:pPr>
    <w:rPr>
      <w:rFonts w:ascii="Times New Roman" w:eastAsia="Times New Roman" w:hAnsi="Times New Roman" w:cs="Times New Roman"/>
      <w:kern w:val="0"/>
      <w:sz w:val="24"/>
      <w:szCs w:val="20"/>
      <w:lang w:eastAsia="en-IE"/>
      <w14:ligatures w14:val="none"/>
    </w:rPr>
  </w:style>
  <w:style w:type="paragraph" w:styleId="TOC4">
    <w:name w:val="toc 4"/>
    <w:basedOn w:val="Normal"/>
    <w:next w:val="Normal"/>
    <w:semiHidden/>
    <w:rsid w:val="00F70481"/>
    <w:pPr>
      <w:tabs>
        <w:tab w:val="left" w:pos="2880"/>
        <w:tab w:val="right" w:leader="dot" w:pos="8640"/>
      </w:tabs>
      <w:spacing w:before="60" w:after="60" w:line="240" w:lineRule="auto"/>
      <w:ind w:left="2880" w:right="720" w:hanging="964"/>
      <w:jc w:val="both"/>
    </w:pPr>
    <w:rPr>
      <w:rFonts w:ascii="Times New Roman" w:eastAsia="Times New Roman" w:hAnsi="Times New Roman" w:cs="Times New Roman"/>
      <w:noProof/>
      <w:kern w:val="0"/>
      <w:sz w:val="24"/>
      <w:szCs w:val="20"/>
      <w:lang w:eastAsia="en-IE"/>
      <w14:ligatures w14:val="none"/>
    </w:rPr>
  </w:style>
  <w:style w:type="paragraph" w:styleId="TOC5">
    <w:name w:val="toc 5"/>
    <w:basedOn w:val="Normal"/>
    <w:next w:val="Normal"/>
    <w:semiHidden/>
    <w:rsid w:val="00F70481"/>
    <w:pPr>
      <w:tabs>
        <w:tab w:val="right" w:leader="dot" w:pos="8640"/>
      </w:tabs>
      <w:spacing w:before="240" w:after="120" w:line="240" w:lineRule="auto"/>
      <w:ind w:right="720"/>
      <w:jc w:val="both"/>
    </w:pPr>
    <w:rPr>
      <w:rFonts w:ascii="Times New Roman" w:eastAsia="Times New Roman" w:hAnsi="Times New Roman" w:cs="Times New Roman"/>
      <w:caps/>
      <w:kern w:val="0"/>
      <w:sz w:val="24"/>
      <w:szCs w:val="20"/>
      <w:lang w:eastAsia="en-IE"/>
      <w14:ligatures w14:val="none"/>
    </w:rPr>
  </w:style>
  <w:style w:type="paragraph" w:styleId="TOC6">
    <w:name w:val="toc 6"/>
    <w:basedOn w:val="Normal"/>
    <w:next w:val="Normal"/>
    <w:semiHidden/>
    <w:rsid w:val="00F70481"/>
    <w:pPr>
      <w:spacing w:after="240" w:line="240" w:lineRule="auto"/>
      <w:jc w:val="both"/>
    </w:pPr>
    <w:rPr>
      <w:rFonts w:ascii="Times New Roman" w:eastAsia="Times New Roman" w:hAnsi="Times New Roman" w:cs="Times New Roman"/>
      <w:caps/>
      <w:kern w:val="0"/>
      <w:sz w:val="24"/>
      <w:szCs w:val="20"/>
      <w:lang w:eastAsia="en-IE"/>
      <w14:ligatures w14:val="none"/>
    </w:rPr>
  </w:style>
  <w:style w:type="paragraph" w:styleId="TOC7">
    <w:name w:val="toc 7"/>
    <w:basedOn w:val="Normal"/>
    <w:next w:val="Normal"/>
    <w:semiHidden/>
    <w:rsid w:val="00F70481"/>
    <w:pPr>
      <w:tabs>
        <w:tab w:val="right" w:leader="dot" w:pos="8640"/>
      </w:tabs>
      <w:spacing w:after="240" w:line="240" w:lineRule="auto"/>
      <w:jc w:val="both"/>
    </w:pPr>
    <w:rPr>
      <w:rFonts w:ascii="Times New Roman" w:eastAsia="Times New Roman" w:hAnsi="Times New Roman" w:cs="Times New Roman"/>
      <w:kern w:val="0"/>
      <w:sz w:val="24"/>
      <w:szCs w:val="20"/>
      <w:lang w:eastAsia="en-IE"/>
      <w14:ligatures w14:val="none"/>
    </w:rPr>
  </w:style>
  <w:style w:type="paragraph" w:styleId="TOC8">
    <w:name w:val="toc 8"/>
    <w:basedOn w:val="Normal"/>
    <w:next w:val="Normal"/>
    <w:semiHidden/>
    <w:rsid w:val="00F70481"/>
    <w:pPr>
      <w:tabs>
        <w:tab w:val="right" w:leader="dot" w:pos="8640"/>
      </w:tabs>
      <w:spacing w:after="240" w:line="240" w:lineRule="auto"/>
      <w:jc w:val="both"/>
    </w:pPr>
    <w:rPr>
      <w:rFonts w:ascii="Times New Roman" w:eastAsia="Times New Roman" w:hAnsi="Times New Roman" w:cs="Times New Roman"/>
      <w:kern w:val="0"/>
      <w:sz w:val="24"/>
      <w:szCs w:val="20"/>
      <w:lang w:eastAsia="en-IE"/>
      <w14:ligatures w14:val="none"/>
    </w:rPr>
  </w:style>
  <w:style w:type="paragraph" w:styleId="TOC9">
    <w:name w:val="toc 9"/>
    <w:basedOn w:val="Normal"/>
    <w:next w:val="Normal"/>
    <w:semiHidden/>
    <w:rsid w:val="00F70481"/>
    <w:pPr>
      <w:tabs>
        <w:tab w:val="right" w:leader="dot" w:pos="8640"/>
      </w:tabs>
      <w:spacing w:after="240" w:line="240" w:lineRule="auto"/>
      <w:jc w:val="both"/>
    </w:pPr>
    <w:rPr>
      <w:rFonts w:ascii="Times New Roman" w:eastAsia="Times New Roman" w:hAnsi="Times New Roman" w:cs="Times New Roman"/>
      <w:kern w:val="0"/>
      <w:sz w:val="24"/>
      <w:szCs w:val="20"/>
      <w:lang w:eastAsia="en-IE"/>
      <w14:ligatures w14:val="none"/>
    </w:rPr>
  </w:style>
  <w:style w:type="paragraph" w:customStyle="1" w:styleId="TrsSecretUE">
    <w:name w:val="Très Secret UE"/>
    <w:basedOn w:val="Normal"/>
    <w:semiHidden/>
    <w:rsid w:val="00F70481"/>
    <w:pPr>
      <w:spacing w:after="0" w:line="240" w:lineRule="auto"/>
      <w:jc w:val="center"/>
    </w:pPr>
    <w:rPr>
      <w:rFonts w:ascii="Times New Roman" w:eastAsia="Times New Roman" w:hAnsi="Times New Roman" w:cs="Times New Roman"/>
      <w:b/>
      <w:caps/>
      <w:color w:val="FF0000"/>
      <w:kern w:val="0"/>
      <w:sz w:val="32"/>
      <w:szCs w:val="20"/>
      <w:bdr w:val="single" w:sz="18" w:space="0" w:color="FF0000"/>
      <w:lang w:eastAsia="en-IE"/>
      <w14:ligatures w14:val="none"/>
    </w:rPr>
  </w:style>
  <w:style w:type="paragraph" w:customStyle="1" w:styleId="ZCom">
    <w:name w:val="Z_Com"/>
    <w:basedOn w:val="Normal"/>
    <w:next w:val="ZDGName"/>
    <w:semiHidden/>
    <w:rsid w:val="00F70481"/>
    <w:pPr>
      <w:widowControl w:val="0"/>
      <w:spacing w:before="90" w:after="0" w:line="240" w:lineRule="auto"/>
      <w:ind w:right="85"/>
    </w:pPr>
    <w:rPr>
      <w:rFonts w:ascii="Times New Roman" w:eastAsia="Times New Roman" w:hAnsi="Times New Roman" w:cs="Times New Roman"/>
      <w:kern w:val="0"/>
      <w:sz w:val="24"/>
      <w:szCs w:val="20"/>
      <w:lang w:eastAsia="en-IE"/>
      <w14:ligatures w14:val="none"/>
    </w:rPr>
  </w:style>
  <w:style w:type="paragraph" w:customStyle="1" w:styleId="ZDGName">
    <w:name w:val="Z_DGName"/>
    <w:basedOn w:val="Normal"/>
    <w:semiHidden/>
    <w:rsid w:val="00F70481"/>
    <w:pPr>
      <w:widowControl w:val="0"/>
      <w:spacing w:after="0" w:line="240" w:lineRule="auto"/>
      <w:ind w:right="85"/>
    </w:pPr>
    <w:rPr>
      <w:rFonts w:ascii="Times New Roman" w:eastAsia="Times New Roman" w:hAnsi="Times New Roman" w:cs="Times New Roman"/>
      <w:kern w:val="0"/>
      <w:sz w:val="16"/>
      <w:szCs w:val="20"/>
      <w:lang w:eastAsia="en-IE"/>
      <w14:ligatures w14:val="none"/>
    </w:rPr>
  </w:style>
  <w:style w:type="paragraph" w:customStyle="1" w:styleId="ZFlag">
    <w:name w:val="Z_Flag"/>
    <w:basedOn w:val="Normal"/>
    <w:next w:val="Normal"/>
    <w:semiHidden/>
    <w:rsid w:val="00F70481"/>
    <w:pPr>
      <w:widowControl w:val="0"/>
      <w:spacing w:after="0" w:line="240" w:lineRule="auto"/>
      <w:ind w:right="85"/>
      <w:jc w:val="both"/>
    </w:pPr>
    <w:rPr>
      <w:rFonts w:ascii="Times New Roman" w:eastAsia="Times New Roman" w:hAnsi="Times New Roman" w:cs="Times New Roman"/>
      <w:kern w:val="0"/>
      <w:sz w:val="24"/>
      <w:szCs w:val="20"/>
      <w:lang w:eastAsia="en-IE"/>
      <w14:ligatures w14:val="none"/>
    </w:rPr>
  </w:style>
  <w:style w:type="table" w:customStyle="1" w:styleId="EurolookClassicBlue">
    <w:name w:val="Eurolook Classic Blue"/>
    <w:basedOn w:val="TableNormal"/>
    <w:uiPriority w:val="80"/>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rsid w:val="00F70481"/>
    <w:pPr>
      <w:spacing w:after="24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rsid w:val="00F70481"/>
    <w:pPr>
      <w:spacing w:after="0" w:line="240" w:lineRule="auto"/>
    </w:pPr>
    <w:rPr>
      <w:rFonts w:ascii="Times New Roman" w:eastAsia="Times New Roman" w:hAnsi="Times New Roman" w:cs="Times New Roman"/>
      <w:kern w:val="0"/>
      <w:sz w:val="20"/>
      <w:szCs w:val="20"/>
      <w:lang w:val="en-US" w:eastAsia="en-IE"/>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rsid w:val="00F70481"/>
    <w:tblPr>
      <w:tblInd w:w="482" w:type="dxa"/>
    </w:tblPr>
    <w:tblStylePr w:type="firstRow">
      <w:rPr>
        <w:b/>
      </w:rPr>
      <w:tblPr/>
      <w:trPr>
        <w:cantSplit/>
        <w:tblHeader/>
      </w:trPr>
    </w:tblStylePr>
  </w:style>
  <w:style w:type="table" w:customStyle="1" w:styleId="EurolookTable2">
    <w:name w:val="Eurolook Table 2"/>
    <w:basedOn w:val="EurolookTable"/>
    <w:semiHidden/>
    <w:rsid w:val="00F70481"/>
    <w:tblPr>
      <w:tblInd w:w="1202" w:type="dxa"/>
    </w:tblPr>
    <w:tblStylePr w:type="firstRow">
      <w:rPr>
        <w:b/>
      </w:rPr>
      <w:tblPr/>
      <w:trPr>
        <w:cantSplit/>
        <w:tblHeader/>
      </w:trPr>
    </w:tblStylePr>
  </w:style>
  <w:style w:type="table" w:customStyle="1" w:styleId="EurolookTable3">
    <w:name w:val="Eurolook Table 3"/>
    <w:basedOn w:val="EurolookTable"/>
    <w:semiHidden/>
    <w:rsid w:val="00F70481"/>
    <w:tblPr>
      <w:tblInd w:w="1202" w:type="dxa"/>
    </w:tblPr>
    <w:tblStylePr w:type="firstRow">
      <w:rPr>
        <w:b/>
      </w:rPr>
      <w:tblPr/>
      <w:trPr>
        <w:cantSplit/>
        <w:tblHeader/>
      </w:trPr>
    </w:tblStylePr>
  </w:style>
  <w:style w:type="table" w:customStyle="1" w:styleId="EurolookTable4">
    <w:name w:val="Eurolook Table 4"/>
    <w:basedOn w:val="EurolookTable"/>
    <w:semiHidden/>
    <w:rsid w:val="00F70481"/>
    <w:tblPr>
      <w:tblInd w:w="1202" w:type="dxa"/>
    </w:tblPr>
    <w:tblStylePr w:type="firstRow">
      <w:rPr>
        <w:b/>
      </w:rPr>
      <w:tblPr/>
      <w:trPr>
        <w:cantSplit/>
        <w:tblHeader/>
      </w:trPr>
    </w:tblStylePr>
  </w:style>
  <w:style w:type="table" w:customStyle="1" w:styleId="HelperTableBase">
    <w:name w:val="Helper Table Base"/>
    <w:semiHidden/>
    <w:rsid w:val="00F70481"/>
    <w:pPr>
      <w:spacing w:after="0" w:line="240" w:lineRule="auto"/>
    </w:pPr>
    <w:rPr>
      <w:rFonts w:ascii="Times New Roman" w:eastAsia="Times New Roman" w:hAnsi="Times New Roman" w:cs="Times New Roman"/>
      <w:kern w:val="0"/>
      <w:sz w:val="24"/>
      <w:szCs w:val="20"/>
      <w:lang w:eastAsia="en-IE"/>
      <w14:ligatures w14:val="none"/>
    </w:rPr>
    <w:tblPr>
      <w:tblInd w:w="0" w:type="dxa"/>
      <w:tblCellMar>
        <w:top w:w="0" w:type="dxa"/>
        <w:left w:w="0" w:type="dxa"/>
        <w:bottom w:w="0" w:type="dxa"/>
        <w:right w:w="0" w:type="dxa"/>
      </w:tblCellMar>
    </w:tblPr>
  </w:style>
  <w:style w:type="table" w:customStyle="1" w:styleId="SignatureTable">
    <w:name w:val="Signature Table"/>
    <w:basedOn w:val="HelperTableBase"/>
    <w:semiHidden/>
    <w:rsid w:val="00F70481"/>
    <w:tblPr/>
  </w:style>
  <w:style w:type="table" w:styleId="TableGrid">
    <w:name w:val="Table Grid"/>
    <w:uiPriority w:val="39"/>
    <w:rsid w:val="00F70481"/>
    <w:pPr>
      <w:spacing w:after="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rsid w:val="00F70481"/>
    <w:pPr>
      <w:spacing w:before="60" w:after="60" w:line="264" w:lineRule="auto"/>
    </w:pPr>
    <w:rPr>
      <w:rFonts w:ascii="Times New Roman" w:eastAsia="Times New Roman" w:hAnsi="Times New Roman" w:cs="Times New Roman"/>
      <w:kern w:val="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rsid w:val="00F70481"/>
    <w:pPr>
      <w:spacing w:after="0" w:line="240" w:lineRule="auto"/>
    </w:pPr>
    <w:rPr>
      <w:rFonts w:ascii="Times New Roman" w:eastAsia="Times New Roman" w:hAnsi="Times New Roman" w:cs="Times New Roman"/>
      <w:kern w:val="0"/>
      <w:sz w:val="24"/>
      <w:szCs w:val="20"/>
      <w:lang w:eastAsia="en-IE"/>
      <w14:ligatures w14:val="none"/>
    </w:rPr>
    <w:tblPr>
      <w:tblCellMar>
        <w:left w:w="0" w:type="dxa"/>
        <w:bottom w:w="340" w:type="dxa"/>
        <w:right w:w="0" w:type="dxa"/>
      </w:tblCellMar>
    </w:tblPr>
  </w:style>
  <w:style w:type="paragraph" w:styleId="Revision">
    <w:name w:val="Revision"/>
    <w:hidden/>
    <w:uiPriority w:val="99"/>
    <w:semiHidden/>
    <w:rsid w:val="00F70481"/>
    <w:pPr>
      <w:spacing w:after="0" w:line="240" w:lineRule="auto"/>
    </w:pPr>
    <w:rPr>
      <w:rFonts w:ascii="Times New Roman" w:eastAsia="Times New Roman" w:hAnsi="Times New Roman" w:cs="Times New Roman"/>
      <w:kern w:val="0"/>
      <w:sz w:val="24"/>
      <w:szCs w:val="20"/>
      <w:lang w:eastAsia="en-IE"/>
      <w14:ligatures w14:val="none"/>
    </w:rPr>
  </w:style>
  <w:style w:type="character" w:styleId="FollowedHyperlink">
    <w:name w:val="FollowedHyperlink"/>
    <w:basedOn w:val="DefaultParagraphFont"/>
    <w:uiPriority w:val="99"/>
    <w:semiHidden/>
    <w:unhideWhenUsed/>
    <w:rsid w:val="00F70481"/>
    <w:rPr>
      <w:color w:val="96607D" w:themeColor="followedHyperlink"/>
      <w:u w:val="single"/>
    </w:rPr>
  </w:style>
  <w:style w:type="paragraph" w:customStyle="1" w:styleId="paragraph">
    <w:name w:val="paragraph"/>
    <w:basedOn w:val="Normal"/>
    <w:rsid w:val="00F6147C"/>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normaltextrun">
    <w:name w:val="normaltextrun"/>
    <w:basedOn w:val="DefaultParagraphFont"/>
    <w:rsid w:val="00F6147C"/>
  </w:style>
  <w:style w:type="character" w:customStyle="1" w:styleId="eop">
    <w:name w:val="eop"/>
    <w:basedOn w:val="DefaultParagraphFont"/>
    <w:rsid w:val="00F6147C"/>
  </w:style>
  <w:style w:type="character" w:customStyle="1" w:styleId="superscript">
    <w:name w:val="superscript"/>
    <w:basedOn w:val="DefaultParagraphFont"/>
    <w:rsid w:val="00F6147C"/>
  </w:style>
  <w:style w:type="character" w:customStyle="1" w:styleId="wacimagecontainer">
    <w:name w:val="wacimagecontainer"/>
    <w:basedOn w:val="DefaultParagraphFont"/>
    <w:rsid w:val="00F614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751412">
      <w:bodyDiv w:val="1"/>
      <w:marLeft w:val="0"/>
      <w:marRight w:val="0"/>
      <w:marTop w:val="0"/>
      <w:marBottom w:val="0"/>
      <w:divBdr>
        <w:top w:val="none" w:sz="0" w:space="0" w:color="auto"/>
        <w:left w:val="none" w:sz="0" w:space="0" w:color="auto"/>
        <w:bottom w:val="none" w:sz="0" w:space="0" w:color="auto"/>
        <w:right w:val="none" w:sz="0" w:space="0" w:color="auto"/>
      </w:divBdr>
    </w:div>
    <w:div w:id="100347454">
      <w:bodyDiv w:val="1"/>
      <w:marLeft w:val="0"/>
      <w:marRight w:val="0"/>
      <w:marTop w:val="0"/>
      <w:marBottom w:val="0"/>
      <w:divBdr>
        <w:top w:val="none" w:sz="0" w:space="0" w:color="auto"/>
        <w:left w:val="none" w:sz="0" w:space="0" w:color="auto"/>
        <w:bottom w:val="none" w:sz="0" w:space="0" w:color="auto"/>
        <w:right w:val="none" w:sz="0" w:space="0" w:color="auto"/>
      </w:divBdr>
      <w:divsChild>
        <w:div w:id="41950752">
          <w:marLeft w:val="0"/>
          <w:marRight w:val="0"/>
          <w:marTop w:val="0"/>
          <w:marBottom w:val="0"/>
          <w:divBdr>
            <w:top w:val="none" w:sz="0" w:space="0" w:color="auto"/>
            <w:left w:val="none" w:sz="0" w:space="0" w:color="auto"/>
            <w:bottom w:val="none" w:sz="0" w:space="0" w:color="auto"/>
            <w:right w:val="none" w:sz="0" w:space="0" w:color="auto"/>
          </w:divBdr>
        </w:div>
        <w:div w:id="516962560">
          <w:marLeft w:val="0"/>
          <w:marRight w:val="0"/>
          <w:marTop w:val="0"/>
          <w:marBottom w:val="0"/>
          <w:divBdr>
            <w:top w:val="none" w:sz="0" w:space="0" w:color="auto"/>
            <w:left w:val="none" w:sz="0" w:space="0" w:color="auto"/>
            <w:bottom w:val="none" w:sz="0" w:space="0" w:color="auto"/>
            <w:right w:val="none" w:sz="0" w:space="0" w:color="auto"/>
          </w:divBdr>
        </w:div>
        <w:div w:id="567152808">
          <w:marLeft w:val="0"/>
          <w:marRight w:val="0"/>
          <w:marTop w:val="0"/>
          <w:marBottom w:val="0"/>
          <w:divBdr>
            <w:top w:val="none" w:sz="0" w:space="0" w:color="auto"/>
            <w:left w:val="none" w:sz="0" w:space="0" w:color="auto"/>
            <w:bottom w:val="none" w:sz="0" w:space="0" w:color="auto"/>
            <w:right w:val="none" w:sz="0" w:space="0" w:color="auto"/>
          </w:divBdr>
        </w:div>
        <w:div w:id="1071663278">
          <w:marLeft w:val="0"/>
          <w:marRight w:val="0"/>
          <w:marTop w:val="0"/>
          <w:marBottom w:val="0"/>
          <w:divBdr>
            <w:top w:val="none" w:sz="0" w:space="0" w:color="auto"/>
            <w:left w:val="none" w:sz="0" w:space="0" w:color="auto"/>
            <w:bottom w:val="none" w:sz="0" w:space="0" w:color="auto"/>
            <w:right w:val="none" w:sz="0" w:space="0" w:color="auto"/>
          </w:divBdr>
        </w:div>
        <w:div w:id="1107650854">
          <w:marLeft w:val="0"/>
          <w:marRight w:val="0"/>
          <w:marTop w:val="0"/>
          <w:marBottom w:val="0"/>
          <w:divBdr>
            <w:top w:val="none" w:sz="0" w:space="0" w:color="auto"/>
            <w:left w:val="none" w:sz="0" w:space="0" w:color="auto"/>
            <w:bottom w:val="none" w:sz="0" w:space="0" w:color="auto"/>
            <w:right w:val="none" w:sz="0" w:space="0" w:color="auto"/>
          </w:divBdr>
        </w:div>
        <w:div w:id="1504125868">
          <w:marLeft w:val="0"/>
          <w:marRight w:val="0"/>
          <w:marTop w:val="0"/>
          <w:marBottom w:val="0"/>
          <w:divBdr>
            <w:top w:val="none" w:sz="0" w:space="0" w:color="auto"/>
            <w:left w:val="none" w:sz="0" w:space="0" w:color="auto"/>
            <w:bottom w:val="none" w:sz="0" w:space="0" w:color="auto"/>
            <w:right w:val="none" w:sz="0" w:space="0" w:color="auto"/>
          </w:divBdr>
        </w:div>
        <w:div w:id="1531381163">
          <w:marLeft w:val="0"/>
          <w:marRight w:val="0"/>
          <w:marTop w:val="0"/>
          <w:marBottom w:val="0"/>
          <w:divBdr>
            <w:top w:val="none" w:sz="0" w:space="0" w:color="auto"/>
            <w:left w:val="none" w:sz="0" w:space="0" w:color="auto"/>
            <w:bottom w:val="none" w:sz="0" w:space="0" w:color="auto"/>
            <w:right w:val="none" w:sz="0" w:space="0" w:color="auto"/>
          </w:divBdr>
        </w:div>
        <w:div w:id="1546984490">
          <w:marLeft w:val="0"/>
          <w:marRight w:val="0"/>
          <w:marTop w:val="0"/>
          <w:marBottom w:val="0"/>
          <w:divBdr>
            <w:top w:val="none" w:sz="0" w:space="0" w:color="auto"/>
            <w:left w:val="none" w:sz="0" w:space="0" w:color="auto"/>
            <w:bottom w:val="none" w:sz="0" w:space="0" w:color="auto"/>
            <w:right w:val="none" w:sz="0" w:space="0" w:color="auto"/>
          </w:divBdr>
        </w:div>
        <w:div w:id="1959025169">
          <w:marLeft w:val="0"/>
          <w:marRight w:val="0"/>
          <w:marTop w:val="0"/>
          <w:marBottom w:val="0"/>
          <w:divBdr>
            <w:top w:val="none" w:sz="0" w:space="0" w:color="auto"/>
            <w:left w:val="none" w:sz="0" w:space="0" w:color="auto"/>
            <w:bottom w:val="none" w:sz="0" w:space="0" w:color="auto"/>
            <w:right w:val="none" w:sz="0" w:space="0" w:color="auto"/>
          </w:divBdr>
        </w:div>
        <w:div w:id="2021547320">
          <w:marLeft w:val="0"/>
          <w:marRight w:val="0"/>
          <w:marTop w:val="0"/>
          <w:marBottom w:val="0"/>
          <w:divBdr>
            <w:top w:val="none" w:sz="0" w:space="0" w:color="auto"/>
            <w:left w:val="none" w:sz="0" w:space="0" w:color="auto"/>
            <w:bottom w:val="none" w:sz="0" w:space="0" w:color="auto"/>
            <w:right w:val="none" w:sz="0" w:space="0" w:color="auto"/>
          </w:divBdr>
        </w:div>
        <w:div w:id="2039578203">
          <w:marLeft w:val="0"/>
          <w:marRight w:val="0"/>
          <w:marTop w:val="0"/>
          <w:marBottom w:val="0"/>
          <w:divBdr>
            <w:top w:val="none" w:sz="0" w:space="0" w:color="auto"/>
            <w:left w:val="none" w:sz="0" w:space="0" w:color="auto"/>
            <w:bottom w:val="none" w:sz="0" w:space="0" w:color="auto"/>
            <w:right w:val="none" w:sz="0" w:space="0" w:color="auto"/>
          </w:divBdr>
        </w:div>
      </w:divsChild>
    </w:div>
    <w:div w:id="243496979">
      <w:bodyDiv w:val="1"/>
      <w:marLeft w:val="0"/>
      <w:marRight w:val="0"/>
      <w:marTop w:val="0"/>
      <w:marBottom w:val="0"/>
      <w:divBdr>
        <w:top w:val="none" w:sz="0" w:space="0" w:color="auto"/>
        <w:left w:val="none" w:sz="0" w:space="0" w:color="auto"/>
        <w:bottom w:val="none" w:sz="0" w:space="0" w:color="auto"/>
        <w:right w:val="none" w:sz="0" w:space="0" w:color="auto"/>
      </w:divBdr>
    </w:div>
    <w:div w:id="252445818">
      <w:bodyDiv w:val="1"/>
      <w:marLeft w:val="0"/>
      <w:marRight w:val="0"/>
      <w:marTop w:val="0"/>
      <w:marBottom w:val="0"/>
      <w:divBdr>
        <w:top w:val="none" w:sz="0" w:space="0" w:color="auto"/>
        <w:left w:val="none" w:sz="0" w:space="0" w:color="auto"/>
        <w:bottom w:val="none" w:sz="0" w:space="0" w:color="auto"/>
        <w:right w:val="none" w:sz="0" w:space="0" w:color="auto"/>
      </w:divBdr>
    </w:div>
    <w:div w:id="429938459">
      <w:bodyDiv w:val="1"/>
      <w:marLeft w:val="0"/>
      <w:marRight w:val="0"/>
      <w:marTop w:val="0"/>
      <w:marBottom w:val="0"/>
      <w:divBdr>
        <w:top w:val="none" w:sz="0" w:space="0" w:color="auto"/>
        <w:left w:val="none" w:sz="0" w:space="0" w:color="auto"/>
        <w:bottom w:val="none" w:sz="0" w:space="0" w:color="auto"/>
        <w:right w:val="none" w:sz="0" w:space="0" w:color="auto"/>
      </w:divBdr>
    </w:div>
    <w:div w:id="463236815">
      <w:bodyDiv w:val="1"/>
      <w:marLeft w:val="0"/>
      <w:marRight w:val="0"/>
      <w:marTop w:val="0"/>
      <w:marBottom w:val="0"/>
      <w:divBdr>
        <w:top w:val="none" w:sz="0" w:space="0" w:color="auto"/>
        <w:left w:val="none" w:sz="0" w:space="0" w:color="auto"/>
        <w:bottom w:val="none" w:sz="0" w:space="0" w:color="auto"/>
        <w:right w:val="none" w:sz="0" w:space="0" w:color="auto"/>
      </w:divBdr>
    </w:div>
    <w:div w:id="465511696">
      <w:bodyDiv w:val="1"/>
      <w:marLeft w:val="0"/>
      <w:marRight w:val="0"/>
      <w:marTop w:val="0"/>
      <w:marBottom w:val="0"/>
      <w:divBdr>
        <w:top w:val="none" w:sz="0" w:space="0" w:color="auto"/>
        <w:left w:val="none" w:sz="0" w:space="0" w:color="auto"/>
        <w:bottom w:val="none" w:sz="0" w:space="0" w:color="auto"/>
        <w:right w:val="none" w:sz="0" w:space="0" w:color="auto"/>
      </w:divBdr>
    </w:div>
    <w:div w:id="513349623">
      <w:bodyDiv w:val="1"/>
      <w:marLeft w:val="0"/>
      <w:marRight w:val="0"/>
      <w:marTop w:val="0"/>
      <w:marBottom w:val="0"/>
      <w:divBdr>
        <w:top w:val="none" w:sz="0" w:space="0" w:color="auto"/>
        <w:left w:val="none" w:sz="0" w:space="0" w:color="auto"/>
        <w:bottom w:val="none" w:sz="0" w:space="0" w:color="auto"/>
        <w:right w:val="none" w:sz="0" w:space="0" w:color="auto"/>
      </w:divBdr>
    </w:div>
    <w:div w:id="544828957">
      <w:bodyDiv w:val="1"/>
      <w:marLeft w:val="0"/>
      <w:marRight w:val="0"/>
      <w:marTop w:val="0"/>
      <w:marBottom w:val="0"/>
      <w:divBdr>
        <w:top w:val="none" w:sz="0" w:space="0" w:color="auto"/>
        <w:left w:val="none" w:sz="0" w:space="0" w:color="auto"/>
        <w:bottom w:val="none" w:sz="0" w:space="0" w:color="auto"/>
        <w:right w:val="none" w:sz="0" w:space="0" w:color="auto"/>
      </w:divBdr>
      <w:divsChild>
        <w:div w:id="179513098">
          <w:marLeft w:val="0"/>
          <w:marRight w:val="0"/>
          <w:marTop w:val="0"/>
          <w:marBottom w:val="0"/>
          <w:divBdr>
            <w:top w:val="none" w:sz="0" w:space="0" w:color="auto"/>
            <w:left w:val="none" w:sz="0" w:space="0" w:color="auto"/>
            <w:bottom w:val="none" w:sz="0" w:space="0" w:color="auto"/>
            <w:right w:val="none" w:sz="0" w:space="0" w:color="auto"/>
          </w:divBdr>
        </w:div>
        <w:div w:id="883179507">
          <w:marLeft w:val="0"/>
          <w:marRight w:val="0"/>
          <w:marTop w:val="0"/>
          <w:marBottom w:val="0"/>
          <w:divBdr>
            <w:top w:val="none" w:sz="0" w:space="0" w:color="auto"/>
            <w:left w:val="none" w:sz="0" w:space="0" w:color="auto"/>
            <w:bottom w:val="none" w:sz="0" w:space="0" w:color="auto"/>
            <w:right w:val="none" w:sz="0" w:space="0" w:color="auto"/>
          </w:divBdr>
        </w:div>
        <w:div w:id="909924869">
          <w:marLeft w:val="0"/>
          <w:marRight w:val="0"/>
          <w:marTop w:val="0"/>
          <w:marBottom w:val="0"/>
          <w:divBdr>
            <w:top w:val="none" w:sz="0" w:space="0" w:color="auto"/>
            <w:left w:val="none" w:sz="0" w:space="0" w:color="auto"/>
            <w:bottom w:val="none" w:sz="0" w:space="0" w:color="auto"/>
            <w:right w:val="none" w:sz="0" w:space="0" w:color="auto"/>
          </w:divBdr>
        </w:div>
        <w:div w:id="1048651958">
          <w:marLeft w:val="0"/>
          <w:marRight w:val="0"/>
          <w:marTop w:val="0"/>
          <w:marBottom w:val="0"/>
          <w:divBdr>
            <w:top w:val="none" w:sz="0" w:space="0" w:color="auto"/>
            <w:left w:val="none" w:sz="0" w:space="0" w:color="auto"/>
            <w:bottom w:val="none" w:sz="0" w:space="0" w:color="auto"/>
            <w:right w:val="none" w:sz="0" w:space="0" w:color="auto"/>
          </w:divBdr>
        </w:div>
        <w:div w:id="1093281391">
          <w:marLeft w:val="0"/>
          <w:marRight w:val="0"/>
          <w:marTop w:val="0"/>
          <w:marBottom w:val="0"/>
          <w:divBdr>
            <w:top w:val="none" w:sz="0" w:space="0" w:color="auto"/>
            <w:left w:val="none" w:sz="0" w:space="0" w:color="auto"/>
            <w:bottom w:val="none" w:sz="0" w:space="0" w:color="auto"/>
            <w:right w:val="none" w:sz="0" w:space="0" w:color="auto"/>
          </w:divBdr>
        </w:div>
        <w:div w:id="1472943717">
          <w:marLeft w:val="0"/>
          <w:marRight w:val="0"/>
          <w:marTop w:val="0"/>
          <w:marBottom w:val="0"/>
          <w:divBdr>
            <w:top w:val="none" w:sz="0" w:space="0" w:color="auto"/>
            <w:left w:val="none" w:sz="0" w:space="0" w:color="auto"/>
            <w:bottom w:val="none" w:sz="0" w:space="0" w:color="auto"/>
            <w:right w:val="none" w:sz="0" w:space="0" w:color="auto"/>
          </w:divBdr>
        </w:div>
        <w:div w:id="1654677909">
          <w:marLeft w:val="0"/>
          <w:marRight w:val="0"/>
          <w:marTop w:val="0"/>
          <w:marBottom w:val="0"/>
          <w:divBdr>
            <w:top w:val="none" w:sz="0" w:space="0" w:color="auto"/>
            <w:left w:val="none" w:sz="0" w:space="0" w:color="auto"/>
            <w:bottom w:val="none" w:sz="0" w:space="0" w:color="auto"/>
            <w:right w:val="none" w:sz="0" w:space="0" w:color="auto"/>
          </w:divBdr>
        </w:div>
        <w:div w:id="1872448351">
          <w:marLeft w:val="0"/>
          <w:marRight w:val="0"/>
          <w:marTop w:val="0"/>
          <w:marBottom w:val="0"/>
          <w:divBdr>
            <w:top w:val="none" w:sz="0" w:space="0" w:color="auto"/>
            <w:left w:val="none" w:sz="0" w:space="0" w:color="auto"/>
            <w:bottom w:val="none" w:sz="0" w:space="0" w:color="auto"/>
            <w:right w:val="none" w:sz="0" w:space="0" w:color="auto"/>
          </w:divBdr>
        </w:div>
        <w:div w:id="2066560979">
          <w:marLeft w:val="0"/>
          <w:marRight w:val="0"/>
          <w:marTop w:val="0"/>
          <w:marBottom w:val="0"/>
          <w:divBdr>
            <w:top w:val="none" w:sz="0" w:space="0" w:color="auto"/>
            <w:left w:val="none" w:sz="0" w:space="0" w:color="auto"/>
            <w:bottom w:val="none" w:sz="0" w:space="0" w:color="auto"/>
            <w:right w:val="none" w:sz="0" w:space="0" w:color="auto"/>
          </w:divBdr>
        </w:div>
        <w:div w:id="2071150746">
          <w:marLeft w:val="0"/>
          <w:marRight w:val="0"/>
          <w:marTop w:val="0"/>
          <w:marBottom w:val="0"/>
          <w:divBdr>
            <w:top w:val="none" w:sz="0" w:space="0" w:color="auto"/>
            <w:left w:val="none" w:sz="0" w:space="0" w:color="auto"/>
            <w:bottom w:val="none" w:sz="0" w:space="0" w:color="auto"/>
            <w:right w:val="none" w:sz="0" w:space="0" w:color="auto"/>
          </w:divBdr>
        </w:div>
        <w:div w:id="2088533137">
          <w:marLeft w:val="0"/>
          <w:marRight w:val="0"/>
          <w:marTop w:val="0"/>
          <w:marBottom w:val="0"/>
          <w:divBdr>
            <w:top w:val="none" w:sz="0" w:space="0" w:color="auto"/>
            <w:left w:val="none" w:sz="0" w:space="0" w:color="auto"/>
            <w:bottom w:val="none" w:sz="0" w:space="0" w:color="auto"/>
            <w:right w:val="none" w:sz="0" w:space="0" w:color="auto"/>
          </w:divBdr>
        </w:div>
      </w:divsChild>
    </w:div>
    <w:div w:id="574511928">
      <w:bodyDiv w:val="1"/>
      <w:marLeft w:val="0"/>
      <w:marRight w:val="0"/>
      <w:marTop w:val="0"/>
      <w:marBottom w:val="0"/>
      <w:divBdr>
        <w:top w:val="none" w:sz="0" w:space="0" w:color="auto"/>
        <w:left w:val="none" w:sz="0" w:space="0" w:color="auto"/>
        <w:bottom w:val="none" w:sz="0" w:space="0" w:color="auto"/>
        <w:right w:val="none" w:sz="0" w:space="0" w:color="auto"/>
      </w:divBdr>
    </w:div>
    <w:div w:id="582951286">
      <w:bodyDiv w:val="1"/>
      <w:marLeft w:val="0"/>
      <w:marRight w:val="0"/>
      <w:marTop w:val="0"/>
      <w:marBottom w:val="0"/>
      <w:divBdr>
        <w:top w:val="none" w:sz="0" w:space="0" w:color="auto"/>
        <w:left w:val="none" w:sz="0" w:space="0" w:color="auto"/>
        <w:bottom w:val="none" w:sz="0" w:space="0" w:color="auto"/>
        <w:right w:val="none" w:sz="0" w:space="0" w:color="auto"/>
      </w:divBdr>
    </w:div>
    <w:div w:id="589848667">
      <w:bodyDiv w:val="1"/>
      <w:marLeft w:val="0"/>
      <w:marRight w:val="0"/>
      <w:marTop w:val="0"/>
      <w:marBottom w:val="0"/>
      <w:divBdr>
        <w:top w:val="none" w:sz="0" w:space="0" w:color="auto"/>
        <w:left w:val="none" w:sz="0" w:space="0" w:color="auto"/>
        <w:bottom w:val="none" w:sz="0" w:space="0" w:color="auto"/>
        <w:right w:val="none" w:sz="0" w:space="0" w:color="auto"/>
      </w:divBdr>
    </w:div>
    <w:div w:id="673076084">
      <w:bodyDiv w:val="1"/>
      <w:marLeft w:val="0"/>
      <w:marRight w:val="0"/>
      <w:marTop w:val="0"/>
      <w:marBottom w:val="0"/>
      <w:divBdr>
        <w:top w:val="none" w:sz="0" w:space="0" w:color="auto"/>
        <w:left w:val="none" w:sz="0" w:space="0" w:color="auto"/>
        <w:bottom w:val="none" w:sz="0" w:space="0" w:color="auto"/>
        <w:right w:val="none" w:sz="0" w:space="0" w:color="auto"/>
      </w:divBdr>
    </w:div>
    <w:div w:id="683555191">
      <w:bodyDiv w:val="1"/>
      <w:marLeft w:val="0"/>
      <w:marRight w:val="0"/>
      <w:marTop w:val="0"/>
      <w:marBottom w:val="0"/>
      <w:divBdr>
        <w:top w:val="none" w:sz="0" w:space="0" w:color="auto"/>
        <w:left w:val="none" w:sz="0" w:space="0" w:color="auto"/>
        <w:bottom w:val="none" w:sz="0" w:space="0" w:color="auto"/>
        <w:right w:val="none" w:sz="0" w:space="0" w:color="auto"/>
      </w:divBdr>
    </w:div>
    <w:div w:id="754085052">
      <w:bodyDiv w:val="1"/>
      <w:marLeft w:val="0"/>
      <w:marRight w:val="0"/>
      <w:marTop w:val="0"/>
      <w:marBottom w:val="0"/>
      <w:divBdr>
        <w:top w:val="none" w:sz="0" w:space="0" w:color="auto"/>
        <w:left w:val="none" w:sz="0" w:space="0" w:color="auto"/>
        <w:bottom w:val="none" w:sz="0" w:space="0" w:color="auto"/>
        <w:right w:val="none" w:sz="0" w:space="0" w:color="auto"/>
      </w:divBdr>
      <w:divsChild>
        <w:div w:id="4480420">
          <w:marLeft w:val="0"/>
          <w:marRight w:val="0"/>
          <w:marTop w:val="0"/>
          <w:marBottom w:val="0"/>
          <w:divBdr>
            <w:top w:val="none" w:sz="0" w:space="0" w:color="auto"/>
            <w:left w:val="none" w:sz="0" w:space="0" w:color="auto"/>
            <w:bottom w:val="none" w:sz="0" w:space="0" w:color="auto"/>
            <w:right w:val="none" w:sz="0" w:space="0" w:color="auto"/>
          </w:divBdr>
        </w:div>
        <w:div w:id="794102630">
          <w:marLeft w:val="0"/>
          <w:marRight w:val="0"/>
          <w:marTop w:val="0"/>
          <w:marBottom w:val="0"/>
          <w:divBdr>
            <w:top w:val="none" w:sz="0" w:space="0" w:color="auto"/>
            <w:left w:val="none" w:sz="0" w:space="0" w:color="auto"/>
            <w:bottom w:val="none" w:sz="0" w:space="0" w:color="auto"/>
            <w:right w:val="none" w:sz="0" w:space="0" w:color="auto"/>
          </w:divBdr>
        </w:div>
        <w:div w:id="879628873">
          <w:marLeft w:val="0"/>
          <w:marRight w:val="0"/>
          <w:marTop w:val="0"/>
          <w:marBottom w:val="0"/>
          <w:divBdr>
            <w:top w:val="none" w:sz="0" w:space="0" w:color="auto"/>
            <w:left w:val="none" w:sz="0" w:space="0" w:color="auto"/>
            <w:bottom w:val="none" w:sz="0" w:space="0" w:color="auto"/>
            <w:right w:val="none" w:sz="0" w:space="0" w:color="auto"/>
          </w:divBdr>
        </w:div>
        <w:div w:id="987325812">
          <w:marLeft w:val="0"/>
          <w:marRight w:val="0"/>
          <w:marTop w:val="0"/>
          <w:marBottom w:val="0"/>
          <w:divBdr>
            <w:top w:val="none" w:sz="0" w:space="0" w:color="auto"/>
            <w:left w:val="none" w:sz="0" w:space="0" w:color="auto"/>
            <w:bottom w:val="none" w:sz="0" w:space="0" w:color="auto"/>
            <w:right w:val="none" w:sz="0" w:space="0" w:color="auto"/>
          </w:divBdr>
        </w:div>
        <w:div w:id="987437786">
          <w:marLeft w:val="0"/>
          <w:marRight w:val="0"/>
          <w:marTop w:val="0"/>
          <w:marBottom w:val="0"/>
          <w:divBdr>
            <w:top w:val="none" w:sz="0" w:space="0" w:color="auto"/>
            <w:left w:val="none" w:sz="0" w:space="0" w:color="auto"/>
            <w:bottom w:val="none" w:sz="0" w:space="0" w:color="auto"/>
            <w:right w:val="none" w:sz="0" w:space="0" w:color="auto"/>
          </w:divBdr>
        </w:div>
        <w:div w:id="1123039931">
          <w:marLeft w:val="0"/>
          <w:marRight w:val="0"/>
          <w:marTop w:val="0"/>
          <w:marBottom w:val="0"/>
          <w:divBdr>
            <w:top w:val="none" w:sz="0" w:space="0" w:color="auto"/>
            <w:left w:val="none" w:sz="0" w:space="0" w:color="auto"/>
            <w:bottom w:val="none" w:sz="0" w:space="0" w:color="auto"/>
            <w:right w:val="none" w:sz="0" w:space="0" w:color="auto"/>
          </w:divBdr>
        </w:div>
        <w:div w:id="1144657142">
          <w:marLeft w:val="0"/>
          <w:marRight w:val="0"/>
          <w:marTop w:val="0"/>
          <w:marBottom w:val="0"/>
          <w:divBdr>
            <w:top w:val="none" w:sz="0" w:space="0" w:color="auto"/>
            <w:left w:val="none" w:sz="0" w:space="0" w:color="auto"/>
            <w:bottom w:val="none" w:sz="0" w:space="0" w:color="auto"/>
            <w:right w:val="none" w:sz="0" w:space="0" w:color="auto"/>
          </w:divBdr>
        </w:div>
        <w:div w:id="1257205072">
          <w:marLeft w:val="0"/>
          <w:marRight w:val="0"/>
          <w:marTop w:val="0"/>
          <w:marBottom w:val="0"/>
          <w:divBdr>
            <w:top w:val="none" w:sz="0" w:space="0" w:color="auto"/>
            <w:left w:val="none" w:sz="0" w:space="0" w:color="auto"/>
            <w:bottom w:val="none" w:sz="0" w:space="0" w:color="auto"/>
            <w:right w:val="none" w:sz="0" w:space="0" w:color="auto"/>
          </w:divBdr>
        </w:div>
        <w:div w:id="1462503887">
          <w:marLeft w:val="0"/>
          <w:marRight w:val="0"/>
          <w:marTop w:val="0"/>
          <w:marBottom w:val="0"/>
          <w:divBdr>
            <w:top w:val="none" w:sz="0" w:space="0" w:color="auto"/>
            <w:left w:val="none" w:sz="0" w:space="0" w:color="auto"/>
            <w:bottom w:val="none" w:sz="0" w:space="0" w:color="auto"/>
            <w:right w:val="none" w:sz="0" w:space="0" w:color="auto"/>
          </w:divBdr>
        </w:div>
        <w:div w:id="1689067077">
          <w:marLeft w:val="0"/>
          <w:marRight w:val="0"/>
          <w:marTop w:val="0"/>
          <w:marBottom w:val="0"/>
          <w:divBdr>
            <w:top w:val="none" w:sz="0" w:space="0" w:color="auto"/>
            <w:left w:val="none" w:sz="0" w:space="0" w:color="auto"/>
            <w:bottom w:val="none" w:sz="0" w:space="0" w:color="auto"/>
            <w:right w:val="none" w:sz="0" w:space="0" w:color="auto"/>
          </w:divBdr>
        </w:div>
        <w:div w:id="1933974759">
          <w:marLeft w:val="0"/>
          <w:marRight w:val="0"/>
          <w:marTop w:val="0"/>
          <w:marBottom w:val="0"/>
          <w:divBdr>
            <w:top w:val="none" w:sz="0" w:space="0" w:color="auto"/>
            <w:left w:val="none" w:sz="0" w:space="0" w:color="auto"/>
            <w:bottom w:val="none" w:sz="0" w:space="0" w:color="auto"/>
            <w:right w:val="none" w:sz="0" w:space="0" w:color="auto"/>
          </w:divBdr>
        </w:div>
      </w:divsChild>
    </w:div>
    <w:div w:id="832188674">
      <w:bodyDiv w:val="1"/>
      <w:marLeft w:val="0"/>
      <w:marRight w:val="0"/>
      <w:marTop w:val="0"/>
      <w:marBottom w:val="0"/>
      <w:divBdr>
        <w:top w:val="none" w:sz="0" w:space="0" w:color="auto"/>
        <w:left w:val="none" w:sz="0" w:space="0" w:color="auto"/>
        <w:bottom w:val="none" w:sz="0" w:space="0" w:color="auto"/>
        <w:right w:val="none" w:sz="0" w:space="0" w:color="auto"/>
      </w:divBdr>
    </w:div>
    <w:div w:id="874197163">
      <w:bodyDiv w:val="1"/>
      <w:marLeft w:val="0"/>
      <w:marRight w:val="0"/>
      <w:marTop w:val="0"/>
      <w:marBottom w:val="0"/>
      <w:divBdr>
        <w:top w:val="none" w:sz="0" w:space="0" w:color="auto"/>
        <w:left w:val="none" w:sz="0" w:space="0" w:color="auto"/>
        <w:bottom w:val="none" w:sz="0" w:space="0" w:color="auto"/>
        <w:right w:val="none" w:sz="0" w:space="0" w:color="auto"/>
      </w:divBdr>
    </w:div>
    <w:div w:id="945382568">
      <w:bodyDiv w:val="1"/>
      <w:marLeft w:val="0"/>
      <w:marRight w:val="0"/>
      <w:marTop w:val="0"/>
      <w:marBottom w:val="0"/>
      <w:divBdr>
        <w:top w:val="none" w:sz="0" w:space="0" w:color="auto"/>
        <w:left w:val="none" w:sz="0" w:space="0" w:color="auto"/>
        <w:bottom w:val="none" w:sz="0" w:space="0" w:color="auto"/>
        <w:right w:val="none" w:sz="0" w:space="0" w:color="auto"/>
      </w:divBdr>
    </w:div>
    <w:div w:id="955868719">
      <w:bodyDiv w:val="1"/>
      <w:marLeft w:val="0"/>
      <w:marRight w:val="0"/>
      <w:marTop w:val="0"/>
      <w:marBottom w:val="0"/>
      <w:divBdr>
        <w:top w:val="none" w:sz="0" w:space="0" w:color="auto"/>
        <w:left w:val="none" w:sz="0" w:space="0" w:color="auto"/>
        <w:bottom w:val="none" w:sz="0" w:space="0" w:color="auto"/>
        <w:right w:val="none" w:sz="0" w:space="0" w:color="auto"/>
      </w:divBdr>
    </w:div>
    <w:div w:id="975450651">
      <w:bodyDiv w:val="1"/>
      <w:marLeft w:val="0"/>
      <w:marRight w:val="0"/>
      <w:marTop w:val="0"/>
      <w:marBottom w:val="0"/>
      <w:divBdr>
        <w:top w:val="none" w:sz="0" w:space="0" w:color="auto"/>
        <w:left w:val="none" w:sz="0" w:space="0" w:color="auto"/>
        <w:bottom w:val="none" w:sz="0" w:space="0" w:color="auto"/>
        <w:right w:val="none" w:sz="0" w:space="0" w:color="auto"/>
      </w:divBdr>
    </w:div>
    <w:div w:id="1051612438">
      <w:bodyDiv w:val="1"/>
      <w:marLeft w:val="0"/>
      <w:marRight w:val="0"/>
      <w:marTop w:val="0"/>
      <w:marBottom w:val="0"/>
      <w:divBdr>
        <w:top w:val="none" w:sz="0" w:space="0" w:color="auto"/>
        <w:left w:val="none" w:sz="0" w:space="0" w:color="auto"/>
        <w:bottom w:val="none" w:sz="0" w:space="0" w:color="auto"/>
        <w:right w:val="none" w:sz="0" w:space="0" w:color="auto"/>
      </w:divBdr>
    </w:div>
    <w:div w:id="1060247688">
      <w:bodyDiv w:val="1"/>
      <w:marLeft w:val="0"/>
      <w:marRight w:val="0"/>
      <w:marTop w:val="0"/>
      <w:marBottom w:val="0"/>
      <w:divBdr>
        <w:top w:val="none" w:sz="0" w:space="0" w:color="auto"/>
        <w:left w:val="none" w:sz="0" w:space="0" w:color="auto"/>
        <w:bottom w:val="none" w:sz="0" w:space="0" w:color="auto"/>
        <w:right w:val="none" w:sz="0" w:space="0" w:color="auto"/>
      </w:divBdr>
    </w:div>
    <w:div w:id="1087120317">
      <w:bodyDiv w:val="1"/>
      <w:marLeft w:val="0"/>
      <w:marRight w:val="0"/>
      <w:marTop w:val="0"/>
      <w:marBottom w:val="0"/>
      <w:divBdr>
        <w:top w:val="none" w:sz="0" w:space="0" w:color="auto"/>
        <w:left w:val="none" w:sz="0" w:space="0" w:color="auto"/>
        <w:bottom w:val="none" w:sz="0" w:space="0" w:color="auto"/>
        <w:right w:val="none" w:sz="0" w:space="0" w:color="auto"/>
      </w:divBdr>
    </w:div>
    <w:div w:id="1126315353">
      <w:bodyDiv w:val="1"/>
      <w:marLeft w:val="0"/>
      <w:marRight w:val="0"/>
      <w:marTop w:val="0"/>
      <w:marBottom w:val="0"/>
      <w:divBdr>
        <w:top w:val="none" w:sz="0" w:space="0" w:color="auto"/>
        <w:left w:val="none" w:sz="0" w:space="0" w:color="auto"/>
        <w:bottom w:val="none" w:sz="0" w:space="0" w:color="auto"/>
        <w:right w:val="none" w:sz="0" w:space="0" w:color="auto"/>
      </w:divBdr>
    </w:div>
    <w:div w:id="1137377931">
      <w:bodyDiv w:val="1"/>
      <w:marLeft w:val="0"/>
      <w:marRight w:val="0"/>
      <w:marTop w:val="0"/>
      <w:marBottom w:val="0"/>
      <w:divBdr>
        <w:top w:val="none" w:sz="0" w:space="0" w:color="auto"/>
        <w:left w:val="none" w:sz="0" w:space="0" w:color="auto"/>
        <w:bottom w:val="none" w:sz="0" w:space="0" w:color="auto"/>
        <w:right w:val="none" w:sz="0" w:space="0" w:color="auto"/>
      </w:divBdr>
    </w:div>
    <w:div w:id="1163933099">
      <w:bodyDiv w:val="1"/>
      <w:marLeft w:val="0"/>
      <w:marRight w:val="0"/>
      <w:marTop w:val="0"/>
      <w:marBottom w:val="0"/>
      <w:divBdr>
        <w:top w:val="none" w:sz="0" w:space="0" w:color="auto"/>
        <w:left w:val="none" w:sz="0" w:space="0" w:color="auto"/>
        <w:bottom w:val="none" w:sz="0" w:space="0" w:color="auto"/>
        <w:right w:val="none" w:sz="0" w:space="0" w:color="auto"/>
      </w:divBdr>
    </w:div>
    <w:div w:id="1191606055">
      <w:bodyDiv w:val="1"/>
      <w:marLeft w:val="0"/>
      <w:marRight w:val="0"/>
      <w:marTop w:val="0"/>
      <w:marBottom w:val="0"/>
      <w:divBdr>
        <w:top w:val="none" w:sz="0" w:space="0" w:color="auto"/>
        <w:left w:val="none" w:sz="0" w:space="0" w:color="auto"/>
        <w:bottom w:val="none" w:sz="0" w:space="0" w:color="auto"/>
        <w:right w:val="none" w:sz="0" w:space="0" w:color="auto"/>
      </w:divBdr>
    </w:div>
    <w:div w:id="1216433152">
      <w:bodyDiv w:val="1"/>
      <w:marLeft w:val="0"/>
      <w:marRight w:val="0"/>
      <w:marTop w:val="0"/>
      <w:marBottom w:val="0"/>
      <w:divBdr>
        <w:top w:val="none" w:sz="0" w:space="0" w:color="auto"/>
        <w:left w:val="none" w:sz="0" w:space="0" w:color="auto"/>
        <w:bottom w:val="none" w:sz="0" w:space="0" w:color="auto"/>
        <w:right w:val="none" w:sz="0" w:space="0" w:color="auto"/>
      </w:divBdr>
    </w:div>
    <w:div w:id="1390231618">
      <w:bodyDiv w:val="1"/>
      <w:marLeft w:val="0"/>
      <w:marRight w:val="0"/>
      <w:marTop w:val="0"/>
      <w:marBottom w:val="0"/>
      <w:divBdr>
        <w:top w:val="none" w:sz="0" w:space="0" w:color="auto"/>
        <w:left w:val="none" w:sz="0" w:space="0" w:color="auto"/>
        <w:bottom w:val="none" w:sz="0" w:space="0" w:color="auto"/>
        <w:right w:val="none" w:sz="0" w:space="0" w:color="auto"/>
      </w:divBdr>
    </w:div>
    <w:div w:id="1408502849">
      <w:bodyDiv w:val="1"/>
      <w:marLeft w:val="0"/>
      <w:marRight w:val="0"/>
      <w:marTop w:val="0"/>
      <w:marBottom w:val="0"/>
      <w:divBdr>
        <w:top w:val="none" w:sz="0" w:space="0" w:color="auto"/>
        <w:left w:val="none" w:sz="0" w:space="0" w:color="auto"/>
        <w:bottom w:val="none" w:sz="0" w:space="0" w:color="auto"/>
        <w:right w:val="none" w:sz="0" w:space="0" w:color="auto"/>
      </w:divBdr>
    </w:div>
    <w:div w:id="1428034693">
      <w:bodyDiv w:val="1"/>
      <w:marLeft w:val="0"/>
      <w:marRight w:val="0"/>
      <w:marTop w:val="0"/>
      <w:marBottom w:val="0"/>
      <w:divBdr>
        <w:top w:val="none" w:sz="0" w:space="0" w:color="auto"/>
        <w:left w:val="none" w:sz="0" w:space="0" w:color="auto"/>
        <w:bottom w:val="none" w:sz="0" w:space="0" w:color="auto"/>
        <w:right w:val="none" w:sz="0" w:space="0" w:color="auto"/>
      </w:divBdr>
    </w:div>
    <w:div w:id="1448695868">
      <w:bodyDiv w:val="1"/>
      <w:marLeft w:val="0"/>
      <w:marRight w:val="0"/>
      <w:marTop w:val="0"/>
      <w:marBottom w:val="0"/>
      <w:divBdr>
        <w:top w:val="none" w:sz="0" w:space="0" w:color="auto"/>
        <w:left w:val="none" w:sz="0" w:space="0" w:color="auto"/>
        <w:bottom w:val="none" w:sz="0" w:space="0" w:color="auto"/>
        <w:right w:val="none" w:sz="0" w:space="0" w:color="auto"/>
      </w:divBdr>
    </w:div>
    <w:div w:id="1452164651">
      <w:bodyDiv w:val="1"/>
      <w:marLeft w:val="0"/>
      <w:marRight w:val="0"/>
      <w:marTop w:val="0"/>
      <w:marBottom w:val="0"/>
      <w:divBdr>
        <w:top w:val="none" w:sz="0" w:space="0" w:color="auto"/>
        <w:left w:val="none" w:sz="0" w:space="0" w:color="auto"/>
        <w:bottom w:val="none" w:sz="0" w:space="0" w:color="auto"/>
        <w:right w:val="none" w:sz="0" w:space="0" w:color="auto"/>
      </w:divBdr>
    </w:div>
    <w:div w:id="1475298803">
      <w:bodyDiv w:val="1"/>
      <w:marLeft w:val="0"/>
      <w:marRight w:val="0"/>
      <w:marTop w:val="0"/>
      <w:marBottom w:val="0"/>
      <w:divBdr>
        <w:top w:val="none" w:sz="0" w:space="0" w:color="auto"/>
        <w:left w:val="none" w:sz="0" w:space="0" w:color="auto"/>
        <w:bottom w:val="none" w:sz="0" w:space="0" w:color="auto"/>
        <w:right w:val="none" w:sz="0" w:space="0" w:color="auto"/>
      </w:divBdr>
    </w:div>
    <w:div w:id="1693721956">
      <w:bodyDiv w:val="1"/>
      <w:marLeft w:val="0"/>
      <w:marRight w:val="0"/>
      <w:marTop w:val="0"/>
      <w:marBottom w:val="0"/>
      <w:divBdr>
        <w:top w:val="none" w:sz="0" w:space="0" w:color="auto"/>
        <w:left w:val="none" w:sz="0" w:space="0" w:color="auto"/>
        <w:bottom w:val="none" w:sz="0" w:space="0" w:color="auto"/>
        <w:right w:val="none" w:sz="0" w:space="0" w:color="auto"/>
      </w:divBdr>
    </w:div>
    <w:div w:id="1835142827">
      <w:bodyDiv w:val="1"/>
      <w:marLeft w:val="0"/>
      <w:marRight w:val="0"/>
      <w:marTop w:val="0"/>
      <w:marBottom w:val="0"/>
      <w:divBdr>
        <w:top w:val="none" w:sz="0" w:space="0" w:color="auto"/>
        <w:left w:val="none" w:sz="0" w:space="0" w:color="auto"/>
        <w:bottom w:val="none" w:sz="0" w:space="0" w:color="auto"/>
        <w:right w:val="none" w:sz="0" w:space="0" w:color="auto"/>
      </w:divBdr>
    </w:div>
    <w:div w:id="1944334474">
      <w:bodyDiv w:val="1"/>
      <w:marLeft w:val="0"/>
      <w:marRight w:val="0"/>
      <w:marTop w:val="0"/>
      <w:marBottom w:val="0"/>
      <w:divBdr>
        <w:top w:val="none" w:sz="0" w:space="0" w:color="auto"/>
        <w:left w:val="none" w:sz="0" w:space="0" w:color="auto"/>
        <w:bottom w:val="none" w:sz="0" w:space="0" w:color="auto"/>
        <w:right w:val="none" w:sz="0" w:space="0" w:color="auto"/>
      </w:divBdr>
    </w:div>
    <w:div w:id="2032491819">
      <w:bodyDiv w:val="1"/>
      <w:marLeft w:val="0"/>
      <w:marRight w:val="0"/>
      <w:marTop w:val="0"/>
      <w:marBottom w:val="0"/>
      <w:divBdr>
        <w:top w:val="none" w:sz="0" w:space="0" w:color="auto"/>
        <w:left w:val="none" w:sz="0" w:space="0" w:color="auto"/>
        <w:bottom w:val="none" w:sz="0" w:space="0" w:color="auto"/>
        <w:right w:val="none" w:sz="0" w:space="0" w:color="auto"/>
      </w:divBdr>
    </w:div>
    <w:div w:id="2089109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emf"/><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7.png"/><Relationship Id="rId28"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image" Target="media/image3.emf"/><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6.png"/><Relationship Id="rId27" Type="http://schemas.openxmlformats.org/officeDocument/2006/relationships/footer" Target="footer5.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eurostat/statistics-explained/index.php?title=Minimum_wage_statistics" TargetMode="External"/><Relationship Id="rId2" Type="http://schemas.openxmlformats.org/officeDocument/2006/relationships/hyperlink" Target="https://employment-social-affairs.ec.europa.eu/policies-and-activities/european-pillar-social-rights-building-fairer-and-more-inclusive-european-union_en" TargetMode="External"/><Relationship Id="rId1" Type="http://schemas.openxmlformats.org/officeDocument/2006/relationships/hyperlink" Target="https://eur-lex.europa.eu/eli/dir/2022/2041/oj/eng" TargetMode="External"/><Relationship Id="rId5" Type="http://schemas.openxmlformats.org/officeDocument/2006/relationships/hyperlink" Target="https://eur-lex.europa.eu/legal-content/RO/TXT/PDF/?uri=OJ:L_202403134" TargetMode="External"/><Relationship Id="rId4" Type="http://schemas.openxmlformats.org/officeDocument/2006/relationships/hyperlink" Target="https://eur-lex.europa.eu/legal-content/RO/TXT/PDF/?uri=CELEX:32023H013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46D291388000A54997C6715B9B4FFF05009BF36AE4A61C1348945412939C34732E" ma:contentTypeVersion="28" ma:contentTypeDescription="Create a new document in this library." ma:contentTypeScope="" ma:versionID="726f18e71a23245f48dc2290c6fc8595">
  <xsd:schema xmlns:xsd="http://www.w3.org/2001/XMLSchema" xmlns:xs="http://www.w3.org/2001/XMLSchema" xmlns:p="http://schemas.microsoft.com/office/2006/metadata/properties" xmlns:ns2="http://schemas.microsoft.com/sharepoint/v3/fields" xmlns:ns3="e7ce7334-6d34-4bd6-adf1-7b434eb0d83e" xmlns:ns4="43eb9028-f615-416e-ab95-1f973838ac88" targetNamespace="http://schemas.microsoft.com/office/2006/metadata/properties" ma:root="true" ma:fieldsID="a14aaee4dd5210c14bd0821486145b4d" ns2:_="" ns3:_="" ns4:_="">
    <xsd:import namespace="http://schemas.microsoft.com/sharepoint/v3/fields"/>
    <xsd:import namespace="e7ce7334-6d34-4bd6-adf1-7b434eb0d83e"/>
    <xsd:import namespace="43eb9028-f615-416e-ab95-1f973838ac88"/>
    <xsd:element name="properties">
      <xsd:complexType>
        <xsd:sequence>
          <xsd:element name="documentManagement">
            <xsd:complexType>
              <xsd:all>
                <xsd:element ref="ns3:EC_Collab_Reference" minOccurs="0"/>
                <xsd:element ref="ns2:_Status" minOccurs="0"/>
                <xsd:element ref="ns3:EC_Collab_DocumentLanguage"/>
                <xsd:element ref="ns3:EC_Collab_Status"/>
                <xsd:element ref="ns4:MediaServiceMetadata" minOccurs="0"/>
                <xsd:element ref="ns4:MediaServiceFastMetadata" minOccurs="0"/>
                <xsd:element ref="ns4:MediaServiceSearchProperties" minOccurs="0"/>
                <xsd:element ref="ns4:MediaServiceObjectDetectorVersions" minOccurs="0"/>
                <xsd:element ref="ns3:SharedWithUsers" minOccurs="0"/>
                <xsd:element ref="ns3:SharedWithDetail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e7ce7334-6d34-4bd6-adf1-7b434eb0d83e"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d1abe68a-44b5-4098-b7a0-e82b8a7cb32f}" ma:internalName="TaxCatchAll" ma:showField="CatchAllData" ma:web="e7ce7334-6d34-4bd6-adf1-7b434eb0d83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3eb9028-f615-416e-ab95-1f973838ac88" elementFormDefault="qualified">
    <xsd:import namespace="http://schemas.microsoft.com/office/2006/documentManagement/types"/>
    <xsd:import namespace="http://schemas.microsoft.com/office/infopath/2007/PartnerControls"/>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3eb9028-f615-416e-ab95-1f973838ac88">
      <Terms xmlns="http://schemas.microsoft.com/office/infopath/2007/PartnerControls"/>
    </lcf76f155ced4ddcb4097134ff3c332f>
    <EC_Collab_DocumentLanguage xmlns="e7ce7334-6d34-4bd6-adf1-7b434eb0d83e">EN</EC_Collab_DocumentLanguage>
    <TaxCatchAll xmlns="e7ce7334-6d34-4bd6-adf1-7b434eb0d83e" xsi:nil="true"/>
    <_Status xmlns="http://schemas.microsoft.com/sharepoint/v3/fields">Not Started</_Status>
    <EC_Collab_Status xmlns="e7ce7334-6d34-4bd6-adf1-7b434eb0d83e">Not Started</EC_Collab_Status>
    <EC_Collab_Reference xmlns="e7ce7334-6d34-4bd6-adf1-7b434eb0d83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5092E0-F478-4151-BD61-43C97F1CAB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e7ce7334-6d34-4bd6-adf1-7b434eb0d83e"/>
    <ds:schemaRef ds:uri="43eb9028-f615-416e-ab95-1f973838ac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A601F14-C63A-4D7E-9EEA-15ECC880CC75}">
  <ds:schemaRefs>
    <ds:schemaRef ds:uri="http://schemas.microsoft.com/sharepoint/v3/contenttype/forms"/>
  </ds:schemaRefs>
</ds:datastoreItem>
</file>

<file path=customXml/itemProps3.xml><?xml version="1.0" encoding="utf-8"?>
<ds:datastoreItem xmlns:ds="http://schemas.openxmlformats.org/officeDocument/2006/customXml" ds:itemID="{B0BBB468-3AF2-4B1D-8C38-758122914E1B}">
  <ds:schemaRefs>
    <ds:schemaRef ds:uri="http://schemas.microsoft.com/office/2006/metadata/properties"/>
    <ds:schemaRef ds:uri="http://schemas.microsoft.com/office/infopath/2007/PartnerControls"/>
    <ds:schemaRef ds:uri="43eb9028-f615-416e-ab95-1f973838ac88"/>
    <ds:schemaRef ds:uri="e7ce7334-6d34-4bd6-adf1-7b434eb0d83e"/>
    <ds:schemaRef ds:uri="http://schemas.microsoft.com/sharepoint/v3/fields"/>
  </ds:schemaRefs>
</ds:datastoreItem>
</file>

<file path=customXml/itemProps4.xml><?xml version="1.0" encoding="utf-8"?>
<ds:datastoreItem xmlns:ds="http://schemas.openxmlformats.org/officeDocument/2006/customXml" ds:itemID="{1BBDC2D2-AB4C-45E0-ACD3-1F47D149F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14</Pages>
  <Words>4645</Words>
  <Characters>26478</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31061</CharactersWithSpaces>
  <SharedDoc>false</SharedDoc>
  <HLinks>
    <vt:vector size="54" baseType="variant">
      <vt:variant>
        <vt:i4>1114167</vt:i4>
      </vt:variant>
      <vt:variant>
        <vt:i4>20</vt:i4>
      </vt:variant>
      <vt:variant>
        <vt:i4>0</vt:i4>
      </vt:variant>
      <vt:variant>
        <vt:i4>5</vt:i4>
      </vt:variant>
      <vt:variant>
        <vt:lpwstr/>
      </vt:variant>
      <vt:variant>
        <vt:lpwstr>_Toc234835281</vt:lpwstr>
      </vt:variant>
      <vt:variant>
        <vt:i4>1114167</vt:i4>
      </vt:variant>
      <vt:variant>
        <vt:i4>14</vt:i4>
      </vt:variant>
      <vt:variant>
        <vt:i4>0</vt:i4>
      </vt:variant>
      <vt:variant>
        <vt:i4>5</vt:i4>
      </vt:variant>
      <vt:variant>
        <vt:lpwstr/>
      </vt:variant>
      <vt:variant>
        <vt:lpwstr>_Toc234835280</vt:lpwstr>
      </vt:variant>
      <vt:variant>
        <vt:i4>1966135</vt:i4>
      </vt:variant>
      <vt:variant>
        <vt:i4>8</vt:i4>
      </vt:variant>
      <vt:variant>
        <vt:i4>0</vt:i4>
      </vt:variant>
      <vt:variant>
        <vt:i4>5</vt:i4>
      </vt:variant>
      <vt:variant>
        <vt:lpwstr/>
      </vt:variant>
      <vt:variant>
        <vt:lpwstr>_Toc234835279</vt:lpwstr>
      </vt:variant>
      <vt:variant>
        <vt:i4>1966135</vt:i4>
      </vt:variant>
      <vt:variant>
        <vt:i4>2</vt:i4>
      </vt:variant>
      <vt:variant>
        <vt:i4>0</vt:i4>
      </vt:variant>
      <vt:variant>
        <vt:i4>5</vt:i4>
      </vt:variant>
      <vt:variant>
        <vt:lpwstr/>
      </vt:variant>
      <vt:variant>
        <vt:lpwstr>_Toc234835278</vt:lpwstr>
      </vt:variant>
      <vt:variant>
        <vt:i4>8060992</vt:i4>
      </vt:variant>
      <vt:variant>
        <vt:i4>15</vt:i4>
      </vt:variant>
      <vt:variant>
        <vt:i4>0</vt:i4>
      </vt:variant>
      <vt:variant>
        <vt:i4>5</vt:i4>
      </vt:variant>
      <vt:variant>
        <vt:lpwstr>https://eur-lex.europa.eu/legal-content/EN/TXT/PDF/?uri=OJ:L_202403134</vt:lpwstr>
      </vt:variant>
      <vt:variant>
        <vt:lpwstr/>
      </vt:variant>
      <vt:variant>
        <vt:i4>1245194</vt:i4>
      </vt:variant>
      <vt:variant>
        <vt:i4>12</vt:i4>
      </vt:variant>
      <vt:variant>
        <vt:i4>0</vt:i4>
      </vt:variant>
      <vt:variant>
        <vt:i4>5</vt:i4>
      </vt:variant>
      <vt:variant>
        <vt:lpwstr>https://eur-lex.europa.eu/legal-content/EN/TXT/PDF/?uri=CELEX:32023H01389</vt:lpwstr>
      </vt:variant>
      <vt:variant>
        <vt:lpwstr/>
      </vt:variant>
      <vt:variant>
        <vt:i4>4587614</vt:i4>
      </vt:variant>
      <vt:variant>
        <vt:i4>6</vt:i4>
      </vt:variant>
      <vt:variant>
        <vt:i4>0</vt:i4>
      </vt:variant>
      <vt:variant>
        <vt:i4>5</vt:i4>
      </vt:variant>
      <vt:variant>
        <vt:lpwstr>https://ec.europa.eu/eurostat/statistics-explained/index.php?title=Minimum_wage_statistics</vt:lpwstr>
      </vt:variant>
      <vt:variant>
        <vt:lpwstr/>
      </vt:variant>
      <vt:variant>
        <vt:i4>589861</vt:i4>
      </vt:variant>
      <vt:variant>
        <vt:i4>3</vt:i4>
      </vt:variant>
      <vt:variant>
        <vt:i4>0</vt:i4>
      </vt:variant>
      <vt:variant>
        <vt:i4>5</vt:i4>
      </vt:variant>
      <vt:variant>
        <vt:lpwstr>https://employment-social-affairs.ec.europa.eu/policies-and-activities/european-pillar-social-rights-building-fairer-and-more-inclusive-european-union_en</vt:lpwstr>
      </vt:variant>
      <vt:variant>
        <vt:lpwstr/>
      </vt:variant>
      <vt:variant>
        <vt:i4>7667813</vt:i4>
      </vt:variant>
      <vt:variant>
        <vt:i4>0</vt:i4>
      </vt:variant>
      <vt:variant>
        <vt:i4>0</vt:i4>
      </vt:variant>
      <vt:variant>
        <vt:i4>5</vt:i4>
      </vt:variant>
      <vt:variant>
        <vt:lpwstr>https://eur-lex.europa.eu/eli/dir/2022/2041/oj/eng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10</cp:revision>
  <cp:lastPrinted>2026-06-15T14:27:00Z</cp:lastPrinted>
  <dcterms:created xsi:type="dcterms:W3CDTF">2026-07-13T12:31:00Z</dcterms:created>
  <dcterms:modified xsi:type="dcterms:W3CDTF">2026-07-22T06:50:00Z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2026-05-20T15:01:12Z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e4aba57d-2303-4705-89f1-bfff4985e3dd</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ContentTypeId">
    <vt:lpwstr>0x01010046D291388000A54997C6715B9B4FFF05009BF36AE4A61C1348945412939C34732E</vt:lpwstr>
  </property>
  <property fmtid="{D5CDD505-2E9C-101B-9397-08002B2CF9AE}" pid="13" name="MediaServiceImageTags">
    <vt:lpwstr/>
  </property>
  <property fmtid="{D5CDD505-2E9C-101B-9397-08002B2CF9AE}" pid="14" name="Level of sensitivity">
    <vt:lpwstr>Standard treatment</vt:lpwstr>
  </property>
  <property fmtid="{D5CDD505-2E9C-101B-9397-08002B2CF9AE}" pid="15" name="Part">
    <vt:lpwstr>1</vt:lpwstr>
  </property>
  <property fmtid="{D5CDD505-2E9C-101B-9397-08002B2CF9AE}" pid="16" name="Total parts">
    <vt:lpwstr>1</vt:lpwstr>
  </property>
  <property fmtid="{D5CDD505-2E9C-101B-9397-08002B2CF9AE}" pid="17" name="CPTemplateID">
    <vt:lpwstr>CP-006</vt:lpwstr>
  </property>
</Properties>
</file>