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A3218" w14:textId="746E2B25" w:rsidR="00112030" w:rsidRPr="00526FC9" w:rsidRDefault="00226C27" w:rsidP="00226C27">
      <w:pPr>
        <w:pStyle w:val="Pagedecouverture"/>
      </w:pPr>
      <w:r>
        <w:pict w14:anchorId="0245C4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0D2D9DB6-AD87-4405-A208-4F4C907DA198" style="width:455.05pt;height:426.25pt">
            <v:imagedata r:id="rId8" o:title=""/>
          </v:shape>
        </w:pict>
      </w:r>
    </w:p>
    <w:p w14:paraId="7E80B355" w14:textId="77777777" w:rsidR="00112030" w:rsidRPr="00526FC9" w:rsidRDefault="00112030" w:rsidP="00112030">
      <w:pPr>
        <w:sectPr w:rsidR="00112030" w:rsidRPr="00526FC9" w:rsidSect="00226C27">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A6CC44F" w14:textId="77777777" w:rsidR="00112030" w:rsidRPr="00526FC9" w:rsidRDefault="00112030" w:rsidP="00BB6B30">
      <w:pPr>
        <w:pStyle w:val="Exposdesmotifstitre"/>
      </w:pPr>
      <w:r w:rsidRPr="00526FC9">
        <w:lastRenderedPageBreak/>
        <w:t>EXPUNERE DE MOTIVE</w:t>
      </w:r>
    </w:p>
    <w:p w14:paraId="29B3CB10" w14:textId="77777777" w:rsidR="00112030" w:rsidRPr="00526FC9" w:rsidRDefault="00112030" w:rsidP="00BB7C00">
      <w:pPr>
        <w:pStyle w:val="Heading"/>
        <w:numPr>
          <w:ilvl w:val="0"/>
          <w:numId w:val="1"/>
        </w:numPr>
      </w:pPr>
      <w:r w:rsidRPr="00526FC9">
        <w:t>Obiectul propunerii</w:t>
      </w:r>
    </w:p>
    <w:p w14:paraId="7181FFC6" w14:textId="0BF041D0" w:rsidR="00112030" w:rsidRPr="00526FC9" w:rsidRDefault="00112030" w:rsidP="00112030">
      <w:pPr>
        <w:pStyle w:val="Body"/>
      </w:pPr>
      <w:r w:rsidRPr="00526FC9">
        <w:t>Prezenta propunere se referă la decizia de stabilire a poziției care urmează să fie luată în numele Uniunii în cadrul Comitetului mixt al SEE în legătură cu adoptarea preconizată a deciziei Comitetului mixt privind o modificare a anexei IV (Energia) la Acordul privind SEE</w:t>
      </w:r>
    </w:p>
    <w:p w14:paraId="233E3C67" w14:textId="77777777" w:rsidR="00112030" w:rsidRPr="00526FC9" w:rsidRDefault="00112030" w:rsidP="00BB7C00">
      <w:pPr>
        <w:pStyle w:val="Heading"/>
        <w:numPr>
          <w:ilvl w:val="0"/>
          <w:numId w:val="1"/>
        </w:numPr>
      </w:pPr>
      <w:r w:rsidRPr="00526FC9">
        <w:t>Contextul propunerii</w:t>
      </w:r>
    </w:p>
    <w:p w14:paraId="259FFD6F" w14:textId="63D0D339" w:rsidR="00112030" w:rsidRPr="00526FC9" w:rsidRDefault="00226C27" w:rsidP="00226C27">
      <w:pPr>
        <w:pStyle w:val="ManualHeading2"/>
      </w:pPr>
      <w:r w:rsidRPr="00226C27">
        <w:t>2.1.</w:t>
      </w:r>
      <w:r w:rsidRPr="00226C27">
        <w:tab/>
      </w:r>
      <w:r w:rsidR="00112030" w:rsidRPr="00526FC9">
        <w:t>Acordul privind SEE</w:t>
      </w:r>
    </w:p>
    <w:p w14:paraId="05CA3FC7" w14:textId="77777777" w:rsidR="00112030" w:rsidRPr="00526FC9" w:rsidRDefault="00112030" w:rsidP="00112030">
      <w:pPr>
        <w:pStyle w:val="Body"/>
      </w:pPr>
      <w:r w:rsidRPr="00526FC9">
        <w:t>Acordul privind Spațiul Economic European („Acordul privind SEE”) garantează drepturi și obligații egale în cadrul pieței interne pentru cetățenii și operatorii economici din SEE. Acesta prevede includerea legislației UE din domeniul celor patru libertăți în toate cele 30 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„politici de sprijin și orizontale”. Acordul privind SEE a intrat în vigoare la 1 ianuarie 1994. Uniunea, împreună cu statele sale membre, este parte la Acordul privind SEE.</w:t>
      </w:r>
    </w:p>
    <w:p w14:paraId="3AFD6E77" w14:textId="65575E7D" w:rsidR="00112030" w:rsidRPr="00526FC9" w:rsidRDefault="00226C27" w:rsidP="00226C27">
      <w:pPr>
        <w:pStyle w:val="ManualHeading2"/>
      </w:pPr>
      <w:r w:rsidRPr="00226C27">
        <w:t>2.2.</w:t>
      </w:r>
      <w:r w:rsidRPr="00226C27">
        <w:tab/>
      </w:r>
      <w:r w:rsidR="00112030" w:rsidRPr="00526FC9">
        <w:t>Comitetul mixt al SEE</w:t>
      </w:r>
    </w:p>
    <w:p w14:paraId="27839569" w14:textId="77777777" w:rsidR="00112030" w:rsidRPr="00526FC9" w:rsidRDefault="00112030" w:rsidP="00112030">
      <w:pPr>
        <w:pStyle w:val="Body"/>
      </w:pPr>
      <w:r w:rsidRPr="00526FC9">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14:paraId="7E07B03D" w14:textId="7CAF1F79" w:rsidR="00112030" w:rsidRPr="00526FC9" w:rsidRDefault="00226C27" w:rsidP="00226C27">
      <w:pPr>
        <w:pStyle w:val="ManualHeading2"/>
      </w:pPr>
      <w:r w:rsidRPr="00226C27">
        <w:t>2.3.</w:t>
      </w:r>
      <w:r w:rsidRPr="00226C27">
        <w:tab/>
      </w:r>
      <w:r w:rsidR="00112030" w:rsidRPr="00526FC9">
        <w:t>Actul avut în vedere spre adoptare de către Comitetul mixt al SEE</w:t>
      </w:r>
    </w:p>
    <w:p w14:paraId="0800FEDD" w14:textId="5DD8C2D9" w:rsidR="00112030" w:rsidRPr="00526FC9" w:rsidRDefault="00112030" w:rsidP="00112030">
      <w:pPr>
        <w:pStyle w:val="Body"/>
      </w:pPr>
      <w:r w:rsidRPr="00526FC9">
        <w:t>Comitetul mixt al SEE urmează să adopte decizia Comitetului mixt al SEE („actul avut în vedere”) referitoare la modificarea anexei IV (Energia) la Acordul privind SEE.</w:t>
      </w:r>
    </w:p>
    <w:p w14:paraId="293E0A93" w14:textId="584466B1" w:rsidR="00112030" w:rsidRPr="00526FC9" w:rsidRDefault="00112030" w:rsidP="00112030">
      <w:pPr>
        <w:pStyle w:val="Body"/>
      </w:pPr>
      <w:r w:rsidRPr="00526FC9">
        <w:t>Scopul actului avut în vedere este de a încorpora în Acordul privind SEE Regulamentul (UE) 312/2014 al Comisiei de stabilire a unui cod de rețea privind echilibrarea rețelelor de transport de gaz</w:t>
      </w:r>
      <w:r w:rsidRPr="00526FC9">
        <w:rPr>
          <w:rStyle w:val="FootnoteReference"/>
        </w:rPr>
        <w:footnoteReference w:id="1"/>
      </w:r>
      <w:r w:rsidRPr="00526FC9">
        <w:t xml:space="preserve">. </w:t>
      </w:r>
    </w:p>
    <w:p w14:paraId="443CAF1B" w14:textId="77777777" w:rsidR="00AB72F8" w:rsidRPr="00526FC9" w:rsidRDefault="00AB72F8" w:rsidP="00AB72F8">
      <w:pPr>
        <w:pStyle w:val="Body"/>
        <w:rPr>
          <w:rFonts w:eastAsia="Arial Unicode MS" w:cs="Arial Unicode MS"/>
        </w:rPr>
      </w:pPr>
      <w:r w:rsidRPr="00526FC9">
        <w:t xml:space="preserve">Actul avut în vedere va deveni obligatoriu pentru părți în conformitate cu articolele 103 și 104 din Acordul privind SEE. </w:t>
      </w:r>
    </w:p>
    <w:p w14:paraId="67166AEF" w14:textId="77777777" w:rsidR="00AB72F8" w:rsidRPr="00526FC9" w:rsidRDefault="00AB72F8" w:rsidP="00112030">
      <w:pPr>
        <w:pStyle w:val="Body"/>
      </w:pPr>
    </w:p>
    <w:p w14:paraId="621141A4" w14:textId="77777777" w:rsidR="00112030" w:rsidRPr="00526FC9" w:rsidRDefault="00112030" w:rsidP="00BB7C00">
      <w:pPr>
        <w:pStyle w:val="Heading"/>
        <w:numPr>
          <w:ilvl w:val="0"/>
          <w:numId w:val="1"/>
        </w:numPr>
      </w:pPr>
      <w:r w:rsidRPr="00526FC9">
        <w:t>Poziția care urmează să fie adoptată în numele Uniunii</w:t>
      </w:r>
    </w:p>
    <w:p w14:paraId="4B102338" w14:textId="77777777" w:rsidR="00112030" w:rsidRPr="00526FC9" w:rsidRDefault="00112030" w:rsidP="00112030">
      <w:pPr>
        <w:pStyle w:val="Body"/>
      </w:pPr>
      <w:r w:rsidRPr="00526FC9">
        <w:t>Comisia prezintă proiectul anexat de decizie a Comitetului mixt al SEE în vederea adoptării sale de către Consiliu ca poziție a Uniunii. Odată adoptată, poziția ar trebui să fie prezentată în cel mai scurt timp în cadrul Comitetului mixt al SEE.</w:t>
      </w:r>
    </w:p>
    <w:p w14:paraId="4523F1BC" w14:textId="0FDDB1AB" w:rsidR="00112030" w:rsidRPr="00526FC9" w:rsidRDefault="00112030" w:rsidP="006B4860">
      <w:pPr>
        <w:pStyle w:val="Body"/>
      </w:pPr>
      <w:r w:rsidRPr="00526FC9">
        <w:t xml:space="preserve">Proiectul anexat de decizie a Comitetului mixt al SEE scutește, într-o anumită măsură, cele trei state AELS care fac parte din SEE de la aplicarea principiului omogenității prevăzut la articolul 1 alineatul (1) din Acordul privind SEE, justificând acest lucru prin absența unei rețele de gaze relevante existente, aceasta depășind ceea ce poate fi considerat drept simple </w:t>
      </w:r>
      <w:r w:rsidRPr="00526FC9">
        <w:lastRenderedPageBreak/>
        <w:t>adaptări tehnice în sensul Regulamentului (CE) nr. 2894/94 al Consiliului</w:t>
      </w:r>
      <w:r w:rsidRPr="00526FC9">
        <w:rPr>
          <w:rStyle w:val="FootnoteReference"/>
          <w:rFonts w:eastAsia="Arial Unicode MS" w:cs="Arial Unicode MS"/>
        </w:rPr>
        <w:footnoteReference w:id="2"/>
      </w:r>
      <w:r w:rsidRPr="00526FC9">
        <w:t>. Prin urmare, poziția Uniunii trebuie stabilită de Consiliu.</w:t>
      </w:r>
    </w:p>
    <w:p w14:paraId="4AD3941B" w14:textId="77777777" w:rsidR="00112030" w:rsidRPr="00526FC9" w:rsidRDefault="00112030" w:rsidP="00BB7C00">
      <w:pPr>
        <w:pStyle w:val="Heading"/>
        <w:numPr>
          <w:ilvl w:val="0"/>
          <w:numId w:val="1"/>
        </w:numPr>
      </w:pPr>
      <w:r w:rsidRPr="00526FC9">
        <w:t>Temei juridic</w:t>
      </w:r>
    </w:p>
    <w:p w14:paraId="31E5B69D" w14:textId="415F3633" w:rsidR="00112030" w:rsidRPr="00526FC9" w:rsidRDefault="00226C27" w:rsidP="00226C27">
      <w:pPr>
        <w:pStyle w:val="ManualHeading2"/>
      </w:pPr>
      <w:r w:rsidRPr="00226C27">
        <w:t>4.1.</w:t>
      </w:r>
      <w:r w:rsidRPr="00226C27">
        <w:tab/>
      </w:r>
      <w:r w:rsidR="00112030" w:rsidRPr="00526FC9">
        <w:t>Temeiul juridic procedural</w:t>
      </w:r>
    </w:p>
    <w:p w14:paraId="549B609A" w14:textId="1EDDE321" w:rsidR="00112030" w:rsidRPr="00526FC9" w:rsidRDefault="00226C27" w:rsidP="00226C27">
      <w:pPr>
        <w:pStyle w:val="ManualHeading3"/>
      </w:pPr>
      <w:r w:rsidRPr="00226C27">
        <w:t>4.1.1.</w:t>
      </w:r>
      <w:r w:rsidRPr="00226C27">
        <w:tab/>
      </w:r>
      <w:r w:rsidR="00112030" w:rsidRPr="00526FC9">
        <w:t>Principii</w:t>
      </w:r>
    </w:p>
    <w:p w14:paraId="67D5DD4B" w14:textId="77777777" w:rsidR="00112030" w:rsidRPr="00526FC9" w:rsidRDefault="00112030" w:rsidP="00112030">
      <w:pPr>
        <w:pStyle w:val="Body"/>
      </w:pPr>
      <w:r w:rsidRPr="00526FC9">
        <w:t>Articolul 218 alineatul (9) din Tratatul privind funcționarea Uniunii Europene (TFUE) prevede adoptarea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14:paraId="12976EED" w14:textId="77777777" w:rsidR="00112030" w:rsidRPr="00526FC9" w:rsidRDefault="00112030" w:rsidP="00112030">
      <w:pPr>
        <w:pStyle w:val="Body"/>
      </w:pPr>
      <w:r w:rsidRPr="00526FC9">
        <w:t xml:space="preserve">Noțiunea de „acte cu efecte juridice” include actele care au efecte juridice în temeiul normelor de drept internațional aplicabile organismului în cauză. Acesta include totodată instrumente care nu au un caracter obligatoriu în temeiul dreptului internațional, dar care </w:t>
      </w:r>
      <w:r w:rsidRPr="00526FC9">
        <w:rPr>
          <w:i/>
        </w:rPr>
        <w:t>„au vocația de a influența în mod decisiv conținutul reglementării adoptate de legiuitorul Uniunii”</w:t>
      </w:r>
      <w:r w:rsidRPr="00526FC9">
        <w:rPr>
          <w:rStyle w:val="FootnoteReference"/>
        </w:rPr>
        <w:footnoteReference w:id="3"/>
      </w:r>
      <w:r w:rsidRPr="00526FC9">
        <w:t>.</w:t>
      </w:r>
    </w:p>
    <w:p w14:paraId="5687240E" w14:textId="02374EFD" w:rsidR="00112030" w:rsidRPr="00526FC9" w:rsidRDefault="00226C27" w:rsidP="00226C27">
      <w:pPr>
        <w:pStyle w:val="ManualHeading3"/>
      </w:pPr>
      <w:r w:rsidRPr="00226C27">
        <w:t>4.1.2.</w:t>
      </w:r>
      <w:r w:rsidRPr="00226C27">
        <w:tab/>
      </w:r>
      <w:r w:rsidR="00112030" w:rsidRPr="00526FC9">
        <w:t>Aplicarea la cazul în speță</w:t>
      </w:r>
    </w:p>
    <w:p w14:paraId="197F2280" w14:textId="77777777" w:rsidR="00112030" w:rsidRPr="00226C27" w:rsidRDefault="00112030" w:rsidP="00112030">
      <w:pPr>
        <w:pStyle w:val="Body"/>
      </w:pPr>
      <w:r w:rsidRPr="00526FC9">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103 și 104 din Acordul privind SEE. </w:t>
      </w:r>
    </w:p>
    <w:p w14:paraId="3D5B542E" w14:textId="43D5E252" w:rsidR="00112030" w:rsidRPr="00526FC9" w:rsidRDefault="00112030" w:rsidP="00112030">
      <w:pPr>
        <w:pStyle w:val="Body"/>
      </w:pPr>
      <w:r w:rsidRPr="00526FC9">
        <w:t>Actul avut în vedere nu modifică și nici nu completează cadrul instituțional al acordului. Prin urmare, temeiul juridic procedural al deciziei propuse este articolul 218 alineatul (9) din TFUE, coroborat cu articolul 1 alineatul (3) din Regulamentul (CE) nr. 2894/94 al Consiliului.</w:t>
      </w:r>
    </w:p>
    <w:p w14:paraId="73B92DB8" w14:textId="01966898" w:rsidR="00112030" w:rsidRPr="00526FC9" w:rsidRDefault="00226C27" w:rsidP="00226C27">
      <w:pPr>
        <w:pStyle w:val="ManualHeading2"/>
      </w:pPr>
      <w:r w:rsidRPr="00226C27">
        <w:t>4.2.</w:t>
      </w:r>
      <w:r w:rsidRPr="00226C27">
        <w:tab/>
      </w:r>
      <w:r w:rsidR="00112030" w:rsidRPr="00526FC9">
        <w:t>Temeiul juridic material</w:t>
      </w:r>
    </w:p>
    <w:p w14:paraId="221BD0D9" w14:textId="75315BA9" w:rsidR="00112030" w:rsidRPr="00526FC9" w:rsidRDefault="00226C27" w:rsidP="00226C27">
      <w:pPr>
        <w:pStyle w:val="ManualHeading3"/>
      </w:pPr>
      <w:r w:rsidRPr="00226C27">
        <w:t>4.2.1.</w:t>
      </w:r>
      <w:r w:rsidRPr="00226C27">
        <w:tab/>
      </w:r>
      <w:r w:rsidR="00112030" w:rsidRPr="00526FC9">
        <w:t>Principii</w:t>
      </w:r>
    </w:p>
    <w:p w14:paraId="2027E8FB" w14:textId="7621A817" w:rsidR="00112030" w:rsidRPr="00526FC9" w:rsidRDefault="00112030" w:rsidP="00112030">
      <w:pPr>
        <w:pStyle w:val="Body"/>
      </w:pPr>
      <w:r w:rsidRPr="00526FC9">
        <w:t xml:space="preserve">Temeiul juridic material al unei decizii adoptate în temeiul articolului 218 alineatul (9) din TFUE, coroborat cu articolul 1 alineatul (3) din Regulamentul (CE) nr. 2894/94 al Consiliului, depinde în primul rând de temeiul juridic material al actului juridic al UE care urmează să fie încorporat în Acordul privind SEE. </w:t>
      </w:r>
    </w:p>
    <w:p w14:paraId="362197FC" w14:textId="77777777" w:rsidR="00112030" w:rsidRPr="00526FC9" w:rsidRDefault="00112030" w:rsidP="00112030">
      <w:pPr>
        <w:pStyle w:val="Body"/>
      </w:pPr>
      <w:r w:rsidRPr="00526FC9">
        <w:t>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14:paraId="41D07E3B" w14:textId="426D465E" w:rsidR="00112030" w:rsidRPr="00526FC9" w:rsidRDefault="00226C27" w:rsidP="00226C27">
      <w:pPr>
        <w:pStyle w:val="ManualHeading3"/>
      </w:pPr>
      <w:r w:rsidRPr="00226C27">
        <w:t>4.2.2.</w:t>
      </w:r>
      <w:r w:rsidRPr="00226C27">
        <w:tab/>
      </w:r>
      <w:r w:rsidR="00112030" w:rsidRPr="00526FC9">
        <w:t>Aplicarea la cazul în speță</w:t>
      </w:r>
    </w:p>
    <w:p w14:paraId="7687758C" w14:textId="01BF88F9" w:rsidR="00112030" w:rsidRPr="00526FC9" w:rsidRDefault="00112030" w:rsidP="00112030">
      <w:pPr>
        <w:pStyle w:val="Body"/>
      </w:pPr>
      <w:r w:rsidRPr="00526FC9">
        <w:t>Întrucât decizia Comitetului mixt încorporează Regulamentul (UE) nr. 312/2014 al Comisiei în Acordul privind SEE, este oportun ca prezenta decizie a Consiliului să se întemeieze pe același temei juridic material ca actul încorporat. Prin urmare, temeiul juridic material al propunerii de decizie este articolul 95 din TFUE.</w:t>
      </w:r>
    </w:p>
    <w:p w14:paraId="45B56D13" w14:textId="4B66D103" w:rsidR="00112030" w:rsidRPr="00526FC9" w:rsidRDefault="00226C27" w:rsidP="00226C27">
      <w:pPr>
        <w:pStyle w:val="ManualHeading2"/>
      </w:pPr>
      <w:r w:rsidRPr="00226C27">
        <w:lastRenderedPageBreak/>
        <w:t>4.3.</w:t>
      </w:r>
      <w:r w:rsidRPr="00226C27">
        <w:tab/>
      </w:r>
      <w:r w:rsidR="00112030" w:rsidRPr="00526FC9">
        <w:t>Concluzie</w:t>
      </w:r>
    </w:p>
    <w:p w14:paraId="5C265D6C" w14:textId="2BF67C45" w:rsidR="00112030" w:rsidRPr="00526FC9" w:rsidRDefault="00112030" w:rsidP="00112030">
      <w:pPr>
        <w:pStyle w:val="Body"/>
      </w:pPr>
      <w:r w:rsidRPr="00526FC9">
        <w:t>Temeiul juridic al deciziei propuse ar trebui să fie articolul 95 din TFUE, coroborat cu articolul 218 alineatul (9) din TFUE și cu articolul 1 alineatul (3) din Regulamentul (CE) nr. 2894/94 al Consiliului.</w:t>
      </w:r>
    </w:p>
    <w:p w14:paraId="46DAEB2D" w14:textId="77777777" w:rsidR="00112030" w:rsidRPr="00526FC9" w:rsidRDefault="00112030" w:rsidP="00BB7C00">
      <w:pPr>
        <w:pStyle w:val="Heading"/>
        <w:numPr>
          <w:ilvl w:val="0"/>
          <w:numId w:val="1"/>
        </w:numPr>
      </w:pPr>
      <w:r w:rsidRPr="00526FC9">
        <w:t>Publicarea actului avut în vedere</w:t>
      </w:r>
    </w:p>
    <w:p w14:paraId="577CE940" w14:textId="2CA75218" w:rsidR="00112030" w:rsidRPr="00526FC9" w:rsidRDefault="00112030" w:rsidP="00112030">
      <w:pPr>
        <w:pStyle w:val="Body"/>
      </w:pPr>
      <w:r w:rsidRPr="00526FC9">
        <w:t xml:space="preserve">Întrucât actul Comitetului mixt al SEE va modifica anexa IV (Energia) la Acordul privind SEE, este oportună publicarea sa, după adoptare, în </w:t>
      </w:r>
      <w:r w:rsidRPr="00526FC9">
        <w:rPr>
          <w:i/>
        </w:rPr>
        <w:t>Jurnalul Oficial al Uniunii Europene</w:t>
      </w:r>
      <w:r w:rsidRPr="00526FC9">
        <w:t>.</w:t>
      </w:r>
    </w:p>
    <w:p w14:paraId="6E0D1629" w14:textId="77777777" w:rsidR="00112030" w:rsidRPr="00526FC9" w:rsidRDefault="00112030" w:rsidP="00112030">
      <w:pPr>
        <w:pStyle w:val="ManualHeading1"/>
        <w:rPr>
          <w:i/>
          <w:iCs/>
        </w:rPr>
      </w:pPr>
    </w:p>
    <w:p w14:paraId="071821E7" w14:textId="77777777" w:rsidR="00112030" w:rsidRPr="00526FC9" w:rsidRDefault="00112030" w:rsidP="00112030">
      <w:pPr>
        <w:pStyle w:val="BodyText2"/>
        <w:jc w:val="both"/>
        <w:rPr>
          <w:i w:val="0"/>
          <w:iCs w:val="0"/>
        </w:rPr>
      </w:pPr>
    </w:p>
    <w:p w14:paraId="43D949E6" w14:textId="77777777" w:rsidR="00112030" w:rsidRPr="00526FC9" w:rsidRDefault="00112030" w:rsidP="00112030">
      <w:pPr>
        <w:pStyle w:val="Body"/>
        <w:sectPr w:rsidR="00112030" w:rsidRPr="00526FC9" w:rsidSect="00226C27">
          <w:headerReference w:type="even" r:id="rId15"/>
          <w:footerReference w:type="even" r:id="rId16"/>
          <w:footerReference w:type="default" r:id="rId17"/>
          <w:headerReference w:type="first" r:id="rId18"/>
          <w:footerReference w:type="first" r:id="rId19"/>
          <w:pgSz w:w="11900" w:h="16840"/>
          <w:pgMar w:top="1134" w:right="1417" w:bottom="1134" w:left="1417" w:header="709" w:footer="709" w:gutter="0"/>
          <w:pgNumType w:start="1"/>
          <w:cols w:space="720"/>
          <w:docGrid w:linePitch="326"/>
        </w:sectPr>
      </w:pPr>
    </w:p>
    <w:p w14:paraId="445A2100" w14:textId="4AED5EF3" w:rsidR="00226C27" w:rsidRDefault="00226C27" w:rsidP="00226C27">
      <w:pPr>
        <w:pStyle w:val="Rfrenceinterinstitutionnelle"/>
      </w:pPr>
      <w:r w:rsidRPr="00226C27">
        <w:lastRenderedPageBreak/>
        <w:t>2026/0216 (NLE)</w:t>
      </w:r>
    </w:p>
    <w:p w14:paraId="01F4D220" w14:textId="4F9FE67D" w:rsidR="00112030" w:rsidRPr="00526FC9" w:rsidRDefault="00526FC9" w:rsidP="00526FC9">
      <w:pPr>
        <w:pStyle w:val="Statut"/>
      </w:pPr>
      <w:r w:rsidRPr="00526FC9">
        <w:t>Propunere de</w:t>
      </w:r>
    </w:p>
    <w:p w14:paraId="282DD9BD" w14:textId="0787EB56" w:rsidR="00112030" w:rsidRPr="00526FC9" w:rsidRDefault="00526FC9" w:rsidP="00526FC9">
      <w:pPr>
        <w:pStyle w:val="Typedudocument"/>
      </w:pPr>
      <w:r w:rsidRPr="00526FC9">
        <w:t>DECIZIE A CONSILIULUI</w:t>
      </w:r>
    </w:p>
    <w:p w14:paraId="0206DF6A" w14:textId="2254AF7C" w:rsidR="00112030" w:rsidRPr="00526FC9" w:rsidRDefault="00526FC9" w:rsidP="00526FC9">
      <w:pPr>
        <w:pStyle w:val="Titreobjet"/>
      </w:pPr>
      <w:r w:rsidRPr="00526FC9">
        <w:t xml:space="preserve">privind poziția care urmează să fie luată, în numele Uniunii Europene în cadrul Comitetului mixt al SEE, referitor la modificarea anexei IV (Energia) la Acordul privind SEE </w:t>
      </w:r>
      <w:r w:rsidRPr="00526FC9">
        <w:br/>
        <w:t xml:space="preserve"> </w:t>
      </w:r>
      <w:r w:rsidRPr="00526FC9">
        <w:br/>
        <w:t xml:space="preserve">(Codul de rețea privind echilibrarea rețelelor de transport de gaz) </w:t>
      </w:r>
      <w:r w:rsidRPr="00526FC9">
        <w:br/>
        <w:t xml:space="preserve"> </w:t>
      </w:r>
      <w:r w:rsidRPr="00526FC9">
        <w:br/>
      </w:r>
    </w:p>
    <w:p w14:paraId="5CB58F04" w14:textId="2776777B" w:rsidR="00112030" w:rsidRPr="00526FC9" w:rsidRDefault="00526FC9" w:rsidP="00526FC9">
      <w:pPr>
        <w:pStyle w:val="IntrtEEE"/>
      </w:pPr>
      <w:r w:rsidRPr="00526FC9">
        <w:t>(Text cu relevanță pentru SEE)</w:t>
      </w:r>
    </w:p>
    <w:p w14:paraId="3C3C7E6C" w14:textId="77777777" w:rsidR="00112030" w:rsidRPr="00526FC9" w:rsidRDefault="00112030" w:rsidP="00112030">
      <w:pPr>
        <w:pStyle w:val="Institutionquiagit"/>
      </w:pPr>
      <w:r w:rsidRPr="00526FC9">
        <w:t>CONSILIUL UNIUNII EUROPENE,</w:t>
      </w:r>
    </w:p>
    <w:p w14:paraId="77CACA46" w14:textId="17D94814" w:rsidR="00112030" w:rsidRPr="00526FC9" w:rsidRDefault="00112030" w:rsidP="00112030">
      <w:r w:rsidRPr="00526FC9">
        <w:t>având în vedere Tratatul privind funcționarea Uniunii Europene, în special articolul 95, coroborat cu articolul 218 alineatul (9),</w:t>
      </w:r>
    </w:p>
    <w:p w14:paraId="39BEE5DA" w14:textId="77777777" w:rsidR="00112030" w:rsidRPr="00526FC9" w:rsidRDefault="00112030" w:rsidP="00112030">
      <w:r w:rsidRPr="00526FC9">
        <w:t>având în vedere Regulamentul (CE) nr. 2894/94 al Consiliului din 28 noiembrie 1994 privind normele de punere în aplicare a Acordului privind Spațiul Economic European</w:t>
      </w:r>
      <w:r w:rsidRPr="00526FC9">
        <w:rPr>
          <w:rStyle w:val="FootnoteReference"/>
        </w:rPr>
        <w:footnoteReference w:id="4"/>
      </w:r>
      <w:r w:rsidRPr="00526FC9">
        <w:t>, în special articolul 1 alineatul (3),</w:t>
      </w:r>
    </w:p>
    <w:p w14:paraId="6B84B0F0" w14:textId="77777777" w:rsidR="00112030" w:rsidRPr="00526FC9" w:rsidRDefault="00112030" w:rsidP="00112030">
      <w:r w:rsidRPr="00526FC9">
        <w:t>având în vedere propunerea Comisiei Europene,</w:t>
      </w:r>
    </w:p>
    <w:p w14:paraId="5C84D1BC" w14:textId="77777777" w:rsidR="00112030" w:rsidRPr="00526FC9" w:rsidRDefault="00112030" w:rsidP="00112030">
      <w:r w:rsidRPr="00526FC9">
        <w:t>întrucât:</w:t>
      </w:r>
    </w:p>
    <w:p w14:paraId="6E6EFE86" w14:textId="383459D3" w:rsidR="00112030" w:rsidRPr="00526FC9" w:rsidRDefault="00226C27" w:rsidP="00226C27">
      <w:pPr>
        <w:pStyle w:val="ManualConsidrant"/>
      </w:pPr>
      <w:r w:rsidRPr="00226C27">
        <w:t>(1)</w:t>
      </w:r>
      <w:r w:rsidRPr="00226C27">
        <w:tab/>
      </w:r>
      <w:r w:rsidR="00112030" w:rsidRPr="00526FC9">
        <w:t>Acordul privind Spațiul Economic European</w:t>
      </w:r>
      <w:r w:rsidR="00112030" w:rsidRPr="00526FC9">
        <w:rPr>
          <w:rStyle w:val="FootnoteReference"/>
          <w:rFonts w:eastAsia="Times New Roman"/>
        </w:rPr>
        <w:footnoteReference w:id="5"/>
      </w:r>
      <w:r w:rsidR="00112030" w:rsidRPr="00526FC9">
        <w:t xml:space="preserve"> („Acordul privind SEE”) a intrat în vigoare la 1 ianuarie 1994.</w:t>
      </w:r>
    </w:p>
    <w:p w14:paraId="332743BB" w14:textId="1E54D9CD" w:rsidR="00112030" w:rsidRPr="00526FC9" w:rsidRDefault="00226C27" w:rsidP="00226C27">
      <w:pPr>
        <w:pStyle w:val="ManualConsidrant"/>
      </w:pPr>
      <w:r w:rsidRPr="00226C27">
        <w:t>(2)</w:t>
      </w:r>
      <w:r w:rsidRPr="00226C27">
        <w:tab/>
      </w:r>
      <w:r w:rsidR="00112030" w:rsidRPr="00526FC9">
        <w:t>În temeiul articolului 98 din Acordul privind SEE, Comitetul mixt al SEE poate decide să modifice, printre altele, anexa IV (Energia) la Acordul privind SEE.</w:t>
      </w:r>
    </w:p>
    <w:p w14:paraId="045E29E4" w14:textId="7E1FA048" w:rsidR="00112030" w:rsidRPr="00526FC9" w:rsidRDefault="00226C27" w:rsidP="00226C27">
      <w:pPr>
        <w:pStyle w:val="ManualConsidrant"/>
      </w:pPr>
      <w:r w:rsidRPr="00226C27">
        <w:t>(3)</w:t>
      </w:r>
      <w:r w:rsidRPr="00226C27">
        <w:tab/>
      </w:r>
      <w:r w:rsidR="006B4860" w:rsidRPr="00526FC9">
        <w:t>Regulamentul (UE) nr. 312/2014 al Comisiei de stabilire a unui cod de rețea privind echilibrarea rețelelor de transport de gaz</w:t>
      </w:r>
      <w:r w:rsidR="006B4860" w:rsidRPr="00526FC9">
        <w:rPr>
          <w:rStyle w:val="FootnoteReference"/>
        </w:rPr>
        <w:footnoteReference w:id="6"/>
      </w:r>
      <w:r w:rsidR="006B4860" w:rsidRPr="00526FC9">
        <w:t xml:space="preserve"> ar trebui încorporat în Acordul privind SEE.</w:t>
      </w:r>
    </w:p>
    <w:p w14:paraId="2B79B1D9" w14:textId="0420EC8D" w:rsidR="00112030" w:rsidRPr="00526FC9" w:rsidRDefault="00226C27" w:rsidP="00226C27">
      <w:pPr>
        <w:pStyle w:val="ManualConsidrant"/>
      </w:pPr>
      <w:r w:rsidRPr="00226C27">
        <w:t>(4)</w:t>
      </w:r>
      <w:r w:rsidRPr="00226C27">
        <w:tab/>
      </w:r>
      <w:r w:rsidR="006B4860" w:rsidRPr="00526FC9">
        <w:t>Anexa IV (Energia) la Acordul privind SEE ar trebui. așadar, modificată în mod corespunzător.</w:t>
      </w:r>
    </w:p>
    <w:p w14:paraId="76A89723" w14:textId="0F608026" w:rsidR="00112030" w:rsidRPr="00526FC9" w:rsidRDefault="00226C27" w:rsidP="00226C27">
      <w:pPr>
        <w:pStyle w:val="ManualConsidrant"/>
      </w:pPr>
      <w:r w:rsidRPr="00226C27">
        <w:t>(5)</w:t>
      </w:r>
      <w:r w:rsidRPr="00226C27">
        <w:tab/>
      </w:r>
      <w:r w:rsidR="00112030" w:rsidRPr="00526FC9">
        <w:t>Prin urmare, poziția Uniunii în cadrul Comitetului mixt al SEE ar trebui să se bazeze pe proiectul de decizie atașat,</w:t>
      </w:r>
    </w:p>
    <w:p w14:paraId="3CBB1A98" w14:textId="77777777" w:rsidR="00112030" w:rsidRPr="00526FC9" w:rsidRDefault="00112030" w:rsidP="00112030">
      <w:pPr>
        <w:pStyle w:val="Formuledadoption"/>
      </w:pPr>
      <w:r w:rsidRPr="00526FC9">
        <w:lastRenderedPageBreak/>
        <w:t xml:space="preserve">ADOPTĂ PREZENTA DECIZIE: </w:t>
      </w:r>
    </w:p>
    <w:p w14:paraId="70F7FCE0" w14:textId="77777777" w:rsidR="00112030" w:rsidRPr="00526FC9" w:rsidRDefault="00112030" w:rsidP="00112030">
      <w:pPr>
        <w:pStyle w:val="Titrearticle"/>
      </w:pPr>
      <w:r w:rsidRPr="00526FC9">
        <w:t>Articolul 1</w:t>
      </w:r>
    </w:p>
    <w:p w14:paraId="74AD1E66" w14:textId="2CF2FC43" w:rsidR="00112030" w:rsidRPr="00526FC9" w:rsidRDefault="00112030" w:rsidP="00112030">
      <w:pPr>
        <w:pStyle w:val="Body"/>
      </w:pPr>
      <w:r w:rsidRPr="00526FC9">
        <w:t>Poziția care urmează să fie luată în numele Uniunii, în cadrul Comitetului mixt al SEE, în legătură cu propunerea de modificare a anexei IV (Energia) la Acordul privind SEE se bazează pe proiectul de decizie a Comitetului mixt al SEE atașat la prezenta decizie.</w:t>
      </w:r>
    </w:p>
    <w:p w14:paraId="3074272B" w14:textId="77777777" w:rsidR="00112030" w:rsidRPr="00526FC9" w:rsidRDefault="00112030" w:rsidP="00112030">
      <w:pPr>
        <w:pStyle w:val="Titrearticle"/>
        <w:keepNext w:val="0"/>
      </w:pPr>
      <w:r w:rsidRPr="00526FC9">
        <w:t>Articolul 2</w:t>
      </w:r>
    </w:p>
    <w:p w14:paraId="730F56B0" w14:textId="77777777" w:rsidR="00112030" w:rsidRPr="00526FC9" w:rsidRDefault="00112030" w:rsidP="00112030">
      <w:pPr>
        <w:pStyle w:val="Body"/>
        <w:keepLines/>
      </w:pPr>
      <w:r w:rsidRPr="00526FC9">
        <w:t>Prezenta decizie intră în vigoare la data adoptării sale.</w:t>
      </w:r>
    </w:p>
    <w:p w14:paraId="2E7D9560" w14:textId="30986FE8" w:rsidR="00112030" w:rsidRPr="00526FC9" w:rsidRDefault="00226C27" w:rsidP="00226C27">
      <w:pPr>
        <w:pStyle w:val="Fait"/>
      </w:pPr>
      <w:r w:rsidRPr="00226C27">
        <w:t>Adoptată la Bruxelles,</w:t>
      </w:r>
    </w:p>
    <w:p w14:paraId="22D84C08" w14:textId="77777777" w:rsidR="00112030" w:rsidRPr="00526FC9" w:rsidRDefault="00112030" w:rsidP="00112030">
      <w:pPr>
        <w:pStyle w:val="Institutionquisigne"/>
      </w:pPr>
      <w:r w:rsidRPr="00526FC9">
        <w:tab/>
        <w:t>Pentru Consiliu</w:t>
      </w:r>
    </w:p>
    <w:p w14:paraId="5EE9A5AC" w14:textId="77777777" w:rsidR="00112030" w:rsidRPr="00526FC9" w:rsidRDefault="00112030" w:rsidP="00112030">
      <w:pPr>
        <w:pStyle w:val="Personnequisigne"/>
      </w:pPr>
      <w:r w:rsidRPr="00526FC9">
        <w:tab/>
        <w:t>Președintele</w:t>
      </w:r>
    </w:p>
    <w:sectPr w:rsidR="00112030" w:rsidRPr="00526FC9" w:rsidSect="00226C2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2181A" w14:textId="77777777" w:rsidR="00A27962" w:rsidRDefault="00A27962" w:rsidP="00112030">
      <w:pPr>
        <w:spacing w:before="0" w:after="0"/>
      </w:pPr>
      <w:r>
        <w:separator/>
      </w:r>
    </w:p>
  </w:endnote>
  <w:endnote w:type="continuationSeparator" w:id="0">
    <w:p w14:paraId="10C85E81" w14:textId="77777777" w:rsidR="00A27962" w:rsidRDefault="00A27962"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8923" w14:textId="019994C4" w:rsidR="006B4860" w:rsidRPr="00226C27" w:rsidRDefault="00226C27" w:rsidP="00226C27">
    <w:pPr>
      <w:pStyle w:val="Footer"/>
      <w:rPr>
        <w:rFonts w:ascii="Arial" w:hAnsi="Arial" w:cs="Arial"/>
        <w:b/>
        <w:sz w:val="48"/>
      </w:rPr>
    </w:pPr>
    <w:r w:rsidRPr="00226C27">
      <w:rPr>
        <w:rFonts w:ascii="Arial" w:hAnsi="Arial" w:cs="Arial"/>
        <w:b/>
        <w:sz w:val="48"/>
      </w:rPr>
      <w:t>RO</w:t>
    </w:r>
    <w:r w:rsidRPr="00226C27">
      <w:rPr>
        <w:rFonts w:ascii="Arial" w:hAnsi="Arial" w:cs="Arial"/>
        <w:b/>
        <w:sz w:val="48"/>
      </w:rPr>
      <w:tab/>
    </w:r>
    <w:r w:rsidRPr="00226C27">
      <w:rPr>
        <w:rFonts w:ascii="Arial" w:hAnsi="Arial" w:cs="Arial"/>
        <w:b/>
        <w:sz w:val="48"/>
      </w:rPr>
      <w:tab/>
    </w:r>
    <w:r w:rsidRPr="00226C27">
      <w:tab/>
    </w:r>
    <w:r w:rsidRPr="00226C2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E40FB" w14:textId="1FA13FFB" w:rsidR="006B4860" w:rsidRPr="00226C27" w:rsidRDefault="00226C27" w:rsidP="00226C27">
    <w:pPr>
      <w:pStyle w:val="Footer"/>
      <w:rPr>
        <w:rFonts w:ascii="Arial" w:hAnsi="Arial" w:cs="Arial"/>
        <w:b/>
        <w:sz w:val="48"/>
      </w:rPr>
    </w:pPr>
    <w:r w:rsidRPr="00226C27">
      <w:rPr>
        <w:rFonts w:ascii="Arial" w:hAnsi="Arial" w:cs="Arial"/>
        <w:b/>
        <w:sz w:val="48"/>
      </w:rPr>
      <w:t>RO</w:t>
    </w:r>
    <w:r w:rsidRPr="00226C27">
      <w:rPr>
        <w:rFonts w:ascii="Arial" w:hAnsi="Arial" w:cs="Arial"/>
        <w:b/>
        <w:sz w:val="48"/>
      </w:rPr>
      <w:tab/>
    </w:r>
    <w:r w:rsidRPr="00226C27">
      <w:rPr>
        <w:rFonts w:ascii="Arial" w:hAnsi="Arial" w:cs="Arial"/>
        <w:b/>
        <w:sz w:val="48"/>
      </w:rPr>
      <w:tab/>
    </w:r>
    <w:r w:rsidRPr="00226C27">
      <w:tab/>
    </w:r>
    <w:r w:rsidRPr="00226C2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2961A" w14:textId="77777777" w:rsidR="00226C27" w:rsidRPr="00226C27" w:rsidRDefault="00226C27" w:rsidP="00226C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7F0B" w14:textId="77777777" w:rsidR="008C5D4F" w:rsidRDefault="008C5D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AFA8" w14:textId="6CCA244A" w:rsidR="00226C27" w:rsidRPr="00226C27" w:rsidRDefault="00226C27" w:rsidP="00226C27">
    <w:pPr>
      <w:pStyle w:val="Footer"/>
      <w:rPr>
        <w:rFonts w:ascii="Arial" w:hAnsi="Arial" w:cs="Arial"/>
        <w:b/>
        <w:sz w:val="48"/>
      </w:rPr>
    </w:pPr>
    <w:r w:rsidRPr="00226C27">
      <w:rPr>
        <w:rFonts w:ascii="Arial" w:hAnsi="Arial" w:cs="Arial"/>
        <w:b/>
        <w:sz w:val="48"/>
      </w:rPr>
      <w:t>RO</w:t>
    </w:r>
    <w:r w:rsidRPr="00226C2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26C27">
      <w:tab/>
    </w:r>
    <w:r w:rsidRPr="00226C27">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18EF" w14:textId="77777777" w:rsidR="00E944A8" w:rsidRPr="00E944A8" w:rsidRDefault="00E944A8" w:rsidP="00226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62008" w14:textId="77777777" w:rsidR="00A27962" w:rsidRDefault="00A27962" w:rsidP="00112030">
      <w:pPr>
        <w:spacing w:before="0" w:after="0"/>
      </w:pPr>
      <w:r>
        <w:separator/>
      </w:r>
    </w:p>
  </w:footnote>
  <w:footnote w:type="continuationSeparator" w:id="0">
    <w:p w14:paraId="6D38DEC2" w14:textId="77777777" w:rsidR="00A27962" w:rsidRDefault="00A27962" w:rsidP="00112030">
      <w:pPr>
        <w:spacing w:before="0" w:after="0"/>
      </w:pPr>
      <w:r>
        <w:continuationSeparator/>
      </w:r>
    </w:p>
  </w:footnote>
  <w:footnote w:id="1">
    <w:p w14:paraId="5868619D" w14:textId="2636608A" w:rsidR="00112030" w:rsidRPr="00526FC9" w:rsidRDefault="00112030" w:rsidP="00112030">
      <w:pPr>
        <w:pStyle w:val="FootnoteText"/>
        <w:rPr>
          <w:lang w:val="fr-BE"/>
        </w:rPr>
      </w:pPr>
      <w:r>
        <w:rPr>
          <w:rStyle w:val="FootnoteReference"/>
        </w:rPr>
        <w:footnoteRef/>
      </w:r>
      <w:r w:rsidRPr="00526FC9">
        <w:rPr>
          <w:lang w:val="fr-BE"/>
        </w:rPr>
        <w:tab/>
        <w:t>Regulamentul (UE) nr. 312/2014 al Comisiei din 26 martie 2014 de stabilire a unui cod de rețea privind echilibrarea rețelelor de transport de gaz, JO L 91, 27.3.2014, p. 15.</w:t>
      </w:r>
    </w:p>
  </w:footnote>
  <w:footnote w:id="2">
    <w:p w14:paraId="0B3047E9" w14:textId="5ED1C79C" w:rsidR="00977C02" w:rsidRPr="00526FC9" w:rsidRDefault="00977C02">
      <w:pPr>
        <w:pStyle w:val="FootnoteText"/>
        <w:rPr>
          <w:lang w:val="fr-BE"/>
        </w:rPr>
      </w:pPr>
      <w:r>
        <w:rPr>
          <w:rStyle w:val="FootnoteReference"/>
        </w:rPr>
        <w:footnoteRef/>
      </w:r>
      <w:r w:rsidRPr="00526FC9">
        <w:rPr>
          <w:lang w:val="fr-BE"/>
        </w:rPr>
        <w:tab/>
        <w:t>Regulamentul (CE) nr. 2894/94 al Consiliului din 28 noiembrie 1994 privind normele de punere în aplicare a Acordului privind Spațiul Economic European, JO L 305, 30.11.1994, p. 6.</w:t>
      </w:r>
    </w:p>
  </w:footnote>
  <w:footnote w:id="3">
    <w:p w14:paraId="37759A34" w14:textId="77777777" w:rsidR="00112030" w:rsidRPr="00526FC9" w:rsidRDefault="00112030" w:rsidP="00112030">
      <w:pPr>
        <w:pStyle w:val="FootnoteText"/>
        <w:rPr>
          <w:lang w:val="fr-BE"/>
        </w:rPr>
      </w:pPr>
      <w:r>
        <w:rPr>
          <w:rStyle w:val="FootnoteReference"/>
        </w:rPr>
        <w:footnoteRef/>
      </w:r>
      <w:r w:rsidRPr="00526FC9">
        <w:rPr>
          <w:lang w:val="fr-BE"/>
        </w:rPr>
        <w:tab/>
        <w:t xml:space="preserve">Hotărârea Curții de Justiție din 7 octombrie 2014, Germania/Consiliul, C-399/12, ECLI:EU:C:2014:2258, punctele 61-64. </w:t>
      </w:r>
    </w:p>
  </w:footnote>
  <w:footnote w:id="4">
    <w:p w14:paraId="35A99DD9" w14:textId="77777777" w:rsidR="00112030" w:rsidRPr="00526FC9" w:rsidRDefault="00112030" w:rsidP="00112030">
      <w:pPr>
        <w:pStyle w:val="FootnoteText"/>
        <w:rPr>
          <w:lang w:val="fr-BE"/>
        </w:rPr>
      </w:pPr>
      <w:r>
        <w:rPr>
          <w:rStyle w:val="FootnoteReference"/>
        </w:rPr>
        <w:footnoteRef/>
      </w:r>
      <w:r w:rsidRPr="00526FC9">
        <w:rPr>
          <w:lang w:val="fr-BE"/>
        </w:rPr>
        <w:tab/>
        <w:t>JO L 305, 30.11.1994, p. 6.</w:t>
      </w:r>
    </w:p>
  </w:footnote>
  <w:footnote w:id="5">
    <w:p w14:paraId="47196952" w14:textId="77777777" w:rsidR="00112030" w:rsidRPr="00526FC9" w:rsidRDefault="00112030" w:rsidP="00112030">
      <w:pPr>
        <w:pStyle w:val="FootnoteText"/>
        <w:rPr>
          <w:lang w:val="fr-BE"/>
        </w:rPr>
      </w:pPr>
      <w:r>
        <w:rPr>
          <w:rStyle w:val="FootnoteReference"/>
        </w:rPr>
        <w:footnoteRef/>
      </w:r>
      <w:r w:rsidRPr="00526FC9">
        <w:rPr>
          <w:lang w:val="fr-BE"/>
        </w:rPr>
        <w:tab/>
        <w:t>JO L 1, 3.1.1994, p. 3.</w:t>
      </w:r>
    </w:p>
  </w:footnote>
  <w:footnote w:id="6">
    <w:p w14:paraId="6DCEBF5E" w14:textId="33B7BB59" w:rsidR="006B4860" w:rsidRPr="00526FC9" w:rsidRDefault="006B4860" w:rsidP="006B4860">
      <w:pPr>
        <w:pStyle w:val="FootnoteText"/>
        <w:rPr>
          <w:lang w:val="fr-BE"/>
        </w:rPr>
      </w:pPr>
      <w:r>
        <w:rPr>
          <w:rStyle w:val="FootnoteReference"/>
        </w:rPr>
        <w:footnoteRef/>
      </w:r>
      <w:r w:rsidRPr="00526FC9">
        <w:rPr>
          <w:lang w:val="fr-BE"/>
        </w:rPr>
        <w:tab/>
        <w:t>Regulamentul (UE) nr. 312/2014 al Comisiei din 26 martie 2014 de stabilire a unui cod de rețea privind echilibrarea rețelelor de transport de gaz, JO L 91, 27.3.2014, p.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28D5" w14:textId="77777777" w:rsidR="00226C27" w:rsidRPr="00226C27" w:rsidRDefault="00226C27" w:rsidP="00226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79053" w14:textId="77777777" w:rsidR="00226C27" w:rsidRPr="00226C27" w:rsidRDefault="00226C27" w:rsidP="00226C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474D" w14:textId="77777777" w:rsidR="00226C27" w:rsidRPr="00226C27" w:rsidRDefault="00226C27" w:rsidP="00226C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C24D" w14:textId="77777777" w:rsidR="008C5D4F" w:rsidRDefault="008C5D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E6D7" w14:textId="77777777" w:rsidR="008C5D4F" w:rsidRDefault="008C5D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7-21 08:11: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0D2D9DB6-AD87-4405-A208-4F4C907DA198"/>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16"/>
    <w:docVar w:name="LW_REF.II.NEW.CP_YEAR" w:val="2026"/>
    <w:docVar w:name="LW_REF.INST.NEW" w:val="COM"/>
    <w:docVar w:name="LW_REF.INST.NEW_ADOPTED" w:val="final"/>
    <w:docVar w:name="LW_REF.INST.NEW_TEXT" w:val="(2026) 3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referitor la modificarea anexei IV (Energia) la Acordul privind SEE _x000b_ _x000b_(Codul de re\u539?ea privind echilibrarea re\u539?elelor de transport de gaz) _x000b_ _x000b_"/>
    <w:docVar w:name="LW_TYPE.DOC.CP" w:val="DECIZIE A CONSILIULUI"/>
  </w:docVars>
  <w:rsids>
    <w:rsidRoot w:val="00112030"/>
    <w:rsid w:val="00055B2F"/>
    <w:rsid w:val="000768BB"/>
    <w:rsid w:val="00090B2C"/>
    <w:rsid w:val="000B7A7D"/>
    <w:rsid w:val="00112030"/>
    <w:rsid w:val="00152894"/>
    <w:rsid w:val="00160597"/>
    <w:rsid w:val="0018627B"/>
    <w:rsid w:val="001F790D"/>
    <w:rsid w:val="00226C27"/>
    <w:rsid w:val="0027330F"/>
    <w:rsid w:val="002A3F52"/>
    <w:rsid w:val="002D0CE3"/>
    <w:rsid w:val="00316462"/>
    <w:rsid w:val="00362DA8"/>
    <w:rsid w:val="00396ACD"/>
    <w:rsid w:val="003C1FA8"/>
    <w:rsid w:val="004023F9"/>
    <w:rsid w:val="00437AA5"/>
    <w:rsid w:val="00454287"/>
    <w:rsid w:val="00455A9C"/>
    <w:rsid w:val="00492396"/>
    <w:rsid w:val="00496F02"/>
    <w:rsid w:val="004A0209"/>
    <w:rsid w:val="004A6E80"/>
    <w:rsid w:val="004E19F9"/>
    <w:rsid w:val="00513350"/>
    <w:rsid w:val="00517205"/>
    <w:rsid w:val="00526FC9"/>
    <w:rsid w:val="00542487"/>
    <w:rsid w:val="00582810"/>
    <w:rsid w:val="00595540"/>
    <w:rsid w:val="005B5FA6"/>
    <w:rsid w:val="00616ACB"/>
    <w:rsid w:val="006654AB"/>
    <w:rsid w:val="00697060"/>
    <w:rsid w:val="006B4860"/>
    <w:rsid w:val="006F01B4"/>
    <w:rsid w:val="006F7EFE"/>
    <w:rsid w:val="0070711A"/>
    <w:rsid w:val="0072325F"/>
    <w:rsid w:val="007339F2"/>
    <w:rsid w:val="007406BD"/>
    <w:rsid w:val="00745EAD"/>
    <w:rsid w:val="00773D00"/>
    <w:rsid w:val="0079095A"/>
    <w:rsid w:val="007A781E"/>
    <w:rsid w:val="007C7F02"/>
    <w:rsid w:val="007D0861"/>
    <w:rsid w:val="007E010B"/>
    <w:rsid w:val="00802FC2"/>
    <w:rsid w:val="00856434"/>
    <w:rsid w:val="00867EBD"/>
    <w:rsid w:val="008C5D4F"/>
    <w:rsid w:val="008E2694"/>
    <w:rsid w:val="00906DC3"/>
    <w:rsid w:val="009134FD"/>
    <w:rsid w:val="00940731"/>
    <w:rsid w:val="00941381"/>
    <w:rsid w:val="00942463"/>
    <w:rsid w:val="00977C02"/>
    <w:rsid w:val="009957C5"/>
    <w:rsid w:val="00A27962"/>
    <w:rsid w:val="00A32D68"/>
    <w:rsid w:val="00A565C7"/>
    <w:rsid w:val="00AB72F8"/>
    <w:rsid w:val="00AE684D"/>
    <w:rsid w:val="00B83C99"/>
    <w:rsid w:val="00BB7C00"/>
    <w:rsid w:val="00BC5D88"/>
    <w:rsid w:val="00C23CF4"/>
    <w:rsid w:val="00C36951"/>
    <w:rsid w:val="00C3731F"/>
    <w:rsid w:val="00C51F04"/>
    <w:rsid w:val="00C941EF"/>
    <w:rsid w:val="00CB0DF6"/>
    <w:rsid w:val="00D83F23"/>
    <w:rsid w:val="00D91215"/>
    <w:rsid w:val="00D96B28"/>
    <w:rsid w:val="00DA4F00"/>
    <w:rsid w:val="00DB121C"/>
    <w:rsid w:val="00DB4B20"/>
    <w:rsid w:val="00E07235"/>
    <w:rsid w:val="00E33C9F"/>
    <w:rsid w:val="00E51D95"/>
    <w:rsid w:val="00E944A8"/>
    <w:rsid w:val="00E979AB"/>
    <w:rsid w:val="00EB1A04"/>
    <w:rsid w:val="00EC39BC"/>
    <w:rsid w:val="00EE140B"/>
    <w:rsid w:val="00F044F0"/>
    <w:rsid w:val="00F7391F"/>
    <w:rsid w:val="00F81A5F"/>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AA83C"/>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4A6E80"/>
    <w:rPr>
      <w:sz w:val="16"/>
      <w:szCs w:val="16"/>
    </w:rPr>
  </w:style>
  <w:style w:type="paragraph" w:styleId="CommentText">
    <w:name w:val="annotation text"/>
    <w:basedOn w:val="Normal"/>
    <w:link w:val="CommentTextChar"/>
    <w:uiPriority w:val="99"/>
    <w:semiHidden/>
    <w:unhideWhenUsed/>
    <w:rsid w:val="004A6E80"/>
    <w:rPr>
      <w:sz w:val="20"/>
      <w:szCs w:val="20"/>
    </w:rPr>
  </w:style>
  <w:style w:type="character" w:customStyle="1" w:styleId="CommentTextChar">
    <w:name w:val="Comment Text Char"/>
    <w:basedOn w:val="DefaultParagraphFont"/>
    <w:link w:val="CommentText"/>
    <w:uiPriority w:val="99"/>
    <w:semiHidden/>
    <w:rsid w:val="004A6E80"/>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4A6E80"/>
    <w:rPr>
      <w:b/>
      <w:bCs/>
    </w:rPr>
  </w:style>
  <w:style w:type="character" w:customStyle="1" w:styleId="CommentSubjectChar">
    <w:name w:val="Comment Subject Char"/>
    <w:basedOn w:val="CommentTextChar"/>
    <w:link w:val="CommentSubject"/>
    <w:uiPriority w:val="99"/>
    <w:semiHidden/>
    <w:rsid w:val="004A6E80"/>
    <w:rPr>
      <w:rFonts w:ascii="Times New Roman" w:hAnsi="Times New Roman" w:cs="Times New Roman"/>
      <w:b/>
      <w:bCs/>
      <w:sz w:val="20"/>
      <w:szCs w:val="20"/>
      <w:lang w:val="ro-RO"/>
    </w:rPr>
  </w:style>
  <w:style w:type="character" w:styleId="Hyperlink">
    <w:name w:val="Hyperlink"/>
    <w:basedOn w:val="DefaultParagraphFont"/>
    <w:uiPriority w:val="99"/>
    <w:unhideWhenUsed/>
    <w:rsid w:val="004A6E80"/>
    <w:rPr>
      <w:color w:val="0000FF" w:themeColor="hyperlink"/>
      <w:u w:val="single"/>
    </w:rPr>
  </w:style>
  <w:style w:type="character" w:styleId="UnresolvedMention">
    <w:name w:val="Unresolved Mention"/>
    <w:basedOn w:val="DefaultParagraphFont"/>
    <w:uiPriority w:val="99"/>
    <w:semiHidden/>
    <w:unhideWhenUsed/>
    <w:rsid w:val="004A6E80"/>
    <w:rPr>
      <w:color w:val="605E5C"/>
      <w:shd w:val="clear" w:color="auto" w:fill="E1DFDD"/>
    </w:rPr>
  </w:style>
  <w:style w:type="paragraph" w:styleId="Header">
    <w:name w:val="header"/>
    <w:basedOn w:val="Normal"/>
    <w:link w:val="HeaderChar"/>
    <w:uiPriority w:val="99"/>
    <w:unhideWhenUsed/>
    <w:rsid w:val="00226C27"/>
    <w:pPr>
      <w:tabs>
        <w:tab w:val="center" w:pos="4535"/>
        <w:tab w:val="right" w:pos="9071"/>
      </w:tabs>
      <w:spacing w:before="0"/>
    </w:pPr>
  </w:style>
  <w:style w:type="character" w:customStyle="1" w:styleId="HeaderChar">
    <w:name w:val="Header Char"/>
    <w:basedOn w:val="DefaultParagraphFont"/>
    <w:link w:val="Header"/>
    <w:uiPriority w:val="99"/>
    <w:rsid w:val="00226C27"/>
    <w:rPr>
      <w:rFonts w:ascii="Times New Roman" w:hAnsi="Times New Roman" w:cs="Times New Roman"/>
      <w:sz w:val="24"/>
      <w:lang w:val="ro-RO"/>
    </w:rPr>
  </w:style>
  <w:style w:type="paragraph" w:styleId="Footer">
    <w:name w:val="footer"/>
    <w:basedOn w:val="Normal"/>
    <w:link w:val="FooterChar"/>
    <w:uiPriority w:val="99"/>
    <w:unhideWhenUsed/>
    <w:rsid w:val="00226C2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226C2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226C27"/>
    <w:pPr>
      <w:tabs>
        <w:tab w:val="center" w:pos="7285"/>
        <w:tab w:val="right" w:pos="14003"/>
      </w:tabs>
      <w:spacing w:before="0"/>
    </w:pPr>
  </w:style>
  <w:style w:type="paragraph" w:customStyle="1" w:styleId="FooterLandscape">
    <w:name w:val="FooterLandscape"/>
    <w:basedOn w:val="Normal"/>
    <w:rsid w:val="00226C2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26C2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26C27"/>
    <w:pPr>
      <w:spacing w:before="0"/>
      <w:jc w:val="right"/>
    </w:pPr>
    <w:rPr>
      <w:sz w:val="28"/>
    </w:rPr>
  </w:style>
  <w:style w:type="paragraph" w:customStyle="1" w:styleId="FooterSensitivity">
    <w:name w:val="Footer Sensitivity"/>
    <w:basedOn w:val="Normal"/>
    <w:rsid w:val="00226C2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226C27"/>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96</TotalTime>
  <Pages>6</Pages>
  <Words>1186</Words>
  <Characters>6610</Characters>
  <Application>Microsoft Office Word</Application>
  <DocSecurity>0</DocSecurity>
  <Lines>127</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35</cp:revision>
  <dcterms:created xsi:type="dcterms:W3CDTF">2022-10-25T08:42:00Z</dcterms:created>
  <dcterms:modified xsi:type="dcterms:W3CDTF">2026-07-25T17:37:00Z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