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1F1" w:rsidRDefault="00D13B3B" w:rsidP="00D13B3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4EDE3F-FF37-44B0-B2EE-C295FA7232C0" style="width:455.25pt;height:371.25pt">
            <v:imagedata r:id="rId8" o:title=""/>
          </v:shape>
        </w:pict>
      </w:r>
    </w:p>
    <w:p w:rsidR="00DA51F1" w:rsidRDefault="00DA51F1" w:rsidP="00DA51F1">
      <w:pPr>
        <w:rPr>
          <w:noProof/>
        </w:rPr>
        <w:sectPr w:rsidR="00DA51F1" w:rsidSect="00D13B3B">
          <w:footerReference w:type="even" r:id="rId9"/>
          <w:footerReference w:type="default" r:id="rId10"/>
          <w:pgSz w:w="11907" w:h="16839"/>
          <w:pgMar w:top="1134" w:right="1417" w:bottom="1134" w:left="1417" w:header="709" w:footer="709" w:gutter="0"/>
          <w:pgNumType w:start="0"/>
          <w:cols w:space="720"/>
          <w:docGrid w:linePitch="360"/>
        </w:sectPr>
      </w:pPr>
    </w:p>
    <w:p w:rsidR="00DA51F1" w:rsidRDefault="00DA51F1" w:rsidP="00BB6B30">
      <w:pPr>
        <w:pStyle w:val="Exposdesmotifstitre"/>
        <w:rPr>
          <w:noProof/>
        </w:rPr>
      </w:pPr>
      <w:bookmarkStart w:id="0" w:name="_GoBack"/>
      <w:bookmarkEnd w:id="0"/>
      <w:r w:rsidRPr="006F770D">
        <w:rPr>
          <w:noProof/>
        </w:rPr>
        <w:lastRenderedPageBreak/>
        <w:t>EXPLANATORY MEMORANDUM</w:t>
      </w:r>
    </w:p>
    <w:p w:rsidR="00DA51F1" w:rsidRPr="00E34F04" w:rsidRDefault="00DA51F1" w:rsidP="000071DE">
      <w:pPr>
        <w:pStyle w:val="ManualHeading1"/>
        <w:rPr>
          <w:rFonts w:eastAsia="Arial Unicode MS"/>
          <w:noProof/>
        </w:rPr>
      </w:pPr>
      <w:r>
        <w:rPr>
          <w:noProof/>
        </w:rPr>
        <w:t>1.</w:t>
      </w:r>
      <w:r>
        <w:rPr>
          <w:noProof/>
        </w:rPr>
        <w:tab/>
      </w:r>
      <w:r w:rsidRPr="00E34F04">
        <w:rPr>
          <w:rFonts w:eastAsia="Arial Unicode MS"/>
          <w:noProof/>
        </w:rPr>
        <w:t>Subject matter of the proposal</w:t>
      </w:r>
    </w:p>
    <w:p w:rsidR="00DA51F1" w:rsidRPr="00E34F04" w:rsidRDefault="00DA51F1" w:rsidP="00736AA9">
      <w:pPr>
        <w:rPr>
          <w:rFonts w:eastAsia="Arial Unicode MS"/>
          <w:noProof/>
        </w:rPr>
      </w:pPr>
      <w:r w:rsidRPr="00DA51F1">
        <w:rPr>
          <w:rFonts w:eastAsia="Arial Unicode MS"/>
          <w:noProof/>
        </w:rPr>
        <w:t xml:space="preserve">This proposal concerns the decision establishing the position to be taken on the Union's behalf in the Council of Members of the International Olive Council ("IOC") in connection with the accession of the </w:t>
      </w:r>
      <w:r>
        <w:rPr>
          <w:rFonts w:eastAsia="Arial Unicode MS"/>
          <w:noProof/>
        </w:rPr>
        <w:t xml:space="preserve">Islamic </w:t>
      </w:r>
      <w:r w:rsidRPr="00DA51F1">
        <w:rPr>
          <w:rFonts w:eastAsia="Arial Unicode MS"/>
          <w:noProof/>
        </w:rPr>
        <w:t xml:space="preserve">Republic of </w:t>
      </w:r>
      <w:r>
        <w:rPr>
          <w:rFonts w:eastAsia="Arial Unicode MS"/>
          <w:noProof/>
        </w:rPr>
        <w:t xml:space="preserve">Pakistan </w:t>
      </w:r>
      <w:r w:rsidRPr="00DA51F1">
        <w:rPr>
          <w:rFonts w:eastAsia="Arial Unicode MS"/>
          <w:noProof/>
        </w:rPr>
        <w:t>to the International Agreement on Olive Oil and Table Olives (‘the Agreement’).</w:t>
      </w:r>
    </w:p>
    <w:p w:rsidR="00DA51F1" w:rsidRPr="00E34F04" w:rsidRDefault="00DA51F1" w:rsidP="00736AA9">
      <w:pPr>
        <w:pStyle w:val="ManualHeading1"/>
        <w:rPr>
          <w:noProof/>
        </w:rPr>
      </w:pPr>
      <w:r>
        <w:rPr>
          <w:noProof/>
        </w:rPr>
        <w:t>2.</w:t>
      </w:r>
      <w:r>
        <w:rPr>
          <w:noProof/>
        </w:rPr>
        <w:tab/>
      </w:r>
      <w:r w:rsidRPr="00E34F04">
        <w:rPr>
          <w:noProof/>
        </w:rPr>
        <w:t>Context of the proposal</w:t>
      </w:r>
    </w:p>
    <w:p w:rsidR="00DA51F1" w:rsidRPr="00E34F04" w:rsidRDefault="00DA51F1" w:rsidP="00736AA9">
      <w:pPr>
        <w:pStyle w:val="ManualHeading2"/>
        <w:rPr>
          <w:noProof/>
        </w:rPr>
      </w:pPr>
      <w:r>
        <w:rPr>
          <w:noProof/>
        </w:rPr>
        <w:t>2.1.</w:t>
      </w:r>
      <w:r>
        <w:rPr>
          <w:noProof/>
        </w:rPr>
        <w:tab/>
      </w:r>
      <w:r w:rsidRPr="00E34F04">
        <w:rPr>
          <w:noProof/>
        </w:rPr>
        <w:t xml:space="preserve">The </w:t>
      </w:r>
      <w:r w:rsidRPr="00DA51F1">
        <w:rPr>
          <w:noProof/>
        </w:rPr>
        <w:t>International Agreement on Olive Oil and Table Olives</w:t>
      </w:r>
    </w:p>
    <w:p w:rsidR="00DA51F1" w:rsidRPr="00D80B00" w:rsidRDefault="00DA51F1" w:rsidP="00DA51F1">
      <w:pPr>
        <w:rPr>
          <w:noProof/>
        </w:rPr>
      </w:pPr>
      <w:r w:rsidRPr="00963CC0">
        <w:rPr>
          <w:rFonts w:eastAsia="Arial Unicode MS"/>
          <w:noProof/>
        </w:rPr>
        <w:t xml:space="preserve">The </w:t>
      </w:r>
      <w:r w:rsidRPr="003726DC">
        <w:rPr>
          <w:noProof/>
        </w:rPr>
        <w:t>International Agreement on Olive Oil and Table Olives</w:t>
      </w:r>
      <w:r w:rsidRPr="00963CC0">
        <w:rPr>
          <w:rFonts w:eastAsia="Arial Unicode MS"/>
          <w:noProof/>
        </w:rPr>
        <w:t xml:space="preserve"> (‘the Agreement’) aims </w:t>
      </w:r>
      <w:r w:rsidRPr="00D80B00">
        <w:rPr>
          <w:noProof/>
        </w:rPr>
        <w:t>(i) to seek to achieve uniformity in national and international legislation relating to the physico-chemical and organoleptic characteristics of olive oils, olive pomace oils and table olives in order to prevent any obstacle to trade (ii) to conduct activities in the area of physico-chemical and organoleptic testing in order to add to the knowledge of the composition and quality characteristics of olive products, with a view to consolidating international standards, and (iii) to strengthen the role of the International Olive Council as a forum of excellence for the international scientific community in the area of olives and olive oil.</w:t>
      </w:r>
    </w:p>
    <w:p w:rsidR="00DA51F1" w:rsidRPr="00963CC0" w:rsidRDefault="00DA51F1" w:rsidP="00DA51F1">
      <w:pPr>
        <w:rPr>
          <w:rFonts w:eastAsia="Arial Unicode MS"/>
          <w:noProof/>
        </w:rPr>
      </w:pPr>
      <w:r w:rsidRPr="00963CC0">
        <w:rPr>
          <w:rFonts w:eastAsia="Arial Unicode MS"/>
          <w:noProof/>
        </w:rPr>
        <w:t xml:space="preserve">The renewed version of the Agreement entered into force on </w:t>
      </w:r>
      <w:r w:rsidRPr="00D80B00">
        <w:rPr>
          <w:noProof/>
        </w:rPr>
        <w:t>1 January 2017.</w:t>
      </w:r>
    </w:p>
    <w:p w:rsidR="00DA51F1" w:rsidRPr="00E34F04" w:rsidRDefault="00DA51F1" w:rsidP="00DA51F1">
      <w:pPr>
        <w:rPr>
          <w:rFonts w:eastAsia="Arial Unicode MS"/>
          <w:noProof/>
        </w:rPr>
      </w:pPr>
      <w:r w:rsidRPr="00963CC0">
        <w:rPr>
          <w:rFonts w:eastAsia="Arial Unicode MS"/>
          <w:noProof/>
        </w:rPr>
        <w:t>The European Union is a party to the Agreement</w:t>
      </w:r>
      <w:r w:rsidRPr="00963CC0">
        <w:rPr>
          <w:rStyle w:val="FootnoteReference"/>
          <w:rFonts w:eastAsia="Arial Unicode MS"/>
          <w:noProof/>
        </w:rPr>
        <w:footnoteReference w:id="1"/>
      </w:r>
      <w:r w:rsidRPr="00963CC0">
        <w:rPr>
          <w:rFonts w:eastAsia="Arial Unicode MS"/>
          <w:noProof/>
        </w:rPr>
        <w:t>.</w:t>
      </w:r>
    </w:p>
    <w:p w:rsidR="00DA51F1" w:rsidRPr="00E34F04" w:rsidRDefault="00DA51F1" w:rsidP="00736AA9">
      <w:pPr>
        <w:pStyle w:val="ManualHeading2"/>
        <w:rPr>
          <w:noProof/>
        </w:rPr>
      </w:pPr>
      <w:r>
        <w:rPr>
          <w:noProof/>
        </w:rPr>
        <w:t>2.2.</w:t>
      </w:r>
      <w:r>
        <w:rPr>
          <w:noProof/>
        </w:rPr>
        <w:tab/>
      </w:r>
      <w:r w:rsidRPr="00E34F04">
        <w:rPr>
          <w:noProof/>
        </w:rPr>
        <w:t xml:space="preserve">The </w:t>
      </w:r>
      <w:r w:rsidRPr="00DA51F1">
        <w:rPr>
          <w:noProof/>
        </w:rPr>
        <w:t>Council of Members</w:t>
      </w:r>
    </w:p>
    <w:p w:rsidR="00C758E8" w:rsidRPr="00D80B00" w:rsidRDefault="00C758E8" w:rsidP="00C758E8">
      <w:pPr>
        <w:rPr>
          <w:noProof/>
        </w:rPr>
      </w:pPr>
      <w:r w:rsidRPr="00963CC0">
        <w:rPr>
          <w:rFonts w:eastAsia="Arial Unicode MS"/>
          <w:noProof/>
        </w:rPr>
        <w:t xml:space="preserve">The </w:t>
      </w:r>
      <w:r w:rsidRPr="00D80B00">
        <w:rPr>
          <w:noProof/>
        </w:rPr>
        <w:t>Council of Members of the International Olive Council (</w:t>
      </w:r>
      <w:r>
        <w:rPr>
          <w:noProof/>
        </w:rPr>
        <w:t>“</w:t>
      </w:r>
      <w:r w:rsidRPr="00D80B00">
        <w:rPr>
          <w:noProof/>
        </w:rPr>
        <w:t>the Council of Members</w:t>
      </w:r>
      <w:r>
        <w:rPr>
          <w:noProof/>
        </w:rPr>
        <w:t>”</w:t>
      </w:r>
      <w:r w:rsidRPr="00D80B00">
        <w:rPr>
          <w:noProof/>
        </w:rPr>
        <w:t>) is the highest authority and decision-making organ of the IOC and shall exercise all such powers and functions as are necessary to achieve the objectives of this Agreement. As a party to the Agreement, the European Union is a member of the IOC and is represented in the Council of Members. The decisions of the Council of Members concerning the accession of a new member shall be taken by consensus. Pursuant to Article 10(4)(b) of the Agreement, if consensus cannot be reached within a time limit laid down by the Chair of the Council of Members, the members shall take a vote. The decision shall be considered to be adopted when at least the majority of the members representing at least 86 per cent of the participation shares of the members are in favour thereof.</w:t>
      </w:r>
    </w:p>
    <w:p w:rsidR="00DA51F1" w:rsidRPr="00E34F04" w:rsidRDefault="00C758E8" w:rsidP="00C758E8">
      <w:pPr>
        <w:rPr>
          <w:rFonts w:eastAsia="Arial Unicode MS"/>
          <w:noProof/>
        </w:rPr>
      </w:pPr>
      <w:r w:rsidRPr="00D80B00">
        <w:rPr>
          <w:noProof/>
        </w:rPr>
        <w:t xml:space="preserve">There are </w:t>
      </w:r>
      <w:r w:rsidRPr="00C758E8">
        <w:rPr>
          <w:noProof/>
        </w:rPr>
        <w:t>currently 21 members</w:t>
      </w:r>
      <w:r w:rsidRPr="00D80B00">
        <w:rPr>
          <w:noProof/>
        </w:rPr>
        <w:t xml:space="preserve"> in the IOC and the European </w:t>
      </w:r>
      <w:r w:rsidRPr="00C758E8">
        <w:rPr>
          <w:noProof/>
        </w:rPr>
        <w:t>Union has 647 participation</w:t>
      </w:r>
      <w:r w:rsidRPr="00D80B00">
        <w:rPr>
          <w:noProof/>
        </w:rPr>
        <w:t xml:space="preserve"> shares out of a total of 1000.</w:t>
      </w:r>
    </w:p>
    <w:p w:rsidR="00DA51F1" w:rsidRPr="00E34F04" w:rsidRDefault="00DA51F1" w:rsidP="00736AA9">
      <w:pPr>
        <w:pStyle w:val="ManualHeading2"/>
        <w:rPr>
          <w:noProof/>
        </w:rPr>
      </w:pPr>
      <w:r>
        <w:rPr>
          <w:noProof/>
        </w:rPr>
        <w:t>2.3.</w:t>
      </w:r>
      <w:r>
        <w:rPr>
          <w:noProof/>
        </w:rPr>
        <w:tab/>
      </w:r>
      <w:r w:rsidRPr="00E34F04">
        <w:rPr>
          <w:noProof/>
        </w:rPr>
        <w:t>The envisaged act of the</w:t>
      </w:r>
      <w:r w:rsidR="00C758E8">
        <w:rPr>
          <w:noProof/>
        </w:rPr>
        <w:t xml:space="preserve"> </w:t>
      </w:r>
      <w:r w:rsidR="00C758E8" w:rsidRPr="00C758E8">
        <w:rPr>
          <w:noProof/>
        </w:rPr>
        <w:t>Council of Members</w:t>
      </w:r>
    </w:p>
    <w:p w:rsidR="00C758E8" w:rsidRPr="00C758E8" w:rsidRDefault="00C758E8" w:rsidP="00C758E8">
      <w:pPr>
        <w:rPr>
          <w:rFonts w:eastAsia="Arial Unicode MS"/>
          <w:noProof/>
        </w:rPr>
      </w:pPr>
      <w:r w:rsidRPr="00C758E8">
        <w:rPr>
          <w:rFonts w:eastAsia="Arial Unicode MS"/>
          <w:noProof/>
        </w:rPr>
        <w:t xml:space="preserve">Following the formal application of the </w:t>
      </w:r>
      <w:r>
        <w:rPr>
          <w:rFonts w:eastAsia="Arial Unicode MS"/>
          <w:noProof/>
        </w:rPr>
        <w:t xml:space="preserve">Islamic </w:t>
      </w:r>
      <w:r w:rsidRPr="00C758E8">
        <w:rPr>
          <w:rFonts w:eastAsia="Arial Unicode MS"/>
          <w:noProof/>
        </w:rPr>
        <w:t xml:space="preserve">Republic of </w:t>
      </w:r>
      <w:r>
        <w:rPr>
          <w:rFonts w:eastAsia="Arial Unicode MS"/>
          <w:noProof/>
        </w:rPr>
        <w:t>Pakistan</w:t>
      </w:r>
      <w:r w:rsidRPr="00C758E8">
        <w:rPr>
          <w:rFonts w:eastAsia="Arial Unicode MS"/>
          <w:noProof/>
        </w:rPr>
        <w:t xml:space="preserve"> </w:t>
      </w:r>
      <w:r w:rsidRPr="008E76DA">
        <w:rPr>
          <w:rFonts w:eastAsia="Arial Unicode MS"/>
          <w:noProof/>
        </w:rPr>
        <w:t>dated 2</w:t>
      </w:r>
      <w:r w:rsidR="008E76DA" w:rsidRPr="008E76DA">
        <w:rPr>
          <w:rFonts w:eastAsia="Arial Unicode MS"/>
          <w:noProof/>
        </w:rPr>
        <w:t>5</w:t>
      </w:r>
      <w:r w:rsidRPr="008E76DA">
        <w:rPr>
          <w:rFonts w:eastAsia="Arial Unicode MS"/>
          <w:noProof/>
        </w:rPr>
        <w:t xml:space="preserve"> </w:t>
      </w:r>
      <w:r w:rsidR="008E76DA" w:rsidRPr="008E76DA">
        <w:rPr>
          <w:rFonts w:eastAsia="Arial Unicode MS"/>
          <w:noProof/>
        </w:rPr>
        <w:t>August</w:t>
      </w:r>
      <w:r w:rsidRPr="008E76DA">
        <w:rPr>
          <w:rFonts w:eastAsia="Arial Unicode MS"/>
          <w:noProof/>
        </w:rPr>
        <w:t xml:space="preserve"> 2025 to</w:t>
      </w:r>
      <w:r w:rsidRPr="00C758E8">
        <w:rPr>
          <w:rFonts w:eastAsia="Arial Unicode MS"/>
          <w:noProof/>
        </w:rPr>
        <w:t xml:space="preserve"> accede to the Agreement, it is expected that the Council of Members will adopt, during a future session of the Council of Members, or within the framework of a procedure for adoption of decisions by the Council of Members by exchange of correspondence, a decision concerning the accession of the </w:t>
      </w:r>
      <w:r>
        <w:rPr>
          <w:rFonts w:eastAsia="Arial Unicode MS"/>
          <w:noProof/>
        </w:rPr>
        <w:t xml:space="preserve">Islamic </w:t>
      </w:r>
      <w:r w:rsidRPr="00C758E8">
        <w:rPr>
          <w:rFonts w:eastAsia="Arial Unicode MS"/>
          <w:noProof/>
        </w:rPr>
        <w:t xml:space="preserve">Republic of </w:t>
      </w:r>
      <w:r>
        <w:rPr>
          <w:rFonts w:eastAsia="Arial Unicode MS"/>
          <w:noProof/>
        </w:rPr>
        <w:t>Pakistan</w:t>
      </w:r>
      <w:r w:rsidRPr="00C758E8">
        <w:rPr>
          <w:rFonts w:eastAsia="Arial Unicode MS"/>
          <w:noProof/>
        </w:rPr>
        <w:t>.</w:t>
      </w:r>
    </w:p>
    <w:p w:rsidR="00C758E8" w:rsidRPr="00C758E8" w:rsidRDefault="00C758E8" w:rsidP="00C758E8">
      <w:pPr>
        <w:rPr>
          <w:rFonts w:eastAsia="Arial Unicode MS"/>
          <w:noProof/>
        </w:rPr>
      </w:pPr>
      <w:r w:rsidRPr="00C758E8">
        <w:rPr>
          <w:rFonts w:eastAsia="Arial Unicode MS"/>
          <w:noProof/>
        </w:rPr>
        <w:lastRenderedPageBreak/>
        <w:t xml:space="preserve">The purpose of the envisaged act is to establish the conditions for the accession of the </w:t>
      </w:r>
      <w:r>
        <w:rPr>
          <w:rFonts w:eastAsia="Arial Unicode MS"/>
          <w:noProof/>
        </w:rPr>
        <w:t xml:space="preserve">Islamic </w:t>
      </w:r>
      <w:r w:rsidRPr="00C758E8">
        <w:rPr>
          <w:rFonts w:eastAsia="Arial Unicode MS"/>
          <w:noProof/>
        </w:rPr>
        <w:t xml:space="preserve">Republic of </w:t>
      </w:r>
      <w:r>
        <w:rPr>
          <w:rFonts w:eastAsia="Arial Unicode MS"/>
          <w:noProof/>
        </w:rPr>
        <w:t xml:space="preserve">Pakistan </w:t>
      </w:r>
      <w:r w:rsidRPr="00C758E8">
        <w:rPr>
          <w:rFonts w:eastAsia="Arial Unicode MS"/>
          <w:noProof/>
        </w:rPr>
        <w:t>pursuant to Article 29 of the Agreement.</w:t>
      </w:r>
    </w:p>
    <w:p w:rsidR="00DA51F1" w:rsidRPr="00E34F04" w:rsidRDefault="00C758E8" w:rsidP="00C758E8">
      <w:pPr>
        <w:rPr>
          <w:rFonts w:eastAsia="Arial Unicode MS"/>
          <w:noProof/>
        </w:rPr>
      </w:pPr>
      <w:r w:rsidRPr="00C758E8">
        <w:rPr>
          <w:rFonts w:eastAsia="Arial Unicode MS"/>
          <w:noProof/>
        </w:rPr>
        <w:t>The envisaged act will become binding on the parties by changing the decisional balance within the Council of Members when decisions are not adopted by consensus in accordance with Article 10(4) of the Agreement.</w:t>
      </w:r>
    </w:p>
    <w:p w:rsidR="00DA51F1" w:rsidRPr="00E34F04" w:rsidRDefault="00DA51F1" w:rsidP="00DA51F1">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C758E8" w:rsidRPr="006769ED" w:rsidRDefault="00C758E8" w:rsidP="00C758E8">
      <w:pPr>
        <w:rPr>
          <w:rFonts w:eastAsia="Arial Unicode MS"/>
          <w:noProof/>
        </w:rPr>
      </w:pPr>
      <w:r w:rsidRPr="006769ED">
        <w:rPr>
          <w:rFonts w:eastAsia="Arial Unicode MS"/>
          <w:noProof/>
        </w:rPr>
        <w:t xml:space="preserve">Even though the olive oil production remains modest in the </w:t>
      </w:r>
      <w:r w:rsidR="006D151A" w:rsidRPr="006769ED">
        <w:rPr>
          <w:rFonts w:eastAsia="Arial Unicode MS"/>
          <w:noProof/>
        </w:rPr>
        <w:t xml:space="preserve">Islamic </w:t>
      </w:r>
      <w:r w:rsidRPr="006769ED">
        <w:rPr>
          <w:rFonts w:eastAsia="Arial Unicode MS"/>
          <w:noProof/>
        </w:rPr>
        <w:t xml:space="preserve">Republic of </w:t>
      </w:r>
      <w:r w:rsidR="006D151A" w:rsidRPr="006769ED">
        <w:rPr>
          <w:rFonts w:eastAsia="Arial Unicode MS"/>
          <w:noProof/>
        </w:rPr>
        <w:t>Pakistan</w:t>
      </w:r>
      <w:r w:rsidRPr="006769ED">
        <w:rPr>
          <w:rFonts w:eastAsia="Arial Unicode MS"/>
          <w:noProof/>
        </w:rPr>
        <w:t xml:space="preserve">, there is a long tradition of production </w:t>
      </w:r>
      <w:r w:rsidR="006769ED" w:rsidRPr="006769ED">
        <w:rPr>
          <w:rFonts w:eastAsia="Arial Unicode MS"/>
          <w:noProof/>
        </w:rPr>
        <w:t xml:space="preserve">and consumption </w:t>
      </w:r>
      <w:r w:rsidRPr="006769ED">
        <w:rPr>
          <w:rFonts w:eastAsia="Arial Unicode MS"/>
          <w:noProof/>
        </w:rPr>
        <w:t xml:space="preserve">of </w:t>
      </w:r>
      <w:r w:rsidR="006769ED" w:rsidRPr="006769ED">
        <w:rPr>
          <w:rFonts w:eastAsia="Arial Unicode MS"/>
          <w:noProof/>
        </w:rPr>
        <w:t xml:space="preserve">olive oil and </w:t>
      </w:r>
      <w:r w:rsidRPr="006769ED">
        <w:rPr>
          <w:rFonts w:eastAsia="Arial Unicode MS"/>
          <w:noProof/>
        </w:rPr>
        <w:t xml:space="preserve">table olives. The agricultural land in the </w:t>
      </w:r>
      <w:r w:rsidR="006769ED" w:rsidRPr="006769ED">
        <w:rPr>
          <w:rFonts w:eastAsia="Arial Unicode MS"/>
          <w:noProof/>
        </w:rPr>
        <w:t xml:space="preserve">Islamic </w:t>
      </w:r>
      <w:r w:rsidRPr="006769ED">
        <w:rPr>
          <w:rFonts w:eastAsia="Arial Unicode MS"/>
          <w:noProof/>
        </w:rPr>
        <w:t xml:space="preserve">Republic of </w:t>
      </w:r>
      <w:r w:rsidR="006769ED" w:rsidRPr="006769ED">
        <w:rPr>
          <w:rFonts w:eastAsia="Arial Unicode MS"/>
          <w:noProof/>
        </w:rPr>
        <w:t>Pakistan</w:t>
      </w:r>
      <w:r w:rsidRPr="006769ED">
        <w:rPr>
          <w:rFonts w:eastAsia="Arial Unicode MS"/>
          <w:noProof/>
        </w:rPr>
        <w:t xml:space="preserve"> was reported at </w:t>
      </w:r>
      <w:r w:rsidR="006769ED" w:rsidRPr="006769ED">
        <w:rPr>
          <w:rFonts w:eastAsia="Arial Unicode MS"/>
          <w:noProof/>
        </w:rPr>
        <w:t>46.7</w:t>
      </w:r>
      <w:r w:rsidRPr="006769ED">
        <w:rPr>
          <w:rFonts w:eastAsia="Arial Unicode MS"/>
          <w:noProof/>
        </w:rPr>
        <w:t xml:space="preserve">% of total land area </w:t>
      </w:r>
      <w:r w:rsidR="006D151A" w:rsidRPr="006769ED">
        <w:rPr>
          <w:noProof/>
        </w:rPr>
        <w:t>in 202</w:t>
      </w:r>
      <w:r w:rsidR="006769ED" w:rsidRPr="006769ED">
        <w:rPr>
          <w:noProof/>
        </w:rPr>
        <w:t>3</w:t>
      </w:r>
      <w:r w:rsidR="006D151A" w:rsidRPr="006769ED">
        <w:rPr>
          <w:rStyle w:val="FootnoteReference"/>
          <w:noProof/>
        </w:rPr>
        <w:footnoteReference w:id="2"/>
      </w:r>
      <w:r w:rsidRPr="006769ED">
        <w:rPr>
          <w:rFonts w:eastAsia="Arial Unicode MS"/>
          <w:noProof/>
        </w:rPr>
        <w:t xml:space="preserve">, with an average annual consumption of </w:t>
      </w:r>
      <w:r w:rsidR="006769ED" w:rsidRPr="006769ED">
        <w:rPr>
          <w:rFonts w:eastAsia="Arial Unicode MS"/>
          <w:noProof/>
        </w:rPr>
        <w:t xml:space="preserve">olive oil and </w:t>
      </w:r>
      <w:r w:rsidRPr="006769ED">
        <w:rPr>
          <w:rFonts w:eastAsia="Arial Unicode MS"/>
          <w:noProof/>
        </w:rPr>
        <w:t xml:space="preserve">table olives of around </w:t>
      </w:r>
      <w:r w:rsidR="006769ED" w:rsidRPr="006769ED">
        <w:rPr>
          <w:rFonts w:eastAsia="Arial Unicode MS"/>
          <w:noProof/>
        </w:rPr>
        <w:t xml:space="preserve">5 000 tonnes and </w:t>
      </w:r>
      <w:r w:rsidR="006D151A" w:rsidRPr="006769ED">
        <w:rPr>
          <w:noProof/>
        </w:rPr>
        <w:t>2 </w:t>
      </w:r>
      <w:r w:rsidR="006769ED" w:rsidRPr="006769ED">
        <w:rPr>
          <w:noProof/>
        </w:rPr>
        <w:t>1</w:t>
      </w:r>
      <w:r w:rsidR="006D151A" w:rsidRPr="006769ED">
        <w:rPr>
          <w:noProof/>
        </w:rPr>
        <w:t>00 tonnes</w:t>
      </w:r>
      <w:r w:rsidR="006769ED" w:rsidRPr="006769ED">
        <w:rPr>
          <w:noProof/>
        </w:rPr>
        <w:t xml:space="preserve"> respectively</w:t>
      </w:r>
      <w:r w:rsidR="006D151A" w:rsidRPr="006769ED">
        <w:rPr>
          <w:rStyle w:val="FootnoteReference"/>
          <w:noProof/>
        </w:rPr>
        <w:footnoteReference w:id="3"/>
      </w:r>
      <w:r w:rsidR="006D151A" w:rsidRPr="006769ED">
        <w:rPr>
          <w:noProof/>
        </w:rPr>
        <w:t>.</w:t>
      </w:r>
    </w:p>
    <w:p w:rsidR="00C758E8" w:rsidRPr="00D80B00" w:rsidRDefault="00C758E8" w:rsidP="00C758E8">
      <w:pPr>
        <w:rPr>
          <w:noProof/>
        </w:rPr>
      </w:pPr>
      <w:r w:rsidRPr="00D47E73">
        <w:rPr>
          <w:rFonts w:eastAsia="Arial Unicode MS"/>
          <w:noProof/>
        </w:rPr>
        <w:t xml:space="preserve">Considering </w:t>
      </w:r>
      <w:r w:rsidR="00D47E73" w:rsidRPr="00D47E73">
        <w:rPr>
          <w:rFonts w:eastAsia="Arial Unicode MS"/>
          <w:noProof/>
        </w:rPr>
        <w:t>Pakistan</w:t>
      </w:r>
      <w:r w:rsidRPr="00D47E73">
        <w:rPr>
          <w:rFonts w:eastAsia="Arial Unicode MS"/>
          <w:noProof/>
        </w:rPr>
        <w:t xml:space="preserve">’s long-standing tradition in the olive oil sector, the accession of the </w:t>
      </w:r>
      <w:r w:rsidR="00D47E73" w:rsidRPr="00D47E73">
        <w:rPr>
          <w:rFonts w:eastAsia="Arial Unicode MS"/>
          <w:noProof/>
        </w:rPr>
        <w:t xml:space="preserve">Islamic </w:t>
      </w:r>
      <w:r w:rsidRPr="00D47E73">
        <w:rPr>
          <w:rFonts w:eastAsia="Arial Unicode MS"/>
          <w:noProof/>
        </w:rPr>
        <w:t xml:space="preserve">Republic of </w:t>
      </w:r>
      <w:r w:rsidR="00D47E73" w:rsidRPr="00D47E73">
        <w:rPr>
          <w:rFonts w:eastAsia="Arial Unicode MS"/>
          <w:noProof/>
        </w:rPr>
        <w:t>Pakistan</w:t>
      </w:r>
      <w:r w:rsidRPr="00D47E73">
        <w:rPr>
          <w:rFonts w:eastAsia="Arial Unicode MS"/>
          <w:noProof/>
        </w:rPr>
        <w:t xml:space="preserve"> will under certain conditions reinforce the IOC, in particular as regards the achievement of uniformity in national and international legislation relating to the characteristics of olive products in order to prevent any obstacle to trade. This accession fits the objectives of the Union policy as regards standards for the marketing of agricultural products as provided for in Title II of Part II of Regulation (EU) No 1308/2013 of the </w:t>
      </w:r>
      <w:r w:rsidRPr="00D47E73">
        <w:rPr>
          <w:noProof/>
        </w:rPr>
        <w:t>European Parliament and of the Council.</w:t>
      </w:r>
      <w:r w:rsidRPr="00D47E73">
        <w:rPr>
          <w:rStyle w:val="FootnoteReference"/>
          <w:noProof/>
        </w:rPr>
        <w:footnoteReference w:id="4"/>
      </w:r>
    </w:p>
    <w:p w:rsidR="00C758E8" w:rsidRPr="006D151A" w:rsidRDefault="00C758E8" w:rsidP="00C758E8">
      <w:pPr>
        <w:rPr>
          <w:rFonts w:eastAsia="Arial Unicode MS"/>
          <w:noProof/>
        </w:rPr>
      </w:pPr>
      <w:r w:rsidRPr="006D151A">
        <w:rPr>
          <w:rFonts w:eastAsia="Arial Unicode MS"/>
          <w:noProof/>
        </w:rPr>
        <w:t xml:space="preserve">A decision to be adopted by the Council of Members will establish the conditions for the accession of the </w:t>
      </w:r>
      <w:r w:rsidR="006D151A" w:rsidRPr="006D151A">
        <w:rPr>
          <w:rFonts w:eastAsia="Arial Unicode MS"/>
          <w:noProof/>
        </w:rPr>
        <w:t xml:space="preserve">Islamic </w:t>
      </w:r>
      <w:r w:rsidRPr="006D151A">
        <w:rPr>
          <w:rFonts w:eastAsia="Arial Unicode MS"/>
          <w:noProof/>
        </w:rPr>
        <w:t xml:space="preserve">Republic of </w:t>
      </w:r>
      <w:r w:rsidR="006D151A" w:rsidRPr="006D151A">
        <w:rPr>
          <w:rFonts w:eastAsia="Arial Unicode MS"/>
          <w:noProof/>
        </w:rPr>
        <w:t>Pakistan</w:t>
      </w:r>
      <w:r w:rsidRPr="006D151A">
        <w:rPr>
          <w:rFonts w:eastAsia="Arial Unicode MS"/>
          <w:noProof/>
        </w:rPr>
        <w:t xml:space="preserve"> in respect of the participation shares in the IOC and the time limit for the deposit of the instrument of accession.</w:t>
      </w:r>
    </w:p>
    <w:p w:rsidR="00C758E8" w:rsidRPr="006D151A" w:rsidRDefault="00C758E8" w:rsidP="00C758E8">
      <w:pPr>
        <w:rPr>
          <w:rFonts w:eastAsia="Arial Unicode MS"/>
          <w:noProof/>
        </w:rPr>
      </w:pPr>
      <w:r w:rsidRPr="006D151A">
        <w:rPr>
          <w:rFonts w:eastAsia="Arial Unicode MS"/>
          <w:noProof/>
        </w:rPr>
        <w:t xml:space="preserve">The participation shares of the Members which are used to fix the financial contributions and voting rights are calculated according to a formula specified in Article 11 of the Agreement. The Union will make sure that this formula is used when defining the participation shares of the </w:t>
      </w:r>
      <w:r w:rsidR="006D151A" w:rsidRPr="006D151A">
        <w:rPr>
          <w:rFonts w:eastAsia="Arial Unicode MS"/>
          <w:noProof/>
        </w:rPr>
        <w:t>Islamic Republic of Pakistan</w:t>
      </w:r>
      <w:r w:rsidRPr="006D151A">
        <w:rPr>
          <w:rFonts w:eastAsia="Arial Unicode MS"/>
          <w:noProof/>
        </w:rPr>
        <w:t>.</w:t>
      </w:r>
    </w:p>
    <w:p w:rsidR="00C758E8" w:rsidRPr="006D151A" w:rsidRDefault="00C758E8" w:rsidP="00C758E8">
      <w:pPr>
        <w:rPr>
          <w:rFonts w:eastAsia="Arial Unicode MS"/>
          <w:noProof/>
        </w:rPr>
      </w:pPr>
      <w:r w:rsidRPr="006D151A">
        <w:rPr>
          <w:rFonts w:eastAsia="Arial Unicode MS"/>
          <w:noProof/>
        </w:rPr>
        <w:t xml:space="preserve">The Union will support any time limit for the deposit of the instrument of accession that would allow </w:t>
      </w:r>
      <w:r w:rsidR="006D151A" w:rsidRPr="006D151A">
        <w:rPr>
          <w:rFonts w:eastAsia="Arial Unicode MS"/>
          <w:noProof/>
        </w:rPr>
        <w:t>Pakistan</w:t>
      </w:r>
      <w:r w:rsidRPr="006D151A">
        <w:rPr>
          <w:rFonts w:eastAsia="Arial Unicode MS"/>
          <w:noProof/>
        </w:rPr>
        <w:t xml:space="preserve"> to accede to the Agreement soon. If the deposit of the instrument is delayed, the Union may support, in subsequent decisions to be adopted by the Council of Members, the extension of the period for the deposit of the instrument.</w:t>
      </w:r>
    </w:p>
    <w:p w:rsidR="00DA51F1" w:rsidRPr="00E34F04" w:rsidRDefault="00C758E8" w:rsidP="00C758E8">
      <w:pPr>
        <w:rPr>
          <w:rFonts w:eastAsia="Arial Unicode MS"/>
          <w:noProof/>
        </w:rPr>
      </w:pPr>
      <w:r w:rsidRPr="006D151A">
        <w:rPr>
          <w:rFonts w:eastAsia="Arial Unicode MS"/>
          <w:noProof/>
        </w:rPr>
        <w:t xml:space="preserve">Taking into account the decision-making process within the Council of Members of the IOC, the Union position is needed for establishing the conditions for the accession of the </w:t>
      </w:r>
      <w:r w:rsidR="006D151A" w:rsidRPr="006D151A">
        <w:rPr>
          <w:rFonts w:eastAsia="Arial Unicode MS"/>
          <w:noProof/>
        </w:rPr>
        <w:t>Islamic Republic of Pakistan</w:t>
      </w:r>
      <w:r w:rsidRPr="006D151A">
        <w:rPr>
          <w:rFonts w:eastAsia="Arial Unicode MS"/>
          <w:noProof/>
        </w:rPr>
        <w:t>.</w:t>
      </w:r>
    </w:p>
    <w:p w:rsidR="00DA51F1" w:rsidRPr="00E34F04" w:rsidRDefault="00DA51F1" w:rsidP="00736AA9">
      <w:pPr>
        <w:pStyle w:val="ManualHeading1"/>
        <w:rPr>
          <w:noProof/>
        </w:rPr>
      </w:pPr>
      <w:r>
        <w:rPr>
          <w:noProof/>
        </w:rPr>
        <w:t>4.</w:t>
      </w:r>
      <w:r>
        <w:rPr>
          <w:noProof/>
        </w:rPr>
        <w:tab/>
      </w:r>
      <w:r w:rsidRPr="00E34F04">
        <w:rPr>
          <w:noProof/>
        </w:rPr>
        <w:t>Legal basis</w:t>
      </w:r>
    </w:p>
    <w:p w:rsidR="00DA51F1" w:rsidRPr="00E34F04" w:rsidRDefault="00DA51F1" w:rsidP="00736AA9">
      <w:pPr>
        <w:pStyle w:val="ManualHeading2"/>
        <w:rPr>
          <w:noProof/>
        </w:rPr>
      </w:pPr>
      <w:r>
        <w:rPr>
          <w:noProof/>
        </w:rPr>
        <w:t>4.1.</w:t>
      </w:r>
      <w:r>
        <w:rPr>
          <w:noProof/>
        </w:rPr>
        <w:tab/>
      </w:r>
      <w:r w:rsidRPr="00E34F04">
        <w:rPr>
          <w:noProof/>
        </w:rPr>
        <w:t>Procedural legal basis</w:t>
      </w:r>
    </w:p>
    <w:p w:rsidR="00DA51F1" w:rsidRPr="00E34F04" w:rsidRDefault="00DA51F1" w:rsidP="00DA51F1">
      <w:pPr>
        <w:pStyle w:val="ManualHeading3"/>
        <w:tabs>
          <w:tab w:val="clear" w:pos="850"/>
          <w:tab w:val="num" w:pos="1984"/>
        </w:tabs>
        <w:ind w:left="1984" w:hanging="567"/>
        <w:rPr>
          <w:noProof/>
        </w:rPr>
      </w:pPr>
      <w:r>
        <w:rPr>
          <w:noProof/>
        </w:rPr>
        <w:t>4.1.1.</w:t>
      </w:r>
      <w:r>
        <w:rPr>
          <w:noProof/>
        </w:rPr>
        <w:tab/>
      </w:r>
      <w:r w:rsidRPr="00E34F04">
        <w:rPr>
          <w:noProof/>
        </w:rPr>
        <w:t>Principles</w:t>
      </w:r>
    </w:p>
    <w:p w:rsidR="00DA51F1" w:rsidRPr="00E34F04" w:rsidRDefault="00DA51F1" w:rsidP="00736AA9">
      <w:pPr>
        <w:rPr>
          <w:noProof/>
        </w:rPr>
      </w:pPr>
      <w:r w:rsidRPr="00E34F04">
        <w:rPr>
          <w:noProof/>
        </w:rPr>
        <w:t>Article 218(9) of the Treaty on the Functioning of the European Union (TFEU) provides for decisions establishing ‘</w:t>
      </w:r>
      <w:r w:rsidRPr="00E34F04">
        <w:rPr>
          <w:i/>
          <w:noProof/>
        </w:rPr>
        <w:t xml:space="preserve">the positions to be adopted on the Union’s behalf in a body set up by </w:t>
      </w:r>
      <w:r w:rsidRPr="00E34F04">
        <w:rPr>
          <w:i/>
          <w:noProof/>
        </w:rPr>
        <w:lastRenderedPageBreak/>
        <w:t>an agreement, when that body is called upon to adopt acts having legal effects, with the exception of acts supplementing or amending the institutional framework of the agreement</w:t>
      </w:r>
      <w:r w:rsidRPr="00E34F04">
        <w:rPr>
          <w:noProof/>
        </w:rPr>
        <w:t>.’</w:t>
      </w:r>
    </w:p>
    <w:p w:rsidR="00DA51F1" w:rsidRPr="00E34F04" w:rsidRDefault="00DA51F1"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5"/>
      </w:r>
      <w:r w:rsidRPr="00E34F04">
        <w:rPr>
          <w:noProof/>
        </w:rPr>
        <w:t>.</w:t>
      </w:r>
    </w:p>
    <w:p w:rsidR="00DA51F1" w:rsidRPr="00E34F04" w:rsidRDefault="00DA51F1" w:rsidP="00DA51F1">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C758E8" w:rsidRDefault="00C758E8" w:rsidP="00C758E8">
      <w:pPr>
        <w:rPr>
          <w:noProof/>
        </w:rPr>
      </w:pPr>
      <w:r>
        <w:rPr>
          <w:noProof/>
        </w:rPr>
        <w:t>The Council of Members is a body set up by an agreement, namely the International Agreement on Olive Oil and Table Olives.</w:t>
      </w:r>
    </w:p>
    <w:p w:rsidR="00C758E8" w:rsidRPr="00D80B00" w:rsidRDefault="00C758E8" w:rsidP="00C758E8">
      <w:pPr>
        <w:rPr>
          <w:noProof/>
        </w:rPr>
      </w:pPr>
      <w:r>
        <w:rPr>
          <w:noProof/>
        </w:rPr>
        <w:t xml:space="preserve">The act which the Council of Members is called upon to adopt constitutes an act having legal effects. The envisaged act has legal effects notably because it will affect the decisional balance within the Council of Members when decisions are not adopted by consensus in accordance with </w:t>
      </w:r>
      <w:r w:rsidRPr="00D80B00">
        <w:rPr>
          <w:noProof/>
        </w:rPr>
        <w:t>Article 10(4) of the Agreement</w:t>
      </w:r>
      <w:r w:rsidRPr="00963CC0">
        <w:rPr>
          <w:rStyle w:val="FootnoteReference"/>
          <w:noProof/>
        </w:rPr>
        <w:footnoteReference w:id="6"/>
      </w:r>
      <w:r w:rsidRPr="00D80B00">
        <w:rPr>
          <w:noProof/>
        </w:rPr>
        <w:t>.</w:t>
      </w:r>
    </w:p>
    <w:p w:rsidR="00C758E8" w:rsidRDefault="00C758E8" w:rsidP="00C758E8">
      <w:pPr>
        <w:rPr>
          <w:noProof/>
        </w:rPr>
      </w:pPr>
      <w:r>
        <w:rPr>
          <w:noProof/>
        </w:rPr>
        <w:t>The envisaged act does not supplement or amend the institutional framework of the Agreement.</w:t>
      </w:r>
    </w:p>
    <w:p w:rsidR="00DA51F1" w:rsidRPr="00E34F04" w:rsidRDefault="00C758E8" w:rsidP="00C758E8">
      <w:pPr>
        <w:rPr>
          <w:noProof/>
        </w:rPr>
      </w:pPr>
      <w:r>
        <w:rPr>
          <w:noProof/>
        </w:rPr>
        <w:t>Therefore, the procedural legal basis for the proposed decision is Article 218(9) TFEU.</w:t>
      </w:r>
    </w:p>
    <w:p w:rsidR="00DA51F1" w:rsidRPr="00E34F04" w:rsidRDefault="00DA51F1" w:rsidP="00736AA9">
      <w:pPr>
        <w:pStyle w:val="ManualHeading2"/>
        <w:rPr>
          <w:noProof/>
        </w:rPr>
      </w:pPr>
      <w:r>
        <w:rPr>
          <w:noProof/>
        </w:rPr>
        <w:t>4.2.</w:t>
      </w:r>
      <w:r>
        <w:rPr>
          <w:noProof/>
        </w:rPr>
        <w:tab/>
      </w:r>
      <w:r w:rsidRPr="00E34F04">
        <w:rPr>
          <w:noProof/>
        </w:rPr>
        <w:t>Substantive legal basis</w:t>
      </w:r>
    </w:p>
    <w:p w:rsidR="00DA51F1" w:rsidRPr="00E34F04" w:rsidRDefault="00DA51F1" w:rsidP="00DA51F1">
      <w:pPr>
        <w:pStyle w:val="ManualHeading3"/>
        <w:tabs>
          <w:tab w:val="clear" w:pos="850"/>
          <w:tab w:val="num" w:pos="1984"/>
        </w:tabs>
        <w:ind w:left="1984" w:hanging="567"/>
        <w:rPr>
          <w:noProof/>
        </w:rPr>
      </w:pPr>
      <w:r>
        <w:rPr>
          <w:noProof/>
        </w:rPr>
        <w:t>4.2.1.</w:t>
      </w:r>
      <w:r>
        <w:rPr>
          <w:noProof/>
        </w:rPr>
        <w:tab/>
      </w:r>
      <w:r w:rsidRPr="00E34F04">
        <w:rPr>
          <w:noProof/>
        </w:rPr>
        <w:t>Principles</w:t>
      </w:r>
    </w:p>
    <w:p w:rsidR="00DA51F1" w:rsidRPr="00E34F04" w:rsidRDefault="00DA51F1"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DA51F1" w:rsidRPr="00E34F04" w:rsidRDefault="00DA51F1" w:rsidP="00DA51F1">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ED2311" w:rsidRPr="00D80B00" w:rsidRDefault="00ED2311" w:rsidP="00ED2311">
      <w:pPr>
        <w:rPr>
          <w:noProof/>
        </w:rPr>
      </w:pPr>
      <w:r w:rsidRPr="00963CC0">
        <w:rPr>
          <w:noProof/>
        </w:rPr>
        <w:t xml:space="preserve">The main objective and content of the envisaged act relate to </w:t>
      </w:r>
      <w:r w:rsidRPr="00D80B00">
        <w:rPr>
          <w:noProof/>
        </w:rPr>
        <w:t>the common commercial policy.</w:t>
      </w:r>
    </w:p>
    <w:p w:rsidR="00ED2311" w:rsidRPr="00963CC0" w:rsidRDefault="00ED2311" w:rsidP="00ED2311">
      <w:pPr>
        <w:rPr>
          <w:noProof/>
        </w:rPr>
      </w:pPr>
      <w:r w:rsidRPr="00963CC0">
        <w:rPr>
          <w:noProof/>
        </w:rPr>
        <w:t xml:space="preserve">Therefore, the substantive legal basis of the proposed decision is </w:t>
      </w:r>
      <w:r w:rsidRPr="00D80B00">
        <w:rPr>
          <w:noProof/>
        </w:rPr>
        <w:t>Article 207 of the TFEU.</w:t>
      </w:r>
    </w:p>
    <w:p w:rsidR="00DA51F1" w:rsidRPr="00E34F04" w:rsidRDefault="00DA51F1" w:rsidP="00736AA9">
      <w:pPr>
        <w:pStyle w:val="ManualHeading2"/>
        <w:rPr>
          <w:noProof/>
        </w:rPr>
      </w:pPr>
      <w:r>
        <w:rPr>
          <w:noProof/>
        </w:rPr>
        <w:t>4.3.</w:t>
      </w:r>
      <w:r>
        <w:rPr>
          <w:noProof/>
        </w:rPr>
        <w:tab/>
      </w:r>
      <w:r w:rsidRPr="00E34F04">
        <w:rPr>
          <w:noProof/>
        </w:rPr>
        <w:t>Conclusion</w:t>
      </w:r>
    </w:p>
    <w:p w:rsidR="00DA51F1" w:rsidRPr="00E34F04" w:rsidRDefault="00DA51F1" w:rsidP="00736AA9">
      <w:pPr>
        <w:rPr>
          <w:noProof/>
        </w:rPr>
      </w:pPr>
      <w:r w:rsidRPr="00E34F04">
        <w:rPr>
          <w:noProof/>
        </w:rPr>
        <w:t xml:space="preserve">The legal basis of the proposed decision should be </w:t>
      </w:r>
      <w:r w:rsidR="00ED2311" w:rsidRPr="00D80B00">
        <w:rPr>
          <w:noProof/>
        </w:rPr>
        <w:t>Article 207 of the TFEU</w:t>
      </w:r>
      <w:r w:rsidRPr="00E34F04">
        <w:rPr>
          <w:noProof/>
        </w:rPr>
        <w:t>, in conjunction with Article 218(9) TFEU.</w:t>
      </w:r>
    </w:p>
    <w:p w:rsidR="00DA51F1" w:rsidRPr="00E34F04" w:rsidRDefault="00ED2311" w:rsidP="00736AA9">
      <w:pPr>
        <w:pStyle w:val="ManualHeading1"/>
        <w:rPr>
          <w:noProof/>
        </w:rPr>
      </w:pPr>
      <w:r>
        <w:rPr>
          <w:noProof/>
        </w:rPr>
        <w:t>5.</w:t>
      </w:r>
      <w:r>
        <w:rPr>
          <w:noProof/>
        </w:rPr>
        <w:tab/>
      </w:r>
      <w:r w:rsidRPr="00ED2311">
        <w:rPr>
          <w:noProof/>
        </w:rPr>
        <w:t>COMPLIANCE WITH THE DIGITAL BY DEFAULT PRINCIPLE</w:t>
      </w:r>
    </w:p>
    <w:p w:rsidR="00DA51F1" w:rsidRPr="00FD7813" w:rsidRDefault="00ED2311" w:rsidP="00FD7813">
      <w:pPr>
        <w:rPr>
          <w:noProof/>
        </w:rPr>
      </w:pPr>
      <w:r w:rsidRPr="00FD7813">
        <w:rPr>
          <w:noProof/>
        </w:rPr>
        <w:t>According to the digital assessment carried out, the current proposal has no digital dimensions as there is no digital relevance. The proposal establishes the EU position with respect to the accession of the Islamic Republic of Pakistan to the International Agreement on Olive Oil and Table Olives, 2015.</w:t>
      </w:r>
    </w:p>
    <w:p w:rsidR="00ED2311" w:rsidRPr="00ED2311" w:rsidRDefault="00ED2311" w:rsidP="00736AA9">
      <w:pPr>
        <w:rPr>
          <w:noProof/>
        </w:rPr>
      </w:pPr>
      <w:r>
        <w:rPr>
          <w:noProof/>
        </w:rPr>
        <w:t>Digital means or data exchange are not under the scope of the proposal.</w:t>
      </w:r>
    </w:p>
    <w:p w:rsidR="00DA51F1" w:rsidRPr="00FD40BA" w:rsidRDefault="00DA51F1" w:rsidP="00FD40BA">
      <w:pPr>
        <w:rPr>
          <w:noProof/>
        </w:rPr>
        <w:sectPr w:rsidR="00DA51F1" w:rsidRPr="00FD40BA" w:rsidSect="00D13B3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776FF" w:rsidRDefault="007C6236">
      <w:pPr>
        <w:pStyle w:val="Rfrenceinterinstitutionnelle"/>
        <w:rPr>
          <w:noProof/>
        </w:rPr>
      </w:pPr>
      <w:r>
        <w:rPr>
          <w:noProof/>
        </w:rPr>
        <w:lastRenderedPageBreak/>
        <w:t>2026/0024 (NLE)</w:t>
      </w:r>
    </w:p>
    <w:p w:rsidR="00DA51F1" w:rsidRPr="00E34F04" w:rsidRDefault="007428B6" w:rsidP="007428B6">
      <w:pPr>
        <w:pStyle w:val="Statut"/>
        <w:rPr>
          <w:noProof/>
        </w:rPr>
      </w:pPr>
      <w:r w:rsidRPr="007428B6">
        <w:rPr>
          <w:noProof/>
        </w:rPr>
        <w:t>Proposal for a</w:t>
      </w:r>
    </w:p>
    <w:p w:rsidR="00DA51F1" w:rsidRPr="00E34F04" w:rsidRDefault="007428B6" w:rsidP="007428B6">
      <w:pPr>
        <w:pStyle w:val="Typedudocument"/>
        <w:rPr>
          <w:noProof/>
        </w:rPr>
      </w:pPr>
      <w:r w:rsidRPr="007428B6">
        <w:rPr>
          <w:noProof/>
        </w:rPr>
        <w:t>COUNCIL DECISION</w:t>
      </w:r>
    </w:p>
    <w:p w:rsidR="00DA51F1" w:rsidRPr="00E34F04" w:rsidRDefault="007428B6" w:rsidP="007428B6">
      <w:pPr>
        <w:pStyle w:val="Titreobjet"/>
        <w:rPr>
          <w:noProof/>
        </w:rPr>
      </w:pPr>
      <w:r w:rsidRPr="007428B6">
        <w:rPr>
          <w:noProof/>
        </w:rPr>
        <w:t>on the position to be taken on behalf of the European Union in the Council of Members of the International Olive Council (IOC), with respect to the accession of the Islamic Republic of Pakistan to the International Agreement on Olive Oil and Table Olives, 2015</w:t>
      </w:r>
    </w:p>
    <w:p w:rsidR="00DA51F1" w:rsidRPr="00AD2A67" w:rsidRDefault="00DA51F1" w:rsidP="00BE7CB9">
      <w:pPr>
        <w:pStyle w:val="Institutionquiagit"/>
        <w:rPr>
          <w:noProof/>
        </w:rPr>
      </w:pPr>
      <w:r w:rsidRPr="00AD2A67">
        <w:rPr>
          <w:noProof/>
        </w:rPr>
        <w:t>THE COUNCIL OF THE EUROPEAN UNION,</w:t>
      </w:r>
    </w:p>
    <w:p w:rsidR="00644677" w:rsidRPr="00963CC0" w:rsidRDefault="00644677" w:rsidP="00644677">
      <w:pPr>
        <w:rPr>
          <w:noProof/>
        </w:rPr>
      </w:pPr>
      <w:r w:rsidRPr="00963CC0">
        <w:rPr>
          <w:noProof/>
        </w:rPr>
        <w:t xml:space="preserve">Having regard to the Treaty on the Functioning of the European Union, and in particular </w:t>
      </w:r>
      <w:r w:rsidRPr="00D80B00">
        <w:rPr>
          <w:noProof/>
        </w:rPr>
        <w:t xml:space="preserve">Article 207, </w:t>
      </w:r>
      <w:r w:rsidRPr="00963CC0">
        <w:rPr>
          <w:noProof/>
        </w:rPr>
        <w:t>in conjunction with Article 218(9) thereof,</w:t>
      </w:r>
    </w:p>
    <w:p w:rsidR="00644677" w:rsidRPr="00963CC0" w:rsidRDefault="00644677" w:rsidP="00644677">
      <w:pPr>
        <w:rPr>
          <w:noProof/>
        </w:rPr>
      </w:pPr>
      <w:r w:rsidRPr="00963CC0">
        <w:rPr>
          <w:noProof/>
        </w:rPr>
        <w:t>Having regard to the proposal from the European Commission,</w:t>
      </w:r>
    </w:p>
    <w:p w:rsidR="00644677" w:rsidRPr="00963CC0" w:rsidRDefault="00644677" w:rsidP="00644677">
      <w:pPr>
        <w:rPr>
          <w:noProof/>
        </w:rPr>
      </w:pPr>
      <w:r w:rsidRPr="00963CC0">
        <w:rPr>
          <w:noProof/>
        </w:rPr>
        <w:t>Whereas:</w:t>
      </w:r>
    </w:p>
    <w:p w:rsidR="00644677" w:rsidRPr="005B3DB2" w:rsidRDefault="00644677" w:rsidP="000071DE">
      <w:pPr>
        <w:pStyle w:val="ManualConsidrant"/>
        <w:rPr>
          <w:noProof/>
        </w:rPr>
      </w:pPr>
      <w:r>
        <w:rPr>
          <w:noProof/>
        </w:rPr>
        <w:t>(1)</w:t>
      </w:r>
      <w:r>
        <w:rPr>
          <w:noProof/>
        </w:rPr>
        <w:tab/>
      </w:r>
      <w:r w:rsidRPr="00D80B00">
        <w:rPr>
          <w:noProof/>
        </w:rPr>
        <w:t xml:space="preserve">The International Agreement on Olive Oil and Table Olives, 2015 </w:t>
      </w:r>
      <w:r w:rsidRPr="00963CC0">
        <w:rPr>
          <w:noProof/>
        </w:rPr>
        <w:t xml:space="preserve">(‘the Agreement’) </w:t>
      </w:r>
      <w:r w:rsidRPr="005B3DB2">
        <w:rPr>
          <w:noProof/>
        </w:rPr>
        <w:t>was signed on behalf of the Union in accordance with Council Decision (EU) 2016/1892</w:t>
      </w:r>
      <w:r w:rsidRPr="005B3DB2">
        <w:rPr>
          <w:rStyle w:val="FootnoteReference"/>
          <w:noProof/>
        </w:rPr>
        <w:footnoteReference w:id="7"/>
      </w:r>
      <w:r w:rsidRPr="005B3DB2">
        <w:rPr>
          <w:noProof/>
        </w:rPr>
        <w:t xml:space="preserve"> on 18 November 2016, subject to its conclusion at a later date. The Agreement entered into force provisionally on 1 January 2017 in accordance with Article 31(2) thereof and was concluded by the Union by Council Decision (EU) 2019/848 of 17 May 2019</w:t>
      </w:r>
      <w:r w:rsidRPr="005B3DB2">
        <w:rPr>
          <w:rStyle w:val="FootnoteReference"/>
          <w:noProof/>
        </w:rPr>
        <w:footnoteReference w:id="8"/>
      </w:r>
      <w:r w:rsidRPr="005B3DB2">
        <w:rPr>
          <w:noProof/>
        </w:rPr>
        <w:t>.</w:t>
      </w:r>
    </w:p>
    <w:p w:rsidR="00644677" w:rsidRPr="00963CC0" w:rsidRDefault="00644677" w:rsidP="00644677">
      <w:pPr>
        <w:pStyle w:val="ManualConsidrant"/>
        <w:rPr>
          <w:noProof/>
        </w:rPr>
      </w:pPr>
      <w:r>
        <w:rPr>
          <w:noProof/>
        </w:rPr>
        <w:t>(2)</w:t>
      </w:r>
      <w:r>
        <w:rPr>
          <w:noProof/>
        </w:rPr>
        <w:tab/>
        <w:t>Pursuant to Article 29 of the Agreement, the Council of Members of the International Olive Council (‘the Council of Members’) is to establish the conditions for the accession of a Government to the Agreement.</w:t>
      </w:r>
    </w:p>
    <w:p w:rsidR="00644677" w:rsidRPr="00963CC0" w:rsidRDefault="00644677" w:rsidP="00644677">
      <w:pPr>
        <w:pStyle w:val="ManualConsidrant"/>
        <w:rPr>
          <w:noProof/>
        </w:rPr>
      </w:pPr>
      <w:r>
        <w:rPr>
          <w:noProof/>
        </w:rPr>
        <w:t>(3)</w:t>
      </w:r>
      <w:r>
        <w:rPr>
          <w:noProof/>
        </w:rPr>
        <w:tab/>
        <w:t xml:space="preserve">The Islamic </w:t>
      </w:r>
      <w:r>
        <w:rPr>
          <w:rFonts w:eastAsia="Arial Unicode MS"/>
          <w:noProof/>
        </w:rPr>
        <w:t>Republic</w:t>
      </w:r>
      <w:r w:rsidRPr="00963CC0">
        <w:rPr>
          <w:rFonts w:eastAsia="Arial Unicode MS"/>
          <w:noProof/>
        </w:rPr>
        <w:t xml:space="preserve"> of </w:t>
      </w:r>
      <w:r>
        <w:rPr>
          <w:rFonts w:eastAsia="Arial Unicode MS"/>
          <w:noProof/>
        </w:rPr>
        <w:t>Pakistan</w:t>
      </w:r>
      <w:r w:rsidRPr="00D80B00">
        <w:rPr>
          <w:noProof/>
        </w:rPr>
        <w:t xml:space="preserve"> </w:t>
      </w:r>
      <w:r>
        <w:rPr>
          <w:noProof/>
        </w:rPr>
        <w:t xml:space="preserve">has formally applied to accede to the Agreement. The Council of Members should therefore be invited, during a future session thereof, or within the framework of a procedure for adoption of decisions by the Council of Members by exchange of correspondence, to establish the conditions for the accession of the Islamic </w:t>
      </w:r>
      <w:r>
        <w:rPr>
          <w:rFonts w:eastAsia="Arial Unicode MS"/>
          <w:noProof/>
        </w:rPr>
        <w:t>Republic</w:t>
      </w:r>
      <w:r w:rsidRPr="00963CC0">
        <w:rPr>
          <w:rFonts w:eastAsia="Arial Unicode MS"/>
          <w:noProof/>
        </w:rPr>
        <w:t xml:space="preserve"> of </w:t>
      </w:r>
      <w:r>
        <w:rPr>
          <w:rFonts w:eastAsia="Arial Unicode MS"/>
          <w:noProof/>
        </w:rPr>
        <w:t>Pakistan</w:t>
      </w:r>
      <w:r>
        <w:rPr>
          <w:noProof/>
        </w:rPr>
        <w:t>, in respect of the participation shares in the IOC and the time limit for the deposit of the instrument of accession.</w:t>
      </w:r>
    </w:p>
    <w:p w:rsidR="00644677" w:rsidRPr="00963CC0" w:rsidRDefault="00644677" w:rsidP="00644677">
      <w:pPr>
        <w:pStyle w:val="ManualConsidrant"/>
        <w:rPr>
          <w:noProof/>
        </w:rPr>
      </w:pPr>
      <w:r>
        <w:rPr>
          <w:noProof/>
        </w:rPr>
        <w:t>(4)</w:t>
      </w:r>
      <w:r>
        <w:rPr>
          <w:noProof/>
        </w:rPr>
        <w:tab/>
        <w:t xml:space="preserve">Given that </w:t>
      </w:r>
      <w:r>
        <w:rPr>
          <w:rFonts w:eastAsia="Arial Unicode MS"/>
          <w:noProof/>
        </w:rPr>
        <w:t>Pakistan</w:t>
      </w:r>
      <w:r>
        <w:rPr>
          <w:noProof/>
        </w:rPr>
        <w:t xml:space="preserve"> is developing its olive sectors as regards consumption and intends to develop its production, its accession could under certain conditions reinforce the IOC, in particular as regards the achievement of uniformity in national and international legislation relating to the characteristics of olive products in order to prevent any obstacle to trade.</w:t>
      </w:r>
    </w:p>
    <w:p w:rsidR="00644677" w:rsidRPr="00963CC0" w:rsidRDefault="00644677" w:rsidP="00644677">
      <w:pPr>
        <w:pStyle w:val="ManualConsidrant"/>
        <w:rPr>
          <w:noProof/>
        </w:rPr>
      </w:pPr>
      <w:r>
        <w:rPr>
          <w:noProof/>
        </w:rPr>
        <w:t>(5)</w:t>
      </w:r>
      <w:r>
        <w:rPr>
          <w:noProof/>
        </w:rPr>
        <w:tab/>
        <w:t xml:space="preserve">It is appropriate to establish the position to be taken on the Union's behalf in the Council of Members, as the decisions to be adopted will have legal effects on the Union by impacting the decisional balance within the Council of Members when </w:t>
      </w:r>
      <w:r>
        <w:rPr>
          <w:noProof/>
        </w:rPr>
        <w:lastRenderedPageBreak/>
        <w:t>decisions are not adopted by consensus in accordance with Article 10(4) of the Agreement,</w:t>
      </w:r>
    </w:p>
    <w:p w:rsidR="00DA51F1" w:rsidRPr="00E34F04" w:rsidRDefault="00DA51F1" w:rsidP="00BE7CB9">
      <w:pPr>
        <w:pStyle w:val="Formuledadoption"/>
        <w:rPr>
          <w:noProof/>
        </w:rPr>
      </w:pPr>
      <w:r w:rsidRPr="00E34F04">
        <w:rPr>
          <w:noProof/>
        </w:rPr>
        <w:t>HAS ADOPTED THIS DECISION:</w:t>
      </w:r>
    </w:p>
    <w:p w:rsidR="00DA51F1" w:rsidRPr="00E34F04" w:rsidRDefault="00DA51F1" w:rsidP="00BE7CB9">
      <w:pPr>
        <w:pStyle w:val="Titrearticle"/>
        <w:rPr>
          <w:noProof/>
        </w:rPr>
      </w:pPr>
      <w:r w:rsidRPr="00E34F04">
        <w:rPr>
          <w:noProof/>
        </w:rPr>
        <w:t>Article 1</w:t>
      </w:r>
    </w:p>
    <w:p w:rsidR="00DA51F1" w:rsidRPr="00E34F04" w:rsidRDefault="00826EE3" w:rsidP="00826EE3">
      <w:pPr>
        <w:rPr>
          <w:i/>
          <w:noProof/>
        </w:rPr>
      </w:pPr>
      <w:r w:rsidRPr="7791463F">
        <w:rPr>
          <w:noProof/>
        </w:rPr>
        <w:t xml:space="preserve">The position to be taken on the Union's behalf </w:t>
      </w:r>
      <w:r>
        <w:rPr>
          <w:noProof/>
        </w:rPr>
        <w:t xml:space="preserve">within the Council of Members of the International Olive Council during a future session thereof, or within the framework of a procedure for adoption of decisions by the Council of Members by exchange of correspondence, as regards the conditions for the accession of the Government of the Islamic </w:t>
      </w:r>
      <w:r>
        <w:rPr>
          <w:rFonts w:eastAsia="Arial Unicode MS"/>
          <w:noProof/>
        </w:rPr>
        <w:t>Republic</w:t>
      </w:r>
      <w:r w:rsidRPr="00963CC0">
        <w:rPr>
          <w:rFonts w:eastAsia="Arial Unicode MS"/>
          <w:noProof/>
        </w:rPr>
        <w:t xml:space="preserve"> of </w:t>
      </w:r>
      <w:r w:rsidR="002D7A31">
        <w:rPr>
          <w:rFonts w:eastAsia="Arial Unicode MS"/>
          <w:noProof/>
        </w:rPr>
        <w:t>Pakistan</w:t>
      </w:r>
      <w:r w:rsidRPr="00D80B00">
        <w:rPr>
          <w:noProof/>
        </w:rPr>
        <w:t xml:space="preserve"> </w:t>
      </w:r>
      <w:r>
        <w:rPr>
          <w:noProof/>
        </w:rPr>
        <w:t>to the Agreement,</w:t>
      </w:r>
      <w:r w:rsidRPr="7791463F">
        <w:rPr>
          <w:noProof/>
        </w:rPr>
        <w:t xml:space="preserve"> is set out in the </w:t>
      </w:r>
      <w:r>
        <w:rPr>
          <w:noProof/>
        </w:rPr>
        <w:t>Annex.</w:t>
      </w:r>
    </w:p>
    <w:p w:rsidR="00DA51F1" w:rsidRPr="00E34F04" w:rsidRDefault="00DA51F1" w:rsidP="00BF0EF2">
      <w:pPr>
        <w:pStyle w:val="Titrearticle"/>
        <w:rPr>
          <w:noProof/>
        </w:rPr>
      </w:pPr>
      <w:r w:rsidRPr="00E34F04">
        <w:rPr>
          <w:noProof/>
        </w:rPr>
        <w:t xml:space="preserve">Article </w:t>
      </w:r>
      <w:r w:rsidR="00826EE3">
        <w:rPr>
          <w:noProof/>
        </w:rPr>
        <w:t>2</w:t>
      </w:r>
    </w:p>
    <w:p w:rsidR="00DA51F1" w:rsidRPr="00E34F04" w:rsidRDefault="00DA51F1" w:rsidP="00BE7CB9">
      <w:pPr>
        <w:rPr>
          <w:noProof/>
        </w:rPr>
      </w:pPr>
      <w:r w:rsidRPr="00E34F04">
        <w:rPr>
          <w:noProof/>
        </w:rPr>
        <w:t>This Decision is addressed to the Commission.</w:t>
      </w:r>
    </w:p>
    <w:p w:rsidR="00DA51F1" w:rsidRDefault="007428B6" w:rsidP="00BF0EF2">
      <w:pPr>
        <w:pStyle w:val="Fait"/>
        <w:rPr>
          <w:noProof/>
        </w:rPr>
      </w:pPr>
      <w:r>
        <w:rPr>
          <w:noProof/>
        </w:rPr>
        <w:t>Done at Brussels,</w:t>
      </w:r>
    </w:p>
    <w:p w:rsidR="00DA51F1" w:rsidRDefault="00DA51F1" w:rsidP="00BF0EF2">
      <w:pPr>
        <w:pStyle w:val="Institutionquisigne"/>
        <w:rPr>
          <w:noProof/>
        </w:rPr>
      </w:pPr>
      <w:r w:rsidRPr="00DA51F1">
        <w:rPr>
          <w:noProof/>
        </w:rPr>
        <w:tab/>
        <w:t>For the Council</w:t>
      </w:r>
    </w:p>
    <w:p w:rsidR="00DA51F1" w:rsidRPr="00DA51F1" w:rsidRDefault="00DA51F1" w:rsidP="00DA51F1">
      <w:pPr>
        <w:pStyle w:val="Personnequisigne"/>
        <w:rPr>
          <w:noProof/>
        </w:rPr>
      </w:pPr>
      <w:r w:rsidRPr="00DA51F1">
        <w:rPr>
          <w:noProof/>
        </w:rPr>
        <w:tab/>
        <w:t>The President</w:t>
      </w:r>
    </w:p>
    <w:sectPr w:rsidR="00DA51F1" w:rsidRPr="00DA51F1" w:rsidSect="00D13B3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1F1" w:rsidRDefault="00DA51F1" w:rsidP="00DA51F1">
      <w:pPr>
        <w:spacing w:before="0" w:after="0"/>
      </w:pPr>
      <w:r>
        <w:separator/>
      </w:r>
    </w:p>
  </w:endnote>
  <w:endnote w:type="continuationSeparator" w:id="0">
    <w:p w:rsidR="00DA51F1" w:rsidRDefault="00DA51F1" w:rsidP="00DA51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Pr="00D13B3B" w:rsidRDefault="00D13B3B" w:rsidP="00D13B3B">
    <w:pPr>
      <w:pStyle w:val="Footer"/>
      <w:rPr>
        <w:rFonts w:ascii="Arial" w:hAnsi="Arial" w:cs="Arial"/>
        <w:b/>
        <w:sz w:val="48"/>
      </w:rPr>
    </w:pPr>
    <w:r w:rsidRPr="00D13B3B">
      <w:rPr>
        <w:rFonts w:ascii="Arial" w:hAnsi="Arial" w:cs="Arial"/>
        <w:b/>
        <w:sz w:val="48"/>
      </w:rPr>
      <w:t>EN</w:t>
    </w:r>
    <w:r w:rsidRPr="00D13B3B">
      <w:rPr>
        <w:rFonts w:ascii="Arial" w:hAnsi="Arial" w:cs="Arial"/>
        <w:b/>
        <w:sz w:val="48"/>
      </w:rPr>
      <w:tab/>
    </w:r>
    <w:r w:rsidRPr="00D13B3B">
      <w:rPr>
        <w:rFonts w:ascii="Arial" w:hAnsi="Arial" w:cs="Arial"/>
        <w:b/>
        <w:sz w:val="48"/>
      </w:rPr>
      <w:tab/>
    </w:r>
    <w:r w:rsidRPr="00D13B3B">
      <w:tab/>
    </w:r>
    <w:r w:rsidRPr="00D13B3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Pr="00D13B3B" w:rsidRDefault="00D13B3B" w:rsidP="00D13B3B">
    <w:pPr>
      <w:pStyle w:val="Footer"/>
      <w:rPr>
        <w:rFonts w:ascii="Arial" w:hAnsi="Arial" w:cs="Arial"/>
        <w:b/>
        <w:sz w:val="48"/>
      </w:rPr>
    </w:pPr>
    <w:r w:rsidRPr="00D13B3B">
      <w:rPr>
        <w:rFonts w:ascii="Arial" w:hAnsi="Arial" w:cs="Arial"/>
        <w:b/>
        <w:sz w:val="48"/>
      </w:rPr>
      <w:t>EN</w:t>
    </w:r>
    <w:r w:rsidRPr="00D13B3B">
      <w:rPr>
        <w:rFonts w:ascii="Arial" w:hAnsi="Arial" w:cs="Arial"/>
        <w:b/>
        <w:sz w:val="48"/>
      </w:rPr>
      <w:tab/>
    </w:r>
    <w:r w:rsidRPr="00D13B3B">
      <w:rPr>
        <w:rFonts w:ascii="Arial" w:hAnsi="Arial" w:cs="Arial"/>
        <w:b/>
        <w:sz w:val="48"/>
      </w:rPr>
      <w:tab/>
    </w:r>
    <w:r w:rsidRPr="00D13B3B">
      <w:tab/>
    </w:r>
    <w:r w:rsidRPr="00D13B3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Default="00D13B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Pr="00D13B3B" w:rsidRDefault="00D13B3B" w:rsidP="00D13B3B">
    <w:pPr>
      <w:pStyle w:val="Footer"/>
      <w:rPr>
        <w:rFonts w:ascii="Arial" w:hAnsi="Arial" w:cs="Arial"/>
        <w:b/>
        <w:sz w:val="48"/>
      </w:rPr>
    </w:pPr>
    <w:r w:rsidRPr="00D13B3B">
      <w:rPr>
        <w:rFonts w:ascii="Arial" w:hAnsi="Arial" w:cs="Arial"/>
        <w:b/>
        <w:sz w:val="48"/>
      </w:rPr>
      <w:t>EN</w:t>
    </w:r>
    <w:r w:rsidRPr="00D13B3B">
      <w:rPr>
        <w:rFonts w:ascii="Arial" w:hAnsi="Arial" w:cs="Arial"/>
        <w:b/>
        <w:sz w:val="48"/>
      </w:rPr>
      <w:tab/>
    </w:r>
    <w:r>
      <w:fldChar w:fldCharType="begin"/>
    </w:r>
    <w:r>
      <w:instrText xml:space="preserve"> PAGE  \* MERGEFORMAT </w:instrText>
    </w:r>
    <w:r>
      <w:fldChar w:fldCharType="separate"/>
    </w:r>
    <w:r w:rsidR="00BF0EF2">
      <w:rPr>
        <w:noProof/>
      </w:rPr>
      <w:t>5</w:t>
    </w:r>
    <w:r>
      <w:fldChar w:fldCharType="end"/>
    </w:r>
    <w:r>
      <w:tab/>
    </w:r>
    <w:r w:rsidRPr="00D13B3B">
      <w:tab/>
    </w:r>
    <w:r w:rsidRPr="00D13B3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Default="00D13B3B" w:rsidP="00D13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1F1" w:rsidRDefault="00DA51F1" w:rsidP="00DA51F1">
      <w:pPr>
        <w:spacing w:before="0" w:after="0"/>
      </w:pPr>
      <w:r>
        <w:separator/>
      </w:r>
    </w:p>
  </w:footnote>
  <w:footnote w:type="continuationSeparator" w:id="0">
    <w:p w:rsidR="00DA51F1" w:rsidRDefault="00DA51F1" w:rsidP="00DA51F1">
      <w:pPr>
        <w:spacing w:before="0" w:after="0"/>
      </w:pPr>
      <w:r>
        <w:continuationSeparator/>
      </w:r>
    </w:p>
  </w:footnote>
  <w:footnote w:id="1">
    <w:p w:rsidR="00DA51F1" w:rsidRPr="00963CC0" w:rsidRDefault="00DA51F1" w:rsidP="00DA51F1">
      <w:pPr>
        <w:pStyle w:val="FootnoteText"/>
      </w:pPr>
      <w:r w:rsidRPr="00963CC0">
        <w:rPr>
          <w:rStyle w:val="FootnoteReference"/>
        </w:rPr>
        <w:footnoteRef/>
      </w:r>
      <w:r w:rsidRPr="00963CC0">
        <w:tab/>
      </w:r>
      <w:r w:rsidRPr="00D80B00">
        <w:t>Council Decision (EU) 2016/1892 of 10 October 2016 on the signing, on behalf of the European Union, and provisional application of the International Agreement on Olive Oil and Table Olives, 2015 (OJ L 293, 28.10.2016, p. 2</w:t>
      </w:r>
      <w:r>
        <w:t xml:space="preserve">; </w:t>
      </w:r>
      <w:r w:rsidRPr="002667EA">
        <w:t xml:space="preserve">ELI: </w:t>
      </w:r>
      <w:hyperlink r:id="rId1" w:history="1">
        <w:r w:rsidRPr="00226B4D">
          <w:rPr>
            <w:rStyle w:val="Hyperlink"/>
          </w:rPr>
          <w:t>http://data.europa.eu/eli/dec/2016/1892/oj</w:t>
        </w:r>
      </w:hyperlink>
      <w:r w:rsidRPr="00D80B00">
        <w:t>) and Council Decision (EU) 2019/848 of 17 May 2019 on the conclusion on behalf of the European Union of the International Agreement on Olive Oil and Table Olives, 2015 (OJ L 139, 27.5.2019, p. 1</w:t>
      </w:r>
      <w:r>
        <w:t xml:space="preserve">, </w:t>
      </w:r>
      <w:r w:rsidRPr="00292CCF">
        <w:t xml:space="preserve">ELI: </w:t>
      </w:r>
      <w:hyperlink r:id="rId2" w:history="1">
        <w:r w:rsidRPr="00226B4D">
          <w:rPr>
            <w:rStyle w:val="Hyperlink"/>
          </w:rPr>
          <w:t>http://data.europa.eu/eli/dec/2019/848/oj</w:t>
        </w:r>
      </w:hyperlink>
      <w:r w:rsidRPr="00D80B00">
        <w:t>).</w:t>
      </w:r>
    </w:p>
  </w:footnote>
  <w:footnote w:id="2">
    <w:p w:rsidR="006D151A" w:rsidRPr="00F77DF3" w:rsidRDefault="006D151A" w:rsidP="006D151A">
      <w:pPr>
        <w:pStyle w:val="FootnoteText"/>
      </w:pPr>
      <w:r w:rsidRPr="00884BE5">
        <w:rPr>
          <w:rStyle w:val="FootnoteReference"/>
        </w:rPr>
        <w:footnoteRef/>
      </w:r>
      <w:r>
        <w:tab/>
      </w:r>
      <w:r w:rsidRPr="00F77DF3">
        <w:t>According to the World Bank collection of development indicators.</w:t>
      </w:r>
    </w:p>
  </w:footnote>
  <w:footnote w:id="3">
    <w:p w:rsidR="006D151A" w:rsidRPr="00AB59A9" w:rsidRDefault="006D151A" w:rsidP="006D151A">
      <w:pPr>
        <w:pStyle w:val="FootnoteText"/>
      </w:pPr>
      <w:r>
        <w:rPr>
          <w:rStyle w:val="FootnoteReference"/>
        </w:rPr>
        <w:footnoteRef/>
      </w:r>
      <w:r w:rsidRPr="00AB59A9">
        <w:tab/>
        <w:t>According to the IOC e</w:t>
      </w:r>
      <w:r>
        <w:t>stimates.</w:t>
      </w:r>
    </w:p>
  </w:footnote>
  <w:footnote w:id="4">
    <w:p w:rsidR="00C758E8" w:rsidRPr="00381A33" w:rsidRDefault="00C758E8" w:rsidP="00C758E8">
      <w:pPr>
        <w:pStyle w:val="FootnoteText"/>
      </w:pPr>
      <w:r w:rsidRPr="00884BE5">
        <w:rPr>
          <w:rStyle w:val="FootnoteReference"/>
        </w:rPr>
        <w:footnoteRef/>
      </w:r>
      <w:r>
        <w:tab/>
      </w:r>
      <w:r w:rsidRPr="00381A33">
        <w:t>Regulation (EU) No 1308/2013 of the European Parliament and of the Council of 17 December 2013 establishing a common organisation of the markets in agricultural products and repealing Council Regulations (EEC) No 922/72, (EEC) No 234/79, (EC) No 1037/2001 and (EC) No 1234/2007 (OJ L 347, 20.12.2013, p. 671</w:t>
      </w:r>
      <w:r>
        <w:t xml:space="preserve"> </w:t>
      </w:r>
      <w:hyperlink r:id="rId3" w:history="1">
        <w:r w:rsidRPr="00226B4D">
          <w:rPr>
            <w:rStyle w:val="Hyperlink"/>
          </w:rPr>
          <w:t>http://data.europa.eu/eli/reg/2013/1308/oj</w:t>
        </w:r>
      </w:hyperlink>
      <w:r w:rsidRPr="002C04CF">
        <w:rPr>
          <w:rStyle w:val="Hyperlink"/>
        </w:rPr>
        <w:t>)</w:t>
      </w:r>
      <w:r w:rsidRPr="00381A33">
        <w:t>.</w:t>
      </w:r>
    </w:p>
  </w:footnote>
  <w:footnote w:id="5">
    <w:p w:rsidR="00DA51F1" w:rsidRPr="00B035F8" w:rsidRDefault="00DA51F1"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6">
    <w:p w:rsidR="00C758E8" w:rsidRPr="00AF466D" w:rsidRDefault="00C758E8" w:rsidP="00C758E8">
      <w:pPr>
        <w:pStyle w:val="FootnoteText"/>
      </w:pPr>
      <w:r w:rsidRPr="00884BE5">
        <w:rPr>
          <w:rStyle w:val="FootnoteReference"/>
        </w:rPr>
        <w:footnoteRef/>
      </w:r>
      <w:r>
        <w:tab/>
      </w:r>
      <w:r w:rsidRPr="00AF466D">
        <w:t>Acts of the Council of Members that concern olive oil marketing standards could be adopted without consensus, are binding under international law in accordance with Article 20(3) of the Agreement and are capable of decisively influencing the content of EU legislation, namely: delegated and implementing acts based on Regulation (EU) No 1308/2013.</w:t>
      </w:r>
    </w:p>
  </w:footnote>
  <w:footnote w:id="7">
    <w:p w:rsidR="00644677" w:rsidRPr="007F68B7" w:rsidRDefault="00644677" w:rsidP="00644677">
      <w:pPr>
        <w:pStyle w:val="FootnoteText"/>
      </w:pPr>
      <w:r>
        <w:rPr>
          <w:rStyle w:val="FootnoteReference"/>
        </w:rPr>
        <w:footnoteRef/>
      </w:r>
      <w:r>
        <w:tab/>
      </w:r>
      <w:r w:rsidRPr="00FA4F16">
        <w:rPr>
          <w:lang w:val="en-IE"/>
        </w:rPr>
        <w:t>Council Decision (EU) 2016/1892 of 10 October 2016 on the signing, on behalf of the European Union, and provisional application of the International Agreement on Olive Oil and Table Olives, 2015</w:t>
      </w:r>
      <w:r>
        <w:rPr>
          <w:lang w:val="en-IE"/>
        </w:rPr>
        <w:t xml:space="preserve"> (</w:t>
      </w:r>
      <w:r w:rsidRPr="00FA4F16">
        <w:rPr>
          <w:lang w:val="en-IE"/>
        </w:rPr>
        <w:t>OJ L 293, 28.10.2016, p. 2</w:t>
      </w:r>
      <w:r>
        <w:rPr>
          <w:lang w:val="en-IE"/>
        </w:rPr>
        <w:t xml:space="preserve">, </w:t>
      </w:r>
      <w:r w:rsidRPr="00FA4F16">
        <w:rPr>
          <w:lang w:val="en-IE"/>
        </w:rPr>
        <w:t xml:space="preserve">ELI: </w:t>
      </w:r>
      <w:hyperlink r:id="rId4" w:history="1">
        <w:r w:rsidRPr="00FA4F16">
          <w:rPr>
            <w:rStyle w:val="Hyperlink"/>
            <w:lang w:val="en-IE"/>
          </w:rPr>
          <w:t>http://data.europa.eu/eli/dec/2016/1892/oj</w:t>
        </w:r>
      </w:hyperlink>
      <w:r>
        <w:rPr>
          <w:lang w:val="en-IE"/>
        </w:rPr>
        <w:t>).</w:t>
      </w:r>
    </w:p>
  </w:footnote>
  <w:footnote w:id="8">
    <w:p w:rsidR="00644677" w:rsidRPr="000D4438" w:rsidRDefault="00644677" w:rsidP="00644677">
      <w:pPr>
        <w:pStyle w:val="FootnoteText"/>
      </w:pPr>
      <w:r w:rsidRPr="00884BE5">
        <w:rPr>
          <w:rStyle w:val="FootnoteReference"/>
        </w:rPr>
        <w:footnoteRef/>
      </w:r>
      <w:r>
        <w:tab/>
      </w:r>
      <w:r w:rsidRPr="00B25452">
        <w:t xml:space="preserve">Council Decision (EU) 2019/848 of 17 May </w:t>
      </w:r>
      <w:r w:rsidRPr="0004084C">
        <w:t>2019 on the conclusion on behalf of the European Union of the International Agreement on Olive Oil and Table Olives, 2015 (OJ L 139, 27.5.2019, p. 1</w:t>
      </w:r>
      <w:r>
        <w:t xml:space="preserve">, ELI: </w:t>
      </w:r>
      <w:hyperlink r:id="rId5" w:history="1">
        <w:r w:rsidRPr="00226B4D">
          <w:rPr>
            <w:rStyle w:val="Hyperlink"/>
          </w:rPr>
          <w:t>http://data.europa.eu/eli/dec/2019/848/oj</w:t>
        </w:r>
      </w:hyperlink>
      <w:r w:rsidRPr="0004084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Default="00D13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B3B" w:rsidRDefault="00D13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7F222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F7E708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7E2D5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D2CE24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2"/>
  </w:num>
  <w:num w:numId="3">
    <w:abstractNumId w:val="3"/>
  </w:num>
  <w:num w:numId="4">
    <w:abstractNumId w:val="2"/>
  </w:num>
  <w:num w:numId="5">
    <w:abstractNumId w:val="1"/>
  </w:num>
  <w:num w:numId="6">
    <w:abstractNumId w:val="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18: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24EDE3F-FF37-44B0-B2EE-C295FA7232C0"/>
    <w:docVar w:name="LW_COVERPAGE_TYPE" w:val="1"/>
    <w:docVar w:name="LW_CreatedUtc" w:val="2025-11-10T12:09:09.9294537Z"/>
    <w:docVar w:name="LW_CROSSREFERENCE" w:val="&lt;UNUSED&gt;"/>
    <w:docVar w:name="LW_DocType" w:val="COM"/>
    <w:docVar w:name="LW_EMISSION" w:val="29.1.2026"/>
    <w:docVar w:name="LW_EMISSION_ISODATE" w:val="2026-01-29"/>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4"/>
    <w:docVar w:name="LW_REF.II.NEW.CP_YEAR" w:val="2026"/>
    <w:docVar w:name="LW_REF.INST.NEW" w:val="COM"/>
    <w:docVar w:name="LW_REF.INST.NEW_ADOPTED" w:val="final"/>
    <w:docVar w:name="LW_REF.INST.NEW_TEXT" w:val="(2026) 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uncil of Members of the International Olive Council (IOC), with respect to the accession of the Islamic Republic of Pakistan to the International Agreement on Olive Oil and Table Olives, 2015"/>
    <w:docVar w:name="LW_TYPE.DOC.CP" w:val="COUNCIL DECISION"/>
    <w:docVar w:name="LwApiVersions" w:val="LW4CoDe 1.24.5.0; LW 9.2, Build 20251112"/>
  </w:docVars>
  <w:rsids>
    <w:rsidRoot w:val="00DA51F1"/>
    <w:rsid w:val="000071DE"/>
    <w:rsid w:val="000E25A0"/>
    <w:rsid w:val="001065F5"/>
    <w:rsid w:val="001238EF"/>
    <w:rsid w:val="00197613"/>
    <w:rsid w:val="002162A1"/>
    <w:rsid w:val="00233DC7"/>
    <w:rsid w:val="00241B22"/>
    <w:rsid w:val="00247779"/>
    <w:rsid w:val="00253AD0"/>
    <w:rsid w:val="00285BEE"/>
    <w:rsid w:val="0029533F"/>
    <w:rsid w:val="002A1669"/>
    <w:rsid w:val="002B30AF"/>
    <w:rsid w:val="002D7A31"/>
    <w:rsid w:val="00323439"/>
    <w:rsid w:val="0033344A"/>
    <w:rsid w:val="003A3574"/>
    <w:rsid w:val="003D1623"/>
    <w:rsid w:val="0042648E"/>
    <w:rsid w:val="004936D2"/>
    <w:rsid w:val="004C61A1"/>
    <w:rsid w:val="004C668B"/>
    <w:rsid w:val="00506F12"/>
    <w:rsid w:val="00570412"/>
    <w:rsid w:val="005B1EB6"/>
    <w:rsid w:val="005D1F90"/>
    <w:rsid w:val="00625C7A"/>
    <w:rsid w:val="00644677"/>
    <w:rsid w:val="006769ED"/>
    <w:rsid w:val="006B1A1F"/>
    <w:rsid w:val="006D151A"/>
    <w:rsid w:val="007428B6"/>
    <w:rsid w:val="00743C79"/>
    <w:rsid w:val="00761A6D"/>
    <w:rsid w:val="00773331"/>
    <w:rsid w:val="007932EF"/>
    <w:rsid w:val="007B14A6"/>
    <w:rsid w:val="007E05B0"/>
    <w:rsid w:val="00800BF9"/>
    <w:rsid w:val="00816BC6"/>
    <w:rsid w:val="00826EE3"/>
    <w:rsid w:val="00855D6B"/>
    <w:rsid w:val="00870DEF"/>
    <w:rsid w:val="00874D22"/>
    <w:rsid w:val="008776FF"/>
    <w:rsid w:val="008932F5"/>
    <w:rsid w:val="008A2914"/>
    <w:rsid w:val="008E4D8E"/>
    <w:rsid w:val="008E76DA"/>
    <w:rsid w:val="0093709C"/>
    <w:rsid w:val="009D635F"/>
    <w:rsid w:val="00A271EE"/>
    <w:rsid w:val="00A70E7C"/>
    <w:rsid w:val="00B11347"/>
    <w:rsid w:val="00BF0EF2"/>
    <w:rsid w:val="00C12301"/>
    <w:rsid w:val="00C758E8"/>
    <w:rsid w:val="00D13B3B"/>
    <w:rsid w:val="00D20381"/>
    <w:rsid w:val="00D31C12"/>
    <w:rsid w:val="00D47E73"/>
    <w:rsid w:val="00D740D6"/>
    <w:rsid w:val="00DA51F1"/>
    <w:rsid w:val="00DF7852"/>
    <w:rsid w:val="00E664ED"/>
    <w:rsid w:val="00E741CD"/>
    <w:rsid w:val="00EC4795"/>
    <w:rsid w:val="00ED2311"/>
    <w:rsid w:val="00F2723B"/>
    <w:rsid w:val="00FA62F0"/>
    <w:rsid w:val="00FC38F8"/>
    <w:rsid w:val="00FD78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A292FE19-7E36-46B3-94B3-3190F236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1F1"/>
    <w:rPr>
      <w:color w:val="0000FF" w:themeColor="hyperlink"/>
      <w:u w:val="single"/>
    </w:rPr>
  </w:style>
  <w:style w:type="paragraph" w:customStyle="1" w:styleId="ListDash2">
    <w:name w:val="List Dash 2"/>
    <w:basedOn w:val="Normal"/>
    <w:rsid w:val="00DA51F1"/>
    <w:pPr>
      <w:numPr>
        <w:numId w:val="2"/>
      </w:numPr>
    </w:pPr>
    <w:rPr>
      <w:rFonts w:eastAsia="Times New Roman"/>
      <w:lang w:eastAsia="de-DE"/>
    </w:rPr>
  </w:style>
  <w:style w:type="paragraph" w:styleId="ListBullet">
    <w:name w:val="List Bullet"/>
    <w:basedOn w:val="Normal"/>
    <w:uiPriority w:val="99"/>
    <w:semiHidden/>
    <w:unhideWhenUsed/>
    <w:rsid w:val="006D151A"/>
    <w:pPr>
      <w:numPr>
        <w:numId w:val="3"/>
      </w:numPr>
      <w:contextualSpacing/>
    </w:pPr>
  </w:style>
  <w:style w:type="paragraph" w:styleId="ListBullet2">
    <w:name w:val="List Bullet 2"/>
    <w:basedOn w:val="Normal"/>
    <w:uiPriority w:val="99"/>
    <w:semiHidden/>
    <w:unhideWhenUsed/>
    <w:rsid w:val="006D151A"/>
    <w:pPr>
      <w:numPr>
        <w:numId w:val="4"/>
      </w:numPr>
      <w:contextualSpacing/>
    </w:pPr>
  </w:style>
  <w:style w:type="paragraph" w:styleId="ListBullet3">
    <w:name w:val="List Bullet 3"/>
    <w:basedOn w:val="Normal"/>
    <w:uiPriority w:val="99"/>
    <w:semiHidden/>
    <w:unhideWhenUsed/>
    <w:rsid w:val="006D151A"/>
    <w:pPr>
      <w:numPr>
        <w:numId w:val="5"/>
      </w:numPr>
      <w:contextualSpacing/>
    </w:pPr>
  </w:style>
  <w:style w:type="paragraph" w:styleId="ListBullet4">
    <w:name w:val="List Bullet 4"/>
    <w:basedOn w:val="Normal"/>
    <w:uiPriority w:val="99"/>
    <w:semiHidden/>
    <w:unhideWhenUsed/>
    <w:rsid w:val="006D151A"/>
    <w:pPr>
      <w:numPr>
        <w:numId w:val="6"/>
      </w:numPr>
      <w:contextualSpacing/>
    </w:pPr>
  </w:style>
  <w:style w:type="character" w:styleId="CommentReference">
    <w:name w:val="annotation reference"/>
    <w:basedOn w:val="DefaultParagraphFont"/>
    <w:uiPriority w:val="99"/>
    <w:semiHidden/>
    <w:unhideWhenUsed/>
    <w:rsid w:val="00FD7813"/>
    <w:rPr>
      <w:sz w:val="16"/>
      <w:szCs w:val="16"/>
    </w:rPr>
  </w:style>
  <w:style w:type="paragraph" w:styleId="CommentText">
    <w:name w:val="annotation text"/>
    <w:basedOn w:val="Normal"/>
    <w:link w:val="CommentTextChar"/>
    <w:uiPriority w:val="99"/>
    <w:semiHidden/>
    <w:unhideWhenUsed/>
    <w:rsid w:val="00FD7813"/>
    <w:rPr>
      <w:sz w:val="20"/>
      <w:szCs w:val="20"/>
    </w:rPr>
  </w:style>
  <w:style w:type="character" w:customStyle="1" w:styleId="CommentTextChar">
    <w:name w:val="Comment Text Char"/>
    <w:basedOn w:val="DefaultParagraphFont"/>
    <w:link w:val="CommentText"/>
    <w:uiPriority w:val="99"/>
    <w:semiHidden/>
    <w:rsid w:val="00FD781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D7813"/>
    <w:rPr>
      <w:b/>
      <w:bCs/>
    </w:rPr>
  </w:style>
  <w:style w:type="character" w:customStyle="1" w:styleId="CommentSubjectChar">
    <w:name w:val="Comment Subject Char"/>
    <w:basedOn w:val="CommentTextChar"/>
    <w:link w:val="CommentSubject"/>
    <w:uiPriority w:val="99"/>
    <w:semiHidden/>
    <w:rsid w:val="00FD7813"/>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FD7813"/>
    <w:rPr>
      <w:color w:val="605E5C"/>
      <w:shd w:val="clear" w:color="auto" w:fill="E1DFDD"/>
    </w:rPr>
  </w:style>
  <w:style w:type="character" w:customStyle="1" w:styleId="HeaderChar">
    <w:name w:val="Header Char"/>
    <w:basedOn w:val="DefaultParagraphFont"/>
    <w:link w:val="Header"/>
    <w:uiPriority w:val="99"/>
    <w:rsid w:val="00D13B3B"/>
    <w:rPr>
      <w:rFonts w:ascii="Times New Roman" w:hAnsi="Times New Roman" w:cs="Times New Roman"/>
      <w:sz w:val="24"/>
      <w:lang w:val="en-GB"/>
    </w:rPr>
  </w:style>
  <w:style w:type="character" w:customStyle="1" w:styleId="FooterChar">
    <w:name w:val="Footer Char"/>
    <w:basedOn w:val="DefaultParagraphFont"/>
    <w:link w:val="Footer"/>
    <w:uiPriority w:val="99"/>
    <w:rsid w:val="00D13B3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3B3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3B3B"/>
    <w:pPr>
      <w:spacing w:before="0"/>
      <w:jc w:val="right"/>
    </w:pPr>
    <w:rPr>
      <w:sz w:val="28"/>
    </w:rPr>
  </w:style>
  <w:style w:type="paragraph" w:customStyle="1" w:styleId="FooterSensitivity">
    <w:name w:val="Footer Sensitivity"/>
    <w:basedOn w:val="Normal"/>
    <w:rsid w:val="00D13B3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13B3B"/>
    <w:pPr>
      <w:tabs>
        <w:tab w:val="center" w:pos="4535"/>
        <w:tab w:val="right" w:pos="9071"/>
      </w:tabs>
      <w:spacing w:before="0"/>
    </w:pPr>
  </w:style>
  <w:style w:type="paragraph" w:customStyle="1" w:styleId="HeaderLandscape">
    <w:name w:val="HeaderLandscape"/>
    <w:basedOn w:val="Normal"/>
    <w:rsid w:val="00D13B3B"/>
    <w:pPr>
      <w:tabs>
        <w:tab w:val="center" w:pos="7285"/>
        <w:tab w:val="right" w:pos="14003"/>
      </w:tabs>
      <w:spacing w:before="0"/>
    </w:pPr>
  </w:style>
  <w:style w:type="paragraph" w:styleId="Footer">
    <w:name w:val="footer"/>
    <w:basedOn w:val="Normal"/>
    <w:link w:val="FooterChar"/>
    <w:uiPriority w:val="99"/>
    <w:unhideWhenUsed/>
    <w:rsid w:val="00D13B3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3B3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1308/oj" TargetMode="External"/><Relationship Id="rId2" Type="http://schemas.openxmlformats.org/officeDocument/2006/relationships/hyperlink" Target="http://data.europa.eu/eli/dec/2019/848/oj" TargetMode="External"/><Relationship Id="rId1" Type="http://schemas.openxmlformats.org/officeDocument/2006/relationships/hyperlink" Target="http://data.europa.eu/eli/dec/2016/1892/oj" TargetMode="External"/><Relationship Id="rId5" Type="http://schemas.openxmlformats.org/officeDocument/2006/relationships/hyperlink" Target="http://data.europa.eu/eli/dec/2019/848/oj" TargetMode="External"/><Relationship Id="rId4" Type="http://schemas.openxmlformats.org/officeDocument/2006/relationships/hyperlink" Target="http://data.europa.eu/eli/dec/2016/18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D7ACE-E698-427E-9A1F-7C34404FB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315</TotalTime>
  <Pages>6</Pages>
  <Words>1652</Words>
  <Characters>9418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2025-11-10T12:09:00Z</dcterms:created>
  <dcterms:modified xsi:type="dcterms:W3CDTF">2026-01-29T07:18:00Z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2025-11-10T12:19:00Z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f2130545-1d10-48df-a75b-40954054d860</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