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1F1" w:rsidRPr="007842C5" w:rsidRDefault="005D3625" w:rsidP="005D362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4263FF6-191C-497C-861B-B0F10B7315C9" style="width:455.25pt;height:371.25pt">
            <v:imagedata r:id="rId8" o:title=""/>
          </v:shape>
        </w:pict>
      </w:r>
    </w:p>
    <w:p w:rsidR="00DA51F1" w:rsidRPr="007842C5" w:rsidRDefault="00DA51F1" w:rsidP="00DA51F1">
      <w:pPr>
        <w:rPr>
          <w:noProof/>
        </w:rPr>
        <w:sectPr w:rsidR="00DA51F1" w:rsidRPr="007842C5" w:rsidSect="005D3625">
          <w:footerReference w:type="even" r:id="rId9"/>
          <w:footerReference w:type="default" r:id="rId10"/>
          <w:pgSz w:w="11907" w:h="16839"/>
          <w:pgMar w:top="1134" w:right="1417" w:bottom="1134" w:left="1417" w:header="709" w:footer="709" w:gutter="0"/>
          <w:pgNumType w:start="0"/>
          <w:cols w:space="720"/>
          <w:docGrid w:linePitch="360"/>
        </w:sectPr>
      </w:pPr>
    </w:p>
    <w:p w:rsidR="00DA51F1" w:rsidRPr="007842C5" w:rsidRDefault="00DA51F1" w:rsidP="00BB6B30">
      <w:pPr>
        <w:pStyle w:val="Exposdesmotifstitre"/>
        <w:rPr>
          <w:noProof/>
        </w:rPr>
      </w:pPr>
      <w:bookmarkStart w:id="0" w:name="_GoBack"/>
      <w:bookmarkEnd w:id="0"/>
      <w:r w:rsidRPr="007842C5">
        <w:rPr>
          <w:noProof/>
        </w:rPr>
        <w:lastRenderedPageBreak/>
        <w:t>EXPUNERE DE MOTIVE</w:t>
      </w:r>
    </w:p>
    <w:p w:rsidR="00DA51F1" w:rsidRPr="007842C5" w:rsidRDefault="00DA51F1" w:rsidP="000071DE">
      <w:pPr>
        <w:pStyle w:val="ManualHeading1"/>
        <w:rPr>
          <w:rFonts w:eastAsia="Arial Unicode MS"/>
          <w:noProof/>
        </w:rPr>
      </w:pPr>
      <w:r>
        <w:rPr>
          <w:noProof/>
        </w:rPr>
        <w:t>1.</w:t>
      </w:r>
      <w:r>
        <w:rPr>
          <w:noProof/>
        </w:rPr>
        <w:tab/>
      </w:r>
      <w:r w:rsidRPr="007842C5">
        <w:rPr>
          <w:noProof/>
        </w:rPr>
        <w:t>Obiectul propunerii</w:t>
      </w:r>
    </w:p>
    <w:p w:rsidR="00DA51F1" w:rsidRPr="007842C5" w:rsidRDefault="00DA51F1" w:rsidP="00736AA9">
      <w:pPr>
        <w:rPr>
          <w:rFonts w:eastAsia="Arial Unicode MS"/>
          <w:noProof/>
        </w:rPr>
      </w:pPr>
      <w:r w:rsidRPr="007842C5">
        <w:rPr>
          <w:noProof/>
        </w:rPr>
        <w:t>Prezenta propunere se referă la decizia de stabilire a poziției care trebuie adoptată în numele Uniunii în cadrul Consiliului membrilor Consiliului Oleicol Internațional (IOC) în ceea ce privește aderarea Republicii Islamice Pakistan la Acordul internațional cu privire la uleiul de măsline și măslinele de masă („acordul”).</w:t>
      </w:r>
    </w:p>
    <w:p w:rsidR="00DA51F1" w:rsidRPr="007842C5" w:rsidRDefault="00DA51F1" w:rsidP="00736AA9">
      <w:pPr>
        <w:pStyle w:val="ManualHeading1"/>
        <w:rPr>
          <w:noProof/>
        </w:rPr>
      </w:pPr>
      <w:r>
        <w:rPr>
          <w:noProof/>
        </w:rPr>
        <w:t>2.</w:t>
      </w:r>
      <w:r>
        <w:rPr>
          <w:noProof/>
        </w:rPr>
        <w:tab/>
      </w:r>
      <w:r w:rsidRPr="007842C5">
        <w:rPr>
          <w:noProof/>
        </w:rPr>
        <w:t>Contextul propunerii</w:t>
      </w:r>
    </w:p>
    <w:p w:rsidR="00DA51F1" w:rsidRPr="007842C5" w:rsidRDefault="00DA51F1" w:rsidP="00736AA9">
      <w:pPr>
        <w:pStyle w:val="ManualHeading2"/>
        <w:rPr>
          <w:noProof/>
        </w:rPr>
      </w:pPr>
      <w:r>
        <w:rPr>
          <w:noProof/>
        </w:rPr>
        <w:t>2.1.</w:t>
      </w:r>
      <w:r>
        <w:rPr>
          <w:noProof/>
        </w:rPr>
        <w:tab/>
      </w:r>
      <w:r w:rsidRPr="007842C5">
        <w:rPr>
          <w:noProof/>
        </w:rPr>
        <w:t>Acordul internațional cu privire la uleiul de măsline și măslinele de masă</w:t>
      </w:r>
    </w:p>
    <w:p w:rsidR="00DA51F1" w:rsidRPr="007842C5" w:rsidRDefault="00DA51F1" w:rsidP="00DA51F1">
      <w:pPr>
        <w:rPr>
          <w:noProof/>
        </w:rPr>
      </w:pPr>
      <w:r w:rsidRPr="007842C5">
        <w:rPr>
          <w:noProof/>
        </w:rPr>
        <w:t>Acordul internațional cu privire la uleiul de măsline și măslinele de masă („acordul”) vizează (i) luarea de măsuri în vederea uniformizării legislațiilor naționale și internaționale privind caracteristicile fizico-chimice și organoleptice ale uleiurilor de măsline, ale uleiurilor din resturi de măsline și ale măslinelor de masă, pentru a elimina orice obstacol din calea schimburilor comerciale, (ii) desfășurarea de activități în materie de analiză fizico-chimică și organoleptică pentru a îmbunătăți cunoașterea caracteristicilor referitoare la compoziția și la calitatea produselor oleicole, cu scopul de a consolida standardele internaționale și (iii) consolidarea rolului Consiliului Oleicol Internațional în calitate de forum de excelență pentru comunitatea științifică internațională din sectorul măslinelor și al uleiului de măsline.</w:t>
      </w:r>
    </w:p>
    <w:p w:rsidR="00DA51F1" w:rsidRPr="007842C5" w:rsidRDefault="00DA51F1" w:rsidP="00DA51F1">
      <w:pPr>
        <w:rPr>
          <w:rFonts w:eastAsia="Arial Unicode MS"/>
          <w:noProof/>
        </w:rPr>
      </w:pPr>
      <w:r w:rsidRPr="007842C5">
        <w:rPr>
          <w:noProof/>
        </w:rPr>
        <w:t>Versiunea reînnoită a acordului a intrat în vigoare la 1 ianuarie 2017.</w:t>
      </w:r>
    </w:p>
    <w:p w:rsidR="00DA51F1" w:rsidRPr="007842C5" w:rsidRDefault="00DA51F1" w:rsidP="00DA51F1">
      <w:pPr>
        <w:rPr>
          <w:rFonts w:eastAsia="Arial Unicode MS"/>
          <w:noProof/>
        </w:rPr>
      </w:pPr>
      <w:r w:rsidRPr="007842C5">
        <w:rPr>
          <w:noProof/>
        </w:rPr>
        <w:t>Uniunea Europeană este parte la acord</w:t>
      </w:r>
      <w:r w:rsidRPr="007842C5">
        <w:rPr>
          <w:rStyle w:val="FootnoteReference"/>
          <w:rFonts w:eastAsia="Arial Unicode MS"/>
          <w:noProof/>
        </w:rPr>
        <w:footnoteReference w:id="1"/>
      </w:r>
      <w:r w:rsidRPr="007842C5">
        <w:rPr>
          <w:noProof/>
        </w:rPr>
        <w:t>.</w:t>
      </w:r>
    </w:p>
    <w:p w:rsidR="00DA51F1" w:rsidRPr="007842C5" w:rsidRDefault="00DA51F1" w:rsidP="00736AA9">
      <w:pPr>
        <w:pStyle w:val="ManualHeading2"/>
        <w:rPr>
          <w:noProof/>
        </w:rPr>
      </w:pPr>
      <w:r>
        <w:rPr>
          <w:noProof/>
        </w:rPr>
        <w:t>2.2.</w:t>
      </w:r>
      <w:r>
        <w:rPr>
          <w:noProof/>
        </w:rPr>
        <w:tab/>
      </w:r>
      <w:r w:rsidRPr="007842C5">
        <w:rPr>
          <w:noProof/>
        </w:rPr>
        <w:t>Consiliul membrilor</w:t>
      </w:r>
    </w:p>
    <w:p w:rsidR="00C758E8" w:rsidRPr="007842C5" w:rsidRDefault="00C758E8" w:rsidP="00C758E8">
      <w:pPr>
        <w:rPr>
          <w:noProof/>
        </w:rPr>
      </w:pPr>
      <w:r w:rsidRPr="007842C5">
        <w:rPr>
          <w:noProof/>
        </w:rPr>
        <w:t>Consiliul membrilor Consiliului Oleicol Internațional („Consiliul membrilor”) este autoritatea supremă și organul decizional al IOC și exercită toate competențele și îndeplinește toate funcțiile necesare pentru realizarea obiectivelor acordului menționat. Ca parte la acord, Uniunea Europeană este membră a IOC și este reprezentată în Consiliul membrilor. Deciziile Consiliului membrilor cu privire la aderarea unui nou membru se iau prin consens. În temeiul articolului 10 alineatul (4) litera (b) din acord, în cazul în care nu se poate ajunge la un consens în termenul stabilit de președintele Consiliului membrilor, se solicită membrilor să voteze. Decizia este considerată adoptată dacă a fost votată cel puțin de o majoritate a membrilor reprezentând minim 86 % din cotele-părți de participare ale membrilor.</w:t>
      </w:r>
    </w:p>
    <w:p w:rsidR="00DA51F1" w:rsidRPr="007842C5" w:rsidRDefault="00C758E8" w:rsidP="00C758E8">
      <w:pPr>
        <w:rPr>
          <w:rFonts w:eastAsia="Arial Unicode MS"/>
          <w:noProof/>
        </w:rPr>
      </w:pPr>
      <w:r w:rsidRPr="007842C5">
        <w:rPr>
          <w:noProof/>
        </w:rPr>
        <w:t>În prezent, IOC are 21 de membri, iar Uniunea Europeană deține 647 de cote-părți de participare dintr-un total de 1 000.</w:t>
      </w:r>
    </w:p>
    <w:p w:rsidR="00DA51F1" w:rsidRPr="007842C5" w:rsidRDefault="00DA51F1" w:rsidP="00736AA9">
      <w:pPr>
        <w:pStyle w:val="ManualHeading2"/>
        <w:rPr>
          <w:noProof/>
        </w:rPr>
      </w:pPr>
      <w:r>
        <w:rPr>
          <w:noProof/>
        </w:rPr>
        <w:t>2.3.</w:t>
      </w:r>
      <w:r>
        <w:rPr>
          <w:noProof/>
        </w:rPr>
        <w:tab/>
      </w:r>
      <w:r w:rsidRPr="007842C5">
        <w:rPr>
          <w:noProof/>
        </w:rPr>
        <w:t>Actul Consiliului membrilor avut în vedere</w:t>
      </w:r>
    </w:p>
    <w:p w:rsidR="00C758E8" w:rsidRPr="007842C5" w:rsidRDefault="00C758E8" w:rsidP="00C758E8">
      <w:pPr>
        <w:rPr>
          <w:rFonts w:eastAsia="Arial Unicode MS"/>
          <w:noProof/>
        </w:rPr>
      </w:pPr>
      <w:r w:rsidRPr="007842C5">
        <w:rPr>
          <w:noProof/>
        </w:rPr>
        <w:t>În urma cererii oficiale a Republicii Islamice Pakistan din 25 august 2025 de a adera la acord, se preconizează că, în cadrul unei sesiuni viitoare a Consiliului membrilor sau în cadrul unei proceduri de adoptare a deciziilor de către Consiliul membrilor prin schimb de corespondență, Consiliul membrilor va adopta o decizie privind aderarea Republicii Islamice Pakistan.</w:t>
      </w:r>
    </w:p>
    <w:p w:rsidR="00C758E8" w:rsidRPr="007842C5" w:rsidRDefault="00C758E8" w:rsidP="00C758E8">
      <w:pPr>
        <w:rPr>
          <w:rFonts w:eastAsia="Arial Unicode MS"/>
          <w:noProof/>
        </w:rPr>
      </w:pPr>
      <w:r w:rsidRPr="007842C5">
        <w:rPr>
          <w:noProof/>
        </w:rPr>
        <w:lastRenderedPageBreak/>
        <w:t>Scopul actului avut în vedere este de a stabili condițiile de aderare a Republicii Islamice Pakistan în conformitate cu articolul 29 din acord.</w:t>
      </w:r>
    </w:p>
    <w:p w:rsidR="00DA51F1" w:rsidRPr="007842C5" w:rsidRDefault="00C758E8" w:rsidP="00C758E8">
      <w:pPr>
        <w:rPr>
          <w:rFonts w:eastAsia="Arial Unicode MS"/>
          <w:noProof/>
        </w:rPr>
      </w:pPr>
      <w:r w:rsidRPr="007842C5">
        <w:rPr>
          <w:noProof/>
        </w:rPr>
        <w:t>Actul avut în vedere va deveni obligatoriu pentru părți prin modificarea echilibrului decizional în cadrul Consiliului membrilor, atunci când deciziile nu sunt adoptate prin consens în conformitate cu articolul 10 alineatul (4) din acord.</w:t>
      </w:r>
    </w:p>
    <w:p w:rsidR="00DA51F1" w:rsidRPr="007842C5" w:rsidRDefault="00DA51F1" w:rsidP="00DA51F1">
      <w:pPr>
        <w:pStyle w:val="ManualHeading1"/>
        <w:rPr>
          <w:rFonts w:eastAsia="Arial Unicode MS"/>
          <w:noProof/>
        </w:rPr>
      </w:pPr>
      <w:r>
        <w:rPr>
          <w:noProof/>
        </w:rPr>
        <w:t>3.</w:t>
      </w:r>
      <w:r>
        <w:rPr>
          <w:noProof/>
        </w:rPr>
        <w:tab/>
      </w:r>
      <w:r w:rsidRPr="007842C5">
        <w:rPr>
          <w:noProof/>
        </w:rPr>
        <w:t>Poziția care trebuie adoptată în numele Uniunii Europene</w:t>
      </w:r>
    </w:p>
    <w:p w:rsidR="00C758E8" w:rsidRPr="007842C5" w:rsidRDefault="00C758E8" w:rsidP="00C758E8">
      <w:pPr>
        <w:rPr>
          <w:rFonts w:eastAsia="Arial Unicode MS"/>
          <w:noProof/>
        </w:rPr>
      </w:pPr>
      <w:r w:rsidRPr="007842C5">
        <w:rPr>
          <w:noProof/>
        </w:rPr>
        <w:t>Cu toate că producția de ulei de măsline rămâne modestă în Republica Islamică Pakistan, există o lungă tradiție de producție și consum de ulei de măsline și de măsline de masă. Potrivit rapoartelor, terenurile agricole din Republica Islamică Pakistan reprezentau 46,7% din suprafața totală a terenurilor în 2023</w:t>
      </w:r>
      <w:r w:rsidRPr="007842C5">
        <w:rPr>
          <w:rStyle w:val="FootnoteReference"/>
          <w:noProof/>
        </w:rPr>
        <w:footnoteReference w:id="2"/>
      </w:r>
      <w:r w:rsidRPr="007842C5">
        <w:rPr>
          <w:noProof/>
        </w:rPr>
        <w:t>, producția anuală de ulei de măsline și măsline de masă fiind de aproximativ 5 000 și, respectiv, 2 100 de tone</w:t>
      </w:r>
      <w:r w:rsidRPr="007842C5">
        <w:rPr>
          <w:rStyle w:val="FootnoteReference"/>
          <w:noProof/>
        </w:rPr>
        <w:footnoteReference w:id="3"/>
      </w:r>
      <w:r w:rsidRPr="007842C5">
        <w:rPr>
          <w:noProof/>
        </w:rPr>
        <w:t>.</w:t>
      </w:r>
    </w:p>
    <w:p w:rsidR="00C758E8" w:rsidRPr="007842C5" w:rsidRDefault="00C758E8" w:rsidP="00C758E8">
      <w:pPr>
        <w:rPr>
          <w:noProof/>
        </w:rPr>
      </w:pPr>
      <w:r w:rsidRPr="007842C5">
        <w:rPr>
          <w:noProof/>
        </w:rPr>
        <w:t>Având în vedere tradiția de lungă a durată a Pakistanului în sectorul uleiului de măsline, aderarea Republicii Islamice Pakistan va consolida, în anumite condiții, IOC, în special în ceea ce privește uniformizarea legislațiilor naționale și internaționale privind caracteristicile produselor oleicole, pentru a elimina orice obstacol din calea schimburilor comerciale. Această aderare corespunde obiectivelor de politică ale Uniunii în ceea ce privește standardele de comercializare a produselor agricole, prevăzute în partea II titlul II din Regulamentul (UE) nr. 1308/2013 al Parlamentului European și al Consiliului</w:t>
      </w:r>
      <w:r w:rsidRPr="007842C5">
        <w:rPr>
          <w:rStyle w:val="FootnoteReference"/>
          <w:noProof/>
        </w:rPr>
        <w:footnoteReference w:id="4"/>
      </w:r>
      <w:r w:rsidRPr="007842C5">
        <w:rPr>
          <w:noProof/>
        </w:rPr>
        <w:t>.</w:t>
      </w:r>
    </w:p>
    <w:p w:rsidR="00C758E8" w:rsidRPr="007842C5" w:rsidRDefault="00C758E8" w:rsidP="00C758E8">
      <w:pPr>
        <w:rPr>
          <w:rFonts w:eastAsia="Arial Unicode MS"/>
          <w:noProof/>
        </w:rPr>
      </w:pPr>
      <w:r w:rsidRPr="007842C5">
        <w:rPr>
          <w:noProof/>
        </w:rPr>
        <w:t>O decizie care urmează să fie adoptată de către Consiliul membrilor va stabili condițiile de aderare a Republicii Islamice Pakistan în ceea ce privește cotele-părți de participare la IOC și termenul-limită de depunere a instrumentului de aderare.</w:t>
      </w:r>
    </w:p>
    <w:p w:rsidR="00C758E8" w:rsidRPr="007842C5" w:rsidRDefault="00C758E8" w:rsidP="00C758E8">
      <w:pPr>
        <w:rPr>
          <w:rFonts w:eastAsia="Arial Unicode MS"/>
          <w:noProof/>
        </w:rPr>
      </w:pPr>
      <w:r w:rsidRPr="007842C5">
        <w:rPr>
          <w:noProof/>
        </w:rPr>
        <w:t>Cotele-părți de participare ale membrilor, care sunt utilizate pentru a se stabili contribuțiile financiare și drepturile de vot, se calculează în conformitate cu o formulă prevăzută la articolul 11 din acord. Uniunea se va asigura că această formulă este utilizată la definirea cotelor-părți de participare ale Republicii Islamice Pakistan.</w:t>
      </w:r>
    </w:p>
    <w:p w:rsidR="00C758E8" w:rsidRPr="007842C5" w:rsidRDefault="00C758E8" w:rsidP="00C758E8">
      <w:pPr>
        <w:rPr>
          <w:rFonts w:eastAsia="Arial Unicode MS"/>
          <w:noProof/>
        </w:rPr>
      </w:pPr>
      <w:r w:rsidRPr="007842C5">
        <w:rPr>
          <w:noProof/>
        </w:rPr>
        <w:t>Uniunea va sprijini orice termen-limită pentru depunerea instrumentului de aderare care ar permite Pakistanului să adere la acord în curând. În cazul în care depunerea instrumentului este întârziată, Uniunea poate sprijini, în deciziile ulterioare care urmează să fie adoptate de Consiliul membrilor, prelungirea perioadei de depunere a instrumentului.</w:t>
      </w:r>
    </w:p>
    <w:p w:rsidR="00DA51F1" w:rsidRPr="007842C5" w:rsidRDefault="00C758E8" w:rsidP="00C758E8">
      <w:pPr>
        <w:rPr>
          <w:rFonts w:eastAsia="Arial Unicode MS"/>
          <w:noProof/>
        </w:rPr>
      </w:pPr>
      <w:r w:rsidRPr="007842C5">
        <w:rPr>
          <w:noProof/>
        </w:rPr>
        <w:t>Ținând seama de procesul decizional din cadrul Consiliului membrilor IOC, poziția Uniunii este necesară pentru stabilirea condițiilor de aderare a Republicii Islamice Pakistan.</w:t>
      </w:r>
    </w:p>
    <w:p w:rsidR="00DA51F1" w:rsidRPr="007842C5" w:rsidRDefault="00DA51F1" w:rsidP="00736AA9">
      <w:pPr>
        <w:pStyle w:val="ManualHeading1"/>
        <w:rPr>
          <w:noProof/>
        </w:rPr>
      </w:pPr>
      <w:r>
        <w:rPr>
          <w:noProof/>
        </w:rPr>
        <w:t>4.</w:t>
      </w:r>
      <w:r>
        <w:rPr>
          <w:noProof/>
        </w:rPr>
        <w:tab/>
      </w:r>
      <w:r w:rsidRPr="007842C5">
        <w:rPr>
          <w:noProof/>
        </w:rPr>
        <w:t>Temeiul juridic</w:t>
      </w:r>
    </w:p>
    <w:p w:rsidR="00DA51F1" w:rsidRPr="007842C5" w:rsidRDefault="00DA51F1" w:rsidP="00736AA9">
      <w:pPr>
        <w:pStyle w:val="ManualHeading2"/>
        <w:rPr>
          <w:noProof/>
        </w:rPr>
      </w:pPr>
      <w:r>
        <w:rPr>
          <w:noProof/>
        </w:rPr>
        <w:t>4.1.</w:t>
      </w:r>
      <w:r>
        <w:rPr>
          <w:noProof/>
        </w:rPr>
        <w:tab/>
      </w:r>
      <w:r w:rsidRPr="007842C5">
        <w:rPr>
          <w:noProof/>
        </w:rPr>
        <w:t>Temeiul juridic procedural</w:t>
      </w:r>
    </w:p>
    <w:p w:rsidR="00DA51F1" w:rsidRPr="007842C5" w:rsidRDefault="00DA51F1" w:rsidP="00DA51F1">
      <w:pPr>
        <w:pStyle w:val="ManualHeading3"/>
        <w:tabs>
          <w:tab w:val="clear" w:pos="850"/>
          <w:tab w:val="num" w:pos="1984"/>
        </w:tabs>
        <w:ind w:left="1984" w:hanging="567"/>
        <w:rPr>
          <w:noProof/>
        </w:rPr>
      </w:pPr>
      <w:r>
        <w:rPr>
          <w:noProof/>
        </w:rPr>
        <w:t>4.1.1.</w:t>
      </w:r>
      <w:r>
        <w:rPr>
          <w:noProof/>
        </w:rPr>
        <w:tab/>
      </w:r>
      <w:r w:rsidRPr="007842C5">
        <w:rPr>
          <w:noProof/>
        </w:rPr>
        <w:t>Principii</w:t>
      </w:r>
    </w:p>
    <w:p w:rsidR="00DA51F1" w:rsidRPr="007842C5" w:rsidRDefault="00DA51F1" w:rsidP="00736AA9">
      <w:pPr>
        <w:rPr>
          <w:noProof/>
        </w:rPr>
      </w:pPr>
      <w:r w:rsidRPr="007842C5">
        <w:rPr>
          <w:noProof/>
        </w:rPr>
        <w:t>Articolul 218 alineatul (9) din Tratatul privind funcționarea Uniunii Europene (TFUE) prevede posibilitatea adoptării unor decizii de stabilire „</w:t>
      </w:r>
      <w:r w:rsidRPr="007842C5">
        <w:rPr>
          <w:i/>
          <w:noProof/>
        </w:rPr>
        <w:t xml:space="preserve">a pozițiilor care trebuie adoptate în numele Uniunii în cadrul unui organism creat printr-un acord, în cazul în care acest </w:t>
      </w:r>
      <w:r w:rsidRPr="007842C5">
        <w:rPr>
          <w:i/>
          <w:noProof/>
        </w:rPr>
        <w:lastRenderedPageBreak/>
        <w:t>organism trebuie să adopte acte cu efecte juridice, cu excepția actelor care modifică sau completează cadrul instituțional al acordului.</w:t>
      </w:r>
      <w:r w:rsidRPr="007842C5">
        <w:rPr>
          <w:noProof/>
        </w:rPr>
        <w:t>”.</w:t>
      </w:r>
    </w:p>
    <w:p w:rsidR="00DA51F1" w:rsidRPr="007842C5" w:rsidRDefault="00DA51F1" w:rsidP="00736AA9">
      <w:pPr>
        <w:rPr>
          <w:noProof/>
        </w:rPr>
      </w:pPr>
      <w:r w:rsidRPr="007842C5">
        <w:rPr>
          <w:noProof/>
        </w:rPr>
        <w:t>Noțiunea de „</w:t>
      </w:r>
      <w:r w:rsidRPr="007842C5">
        <w:rPr>
          <w:i/>
          <w:noProof/>
        </w:rPr>
        <w:t>acte cu efecte juridice</w:t>
      </w:r>
      <w:r w:rsidRPr="007842C5">
        <w:rPr>
          <w:noProof/>
        </w:rPr>
        <w:t>” include actele care au efecte juridice în temeiul normelor de drept internațional aplicabile organismului în cauză. De asemenea, sunt incluse instrumentele care nu au un caracter obligatoriu în temeiul dreptului internațional, dar care „</w:t>
      </w:r>
      <w:r w:rsidRPr="007842C5">
        <w:rPr>
          <w:i/>
          <w:noProof/>
        </w:rPr>
        <w:t>au vocația de a influența în mod decisiv conținutul reglementării adoptate de legiuitorul Uniunii</w:t>
      </w:r>
      <w:r w:rsidRPr="007842C5">
        <w:rPr>
          <w:noProof/>
        </w:rPr>
        <w:t>”</w:t>
      </w:r>
      <w:r w:rsidRPr="007842C5">
        <w:rPr>
          <w:rStyle w:val="FootnoteReference"/>
          <w:noProof/>
        </w:rPr>
        <w:footnoteReference w:id="5"/>
      </w:r>
      <w:r w:rsidRPr="007842C5">
        <w:rPr>
          <w:noProof/>
        </w:rPr>
        <w:t>.</w:t>
      </w:r>
    </w:p>
    <w:p w:rsidR="00DA51F1" w:rsidRPr="007842C5" w:rsidRDefault="00DA51F1" w:rsidP="00DA51F1">
      <w:pPr>
        <w:pStyle w:val="ManualHeading3"/>
        <w:tabs>
          <w:tab w:val="clear" w:pos="850"/>
          <w:tab w:val="num" w:pos="1984"/>
        </w:tabs>
        <w:ind w:left="1984" w:hanging="567"/>
        <w:rPr>
          <w:noProof/>
        </w:rPr>
      </w:pPr>
      <w:r>
        <w:rPr>
          <w:noProof/>
        </w:rPr>
        <w:t>4.1.2.</w:t>
      </w:r>
      <w:r>
        <w:rPr>
          <w:noProof/>
        </w:rPr>
        <w:tab/>
      </w:r>
      <w:r w:rsidRPr="007842C5">
        <w:rPr>
          <w:noProof/>
        </w:rPr>
        <w:t>Aplicarea la cazul în discuție</w:t>
      </w:r>
    </w:p>
    <w:p w:rsidR="00C758E8" w:rsidRPr="007842C5" w:rsidRDefault="00C758E8" w:rsidP="00C758E8">
      <w:pPr>
        <w:rPr>
          <w:noProof/>
        </w:rPr>
      </w:pPr>
      <w:r w:rsidRPr="007842C5">
        <w:rPr>
          <w:noProof/>
        </w:rPr>
        <w:t>Consiliul membrilor este un organism instituit printr-un acord, și anume prin Acordul internațional cu privire la uleiul de măsline și măslinele de masă.</w:t>
      </w:r>
    </w:p>
    <w:p w:rsidR="00C758E8" w:rsidRPr="007842C5" w:rsidRDefault="00C758E8" w:rsidP="00C758E8">
      <w:pPr>
        <w:rPr>
          <w:noProof/>
        </w:rPr>
      </w:pPr>
      <w:r w:rsidRPr="007842C5">
        <w:rPr>
          <w:noProof/>
        </w:rPr>
        <w:t>Actul pe care Consiliul membrilor este invitat să îl adopte este un act cu efecte juridice. Actul avut în vedere are efecte juridice în special deoarece va influența echilibrul decizional din cadrul Consiliului membrilor, atunci când deciziile nu sunt adoptate prin consens în conformitate cu articolul 10 alineatul (4) din acord</w:t>
      </w:r>
      <w:r w:rsidRPr="007842C5">
        <w:rPr>
          <w:rStyle w:val="FootnoteReference"/>
          <w:noProof/>
        </w:rPr>
        <w:footnoteReference w:id="6"/>
      </w:r>
      <w:r w:rsidRPr="007842C5">
        <w:rPr>
          <w:noProof/>
        </w:rPr>
        <w:t>.</w:t>
      </w:r>
    </w:p>
    <w:p w:rsidR="00C758E8" w:rsidRPr="007842C5" w:rsidRDefault="00C758E8" w:rsidP="00C758E8">
      <w:pPr>
        <w:rPr>
          <w:noProof/>
        </w:rPr>
      </w:pPr>
      <w:r w:rsidRPr="007842C5">
        <w:rPr>
          <w:noProof/>
        </w:rPr>
        <w:t>Actul avut în vedere nu aduce completări sau modificări cadrului instituțional al acordului.</w:t>
      </w:r>
    </w:p>
    <w:p w:rsidR="00DA51F1" w:rsidRPr="007842C5" w:rsidRDefault="00C758E8" w:rsidP="00C758E8">
      <w:pPr>
        <w:rPr>
          <w:noProof/>
        </w:rPr>
      </w:pPr>
      <w:r w:rsidRPr="007842C5">
        <w:rPr>
          <w:noProof/>
        </w:rPr>
        <w:t>Prin urmare, temeiul juridic procedural al propunerii de decizie este articolul 218 alineatul (9) din TFUE.</w:t>
      </w:r>
    </w:p>
    <w:p w:rsidR="00DA51F1" w:rsidRPr="007842C5" w:rsidRDefault="00DA51F1" w:rsidP="00736AA9">
      <w:pPr>
        <w:pStyle w:val="ManualHeading2"/>
        <w:rPr>
          <w:noProof/>
        </w:rPr>
      </w:pPr>
      <w:r>
        <w:rPr>
          <w:noProof/>
        </w:rPr>
        <w:t>4.2.</w:t>
      </w:r>
      <w:r>
        <w:rPr>
          <w:noProof/>
        </w:rPr>
        <w:tab/>
      </w:r>
      <w:r w:rsidRPr="007842C5">
        <w:rPr>
          <w:noProof/>
        </w:rPr>
        <w:t>Temeiul juridic material</w:t>
      </w:r>
    </w:p>
    <w:p w:rsidR="00DA51F1" w:rsidRPr="007842C5" w:rsidRDefault="00DA51F1" w:rsidP="00DA51F1">
      <w:pPr>
        <w:pStyle w:val="ManualHeading3"/>
        <w:tabs>
          <w:tab w:val="clear" w:pos="850"/>
          <w:tab w:val="num" w:pos="1984"/>
        </w:tabs>
        <w:ind w:left="1984" w:hanging="567"/>
        <w:rPr>
          <w:noProof/>
        </w:rPr>
      </w:pPr>
      <w:r>
        <w:rPr>
          <w:noProof/>
        </w:rPr>
        <w:t>4.2.1.</w:t>
      </w:r>
      <w:r>
        <w:rPr>
          <w:noProof/>
        </w:rPr>
        <w:tab/>
      </w:r>
      <w:r w:rsidRPr="007842C5">
        <w:rPr>
          <w:noProof/>
        </w:rPr>
        <w:t>Principii</w:t>
      </w:r>
    </w:p>
    <w:p w:rsidR="00DA51F1" w:rsidRPr="007842C5" w:rsidRDefault="00DA51F1" w:rsidP="00736AA9">
      <w:pPr>
        <w:rPr>
          <w:noProof/>
        </w:rPr>
      </w:pPr>
      <w:r w:rsidRPr="007842C5">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DA51F1" w:rsidRPr="007842C5" w:rsidRDefault="00DA51F1" w:rsidP="00DA51F1">
      <w:pPr>
        <w:pStyle w:val="ManualHeading3"/>
        <w:tabs>
          <w:tab w:val="clear" w:pos="850"/>
          <w:tab w:val="num" w:pos="1984"/>
        </w:tabs>
        <w:ind w:left="1984" w:hanging="567"/>
        <w:rPr>
          <w:noProof/>
        </w:rPr>
      </w:pPr>
      <w:r>
        <w:rPr>
          <w:noProof/>
        </w:rPr>
        <w:t>4.2.2.</w:t>
      </w:r>
      <w:r>
        <w:rPr>
          <w:noProof/>
        </w:rPr>
        <w:tab/>
      </w:r>
      <w:r w:rsidRPr="007842C5">
        <w:rPr>
          <w:noProof/>
        </w:rPr>
        <w:t>Aplicarea la cazul în discuție</w:t>
      </w:r>
    </w:p>
    <w:p w:rsidR="00ED2311" w:rsidRPr="007842C5" w:rsidRDefault="00ED2311" w:rsidP="00ED2311">
      <w:pPr>
        <w:rPr>
          <w:noProof/>
        </w:rPr>
      </w:pPr>
      <w:r w:rsidRPr="007842C5">
        <w:rPr>
          <w:noProof/>
        </w:rPr>
        <w:t>Obiectivul principal și conținutul actului avut în vedere se referă la politica comercială comună.</w:t>
      </w:r>
    </w:p>
    <w:p w:rsidR="00ED2311" w:rsidRPr="007842C5" w:rsidRDefault="00ED2311" w:rsidP="00ED2311">
      <w:pPr>
        <w:rPr>
          <w:noProof/>
        </w:rPr>
      </w:pPr>
      <w:r w:rsidRPr="007842C5">
        <w:rPr>
          <w:noProof/>
        </w:rPr>
        <w:t>Prin urmare, temeiul juridic material al propunerii de decizie este articolul 207 din TFUE.</w:t>
      </w:r>
    </w:p>
    <w:p w:rsidR="00DA51F1" w:rsidRPr="007842C5" w:rsidRDefault="00DA51F1" w:rsidP="00736AA9">
      <w:pPr>
        <w:pStyle w:val="ManualHeading2"/>
        <w:rPr>
          <w:noProof/>
        </w:rPr>
      </w:pPr>
      <w:r>
        <w:rPr>
          <w:noProof/>
        </w:rPr>
        <w:t>4.3.</w:t>
      </w:r>
      <w:r>
        <w:rPr>
          <w:noProof/>
        </w:rPr>
        <w:tab/>
      </w:r>
      <w:r w:rsidRPr="007842C5">
        <w:rPr>
          <w:noProof/>
        </w:rPr>
        <w:t>Concluzii</w:t>
      </w:r>
    </w:p>
    <w:p w:rsidR="00DA51F1" w:rsidRPr="007842C5" w:rsidRDefault="00DA51F1" w:rsidP="00736AA9">
      <w:pPr>
        <w:rPr>
          <w:noProof/>
        </w:rPr>
      </w:pPr>
      <w:r w:rsidRPr="007842C5">
        <w:rPr>
          <w:noProof/>
        </w:rPr>
        <w:t>Temeiul juridic al propunerii de decize trebuie să fie articolul 207 din TFUE, coroborat cu articolul 218 alineatul (9) din TFUE.</w:t>
      </w:r>
    </w:p>
    <w:p w:rsidR="00DA51F1" w:rsidRPr="007842C5" w:rsidRDefault="00ED2311" w:rsidP="00736AA9">
      <w:pPr>
        <w:pStyle w:val="ManualHeading1"/>
        <w:rPr>
          <w:noProof/>
        </w:rPr>
      </w:pPr>
      <w:r>
        <w:rPr>
          <w:noProof/>
        </w:rPr>
        <w:t>5.</w:t>
      </w:r>
      <w:r>
        <w:rPr>
          <w:noProof/>
        </w:rPr>
        <w:tab/>
      </w:r>
      <w:r w:rsidRPr="007842C5">
        <w:rPr>
          <w:noProof/>
        </w:rPr>
        <w:t>RESPECTAREA PRINCIPIULUI „DIGITAL ÎN MOD IMPLICIT”</w:t>
      </w:r>
    </w:p>
    <w:p w:rsidR="00DA51F1" w:rsidRPr="007842C5" w:rsidRDefault="00ED2311" w:rsidP="00FD7813">
      <w:pPr>
        <w:rPr>
          <w:noProof/>
        </w:rPr>
      </w:pPr>
      <w:r w:rsidRPr="007842C5">
        <w:rPr>
          <w:noProof/>
        </w:rPr>
        <w:t xml:space="preserve">Potrivit evaluării digitale efectuate, actuala propunere nu are dimensiuni digitale, deoarece nu are relevanță în acest domeniu. Propunerea stabilește poziția UE cu privire la aderarea </w:t>
      </w:r>
      <w:r w:rsidRPr="007842C5">
        <w:rPr>
          <w:noProof/>
        </w:rPr>
        <w:lastRenderedPageBreak/>
        <w:t>Republicii Islamice Pakistan la Acordul internațional din 2015 cu privire la uleiul de măsline și măslinele de masă.</w:t>
      </w:r>
    </w:p>
    <w:p w:rsidR="00ED2311" w:rsidRPr="007842C5" w:rsidRDefault="00ED2311" w:rsidP="00736AA9">
      <w:pPr>
        <w:rPr>
          <w:noProof/>
        </w:rPr>
      </w:pPr>
      <w:r w:rsidRPr="007842C5">
        <w:rPr>
          <w:noProof/>
        </w:rPr>
        <w:t>Mijloacele digitale sau schimbul de date nu intră în domeniul de aplicare al propunerii.</w:t>
      </w:r>
    </w:p>
    <w:p w:rsidR="00DA51F1" w:rsidRPr="007842C5" w:rsidRDefault="00DA51F1" w:rsidP="00FD40BA">
      <w:pPr>
        <w:rPr>
          <w:noProof/>
        </w:rPr>
        <w:sectPr w:rsidR="00DA51F1" w:rsidRPr="007842C5" w:rsidSect="005D362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D15BCB" w:rsidRDefault="00AD03B3">
      <w:pPr>
        <w:pStyle w:val="Rfrenceinterinstitutionnelle"/>
        <w:rPr>
          <w:noProof/>
        </w:rPr>
      </w:pPr>
      <w:r>
        <w:rPr>
          <w:noProof/>
        </w:rPr>
        <w:lastRenderedPageBreak/>
        <w:t>2026/0024 (NLE)</w:t>
      </w:r>
    </w:p>
    <w:p w:rsidR="00DA51F1" w:rsidRPr="007842C5" w:rsidRDefault="007842C5" w:rsidP="007842C5">
      <w:pPr>
        <w:pStyle w:val="Statut"/>
        <w:rPr>
          <w:noProof/>
        </w:rPr>
      </w:pPr>
      <w:r w:rsidRPr="007842C5">
        <w:rPr>
          <w:noProof/>
        </w:rPr>
        <w:t>Propunere de</w:t>
      </w:r>
    </w:p>
    <w:p w:rsidR="00DA51F1" w:rsidRPr="007842C5" w:rsidRDefault="007842C5" w:rsidP="007842C5">
      <w:pPr>
        <w:pStyle w:val="Typedudocument"/>
        <w:rPr>
          <w:noProof/>
        </w:rPr>
      </w:pPr>
      <w:r w:rsidRPr="007842C5">
        <w:rPr>
          <w:noProof/>
        </w:rPr>
        <w:t>DECIZIE A CONSILIULUI</w:t>
      </w:r>
    </w:p>
    <w:p w:rsidR="00DA51F1" w:rsidRPr="007842C5" w:rsidRDefault="007842C5" w:rsidP="007842C5">
      <w:pPr>
        <w:pStyle w:val="Titreobjet"/>
        <w:rPr>
          <w:noProof/>
        </w:rPr>
      </w:pPr>
      <w:r w:rsidRPr="007842C5">
        <w:rPr>
          <w:noProof/>
        </w:rPr>
        <w:t>privind poziția care trebuie adoptată în numele Uniunii Europene în cadrul Consiliului membrilor Consiliului Oleicol Internațional (IOC) în ceea ce privește aderarea Republicii Islamice Pakistan la Acordul internațional din 2015 cu privire la uleiul de măsline și măslinele de masă</w:t>
      </w:r>
    </w:p>
    <w:p w:rsidR="00DA51F1" w:rsidRPr="007842C5" w:rsidRDefault="00DA51F1" w:rsidP="00BE7CB9">
      <w:pPr>
        <w:pStyle w:val="Institutionquiagit"/>
        <w:rPr>
          <w:noProof/>
        </w:rPr>
      </w:pPr>
      <w:r w:rsidRPr="007842C5">
        <w:rPr>
          <w:noProof/>
        </w:rPr>
        <w:t>CONSILIUL UNIUNII EUROPENE,</w:t>
      </w:r>
    </w:p>
    <w:p w:rsidR="00644677" w:rsidRPr="007842C5" w:rsidRDefault="00644677" w:rsidP="00644677">
      <w:pPr>
        <w:rPr>
          <w:noProof/>
        </w:rPr>
      </w:pPr>
      <w:r w:rsidRPr="007842C5">
        <w:rPr>
          <w:noProof/>
        </w:rPr>
        <w:t>având în vedere Tratatul privind funcționarea Uniunii Europene, în special articolul 207 coroborat cu articolul 218 alineatul (9),</w:t>
      </w:r>
    </w:p>
    <w:p w:rsidR="00644677" w:rsidRPr="007842C5" w:rsidRDefault="00644677" w:rsidP="00644677">
      <w:pPr>
        <w:rPr>
          <w:noProof/>
        </w:rPr>
      </w:pPr>
      <w:r w:rsidRPr="007842C5">
        <w:rPr>
          <w:noProof/>
        </w:rPr>
        <w:t>având în vedere propunerea Comisiei Europene,</w:t>
      </w:r>
    </w:p>
    <w:p w:rsidR="00644677" w:rsidRPr="007842C5" w:rsidRDefault="00644677" w:rsidP="00644677">
      <w:pPr>
        <w:rPr>
          <w:noProof/>
        </w:rPr>
      </w:pPr>
      <w:r w:rsidRPr="007842C5">
        <w:rPr>
          <w:noProof/>
        </w:rPr>
        <w:t>întrucât:</w:t>
      </w:r>
    </w:p>
    <w:p w:rsidR="00644677" w:rsidRPr="007842C5" w:rsidRDefault="00644677" w:rsidP="000071DE">
      <w:pPr>
        <w:pStyle w:val="ManualConsidrant"/>
        <w:rPr>
          <w:noProof/>
        </w:rPr>
      </w:pPr>
      <w:r>
        <w:rPr>
          <w:noProof/>
        </w:rPr>
        <w:t>(1)</w:t>
      </w:r>
      <w:r>
        <w:rPr>
          <w:noProof/>
        </w:rPr>
        <w:tab/>
      </w:r>
      <w:r w:rsidRPr="007842C5">
        <w:rPr>
          <w:noProof/>
        </w:rPr>
        <w:t>Acordul internațional din 2015 cu privire la uleiul de măsline și măslinele de masă („acordul”) a fost semnat în numele Uniunii în conformitate cu Decizia (UE) 2016/1892 a Consiliului</w:t>
      </w:r>
      <w:r w:rsidRPr="007842C5">
        <w:rPr>
          <w:rStyle w:val="FootnoteReference"/>
          <w:noProof/>
        </w:rPr>
        <w:footnoteReference w:id="7"/>
      </w:r>
      <w:r w:rsidRPr="007842C5">
        <w:rPr>
          <w:noProof/>
        </w:rPr>
        <w:t xml:space="preserve"> la 18 noiembrie 2016, sub rezerva încheierii sale la o dată ulterioară. Acordul a intrat în vigoare, cu titlu provizoriu, la 1 ianuarie 2017, în conformitate cu articolul 31 alineatul (2) din acord, și a fost încheiat de Uniune prin Decizia (UE) 2019/848 a Consiliului</w:t>
      </w:r>
      <w:r w:rsidRPr="007842C5">
        <w:rPr>
          <w:rStyle w:val="FootnoteReference"/>
          <w:noProof/>
        </w:rPr>
        <w:footnoteReference w:id="8"/>
      </w:r>
      <w:r w:rsidRPr="007842C5">
        <w:rPr>
          <w:noProof/>
        </w:rPr>
        <w:t xml:space="preserve"> din 17 mai 2019.</w:t>
      </w:r>
    </w:p>
    <w:p w:rsidR="00644677" w:rsidRPr="007842C5" w:rsidRDefault="00644677" w:rsidP="00644677">
      <w:pPr>
        <w:pStyle w:val="ManualConsidrant"/>
        <w:rPr>
          <w:noProof/>
        </w:rPr>
      </w:pPr>
      <w:r>
        <w:rPr>
          <w:noProof/>
        </w:rPr>
        <w:t>(2)</w:t>
      </w:r>
      <w:r>
        <w:rPr>
          <w:noProof/>
        </w:rPr>
        <w:tab/>
      </w:r>
      <w:r w:rsidRPr="007842C5">
        <w:rPr>
          <w:noProof/>
        </w:rPr>
        <w:t>În temeiul articolului 29 din acord, Consiliul membrilor Consiliului Oleicol Internațional („Consiliul membrilor”) trebuie să stabilească condițiile aderării unui guvern la acord.</w:t>
      </w:r>
    </w:p>
    <w:p w:rsidR="00644677" w:rsidRPr="007842C5" w:rsidRDefault="00644677" w:rsidP="00644677">
      <w:pPr>
        <w:pStyle w:val="ManualConsidrant"/>
        <w:rPr>
          <w:noProof/>
        </w:rPr>
      </w:pPr>
      <w:r>
        <w:rPr>
          <w:noProof/>
        </w:rPr>
        <w:t>(3)</w:t>
      </w:r>
      <w:r>
        <w:rPr>
          <w:noProof/>
        </w:rPr>
        <w:tab/>
      </w:r>
      <w:r w:rsidRPr="007842C5">
        <w:rPr>
          <w:noProof/>
        </w:rPr>
        <w:t>Republica Islamică Pakistan a solicitat în mod oficial să adere la acord. Prin urmare, în cursul unei viitoare sesiuni sau în cadrul unei proceduri de adoptare a deciziilor de către Consiliul membrilor prin schimb de corespondență, Consiliul membrilor trebuie să fie invitat să stabilească condițiile aderării Republicii Islamice Pakistan în ceea ce privește cotele-părți de participare la IOC și termenul-limită de depunere a instrumentului de aderare.</w:t>
      </w:r>
    </w:p>
    <w:p w:rsidR="00644677" w:rsidRPr="007842C5" w:rsidRDefault="00644677" w:rsidP="00644677">
      <w:pPr>
        <w:pStyle w:val="ManualConsidrant"/>
        <w:rPr>
          <w:noProof/>
        </w:rPr>
      </w:pPr>
      <w:r>
        <w:rPr>
          <w:noProof/>
        </w:rPr>
        <w:t>(4)</w:t>
      </w:r>
      <w:r>
        <w:rPr>
          <w:noProof/>
        </w:rPr>
        <w:tab/>
      </w:r>
      <w:r w:rsidRPr="007842C5">
        <w:rPr>
          <w:noProof/>
        </w:rPr>
        <w:t>Având în vedere că Pakistanul își dezvoltă sectoarele măslinelor în ceea ce privește consumul și are intenția de a-și dezvolta producția, aderarea acestei țări ar putea consolida, în anumite condiții, IOC, în special în ceea ce privește uniformizarea legislațiilor naționale și internaționale referitoare la caracteristicile produselor oleicole, cu scopul de a elimina orice obstacole din calea schimburilor comerciale.</w:t>
      </w:r>
    </w:p>
    <w:p w:rsidR="00644677" w:rsidRPr="007842C5" w:rsidRDefault="00644677" w:rsidP="00644677">
      <w:pPr>
        <w:pStyle w:val="ManualConsidrant"/>
        <w:rPr>
          <w:noProof/>
        </w:rPr>
      </w:pPr>
      <w:r>
        <w:rPr>
          <w:noProof/>
        </w:rPr>
        <w:t>(5)</w:t>
      </w:r>
      <w:r>
        <w:rPr>
          <w:noProof/>
        </w:rPr>
        <w:tab/>
      </w:r>
      <w:r w:rsidRPr="007842C5">
        <w:rPr>
          <w:noProof/>
        </w:rPr>
        <w:t xml:space="preserve">Este oportun să se stabilească poziția care trebuie adoptată în numele Uniunii în cadrul Consiliului membrilor, întrucât deciziile care urmează să fie adoptate vor avea efecte juridice asupra Uniunii prin faptul că afectează echilibrul decizional în cadrul </w:t>
      </w:r>
      <w:r w:rsidRPr="007842C5">
        <w:rPr>
          <w:noProof/>
        </w:rPr>
        <w:lastRenderedPageBreak/>
        <w:t>Consiliului membrilor în cazul în care deciziile nu sunt adoptate prin consens în conformitate cu articolul 10 alineatul (4) din acord,</w:t>
      </w:r>
    </w:p>
    <w:p w:rsidR="00DA51F1" w:rsidRPr="007842C5" w:rsidRDefault="00DA51F1" w:rsidP="00BE7CB9">
      <w:pPr>
        <w:pStyle w:val="Formuledadoption"/>
        <w:rPr>
          <w:noProof/>
        </w:rPr>
      </w:pPr>
      <w:r w:rsidRPr="007842C5">
        <w:rPr>
          <w:noProof/>
        </w:rPr>
        <w:t>ADOPTĂ PREZENTA DECIZIE:</w:t>
      </w:r>
    </w:p>
    <w:p w:rsidR="00DA51F1" w:rsidRPr="007842C5" w:rsidRDefault="00DA51F1" w:rsidP="00BE7CB9">
      <w:pPr>
        <w:pStyle w:val="Titrearticle"/>
        <w:rPr>
          <w:noProof/>
        </w:rPr>
      </w:pPr>
      <w:r w:rsidRPr="007842C5">
        <w:rPr>
          <w:noProof/>
        </w:rPr>
        <w:t>Articolul 1</w:t>
      </w:r>
    </w:p>
    <w:p w:rsidR="00DA51F1" w:rsidRPr="007842C5" w:rsidRDefault="00826EE3" w:rsidP="00826EE3">
      <w:pPr>
        <w:rPr>
          <w:i/>
          <w:noProof/>
        </w:rPr>
      </w:pPr>
      <w:r w:rsidRPr="007842C5">
        <w:rPr>
          <w:noProof/>
        </w:rPr>
        <w:t>Poziția care trebuie adoptată în numele Uniunii în cadrul Consiliului membrilor Consiliului Oleicol Internațional, în cursul unei viitoare sesiuni a acestuia sau în cadrul unei proceduri de adoptare a deciziilor de către Consiliul membrilor prin schimb de corespondență, în ceea ce privește condițiile aderării Guvernului Republicii Islamice Pakistan la acord este stabilită în anexă.</w:t>
      </w:r>
    </w:p>
    <w:p w:rsidR="00DA51F1" w:rsidRPr="007842C5" w:rsidRDefault="00DA51F1" w:rsidP="00FD564D">
      <w:pPr>
        <w:pStyle w:val="Titrearticle"/>
        <w:rPr>
          <w:noProof/>
        </w:rPr>
      </w:pPr>
      <w:r w:rsidRPr="007842C5">
        <w:rPr>
          <w:noProof/>
        </w:rPr>
        <w:t>Articolul 2</w:t>
      </w:r>
    </w:p>
    <w:p w:rsidR="00DA51F1" w:rsidRPr="007842C5" w:rsidRDefault="00DA51F1" w:rsidP="00BE7CB9">
      <w:pPr>
        <w:rPr>
          <w:noProof/>
        </w:rPr>
      </w:pPr>
      <w:r w:rsidRPr="007842C5">
        <w:rPr>
          <w:noProof/>
        </w:rPr>
        <w:t>Prezenta decizie se adresează Comisiei.</w:t>
      </w:r>
    </w:p>
    <w:p w:rsidR="00DA51F1" w:rsidRPr="007842C5" w:rsidRDefault="007842C5" w:rsidP="00FD564D">
      <w:pPr>
        <w:pStyle w:val="Fait"/>
        <w:rPr>
          <w:noProof/>
        </w:rPr>
      </w:pPr>
      <w:r>
        <w:rPr>
          <w:noProof/>
        </w:rPr>
        <w:t>Adoptată la Bruxelles,</w:t>
      </w:r>
    </w:p>
    <w:p w:rsidR="00DA51F1" w:rsidRPr="007842C5" w:rsidRDefault="00DA51F1" w:rsidP="00FD564D">
      <w:pPr>
        <w:pStyle w:val="Institutionquisigne"/>
        <w:rPr>
          <w:noProof/>
        </w:rPr>
      </w:pPr>
      <w:r w:rsidRPr="007842C5">
        <w:rPr>
          <w:noProof/>
        </w:rPr>
        <w:tab/>
        <w:t>Pentru Consiliu,</w:t>
      </w:r>
    </w:p>
    <w:p w:rsidR="00DA51F1" w:rsidRPr="007842C5" w:rsidRDefault="00DA51F1" w:rsidP="00DA51F1">
      <w:pPr>
        <w:pStyle w:val="Personnequisigne"/>
        <w:rPr>
          <w:noProof/>
        </w:rPr>
      </w:pPr>
      <w:r w:rsidRPr="007842C5">
        <w:rPr>
          <w:noProof/>
        </w:rPr>
        <w:tab/>
        <w:t>Președintele</w:t>
      </w:r>
    </w:p>
    <w:sectPr w:rsidR="00DA51F1" w:rsidRPr="007842C5" w:rsidSect="005D362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1F1" w:rsidRDefault="00DA51F1" w:rsidP="00DA51F1">
      <w:pPr>
        <w:spacing w:before="0" w:after="0"/>
      </w:pPr>
      <w:r>
        <w:separator/>
      </w:r>
    </w:p>
  </w:endnote>
  <w:endnote w:type="continuationSeparator" w:id="0">
    <w:p w:rsidR="00DA51F1" w:rsidRDefault="00DA51F1" w:rsidP="00DA51F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25" w:rsidRPr="005D3625" w:rsidRDefault="005D3625" w:rsidP="005D3625">
    <w:pPr>
      <w:pStyle w:val="Footer"/>
      <w:rPr>
        <w:rFonts w:ascii="Arial" w:hAnsi="Arial" w:cs="Arial"/>
        <w:b/>
        <w:sz w:val="48"/>
      </w:rPr>
    </w:pPr>
    <w:r w:rsidRPr="005D3625">
      <w:rPr>
        <w:rFonts w:ascii="Arial" w:hAnsi="Arial" w:cs="Arial"/>
        <w:b/>
        <w:sz w:val="48"/>
      </w:rPr>
      <w:t>RO</w:t>
    </w:r>
    <w:r w:rsidRPr="005D3625">
      <w:rPr>
        <w:rFonts w:ascii="Arial" w:hAnsi="Arial" w:cs="Arial"/>
        <w:b/>
        <w:sz w:val="48"/>
      </w:rPr>
      <w:tab/>
    </w:r>
    <w:r w:rsidRPr="005D3625">
      <w:rPr>
        <w:rFonts w:ascii="Arial" w:hAnsi="Arial" w:cs="Arial"/>
        <w:b/>
        <w:sz w:val="48"/>
      </w:rPr>
      <w:tab/>
    </w:r>
    <w:r w:rsidRPr="005D3625">
      <w:tab/>
    </w:r>
    <w:r w:rsidRPr="005D362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25" w:rsidRPr="005D3625" w:rsidRDefault="005D3625" w:rsidP="005D3625">
    <w:pPr>
      <w:pStyle w:val="Footer"/>
      <w:rPr>
        <w:rFonts w:ascii="Arial" w:hAnsi="Arial" w:cs="Arial"/>
        <w:b/>
        <w:sz w:val="48"/>
      </w:rPr>
    </w:pPr>
    <w:r w:rsidRPr="005D3625">
      <w:rPr>
        <w:rFonts w:ascii="Arial" w:hAnsi="Arial" w:cs="Arial"/>
        <w:b/>
        <w:sz w:val="48"/>
      </w:rPr>
      <w:t>RO</w:t>
    </w:r>
    <w:r w:rsidRPr="005D3625">
      <w:rPr>
        <w:rFonts w:ascii="Arial" w:hAnsi="Arial" w:cs="Arial"/>
        <w:b/>
        <w:sz w:val="48"/>
      </w:rPr>
      <w:tab/>
    </w:r>
    <w:r w:rsidRPr="005D3625">
      <w:rPr>
        <w:rFonts w:ascii="Arial" w:hAnsi="Arial" w:cs="Arial"/>
        <w:b/>
        <w:sz w:val="48"/>
      </w:rPr>
      <w:tab/>
    </w:r>
    <w:r w:rsidRPr="005D3625">
      <w:tab/>
    </w:r>
    <w:r w:rsidRPr="005D362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25" w:rsidRDefault="005D36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25" w:rsidRPr="005D3625" w:rsidRDefault="005D3625" w:rsidP="005D3625">
    <w:pPr>
      <w:pStyle w:val="Footer"/>
      <w:rPr>
        <w:rFonts w:ascii="Arial" w:hAnsi="Arial" w:cs="Arial"/>
        <w:b/>
        <w:sz w:val="48"/>
      </w:rPr>
    </w:pPr>
    <w:r w:rsidRPr="005D3625">
      <w:rPr>
        <w:rFonts w:ascii="Arial" w:hAnsi="Arial" w:cs="Arial"/>
        <w:b/>
        <w:sz w:val="48"/>
      </w:rPr>
      <w:t>RO</w:t>
    </w:r>
    <w:r w:rsidRPr="005D3625">
      <w:rPr>
        <w:rFonts w:ascii="Arial" w:hAnsi="Arial" w:cs="Arial"/>
        <w:b/>
        <w:sz w:val="48"/>
      </w:rPr>
      <w:tab/>
    </w:r>
    <w:r>
      <w:fldChar w:fldCharType="begin"/>
    </w:r>
    <w:r>
      <w:instrText xml:space="preserve"> PAGE  \* MERGEFORMAT </w:instrText>
    </w:r>
    <w:r>
      <w:fldChar w:fldCharType="separate"/>
    </w:r>
    <w:r w:rsidR="00FD564D">
      <w:rPr>
        <w:noProof/>
      </w:rPr>
      <w:t>6</w:t>
    </w:r>
    <w:r>
      <w:fldChar w:fldCharType="end"/>
    </w:r>
    <w:r>
      <w:tab/>
    </w:r>
    <w:r w:rsidRPr="005D3625">
      <w:tab/>
    </w:r>
    <w:r w:rsidRPr="005D362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25" w:rsidRDefault="005D3625" w:rsidP="005D3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1F1" w:rsidRDefault="00DA51F1" w:rsidP="00DA51F1">
      <w:pPr>
        <w:spacing w:before="0" w:after="0"/>
      </w:pPr>
      <w:r>
        <w:separator/>
      </w:r>
    </w:p>
  </w:footnote>
  <w:footnote w:type="continuationSeparator" w:id="0">
    <w:p w:rsidR="00DA51F1" w:rsidRDefault="00DA51F1" w:rsidP="00DA51F1">
      <w:pPr>
        <w:spacing w:before="0" w:after="0"/>
      </w:pPr>
      <w:r>
        <w:continuationSeparator/>
      </w:r>
    </w:p>
  </w:footnote>
  <w:footnote w:id="1">
    <w:p w:rsidR="00DA51F1" w:rsidRPr="00963CC0" w:rsidRDefault="00DA51F1" w:rsidP="00DA51F1">
      <w:pPr>
        <w:pStyle w:val="FootnoteText"/>
      </w:pPr>
      <w:r>
        <w:rPr>
          <w:rStyle w:val="FootnoteReference"/>
        </w:rPr>
        <w:footnoteRef/>
      </w:r>
      <w:r>
        <w:tab/>
        <w:t xml:space="preserve">Decizia (UE) 2016/1892 a Consiliului din 10 octombrie 2016 privind semnarea, în numele Uniunii Europene, și aplicarea provizorie a Acordului internațional din 2015 cu privire la uleiul de măsline și măslinele de masă (JO L 293, 28.10.2016, p. 2; ELI: </w:t>
      </w:r>
      <w:hyperlink r:id="rId1" w:history="1">
        <w:r>
          <w:rPr>
            <w:rStyle w:val="Hyperlink"/>
          </w:rPr>
          <w:t>http://data.europa.eu/eli/dec/2016/1892/oj</w:t>
        </w:r>
      </w:hyperlink>
      <w:r>
        <w:t xml:space="preserve">) și Decizia (UE) 2019/848 a Consiliului din 17 mai 2019 privind încheierea în numele Uniunii Europene a Acordului internațional din 2015 cu privire la uleiul de măsline și măslinele de masă (JO L 139, 27.5.2019, p. 1, ELI: </w:t>
      </w:r>
      <w:hyperlink r:id="rId2" w:history="1">
        <w:r>
          <w:rPr>
            <w:rStyle w:val="Hyperlink"/>
          </w:rPr>
          <w:t>http://data.europa.eu/eli/dec/2019/848/oj</w:t>
        </w:r>
      </w:hyperlink>
      <w:r>
        <w:t>).</w:t>
      </w:r>
    </w:p>
  </w:footnote>
  <w:footnote w:id="2">
    <w:p w:rsidR="006D151A" w:rsidRPr="00F77DF3" w:rsidRDefault="006D151A" w:rsidP="006D151A">
      <w:pPr>
        <w:pStyle w:val="FootnoteText"/>
      </w:pPr>
      <w:r>
        <w:rPr>
          <w:rStyle w:val="FootnoteReference"/>
        </w:rPr>
        <w:footnoteRef/>
      </w:r>
      <w:r>
        <w:tab/>
        <w:t>Potrivit indicatorilor de dezvoltare colectați de Banca Mondială.</w:t>
      </w:r>
    </w:p>
  </w:footnote>
  <w:footnote w:id="3">
    <w:p w:rsidR="006D151A" w:rsidRPr="00AB59A9" w:rsidRDefault="006D151A" w:rsidP="006D151A">
      <w:pPr>
        <w:pStyle w:val="FootnoteText"/>
      </w:pPr>
      <w:r>
        <w:rPr>
          <w:rStyle w:val="FootnoteReference"/>
        </w:rPr>
        <w:footnoteRef/>
      </w:r>
      <w:r>
        <w:tab/>
        <w:t>Conform estimărilor IOC.</w:t>
      </w:r>
    </w:p>
  </w:footnote>
  <w:footnote w:id="4">
    <w:p w:rsidR="00C758E8" w:rsidRPr="00381A33" w:rsidRDefault="00C758E8" w:rsidP="00C758E8">
      <w:pPr>
        <w:pStyle w:val="FootnoteText"/>
      </w:pPr>
      <w:r>
        <w:rPr>
          <w:rStyle w:val="FootnoteReference"/>
        </w:rPr>
        <w:footnoteRef/>
      </w:r>
      <w:r>
        <w:tab/>
        <w:t xml:space="preserve">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 </w:t>
      </w:r>
      <w:hyperlink r:id="rId3" w:history="1">
        <w:r>
          <w:rPr>
            <w:rStyle w:val="Hyperlink"/>
          </w:rPr>
          <w:t>http://data.europa.eu/eli/reg/2013/1308/oj</w:t>
        </w:r>
      </w:hyperlink>
      <w:r>
        <w:rPr>
          <w:rStyle w:val="Hyperlink"/>
        </w:rPr>
        <w:t>)</w:t>
      </w:r>
      <w:r>
        <w:t>.</w:t>
      </w:r>
    </w:p>
  </w:footnote>
  <w:footnote w:id="5">
    <w:p w:rsidR="00DA51F1" w:rsidRPr="00B035F8" w:rsidRDefault="00DA51F1" w:rsidP="00736AA9">
      <w:pPr>
        <w:pStyle w:val="FootnoteText"/>
      </w:pPr>
      <w:r>
        <w:rPr>
          <w:rStyle w:val="FootnoteReference"/>
        </w:rPr>
        <w:footnoteRef/>
      </w:r>
      <w:r>
        <w:tab/>
        <w:t xml:space="preserve">Hotărârea Curții de Justiție din 7 octombrie 2014, Germania/Consiliul, C-399/12, ECLI:EU:C:2014:2258, punctele 61-64. </w:t>
      </w:r>
    </w:p>
  </w:footnote>
  <w:footnote w:id="6">
    <w:p w:rsidR="00C758E8" w:rsidRPr="00AF466D" w:rsidRDefault="00C758E8" w:rsidP="00C758E8">
      <w:pPr>
        <w:pStyle w:val="FootnoteText"/>
      </w:pPr>
      <w:r>
        <w:rPr>
          <w:rStyle w:val="FootnoteReference"/>
        </w:rPr>
        <w:footnoteRef/>
      </w:r>
      <w:r>
        <w:tab/>
        <w:t>Actele Consiliului membrilor referitoare la standardele de comercializare a uleiului de măsline pot fi adoptate fără consens, sunt obligatorii în temeiul dreptului internațional, în conformitate cu articolul 20 alineatul (3) din acord, și au vocația de a influența în mod decisiv conținutul legislației UE, și anume acte delegate și de punere în aplicare bazate pe Regulamentul (UE) nr. 1308/2013.</w:t>
      </w:r>
    </w:p>
  </w:footnote>
  <w:footnote w:id="7">
    <w:p w:rsidR="00644677" w:rsidRPr="007F68B7" w:rsidRDefault="00644677" w:rsidP="00644677">
      <w:pPr>
        <w:pStyle w:val="FootnoteText"/>
      </w:pPr>
      <w:r>
        <w:rPr>
          <w:rStyle w:val="FootnoteReference"/>
        </w:rPr>
        <w:footnoteRef/>
      </w:r>
      <w:r>
        <w:tab/>
        <w:t xml:space="preserve">Decizia (UE) 2016/1892 a Consiliului din 10 octombrie 2016 privind semnarea, în numele Uniunii Europene, și aplicarea provizorie a Acordului internațional din 2015 cu privire la uleiul de măsline și măslinele de masă (JO L 293, 28.10.2016, p. 2; ELI: </w:t>
      </w:r>
      <w:hyperlink r:id="rId4" w:history="1">
        <w:r>
          <w:rPr>
            <w:rStyle w:val="Hyperlink"/>
          </w:rPr>
          <w:t>http://data.europa.eu/eli/dec/2016/1892/oj</w:t>
        </w:r>
      </w:hyperlink>
      <w:r>
        <w:t>).</w:t>
      </w:r>
    </w:p>
  </w:footnote>
  <w:footnote w:id="8">
    <w:p w:rsidR="00644677" w:rsidRPr="000D4438" w:rsidRDefault="00644677" w:rsidP="00644677">
      <w:pPr>
        <w:pStyle w:val="FootnoteText"/>
      </w:pPr>
      <w:r>
        <w:rPr>
          <w:rStyle w:val="FootnoteReference"/>
        </w:rPr>
        <w:footnoteRef/>
      </w:r>
      <w:r>
        <w:tab/>
        <w:t xml:space="preserve">Decizia (UE) 2019/848 a Consiliului din 17 mai 2019 privind încheierea în numele Uniunii Europene a Acordului internațional din 2015 cu privire la uleiul de măsline și măslinele de masă (JO L 139, 27.5.2019, p. 1, ELI: </w:t>
      </w:r>
      <w:hyperlink r:id="rId5" w:history="1">
        <w:r>
          <w:rPr>
            <w:rStyle w:val="Hyperlink"/>
          </w:rPr>
          <w:t>http://data.europa.eu/eli/dec/2019/848/oj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25" w:rsidRDefault="005D36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25" w:rsidRDefault="005D3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7F222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F7E708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7E2D5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D2CE24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2"/>
  </w:num>
  <w:num w:numId="3">
    <w:abstractNumId w:val="3"/>
  </w:num>
  <w:num w:numId="4">
    <w:abstractNumId w:val="2"/>
  </w:num>
  <w:num w:numId="5">
    <w:abstractNumId w:val="1"/>
  </w:num>
  <w:num w:numId="6">
    <w:abstractNumId w:val="0"/>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3"/>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08:21: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4263FF6-191C-497C-861B-B0F10B7315C9"/>
    <w:docVar w:name="LW_COVERPAGE_TYPE" w:val="1"/>
    <w:docVar w:name="LW_CreatedUtc" w:val="2025-11-10T12:09:09.9294537Z"/>
    <w:docVar w:name="LW_CROSSREFERENCE" w:val="&lt;UNUSED&gt;"/>
    <w:docVar w:name="LW_DocType" w:val="COM"/>
    <w:docVar w:name="LW_EMISSION" w:val="29.1.2026"/>
    <w:docVar w:name="LW_EMISSION_ISODATE" w:val="2026-01-29"/>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4"/>
    <w:docVar w:name="LW_REF.II.NEW.CP_YEAR" w:val="2026"/>
    <w:docVar w:name="LW_REF.INST.NEW" w:val="COM"/>
    <w:docVar w:name="LW_REF.INST.NEW_ADOPTED" w:val="final"/>
    <w:docVar w:name="LW_REF.INST.NEW_TEXT" w:val="(2026) 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Consiliului membrilor Consiliului Oleicol Interna\u539?ional (IOC) în ceea ce prive\u537?te aderarea Republicii Islamice Pakistan la Acordul interna\u539?ional din 2015 cu privire la uleiul de m\u259?sline \u537?i m\u259?slinele de mas\u259?"/>
    <w:docVar w:name="LW_TYPE.DOC.CP" w:val="DECIZIE A CONSILIULUI"/>
    <w:docVar w:name="LwApiVersions" w:val="LW4CoDe 1.24.5.0; LW 9.2, Build 20251112"/>
  </w:docVars>
  <w:rsids>
    <w:rsidRoot w:val="00DA51F1"/>
    <w:rsid w:val="00002E61"/>
    <w:rsid w:val="000071DE"/>
    <w:rsid w:val="0004607E"/>
    <w:rsid w:val="00085E57"/>
    <w:rsid w:val="000E25A0"/>
    <w:rsid w:val="001065F5"/>
    <w:rsid w:val="001238EF"/>
    <w:rsid w:val="00197613"/>
    <w:rsid w:val="001F438E"/>
    <w:rsid w:val="00206792"/>
    <w:rsid w:val="002162A1"/>
    <w:rsid w:val="00233DC7"/>
    <w:rsid w:val="00241B22"/>
    <w:rsid w:val="00247779"/>
    <w:rsid w:val="00253AD0"/>
    <w:rsid w:val="00285BEE"/>
    <w:rsid w:val="0029533F"/>
    <w:rsid w:val="002A1669"/>
    <w:rsid w:val="002A63C2"/>
    <w:rsid w:val="002B30AF"/>
    <w:rsid w:val="002D5111"/>
    <w:rsid w:val="002D7A31"/>
    <w:rsid w:val="00323439"/>
    <w:rsid w:val="0033344A"/>
    <w:rsid w:val="003A3574"/>
    <w:rsid w:val="003D1623"/>
    <w:rsid w:val="0042648E"/>
    <w:rsid w:val="004936D2"/>
    <w:rsid w:val="004C61A1"/>
    <w:rsid w:val="004C668B"/>
    <w:rsid w:val="00506F12"/>
    <w:rsid w:val="00570412"/>
    <w:rsid w:val="005B1EB6"/>
    <w:rsid w:val="005D1F90"/>
    <w:rsid w:val="005D3625"/>
    <w:rsid w:val="00625C7A"/>
    <w:rsid w:val="00644677"/>
    <w:rsid w:val="006769ED"/>
    <w:rsid w:val="006A305E"/>
    <w:rsid w:val="006B1A1F"/>
    <w:rsid w:val="006D151A"/>
    <w:rsid w:val="007428B6"/>
    <w:rsid w:val="00743C79"/>
    <w:rsid w:val="00761A6D"/>
    <w:rsid w:val="00773331"/>
    <w:rsid w:val="007842C5"/>
    <w:rsid w:val="007932EF"/>
    <w:rsid w:val="007E05B0"/>
    <w:rsid w:val="00800BF9"/>
    <w:rsid w:val="008129B2"/>
    <w:rsid w:val="00816BC6"/>
    <w:rsid w:val="00826EE3"/>
    <w:rsid w:val="00855D6B"/>
    <w:rsid w:val="00870DEF"/>
    <w:rsid w:val="00874D22"/>
    <w:rsid w:val="008932F5"/>
    <w:rsid w:val="008A2914"/>
    <w:rsid w:val="008A3320"/>
    <w:rsid w:val="008E4D8E"/>
    <w:rsid w:val="008E76DA"/>
    <w:rsid w:val="008F5D00"/>
    <w:rsid w:val="0093709C"/>
    <w:rsid w:val="0094050A"/>
    <w:rsid w:val="009B4E9E"/>
    <w:rsid w:val="009D635F"/>
    <w:rsid w:val="00A3634C"/>
    <w:rsid w:val="00A70E7C"/>
    <w:rsid w:val="00A97014"/>
    <w:rsid w:val="00AE5BF2"/>
    <w:rsid w:val="00B11347"/>
    <w:rsid w:val="00C12301"/>
    <w:rsid w:val="00C323B9"/>
    <w:rsid w:val="00C677BE"/>
    <w:rsid w:val="00C758E8"/>
    <w:rsid w:val="00D15BCB"/>
    <w:rsid w:val="00D20381"/>
    <w:rsid w:val="00D31C12"/>
    <w:rsid w:val="00D47E73"/>
    <w:rsid w:val="00D740D6"/>
    <w:rsid w:val="00DA51F1"/>
    <w:rsid w:val="00DF7852"/>
    <w:rsid w:val="00E664ED"/>
    <w:rsid w:val="00E741CD"/>
    <w:rsid w:val="00ED2311"/>
    <w:rsid w:val="00F2723B"/>
    <w:rsid w:val="00FA62F0"/>
    <w:rsid w:val="00FC38F8"/>
    <w:rsid w:val="00FD564D"/>
    <w:rsid w:val="00FD78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A292FE19-7E36-46B3-94B3-3190F236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51F1"/>
    <w:rPr>
      <w:color w:val="0000FF" w:themeColor="hyperlink"/>
      <w:u w:val="single"/>
    </w:rPr>
  </w:style>
  <w:style w:type="paragraph" w:customStyle="1" w:styleId="ListDash2">
    <w:name w:val="List Dash 2"/>
    <w:basedOn w:val="Normal"/>
    <w:rsid w:val="00DA51F1"/>
    <w:pPr>
      <w:numPr>
        <w:numId w:val="2"/>
      </w:numPr>
    </w:pPr>
    <w:rPr>
      <w:rFonts w:eastAsia="Times New Roman"/>
      <w:lang w:eastAsia="de-DE"/>
    </w:rPr>
  </w:style>
  <w:style w:type="paragraph" w:styleId="ListBullet">
    <w:name w:val="List Bullet"/>
    <w:basedOn w:val="Normal"/>
    <w:uiPriority w:val="99"/>
    <w:semiHidden/>
    <w:unhideWhenUsed/>
    <w:rsid w:val="006D151A"/>
    <w:pPr>
      <w:numPr>
        <w:numId w:val="3"/>
      </w:numPr>
      <w:contextualSpacing/>
    </w:pPr>
  </w:style>
  <w:style w:type="paragraph" w:styleId="ListBullet2">
    <w:name w:val="List Bullet 2"/>
    <w:basedOn w:val="Normal"/>
    <w:uiPriority w:val="99"/>
    <w:semiHidden/>
    <w:unhideWhenUsed/>
    <w:rsid w:val="006D151A"/>
    <w:pPr>
      <w:numPr>
        <w:numId w:val="4"/>
      </w:numPr>
      <w:contextualSpacing/>
    </w:pPr>
  </w:style>
  <w:style w:type="paragraph" w:styleId="ListBullet3">
    <w:name w:val="List Bullet 3"/>
    <w:basedOn w:val="Normal"/>
    <w:uiPriority w:val="99"/>
    <w:semiHidden/>
    <w:unhideWhenUsed/>
    <w:rsid w:val="006D151A"/>
    <w:pPr>
      <w:numPr>
        <w:numId w:val="5"/>
      </w:numPr>
      <w:contextualSpacing/>
    </w:pPr>
  </w:style>
  <w:style w:type="paragraph" w:styleId="ListBullet4">
    <w:name w:val="List Bullet 4"/>
    <w:basedOn w:val="Normal"/>
    <w:uiPriority w:val="99"/>
    <w:semiHidden/>
    <w:unhideWhenUsed/>
    <w:rsid w:val="006D151A"/>
    <w:pPr>
      <w:numPr>
        <w:numId w:val="6"/>
      </w:numPr>
      <w:contextualSpacing/>
    </w:pPr>
  </w:style>
  <w:style w:type="character" w:styleId="CommentReference">
    <w:name w:val="annotation reference"/>
    <w:basedOn w:val="DefaultParagraphFont"/>
    <w:uiPriority w:val="99"/>
    <w:semiHidden/>
    <w:unhideWhenUsed/>
    <w:rsid w:val="00FD7813"/>
    <w:rPr>
      <w:sz w:val="16"/>
      <w:szCs w:val="16"/>
    </w:rPr>
  </w:style>
  <w:style w:type="paragraph" w:styleId="CommentText">
    <w:name w:val="annotation text"/>
    <w:basedOn w:val="Normal"/>
    <w:link w:val="CommentTextChar"/>
    <w:uiPriority w:val="99"/>
    <w:semiHidden/>
    <w:unhideWhenUsed/>
    <w:rsid w:val="00FD7813"/>
    <w:rPr>
      <w:sz w:val="20"/>
      <w:szCs w:val="20"/>
    </w:rPr>
  </w:style>
  <w:style w:type="character" w:customStyle="1" w:styleId="CommentTextChar">
    <w:name w:val="Comment Text Char"/>
    <w:basedOn w:val="DefaultParagraphFont"/>
    <w:link w:val="CommentText"/>
    <w:uiPriority w:val="99"/>
    <w:semiHidden/>
    <w:rsid w:val="00FD781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D7813"/>
    <w:rPr>
      <w:b/>
      <w:bCs/>
    </w:rPr>
  </w:style>
  <w:style w:type="character" w:customStyle="1" w:styleId="CommentSubjectChar">
    <w:name w:val="Comment Subject Char"/>
    <w:basedOn w:val="CommentTextChar"/>
    <w:link w:val="CommentSubject"/>
    <w:uiPriority w:val="99"/>
    <w:semiHidden/>
    <w:rsid w:val="00FD7813"/>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FD7813"/>
    <w:rPr>
      <w:color w:val="605E5C"/>
      <w:shd w:val="clear" w:color="auto" w:fill="E1DFDD"/>
    </w:rPr>
  </w:style>
  <w:style w:type="character" w:customStyle="1" w:styleId="HeaderChar">
    <w:name w:val="Header Char"/>
    <w:basedOn w:val="DefaultParagraphFont"/>
    <w:link w:val="Header"/>
    <w:uiPriority w:val="99"/>
    <w:rsid w:val="005D3625"/>
    <w:rPr>
      <w:rFonts w:ascii="Times New Roman" w:hAnsi="Times New Roman" w:cs="Times New Roman"/>
      <w:sz w:val="24"/>
      <w:lang w:val="ro-RO"/>
    </w:rPr>
  </w:style>
  <w:style w:type="character" w:customStyle="1" w:styleId="FooterChar">
    <w:name w:val="Footer Char"/>
    <w:basedOn w:val="DefaultParagraphFont"/>
    <w:link w:val="Footer"/>
    <w:uiPriority w:val="99"/>
    <w:rsid w:val="005D362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D362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D3625"/>
    <w:pPr>
      <w:spacing w:before="0"/>
      <w:jc w:val="right"/>
    </w:pPr>
    <w:rPr>
      <w:sz w:val="28"/>
    </w:rPr>
  </w:style>
  <w:style w:type="paragraph" w:customStyle="1" w:styleId="FooterSensitivity">
    <w:name w:val="Footer Sensitivity"/>
    <w:basedOn w:val="Normal"/>
    <w:rsid w:val="005D362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D3625"/>
    <w:pPr>
      <w:tabs>
        <w:tab w:val="center" w:pos="4535"/>
        <w:tab w:val="right" w:pos="9071"/>
      </w:tabs>
      <w:spacing w:before="0"/>
    </w:pPr>
  </w:style>
  <w:style w:type="paragraph" w:customStyle="1" w:styleId="HeaderLandscape">
    <w:name w:val="HeaderLandscape"/>
    <w:basedOn w:val="Normal"/>
    <w:rsid w:val="005D3625"/>
    <w:pPr>
      <w:tabs>
        <w:tab w:val="center" w:pos="7285"/>
        <w:tab w:val="right" w:pos="14003"/>
      </w:tabs>
      <w:spacing w:before="0"/>
    </w:pPr>
  </w:style>
  <w:style w:type="paragraph" w:styleId="Footer">
    <w:name w:val="footer"/>
    <w:basedOn w:val="Normal"/>
    <w:link w:val="FooterChar"/>
    <w:uiPriority w:val="99"/>
    <w:unhideWhenUsed/>
    <w:rsid w:val="005D362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D362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3/1308/oj" TargetMode="External"/><Relationship Id="rId2" Type="http://schemas.openxmlformats.org/officeDocument/2006/relationships/hyperlink" Target="http://data.europa.eu/eli/dec/2019/848/oj" TargetMode="External"/><Relationship Id="rId1" Type="http://schemas.openxmlformats.org/officeDocument/2006/relationships/hyperlink" Target="http://data.europa.eu/eli/dec/2016/1892/oj" TargetMode="External"/><Relationship Id="rId5" Type="http://schemas.openxmlformats.org/officeDocument/2006/relationships/hyperlink" Target="http://data.europa.eu/eli/dec/2019/848/oj" TargetMode="External"/><Relationship Id="rId4" Type="http://schemas.openxmlformats.org/officeDocument/2006/relationships/hyperlink" Target="http://data.europa.eu/eli/dec/2016/18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50FCC-B367-46FB-8964-07115B042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318</TotalTime>
  <Pages>7</Pages>
  <Words>1729</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42</cp:revision>
  <dcterms:created xsi:type="dcterms:W3CDTF">2025-11-10T12:09:00Z</dcterms:created>
  <dcterms:modified xsi:type="dcterms:W3CDTF">2026-01-29T07:21:00Z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2025-11-10T12:19:00Z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f2130545-1d10-48df-a75b-40954054d860</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