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5C69E3" w14:textId="04942C51" w:rsidR="00FA089C" w:rsidRDefault="005E2D28" w:rsidP="005E2D28">
      <w:pPr>
        <w:pStyle w:val="Pagedecouverture"/>
        <w:rPr>
          <w:noProof/>
        </w:rPr>
      </w:pPr>
      <w:r>
        <w:rPr>
          <w:noProof/>
        </w:rPr>
        <w:pict w14:anchorId="5DBDDCD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C03CF76-5D26-49E6-81CC-9D781041EC53" style="width:455.25pt;height:409.5pt">
            <v:imagedata r:id="rId8" o:title=""/>
          </v:shape>
        </w:pict>
      </w:r>
    </w:p>
    <w:p w14:paraId="62570DB8" w14:textId="77777777" w:rsidR="00FA089C" w:rsidRDefault="00FA089C" w:rsidP="00FA089C">
      <w:pPr>
        <w:rPr>
          <w:noProof/>
        </w:rPr>
        <w:sectPr w:rsidR="00FA089C" w:rsidSect="005E2D28">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14:paraId="40B62708" w14:textId="77777777" w:rsidR="00FA089C" w:rsidRDefault="00FA089C" w:rsidP="00FA089C">
      <w:pPr>
        <w:pStyle w:val="Annexetitre"/>
        <w:rPr>
          <w:noProof/>
        </w:rPr>
      </w:pPr>
      <w:bookmarkStart w:id="0" w:name="_GoBack"/>
      <w:bookmarkEnd w:id="0"/>
      <w:r w:rsidRPr="00FA089C">
        <w:rPr>
          <w:noProof/>
        </w:rPr>
        <w:lastRenderedPageBreak/>
        <w:t xml:space="preserve">ANNEX </w:t>
      </w:r>
    </w:p>
    <w:p w14:paraId="270439EC" w14:textId="77777777" w:rsidR="00BB37E9" w:rsidRDefault="00FB471D" w:rsidP="00BB37E9">
      <w:pPr>
        <w:pStyle w:val="Body"/>
        <w:spacing w:before="360" w:after="0"/>
        <w:jc w:val="center"/>
        <w:rPr>
          <w:b/>
          <w:bCs/>
          <w:noProof/>
        </w:rPr>
      </w:pPr>
      <w:r>
        <w:rPr>
          <w:b/>
          <w:bCs/>
          <w:noProof/>
        </w:rPr>
        <w:t xml:space="preserve">DRAFT </w:t>
      </w:r>
      <w:r w:rsidR="00BB37E9">
        <w:rPr>
          <w:b/>
          <w:bCs/>
          <w:noProof/>
        </w:rPr>
        <w:t>DECISION OF THE EEA JOINT COMMITTEE</w:t>
      </w:r>
    </w:p>
    <w:p w14:paraId="682EC84E" w14:textId="77777777" w:rsidR="00106D28" w:rsidRDefault="00106D28" w:rsidP="00106D28">
      <w:pPr>
        <w:spacing w:after="0"/>
        <w:jc w:val="center"/>
        <w:rPr>
          <w:b/>
          <w:noProof/>
          <w:color w:val="0000FF"/>
          <w:szCs w:val="24"/>
        </w:rPr>
      </w:pPr>
      <w:r>
        <w:rPr>
          <w:b/>
          <w:noProof/>
          <w:szCs w:val="24"/>
        </w:rPr>
        <w:t xml:space="preserve">No </w:t>
      </w:r>
      <w:r>
        <w:rPr>
          <w:b/>
          <w:noProof/>
          <w:color w:val="0000FF"/>
          <w:szCs w:val="24"/>
        </w:rPr>
        <w:t>[…]</w:t>
      </w:r>
    </w:p>
    <w:p w14:paraId="65C753AA" w14:textId="77777777" w:rsidR="00106D28" w:rsidRDefault="00106D28" w:rsidP="00106D28">
      <w:pPr>
        <w:spacing w:before="360" w:after="0"/>
        <w:jc w:val="center"/>
        <w:rPr>
          <w:b/>
          <w:noProof/>
          <w:color w:val="0000FF"/>
          <w:szCs w:val="24"/>
        </w:rPr>
      </w:pPr>
      <w:r w:rsidRPr="00340F38">
        <w:rPr>
          <w:b/>
          <w:noProof/>
          <w:color w:val="000000" w:themeColor="text1"/>
          <w:szCs w:val="24"/>
        </w:rPr>
        <w:t xml:space="preserve">of </w:t>
      </w:r>
      <w:r>
        <w:rPr>
          <w:b/>
          <w:noProof/>
          <w:color w:val="0000FF"/>
          <w:szCs w:val="24"/>
        </w:rPr>
        <w:t>[…]</w:t>
      </w:r>
    </w:p>
    <w:p w14:paraId="2AE1A036" w14:textId="77777777" w:rsidR="00106D28" w:rsidRDefault="00106D28" w:rsidP="00106D28">
      <w:pPr>
        <w:spacing w:before="360" w:after="360"/>
        <w:jc w:val="center"/>
        <w:rPr>
          <w:rFonts w:ascii="Times New Roman Bold" w:hAnsi="Times New Roman Bold"/>
          <w:b/>
          <w:noProof/>
          <w:color w:val="000000" w:themeColor="text1"/>
          <w:szCs w:val="24"/>
        </w:rPr>
      </w:pPr>
      <w:r>
        <w:rPr>
          <w:rFonts w:ascii="Times New Roman Bold" w:hAnsi="Times New Roman Bold"/>
          <w:b/>
          <w:noProof/>
          <w:color w:val="000000" w:themeColor="text1"/>
          <w:szCs w:val="24"/>
        </w:rPr>
        <w:t xml:space="preserve">amending </w:t>
      </w:r>
      <w:r w:rsidRPr="00E712B3">
        <w:rPr>
          <w:rFonts w:ascii="Times New Roman Bold" w:hAnsi="Times New Roman Bold"/>
          <w:b/>
          <w:noProof/>
          <w:color w:val="000000" w:themeColor="text1"/>
          <w:szCs w:val="24"/>
        </w:rPr>
        <w:t xml:space="preserve">Annex IV (Energy) </w:t>
      </w:r>
      <w:r>
        <w:rPr>
          <w:rFonts w:ascii="Times New Roman Bold" w:hAnsi="Times New Roman Bold"/>
          <w:b/>
          <w:noProof/>
          <w:color w:val="000000" w:themeColor="text1"/>
          <w:szCs w:val="24"/>
        </w:rPr>
        <w:t>to the EEA Agreement</w:t>
      </w:r>
    </w:p>
    <w:p w14:paraId="2CCC1055" w14:textId="77777777" w:rsidR="00106D28" w:rsidRPr="00340F38" w:rsidRDefault="00106D28" w:rsidP="00106D28">
      <w:pPr>
        <w:spacing w:before="600"/>
        <w:rPr>
          <w:noProof/>
          <w:color w:val="000000" w:themeColor="text1"/>
          <w:szCs w:val="24"/>
        </w:rPr>
      </w:pPr>
      <w:r w:rsidRPr="00340F38">
        <w:rPr>
          <w:noProof/>
          <w:color w:val="000000" w:themeColor="text1"/>
          <w:szCs w:val="24"/>
        </w:rPr>
        <w:t>THE EEA JOINT COMMITTEE,</w:t>
      </w:r>
    </w:p>
    <w:p w14:paraId="2B9B691E" w14:textId="77777777" w:rsidR="00106D28" w:rsidRDefault="00106D28" w:rsidP="00106D28">
      <w:pPr>
        <w:rPr>
          <w:noProof/>
          <w:color w:val="000000" w:themeColor="text1"/>
          <w:szCs w:val="24"/>
        </w:rPr>
      </w:pPr>
      <w:r>
        <w:rPr>
          <w:noProof/>
          <w:color w:val="000000" w:themeColor="text1"/>
          <w:szCs w:val="24"/>
        </w:rPr>
        <w:t>Having regard to the Agreement on the European Economic Area (“the EEA Agreement”), and in particular Article 98 thereof,</w:t>
      </w:r>
    </w:p>
    <w:p w14:paraId="041C6E62" w14:textId="77777777" w:rsidR="00106D28" w:rsidRDefault="00106D28" w:rsidP="00106D28">
      <w:pPr>
        <w:rPr>
          <w:noProof/>
          <w:color w:val="000000" w:themeColor="text1"/>
          <w:szCs w:val="24"/>
        </w:rPr>
      </w:pPr>
      <w:r>
        <w:rPr>
          <w:noProof/>
          <w:color w:val="000000" w:themeColor="text1"/>
          <w:szCs w:val="24"/>
        </w:rPr>
        <w:t>Whereas:</w:t>
      </w:r>
    </w:p>
    <w:p w14:paraId="51C347D8" w14:textId="77777777" w:rsidR="00106D28" w:rsidRPr="00E128B9" w:rsidRDefault="00106D28" w:rsidP="00FB19DD">
      <w:pPr>
        <w:pStyle w:val="Point0number"/>
        <w:numPr>
          <w:ilvl w:val="0"/>
          <w:numId w:val="28"/>
        </w:numPr>
        <w:rPr>
          <w:noProof/>
        </w:rPr>
      </w:pPr>
      <w:bookmarkStart w:id="1" w:name="_Hlk232611016"/>
      <w:r w:rsidRPr="00E128B9">
        <w:rPr>
          <w:noProof/>
        </w:rPr>
        <w:t>Commission Regulation (EU) 2015/703 of 30 April 2015 establishing a network code on interoperability and data exchange rules</w:t>
      </w:r>
      <w:r w:rsidRPr="00E8797B">
        <w:rPr>
          <w:rStyle w:val="FootnoteReference"/>
          <w:noProof/>
          <w:szCs w:val="24"/>
        </w:rPr>
        <w:footnoteReference w:id="1"/>
      </w:r>
      <w:bookmarkEnd w:id="1"/>
      <w:r w:rsidRPr="00CB6AB6">
        <w:rPr>
          <w:noProof/>
        </w:rPr>
        <w:t xml:space="preserve"> </w:t>
      </w:r>
      <w:r w:rsidRPr="00E128B9">
        <w:rPr>
          <w:noProof/>
        </w:rPr>
        <w:t>is to be incorporated into the EEA Agreement.</w:t>
      </w:r>
    </w:p>
    <w:p w14:paraId="4BA803AF" w14:textId="77777777" w:rsidR="00106D28" w:rsidRPr="00E128B9" w:rsidRDefault="00106D28" w:rsidP="00E128B9">
      <w:pPr>
        <w:pStyle w:val="Point0number"/>
        <w:rPr>
          <w:noProof/>
        </w:rPr>
      </w:pPr>
      <w:bookmarkStart w:id="2" w:name="_Hlk24636643"/>
      <w:r w:rsidRPr="00E128B9">
        <w:rPr>
          <w:noProof/>
        </w:rPr>
        <w:t>According to Decision of the EEA Joint Committee No 93/2017 of 5 May 2017</w:t>
      </w:r>
      <w:r w:rsidRPr="00E8797B">
        <w:rPr>
          <w:rStyle w:val="FootnoteReference"/>
          <w:noProof/>
          <w:szCs w:val="24"/>
        </w:rPr>
        <w:footnoteReference w:id="2"/>
      </w:r>
      <w:r w:rsidRPr="00E128B9">
        <w:rPr>
          <w:noProof/>
        </w:rPr>
        <w:t>, Iceland has a derogation from Regulation (EC) No 715/2009 of the European Parliament and of the Council, which is the legal basis for Regulation (EU) 2015/703. Therefore, Regulation (EU) 2015/703 should not apply to Iceland</w:t>
      </w:r>
      <w:r w:rsidR="00E128B9">
        <w:rPr>
          <w:noProof/>
        </w:rPr>
        <w:t>.</w:t>
      </w:r>
    </w:p>
    <w:bookmarkEnd w:id="2"/>
    <w:p w14:paraId="07A21EBA" w14:textId="77777777" w:rsidR="00106D28" w:rsidRPr="00E128B9" w:rsidRDefault="00106D28" w:rsidP="00E128B9">
      <w:pPr>
        <w:pStyle w:val="Point0number"/>
        <w:rPr>
          <w:noProof/>
        </w:rPr>
      </w:pPr>
      <w:r w:rsidRPr="00E128B9">
        <w:rPr>
          <w:noProof/>
        </w:rPr>
        <w:t xml:space="preserve">Article 1(3) of Regulation (EU) </w:t>
      </w:r>
      <w:r w:rsidRPr="00CB6AB6">
        <w:rPr>
          <w:bCs/>
          <w:noProof/>
          <w:lang w:val="en"/>
        </w:rPr>
        <w:t xml:space="preserve">2015/703 </w:t>
      </w:r>
      <w:bookmarkStart w:id="3" w:name="_Hlk24620272"/>
      <w:r w:rsidRPr="00E128B9">
        <w:rPr>
          <w:noProof/>
        </w:rPr>
        <w:t>foresees that the Regulation shall not apply to interconnection points between Member States as long as one of these Member States has a derogation on the basis of Article 49 of Directive 2009/73/EC of the European Parliament and of the Council. In accordance with Directive 2009/73/EC, as incorporated into the EEA Agreement by Decision of the EEA Joint Committee No 93/2017 of 5 May 2017</w:t>
      </w:r>
      <w:r w:rsidRPr="00E8797B">
        <w:rPr>
          <w:rStyle w:val="FootnoteReference"/>
          <w:noProof/>
          <w:szCs w:val="24"/>
        </w:rPr>
        <w:footnoteReference w:id="3"/>
      </w:r>
      <w:r w:rsidRPr="00E128B9">
        <w:rPr>
          <w:noProof/>
        </w:rPr>
        <w:t>, such a derogation applies to Liechtenstein</w:t>
      </w:r>
      <w:bookmarkEnd w:id="3"/>
      <w:r w:rsidRPr="00E128B9">
        <w:rPr>
          <w:noProof/>
        </w:rPr>
        <w:t xml:space="preserve">. Therefore, Regulation (EU) </w:t>
      </w:r>
      <w:r w:rsidRPr="00CB6AB6">
        <w:rPr>
          <w:bCs/>
          <w:noProof/>
          <w:lang w:val="en"/>
        </w:rPr>
        <w:t>2015/703</w:t>
      </w:r>
      <w:r w:rsidRPr="00E128B9">
        <w:rPr>
          <w:noProof/>
        </w:rPr>
        <w:t xml:space="preserve"> should not apply to Liechtenstein.</w:t>
      </w:r>
    </w:p>
    <w:p w14:paraId="71818A5A" w14:textId="77777777" w:rsidR="00106D28" w:rsidRPr="00E128B9" w:rsidRDefault="00106D28" w:rsidP="00E128B9">
      <w:pPr>
        <w:pStyle w:val="Point0number"/>
        <w:rPr>
          <w:noProof/>
        </w:rPr>
      </w:pPr>
      <w:r w:rsidRPr="00E128B9">
        <w:rPr>
          <w:noProof/>
        </w:rPr>
        <w:t>There is no gas transmission network in Norway subject to the provisions of Regulation (EC) No 715/2009</w:t>
      </w:r>
      <w:r w:rsidRPr="00180E1D">
        <w:rPr>
          <w:noProof/>
        </w:rPr>
        <w:t xml:space="preserve"> </w:t>
      </w:r>
      <w:r w:rsidRPr="00FF63F3">
        <w:rPr>
          <w:noProof/>
        </w:rPr>
        <w:t>of the European Parliament and of the Council of 13 July 2009 on conditions for access to the natural gas transmission networks and repealing Regulation (EC) No 1775/200</w:t>
      </w:r>
      <w:r>
        <w:rPr>
          <w:noProof/>
        </w:rPr>
        <w:t>5</w:t>
      </w:r>
      <w:r w:rsidRPr="00E8797B">
        <w:rPr>
          <w:rStyle w:val="FootnoteReference"/>
          <w:noProof/>
          <w:szCs w:val="24"/>
        </w:rPr>
        <w:footnoteReference w:id="4"/>
      </w:r>
      <w:r w:rsidRPr="00E128B9">
        <w:rPr>
          <w:noProof/>
        </w:rPr>
        <w:t>. Therefore, Regulation (EU) 2015/703 should be incorporated into the EEA Agreement and transposed in national law, but application should be suspended until an operational gas transmission network is in place in Norway. When an operational gas transmission network is in place, Norway should notify the EFTA Surveillance Authority accordingly.</w:t>
      </w:r>
    </w:p>
    <w:p w14:paraId="11A59529" w14:textId="77777777" w:rsidR="00106D28" w:rsidRPr="00E128B9" w:rsidRDefault="00106D28" w:rsidP="00E128B9">
      <w:pPr>
        <w:pStyle w:val="Point0number"/>
        <w:rPr>
          <w:noProof/>
        </w:rPr>
      </w:pPr>
      <w:r w:rsidRPr="00A055A9">
        <w:rPr>
          <w:noProof/>
        </w:rPr>
        <w:t xml:space="preserve">As Regulation (EU) </w:t>
      </w:r>
      <w:r>
        <w:rPr>
          <w:noProof/>
        </w:rPr>
        <w:t>2015/703</w:t>
      </w:r>
      <w:r w:rsidRPr="00A055A9">
        <w:rPr>
          <w:noProof/>
        </w:rPr>
        <w:t xml:space="preserve"> has been adopted on the basis of Regulation (EC) No 715/2009, the adaptation texts elaborated and adopted under Decision of the EEA Joint Committee No 93/2017 of 5 May 2017</w:t>
      </w:r>
      <w:r w:rsidRPr="00E8797B">
        <w:rPr>
          <w:rStyle w:val="FootnoteReference"/>
          <w:noProof/>
          <w:szCs w:val="24"/>
        </w:rPr>
        <w:footnoteReference w:id="5"/>
      </w:r>
      <w:r w:rsidRPr="00A055A9">
        <w:rPr>
          <w:noProof/>
        </w:rPr>
        <w:t xml:space="preserve">, </w:t>
      </w:r>
      <w:r w:rsidRPr="00E128B9">
        <w:rPr>
          <w:noProof/>
        </w:rPr>
        <w:t>incorporating Regulation (EC) No 715/2009 into the EEA Agreement, are relevant for the application of Regulation (EU) 2015/703.</w:t>
      </w:r>
    </w:p>
    <w:p w14:paraId="1858001E" w14:textId="77777777" w:rsidR="00106D28" w:rsidRPr="00A055A9" w:rsidRDefault="00106D28" w:rsidP="00E128B9">
      <w:pPr>
        <w:pStyle w:val="Point0number"/>
        <w:rPr>
          <w:noProof/>
          <w:color w:val="000000" w:themeColor="text1"/>
        </w:rPr>
      </w:pPr>
      <w:r w:rsidRPr="00A055A9">
        <w:rPr>
          <w:noProof/>
        </w:rPr>
        <w:t>Annex IV to the EEA Agreement should therefore be amended accordingly,</w:t>
      </w:r>
    </w:p>
    <w:p w14:paraId="0309378C" w14:textId="77777777" w:rsidR="00106D28" w:rsidRDefault="00106D28" w:rsidP="00106D28">
      <w:pPr>
        <w:keepNext/>
        <w:tabs>
          <w:tab w:val="left" w:pos="709"/>
        </w:tabs>
        <w:rPr>
          <w:noProof/>
          <w:color w:val="000000" w:themeColor="text1"/>
          <w:szCs w:val="24"/>
        </w:rPr>
      </w:pPr>
      <w:r>
        <w:rPr>
          <w:noProof/>
          <w:color w:val="000000" w:themeColor="text1"/>
          <w:szCs w:val="24"/>
        </w:rPr>
        <w:t>HAS ADOPTED THIS DECISION:</w:t>
      </w:r>
    </w:p>
    <w:p w14:paraId="13A4B5A0" w14:textId="77777777" w:rsidR="00106D28" w:rsidRDefault="00106D28" w:rsidP="00106D28">
      <w:pPr>
        <w:pStyle w:val="Articleheading"/>
        <w:rPr>
          <w:noProof/>
        </w:rPr>
      </w:pPr>
      <w:r>
        <w:rPr>
          <w:noProof/>
        </w:rPr>
        <w:t>Article 1</w:t>
      </w:r>
    </w:p>
    <w:p w14:paraId="30D884B5" w14:textId="77777777" w:rsidR="00106D28" w:rsidRDefault="00106D28" w:rsidP="00106D28">
      <w:pPr>
        <w:pStyle w:val="Articletext"/>
        <w:rPr>
          <w:noProof/>
        </w:rPr>
      </w:pPr>
      <w:r>
        <w:rPr>
          <w:noProof/>
        </w:rPr>
        <w:t>The following point is inserted after point 48 (</w:t>
      </w:r>
      <w:r w:rsidRPr="00CB6AB6">
        <w:rPr>
          <w:noProof/>
        </w:rPr>
        <w:t>Commission Regulation (EU) No 543/2013</w:t>
      </w:r>
      <w:r>
        <w:rPr>
          <w:noProof/>
        </w:rPr>
        <w:t>) of Annex IV to the EEA Agreement:</w:t>
      </w:r>
    </w:p>
    <w:p w14:paraId="7D67EC77" w14:textId="77777777" w:rsidR="00106D28" w:rsidRDefault="00106D28" w:rsidP="00106D28">
      <w:pPr>
        <w:pStyle w:val="Point0"/>
        <w:rPr>
          <w:noProof/>
          <w:lang w:val="en"/>
        </w:rPr>
      </w:pPr>
      <w:r>
        <w:rPr>
          <w:noProof/>
        </w:rPr>
        <w:t>’49.</w:t>
      </w:r>
      <w:r>
        <w:rPr>
          <w:noProof/>
        </w:rPr>
        <w:tab/>
      </w:r>
      <w:r>
        <w:rPr>
          <w:b/>
          <w:noProof/>
        </w:rPr>
        <w:t>32015 R 0703</w:t>
      </w:r>
      <w:r>
        <w:rPr>
          <w:noProof/>
        </w:rPr>
        <w:t xml:space="preserve">: </w:t>
      </w:r>
      <w:r w:rsidRPr="00BC713A">
        <w:rPr>
          <w:noProof/>
          <w:lang w:val="en"/>
        </w:rPr>
        <w:t>Commission Regulation (EU) 2015/703 of 30 April 2015 establishing a network code on interoperability and data exchange rules</w:t>
      </w:r>
      <w:r>
        <w:rPr>
          <w:noProof/>
          <w:lang w:val="en"/>
        </w:rPr>
        <w:t xml:space="preserve"> (</w:t>
      </w:r>
      <w:r w:rsidRPr="009B7926">
        <w:rPr>
          <w:noProof/>
          <w:lang w:val="en"/>
        </w:rPr>
        <w:t xml:space="preserve">OJ L </w:t>
      </w:r>
      <w:r>
        <w:rPr>
          <w:noProof/>
          <w:lang w:val="en"/>
        </w:rPr>
        <w:t>113</w:t>
      </w:r>
      <w:r w:rsidRPr="009B7926">
        <w:rPr>
          <w:noProof/>
          <w:lang w:val="en"/>
        </w:rPr>
        <w:t>, 1.</w:t>
      </w:r>
      <w:r>
        <w:rPr>
          <w:noProof/>
          <w:lang w:val="en"/>
        </w:rPr>
        <w:t>5</w:t>
      </w:r>
      <w:r w:rsidRPr="009B7926">
        <w:rPr>
          <w:noProof/>
          <w:lang w:val="en"/>
        </w:rPr>
        <w:t>.</w:t>
      </w:r>
      <w:r>
        <w:rPr>
          <w:noProof/>
          <w:lang w:val="en"/>
        </w:rPr>
        <w:t>2015</w:t>
      </w:r>
      <w:r w:rsidRPr="009B7926">
        <w:rPr>
          <w:noProof/>
          <w:lang w:val="en"/>
        </w:rPr>
        <w:t xml:space="preserve">, p. </w:t>
      </w:r>
      <w:r>
        <w:rPr>
          <w:noProof/>
          <w:lang w:val="en"/>
        </w:rPr>
        <w:t>13-2</w:t>
      </w:r>
      <w:r w:rsidRPr="009B7926">
        <w:rPr>
          <w:noProof/>
          <w:lang w:val="en"/>
        </w:rPr>
        <w:t>6</w:t>
      </w:r>
      <w:r>
        <w:rPr>
          <w:noProof/>
          <w:lang w:val="en"/>
        </w:rPr>
        <w:t>).</w:t>
      </w:r>
    </w:p>
    <w:p w14:paraId="16E793D5" w14:textId="77777777" w:rsidR="00106D28" w:rsidRDefault="00106D28" w:rsidP="00106D28">
      <w:pPr>
        <w:pStyle w:val="Point0"/>
        <w:ind w:firstLine="0"/>
        <w:rPr>
          <w:noProof/>
          <w:lang w:val="en"/>
        </w:rPr>
      </w:pPr>
      <w:r>
        <w:rPr>
          <w:noProof/>
          <w:lang w:val="en"/>
        </w:rPr>
        <w:t>The provisions of the Regulation shall, for the purposes of this Agreement, be read with the following adaptation:</w:t>
      </w:r>
    </w:p>
    <w:p w14:paraId="4D1F1CEF" w14:textId="77777777" w:rsidR="00106D28" w:rsidRDefault="00106D28" w:rsidP="00106D28">
      <w:pPr>
        <w:pStyle w:val="Point0"/>
        <w:ind w:firstLine="0"/>
        <w:rPr>
          <w:noProof/>
          <w:lang w:val="en"/>
        </w:rPr>
      </w:pPr>
      <w:r>
        <w:rPr>
          <w:noProof/>
          <w:lang w:val="en"/>
        </w:rPr>
        <w:t>Norway may suspend the implementation of the Regulation until a gas transmission network starts operating on its territory. Norway shall notify the EFTA Surveillance Authority when a gas network is in place.</w:t>
      </w:r>
    </w:p>
    <w:p w14:paraId="3DA5CC66" w14:textId="77777777" w:rsidR="00106D28" w:rsidRPr="00E128B9" w:rsidRDefault="00106D28" w:rsidP="00106D28">
      <w:pPr>
        <w:pStyle w:val="Point0"/>
        <w:ind w:firstLine="0"/>
        <w:rPr>
          <w:noProof/>
        </w:rPr>
      </w:pPr>
      <w:r w:rsidRPr="00E128B9">
        <w:rPr>
          <w:noProof/>
        </w:rPr>
        <w:t>The Regulation shall not apply to Iceland and Liechtenstein.’</w:t>
      </w:r>
    </w:p>
    <w:p w14:paraId="1C9F3B26" w14:textId="77777777" w:rsidR="00106D28" w:rsidRDefault="00106D28" w:rsidP="00106D28">
      <w:pPr>
        <w:pStyle w:val="Articleheading"/>
        <w:rPr>
          <w:noProof/>
        </w:rPr>
      </w:pPr>
      <w:r>
        <w:rPr>
          <w:noProof/>
        </w:rPr>
        <w:t>Article 2</w:t>
      </w:r>
    </w:p>
    <w:p w14:paraId="23ACEF55" w14:textId="77777777" w:rsidR="00106D28" w:rsidRDefault="00106D28" w:rsidP="00106D28">
      <w:pPr>
        <w:pStyle w:val="Articletext"/>
        <w:rPr>
          <w:noProof/>
        </w:rPr>
      </w:pPr>
      <w:r>
        <w:rPr>
          <w:noProof/>
        </w:rPr>
        <w:t xml:space="preserve">The text of </w:t>
      </w:r>
      <w:r w:rsidRPr="00997C83">
        <w:rPr>
          <w:bCs/>
          <w:noProof/>
          <w:lang w:val="en"/>
        </w:rPr>
        <w:t xml:space="preserve">Commission Regulation (EU) </w:t>
      </w:r>
      <w:r>
        <w:rPr>
          <w:bCs/>
          <w:noProof/>
          <w:lang w:val="en"/>
        </w:rPr>
        <w:t>2015/703</w:t>
      </w:r>
      <w:r>
        <w:rPr>
          <w:noProof/>
        </w:rPr>
        <w:t xml:space="preserve"> in the Icelandic and Norwegian languages, to be published in the EEA Supplement to the </w:t>
      </w:r>
      <w:r>
        <w:rPr>
          <w:i/>
          <w:iCs/>
          <w:noProof/>
        </w:rPr>
        <w:t>Official Journal of the European Union</w:t>
      </w:r>
      <w:r>
        <w:rPr>
          <w:noProof/>
        </w:rPr>
        <w:t>, shall be authentic.</w:t>
      </w:r>
    </w:p>
    <w:p w14:paraId="3C665124" w14:textId="77777777" w:rsidR="00106D28" w:rsidRDefault="00106D28" w:rsidP="00106D28">
      <w:pPr>
        <w:pStyle w:val="Articleheading"/>
        <w:rPr>
          <w:noProof/>
        </w:rPr>
      </w:pPr>
      <w:r>
        <w:rPr>
          <w:noProof/>
        </w:rPr>
        <w:t>Article 3</w:t>
      </w:r>
    </w:p>
    <w:p w14:paraId="3C43B3EF" w14:textId="77777777" w:rsidR="00106D28" w:rsidRDefault="00106D28" w:rsidP="00106D28">
      <w:pPr>
        <w:pStyle w:val="Articletext"/>
        <w:rPr>
          <w:noProof/>
        </w:rPr>
      </w:pPr>
      <w:r w:rsidRPr="00407FB3">
        <w:rPr>
          <w:rFonts w:eastAsia="Calibri"/>
          <w:noProof/>
          <w:color w:val="000000"/>
        </w:rPr>
        <w:t xml:space="preserve">This Decision shall enter into force on </w:t>
      </w:r>
      <w:r w:rsidRPr="00407FB3">
        <w:rPr>
          <w:rStyle w:val="Marker"/>
          <w:rFonts w:eastAsia="Calibri"/>
          <w:noProof/>
        </w:rPr>
        <w:t>[…]</w:t>
      </w:r>
      <w:r w:rsidRPr="00407FB3">
        <w:rPr>
          <w:rFonts w:eastAsia="Calibri"/>
          <w:noProof/>
          <w:color w:val="000000"/>
        </w:rPr>
        <w:t xml:space="preserve">, provided that all the notifications under Article 103(1) of the </w:t>
      </w:r>
      <w:r>
        <w:rPr>
          <w:rFonts w:eastAsia="Calibri"/>
          <w:noProof/>
          <w:color w:val="000000"/>
        </w:rPr>
        <w:t xml:space="preserve">EEA </w:t>
      </w:r>
      <w:r w:rsidRPr="00407FB3">
        <w:rPr>
          <w:rFonts w:eastAsia="Calibri"/>
          <w:noProof/>
          <w:color w:val="000000"/>
        </w:rPr>
        <w:t>Agreement have been made</w:t>
      </w:r>
      <w:r w:rsidRPr="008B6975">
        <w:rPr>
          <w:rStyle w:val="FootnoteReference"/>
          <w:rFonts w:eastAsia="Calibri"/>
          <w:b/>
          <w:noProof/>
          <w:color w:val="000000"/>
        </w:rPr>
        <w:footnoteReference w:customMarkFollows="1" w:id="6"/>
        <w:sym w:font="Symbol" w:char="F02A"/>
      </w:r>
      <w:r>
        <w:rPr>
          <w:rFonts w:eastAsia="Calibri"/>
          <w:noProof/>
          <w:color w:val="000000"/>
        </w:rPr>
        <w:t>.</w:t>
      </w:r>
    </w:p>
    <w:p w14:paraId="0C5ABA35" w14:textId="77777777" w:rsidR="00106D28" w:rsidRDefault="00106D28" w:rsidP="00106D28">
      <w:pPr>
        <w:pStyle w:val="Articleheading"/>
        <w:rPr>
          <w:noProof/>
        </w:rPr>
      </w:pPr>
      <w:r>
        <w:rPr>
          <w:noProof/>
        </w:rPr>
        <w:t>Article 4</w:t>
      </w:r>
    </w:p>
    <w:p w14:paraId="0FA649B1" w14:textId="77777777" w:rsidR="00106D28" w:rsidRDefault="00106D28" w:rsidP="00106D28">
      <w:pPr>
        <w:pStyle w:val="Articletext"/>
        <w:rPr>
          <w:noProof/>
        </w:rPr>
      </w:pPr>
      <w:r w:rsidRPr="00407FB3">
        <w:rPr>
          <w:noProof/>
        </w:rPr>
        <w:t xml:space="preserve">This Decision shall be published in the EEA Section of, and in the EEA Supplement to, the </w:t>
      </w:r>
      <w:r w:rsidRPr="00407FB3">
        <w:rPr>
          <w:i/>
          <w:noProof/>
        </w:rPr>
        <w:t>Official Journal of the European Union</w:t>
      </w:r>
      <w:r w:rsidRPr="00407FB3">
        <w:rPr>
          <w:noProof/>
        </w:rPr>
        <w:t>.</w:t>
      </w:r>
    </w:p>
    <w:p w14:paraId="7965B4E2" w14:textId="77777777" w:rsidR="00106D28" w:rsidRPr="00CA5E28" w:rsidRDefault="00106D28" w:rsidP="00106D28">
      <w:pPr>
        <w:rPr>
          <w:noProof/>
          <w:szCs w:val="24"/>
        </w:rPr>
      </w:pPr>
      <w:r w:rsidRPr="00CA5E28">
        <w:rPr>
          <w:noProof/>
          <w:szCs w:val="24"/>
        </w:rPr>
        <w:t xml:space="preserve">Done at Brussels, </w:t>
      </w:r>
      <w:r w:rsidRPr="00CA5E28">
        <w:rPr>
          <w:rStyle w:val="Marker"/>
          <w:noProof/>
          <w:szCs w:val="24"/>
        </w:rPr>
        <w:t>[…]</w:t>
      </w:r>
      <w:r w:rsidRPr="00CA5E28">
        <w:rPr>
          <w:noProof/>
          <w:szCs w:val="24"/>
        </w:rPr>
        <w:t>.</w:t>
      </w:r>
    </w:p>
    <w:p w14:paraId="4DD93B09" w14:textId="77777777" w:rsidR="00106D28" w:rsidRDefault="00106D28" w:rsidP="00106D28">
      <w:pPr>
        <w:tabs>
          <w:tab w:val="left" w:pos="4253"/>
        </w:tabs>
        <w:spacing w:after="0"/>
        <w:rPr>
          <w:i/>
          <w:noProof/>
          <w:szCs w:val="24"/>
        </w:rPr>
      </w:pPr>
      <w:r w:rsidRPr="007D2921">
        <w:rPr>
          <w:i/>
          <w:noProof/>
          <w:szCs w:val="24"/>
        </w:rPr>
        <w:tab/>
        <w:t>For the EEA Joint Committee</w:t>
      </w:r>
    </w:p>
    <w:p w14:paraId="21BAA8B4" w14:textId="77777777" w:rsidR="00106D28" w:rsidRDefault="00106D28" w:rsidP="00106D28">
      <w:pPr>
        <w:tabs>
          <w:tab w:val="left" w:pos="4253"/>
        </w:tabs>
        <w:spacing w:after="0"/>
        <w:rPr>
          <w:i/>
          <w:noProof/>
          <w:szCs w:val="24"/>
        </w:rPr>
      </w:pPr>
      <w:r>
        <w:rPr>
          <w:i/>
          <w:noProof/>
          <w:szCs w:val="24"/>
        </w:rPr>
        <w:tab/>
        <w:t>The President</w:t>
      </w:r>
    </w:p>
    <w:p w14:paraId="10E6D277" w14:textId="77777777" w:rsidR="00106D28" w:rsidRPr="007D2921" w:rsidRDefault="00106D28" w:rsidP="00106D28">
      <w:pPr>
        <w:tabs>
          <w:tab w:val="left" w:pos="4253"/>
        </w:tabs>
        <w:spacing w:after="0"/>
        <w:rPr>
          <w:i/>
          <w:noProof/>
          <w:szCs w:val="24"/>
        </w:rPr>
      </w:pPr>
      <w:r w:rsidRPr="007D2921">
        <w:rPr>
          <w:i/>
          <w:noProof/>
          <w:szCs w:val="24"/>
        </w:rPr>
        <w:tab/>
      </w:r>
      <w:r w:rsidRPr="007D2921">
        <w:rPr>
          <w:rStyle w:val="Marker"/>
          <w:i/>
          <w:noProof/>
          <w:szCs w:val="24"/>
        </w:rPr>
        <w:t>[…]</w:t>
      </w:r>
    </w:p>
    <w:p w14:paraId="0224E73E" w14:textId="77777777" w:rsidR="00106D28" w:rsidRDefault="00106D28" w:rsidP="00106D28">
      <w:pPr>
        <w:pStyle w:val="ListParagraph"/>
        <w:ind w:left="0"/>
        <w:rPr>
          <w:rStyle w:val="Marker"/>
          <w:noProof/>
        </w:rPr>
      </w:pPr>
    </w:p>
    <w:p w14:paraId="5CC7D7FD" w14:textId="77777777" w:rsidR="00106D28" w:rsidRDefault="00106D28" w:rsidP="00106D28">
      <w:pPr>
        <w:pStyle w:val="ListParagraph"/>
        <w:ind w:left="0"/>
        <w:rPr>
          <w:rStyle w:val="Marker"/>
          <w:noProof/>
        </w:rPr>
      </w:pPr>
    </w:p>
    <w:p w14:paraId="79B5F407" w14:textId="77777777" w:rsidR="00106D28" w:rsidRPr="00E36584" w:rsidRDefault="00106D28" w:rsidP="00106D28">
      <w:pPr>
        <w:pStyle w:val="ListParagraph"/>
        <w:tabs>
          <w:tab w:val="left" w:pos="4253"/>
        </w:tabs>
        <w:ind w:left="0"/>
        <w:rPr>
          <w:rFonts w:cs="Times New Roman"/>
          <w:i/>
          <w:noProof/>
          <w:sz w:val="24"/>
          <w:szCs w:val="24"/>
        </w:rPr>
      </w:pPr>
      <w:r w:rsidRPr="00E36584">
        <w:rPr>
          <w:rFonts w:cs="Times New Roman"/>
          <w:i/>
          <w:noProof/>
          <w:sz w:val="24"/>
          <w:szCs w:val="24"/>
        </w:rPr>
        <w:tab/>
        <w:t>The Secretaries</w:t>
      </w:r>
    </w:p>
    <w:p w14:paraId="545FAFB2" w14:textId="77777777" w:rsidR="00106D28" w:rsidRPr="00E36584" w:rsidRDefault="00106D28" w:rsidP="00106D28">
      <w:pPr>
        <w:pStyle w:val="ListParagraph"/>
        <w:tabs>
          <w:tab w:val="left" w:pos="4253"/>
        </w:tabs>
        <w:ind w:left="0"/>
        <w:rPr>
          <w:rFonts w:cs="Times New Roman"/>
          <w:i/>
          <w:noProof/>
          <w:sz w:val="24"/>
          <w:szCs w:val="24"/>
        </w:rPr>
      </w:pPr>
      <w:r w:rsidRPr="00E36584">
        <w:rPr>
          <w:rFonts w:cs="Times New Roman"/>
          <w:i/>
          <w:noProof/>
          <w:sz w:val="24"/>
          <w:szCs w:val="24"/>
        </w:rPr>
        <w:tab/>
        <w:t>To the EEA Joint Committee</w:t>
      </w:r>
    </w:p>
    <w:p w14:paraId="75E422F1" w14:textId="77777777" w:rsidR="00106D28" w:rsidRDefault="00106D28" w:rsidP="00106D28">
      <w:pPr>
        <w:pStyle w:val="ListParagraph"/>
        <w:tabs>
          <w:tab w:val="left" w:pos="4253"/>
        </w:tabs>
        <w:ind w:left="0"/>
        <w:rPr>
          <w:noProof/>
          <w:sz w:val="24"/>
          <w:szCs w:val="24"/>
        </w:rPr>
      </w:pPr>
      <w:r w:rsidRPr="00E36584">
        <w:rPr>
          <w:rFonts w:cs="Times New Roman"/>
          <w:i/>
          <w:noProof/>
          <w:sz w:val="24"/>
          <w:szCs w:val="24"/>
        </w:rPr>
        <w:tab/>
      </w:r>
      <w:r w:rsidRPr="00E36584">
        <w:rPr>
          <w:rStyle w:val="Marker"/>
          <w:rFonts w:cs="Times New Roman"/>
          <w:i/>
          <w:noProof/>
          <w:sz w:val="24"/>
          <w:szCs w:val="24"/>
        </w:rPr>
        <w:t>[…]</w:t>
      </w:r>
    </w:p>
    <w:p w14:paraId="4C1D6B3D" w14:textId="77777777" w:rsidR="00106D28" w:rsidRPr="00103A18" w:rsidRDefault="00106D28" w:rsidP="00106D28">
      <w:pPr>
        <w:rPr>
          <w:noProof/>
          <w:szCs w:val="24"/>
        </w:rPr>
      </w:pPr>
    </w:p>
    <w:p w14:paraId="1FA7EE63" w14:textId="77777777" w:rsidR="00106D28" w:rsidRDefault="00106D28" w:rsidP="00BB37E9">
      <w:pPr>
        <w:pStyle w:val="Body"/>
        <w:spacing w:before="360" w:after="0"/>
        <w:jc w:val="center"/>
        <w:rPr>
          <w:b/>
          <w:bCs/>
          <w:noProof/>
        </w:rPr>
      </w:pPr>
    </w:p>
    <w:sectPr w:rsidR="00106D28" w:rsidSect="005E2D28">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2E04D9" w14:textId="77777777" w:rsidR="00FA089C" w:rsidRDefault="00FA089C" w:rsidP="00FA089C">
      <w:pPr>
        <w:spacing w:before="0" w:after="0"/>
      </w:pPr>
      <w:r>
        <w:separator/>
      </w:r>
    </w:p>
  </w:endnote>
  <w:endnote w:type="continuationSeparator" w:id="0">
    <w:p w14:paraId="45835202" w14:textId="77777777" w:rsidR="00FA089C" w:rsidRDefault="00FA089C" w:rsidP="00FA089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624220" w14:textId="576BC300" w:rsidR="005E2D28" w:rsidRPr="005E2D28" w:rsidRDefault="005E2D28" w:rsidP="005E2D28">
    <w:pPr>
      <w:pStyle w:val="Footer"/>
      <w:rPr>
        <w:rFonts w:ascii="Arial" w:hAnsi="Arial" w:cs="Arial"/>
        <w:b/>
        <w:sz w:val="48"/>
      </w:rPr>
    </w:pPr>
    <w:r w:rsidRPr="005E2D28">
      <w:rPr>
        <w:rFonts w:ascii="Arial" w:hAnsi="Arial" w:cs="Arial"/>
        <w:b/>
        <w:sz w:val="48"/>
      </w:rPr>
      <w:t>EN</w:t>
    </w:r>
    <w:r w:rsidRPr="005E2D28">
      <w:rPr>
        <w:rFonts w:ascii="Arial" w:hAnsi="Arial" w:cs="Arial"/>
        <w:b/>
        <w:sz w:val="48"/>
      </w:rPr>
      <w:tab/>
    </w:r>
    <w:r w:rsidRPr="005E2D28">
      <w:rPr>
        <w:rFonts w:ascii="Arial" w:hAnsi="Arial" w:cs="Arial"/>
        <w:b/>
        <w:sz w:val="48"/>
      </w:rPr>
      <w:tab/>
    </w:r>
    <w:r w:rsidRPr="005E2D28">
      <w:tab/>
    </w:r>
    <w:r w:rsidRPr="005E2D28">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5912C5" w14:textId="337C7B7B" w:rsidR="005E2D28" w:rsidRPr="005E2D28" w:rsidRDefault="005E2D28" w:rsidP="005E2D28">
    <w:pPr>
      <w:pStyle w:val="Footer"/>
      <w:rPr>
        <w:rFonts w:ascii="Arial" w:hAnsi="Arial" w:cs="Arial"/>
        <w:b/>
        <w:sz w:val="48"/>
      </w:rPr>
    </w:pPr>
    <w:r w:rsidRPr="005E2D28">
      <w:rPr>
        <w:rFonts w:ascii="Arial" w:hAnsi="Arial" w:cs="Arial"/>
        <w:b/>
        <w:sz w:val="48"/>
      </w:rPr>
      <w:t>EN</w:t>
    </w:r>
    <w:r w:rsidRPr="005E2D28">
      <w:rPr>
        <w:rFonts w:ascii="Arial" w:hAnsi="Arial" w:cs="Arial"/>
        <w:b/>
        <w:sz w:val="48"/>
      </w:rPr>
      <w:tab/>
    </w:r>
    <w:r w:rsidRPr="005E2D28">
      <w:rPr>
        <w:rFonts w:ascii="Arial" w:hAnsi="Arial" w:cs="Arial"/>
        <w:b/>
        <w:sz w:val="48"/>
      </w:rPr>
      <w:tab/>
    </w:r>
    <w:r w:rsidRPr="005E2D28">
      <w:tab/>
    </w:r>
    <w:r w:rsidRPr="005E2D28">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1563BC" w14:textId="77777777" w:rsidR="005E2D28" w:rsidRPr="005E2D28" w:rsidRDefault="005E2D28" w:rsidP="005E2D2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5E28F5" w14:textId="77777777" w:rsidR="005E2D28" w:rsidRDefault="005E2D2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EEA42B" w14:textId="31CB123C" w:rsidR="005E2D28" w:rsidRPr="005E2D28" w:rsidRDefault="005E2D28" w:rsidP="005E2D28">
    <w:pPr>
      <w:pStyle w:val="Footer"/>
      <w:rPr>
        <w:rFonts w:ascii="Arial" w:hAnsi="Arial" w:cs="Arial"/>
        <w:b/>
        <w:sz w:val="48"/>
      </w:rPr>
    </w:pPr>
    <w:r w:rsidRPr="005E2D28">
      <w:rPr>
        <w:rFonts w:ascii="Arial" w:hAnsi="Arial" w:cs="Arial"/>
        <w:b/>
        <w:sz w:val="48"/>
      </w:rPr>
      <w:t>EN</w:t>
    </w:r>
    <w:r w:rsidRPr="005E2D28">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5E2D28">
      <w:tab/>
    </w:r>
    <w:r w:rsidRPr="005E2D28">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1C774C" w14:textId="77777777" w:rsidR="005E2D28" w:rsidRDefault="005E2D28" w:rsidP="005E2D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7EA2FA" w14:textId="77777777" w:rsidR="00FA089C" w:rsidRDefault="00FA089C" w:rsidP="00FA089C">
      <w:pPr>
        <w:spacing w:before="0" w:after="0"/>
      </w:pPr>
      <w:r>
        <w:separator/>
      </w:r>
    </w:p>
  </w:footnote>
  <w:footnote w:type="continuationSeparator" w:id="0">
    <w:p w14:paraId="1B917265" w14:textId="77777777" w:rsidR="00FA089C" w:rsidRDefault="00FA089C" w:rsidP="00FA089C">
      <w:pPr>
        <w:spacing w:before="0" w:after="0"/>
      </w:pPr>
      <w:r>
        <w:continuationSeparator/>
      </w:r>
    </w:p>
  </w:footnote>
  <w:footnote w:id="1">
    <w:p w14:paraId="5CE0A103" w14:textId="77777777" w:rsidR="00106D28" w:rsidRPr="00A055A9" w:rsidRDefault="00106D28" w:rsidP="00106D28">
      <w:pPr>
        <w:pStyle w:val="FootnoteText"/>
        <w:rPr>
          <w:lang w:val="nl-NL"/>
        </w:rPr>
      </w:pPr>
      <w:r>
        <w:rPr>
          <w:rStyle w:val="FootnoteReference"/>
        </w:rPr>
        <w:footnoteRef/>
      </w:r>
      <w:r w:rsidRPr="00A055A9">
        <w:rPr>
          <w:lang w:val="nl-NL"/>
        </w:rPr>
        <w:tab/>
        <w:t>OJ L 113, 1.5.2015, p. 13.</w:t>
      </w:r>
    </w:p>
  </w:footnote>
  <w:footnote w:id="2">
    <w:p w14:paraId="308DD9BD" w14:textId="77777777" w:rsidR="00106D28" w:rsidRPr="0032306B" w:rsidRDefault="00106D28" w:rsidP="00106D28">
      <w:pPr>
        <w:pStyle w:val="FootnoteText"/>
        <w:rPr>
          <w:lang w:val="pl-PL"/>
        </w:rPr>
      </w:pPr>
      <w:r>
        <w:rPr>
          <w:rStyle w:val="FootnoteReference"/>
        </w:rPr>
        <w:footnoteRef/>
      </w:r>
      <w:r w:rsidRPr="0032306B">
        <w:rPr>
          <w:lang w:val="pl-PL"/>
        </w:rPr>
        <w:tab/>
      </w:r>
      <w:r w:rsidRPr="00471C49">
        <w:rPr>
          <w:lang w:val="is-IS"/>
        </w:rPr>
        <w:t>OJ L 36, 7.2.2019, p. 44</w:t>
      </w:r>
      <w:r>
        <w:rPr>
          <w:lang w:val="is-IS"/>
        </w:rPr>
        <w:t>.</w:t>
      </w:r>
    </w:p>
  </w:footnote>
  <w:footnote w:id="3">
    <w:p w14:paraId="4CE705D8" w14:textId="77777777" w:rsidR="00106D28" w:rsidRPr="00471C49" w:rsidRDefault="00106D28" w:rsidP="00106D28">
      <w:pPr>
        <w:pStyle w:val="FootnoteText"/>
        <w:rPr>
          <w:lang w:val="is-IS"/>
        </w:rPr>
      </w:pPr>
      <w:r>
        <w:rPr>
          <w:rStyle w:val="FootnoteReference"/>
        </w:rPr>
        <w:footnoteRef/>
      </w:r>
      <w:r>
        <w:rPr>
          <w:lang w:val="is-IS"/>
        </w:rPr>
        <w:tab/>
      </w:r>
      <w:bookmarkStart w:id="4" w:name="_Hlk24620180"/>
      <w:r w:rsidRPr="00471C49">
        <w:rPr>
          <w:lang w:val="is-IS"/>
        </w:rPr>
        <w:t>OJ L 36, 7.2.2019, p. 44</w:t>
      </w:r>
      <w:r>
        <w:rPr>
          <w:lang w:val="is-IS"/>
        </w:rPr>
        <w:t>.</w:t>
      </w:r>
      <w:bookmarkEnd w:id="4"/>
    </w:p>
  </w:footnote>
  <w:footnote w:id="4">
    <w:p w14:paraId="55D815AC" w14:textId="77777777" w:rsidR="00106D28" w:rsidRPr="00FF63F3" w:rsidRDefault="00106D28" w:rsidP="00106D28">
      <w:pPr>
        <w:pStyle w:val="FootnoteText"/>
      </w:pPr>
      <w:r w:rsidRPr="00E128B9">
        <w:rPr>
          <w:rStyle w:val="FootnoteReference"/>
        </w:rPr>
        <w:footnoteRef/>
      </w:r>
      <w:r w:rsidR="00E128B9">
        <w:tab/>
      </w:r>
      <w:r w:rsidRPr="00FF63F3">
        <w:t>OJ L 211, 14.8.2009, p. 36</w:t>
      </w:r>
      <w:r>
        <w:t>.</w:t>
      </w:r>
    </w:p>
  </w:footnote>
  <w:footnote w:id="5">
    <w:p w14:paraId="5DC43808" w14:textId="77777777" w:rsidR="00106D28" w:rsidRPr="00FF63F3" w:rsidRDefault="00106D28" w:rsidP="00106D28">
      <w:pPr>
        <w:pStyle w:val="FootnoteText"/>
      </w:pPr>
      <w:r w:rsidRPr="00E128B9">
        <w:rPr>
          <w:rStyle w:val="FootnoteReference"/>
        </w:rPr>
        <w:footnoteRef/>
      </w:r>
      <w:r w:rsidR="00E128B9">
        <w:tab/>
      </w:r>
      <w:r w:rsidRPr="00FF63F3">
        <w:t>OJ L 36, 7.2.2019, p. 44.</w:t>
      </w:r>
    </w:p>
  </w:footnote>
  <w:footnote w:id="6">
    <w:p w14:paraId="4BA66EDC" w14:textId="77777777" w:rsidR="00106D28" w:rsidRPr="004C219A" w:rsidRDefault="00106D28" w:rsidP="00106D28">
      <w:pPr>
        <w:pStyle w:val="FootnoteText"/>
        <w:rPr>
          <w:rFonts w:eastAsia="Calibri"/>
        </w:rPr>
      </w:pPr>
      <w:r w:rsidRPr="004C219A">
        <w:rPr>
          <w:rStyle w:val="FootnoteReference"/>
          <w:rFonts w:eastAsia="Calibri"/>
        </w:rPr>
        <w:sym w:font="Symbol" w:char="F02A"/>
      </w:r>
      <w:r w:rsidRPr="004C219A">
        <w:rPr>
          <w:rFonts w:eastAsia="Calibri"/>
        </w:rPr>
        <w:tab/>
        <w:t>[No constitutional requirements indicated.] [Constitutional requirements indicated.]</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BA2358" w14:textId="77777777" w:rsidR="005E2D28" w:rsidRPr="005E2D28" w:rsidRDefault="005E2D28" w:rsidP="005E2D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E4B510" w14:textId="77777777" w:rsidR="005E2D28" w:rsidRPr="005E2D28" w:rsidRDefault="005E2D28" w:rsidP="005E2D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7250DA" w14:textId="77777777" w:rsidR="005E2D28" w:rsidRPr="005E2D28" w:rsidRDefault="005E2D28" w:rsidP="005E2D2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507A99" w14:textId="77777777" w:rsidR="005E2D28" w:rsidRDefault="005E2D2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BE8B90" w14:textId="77777777" w:rsidR="005E2D28" w:rsidRDefault="005E2D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C048214E"/>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3EE2F7B6"/>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321E28C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D8AE4D92"/>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4D6D6A4"/>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B44C5CA"/>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A70C68A"/>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81A2A96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38317848"/>
    <w:multiLevelType w:val="hybridMultilevel"/>
    <w:tmpl w:val="4F1C422C"/>
    <w:styleLink w:val="ImportedStyle5"/>
    <w:lvl w:ilvl="0" w:tplc="EC5AFA20">
      <w:start w:val="1"/>
      <w:numFmt w:val="lowerRoman"/>
      <w:lvlText w:val="(%1)"/>
      <w:lvlJc w:val="left"/>
      <w:pPr>
        <w:tabs>
          <w:tab w:val="left" w:pos="4253"/>
        </w:tabs>
        <w:ind w:left="1429"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5C88343C">
      <w:start w:val="1"/>
      <w:numFmt w:val="lowerLetter"/>
      <w:lvlText w:val="%2."/>
      <w:lvlJc w:val="left"/>
      <w:pPr>
        <w:tabs>
          <w:tab w:val="left" w:pos="4253"/>
        </w:tabs>
        <w:ind w:left="1789"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46EC5040">
      <w:start w:val="1"/>
      <w:numFmt w:val="lowerRoman"/>
      <w:lvlText w:val="%3."/>
      <w:lvlJc w:val="left"/>
      <w:pPr>
        <w:tabs>
          <w:tab w:val="left" w:pos="4253"/>
        </w:tabs>
        <w:ind w:left="2509"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3A06782A">
      <w:start w:val="1"/>
      <w:numFmt w:val="decimal"/>
      <w:lvlText w:val="%4."/>
      <w:lvlJc w:val="left"/>
      <w:pPr>
        <w:tabs>
          <w:tab w:val="left" w:pos="4253"/>
        </w:tabs>
        <w:ind w:left="3229"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6B64606E">
      <w:start w:val="1"/>
      <w:numFmt w:val="lowerLetter"/>
      <w:lvlText w:val="%5."/>
      <w:lvlJc w:val="left"/>
      <w:pPr>
        <w:tabs>
          <w:tab w:val="left" w:pos="4253"/>
        </w:tabs>
        <w:ind w:left="3949"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B92C608E">
      <w:start w:val="1"/>
      <w:numFmt w:val="lowerRoman"/>
      <w:lvlText w:val="%6."/>
      <w:lvlJc w:val="left"/>
      <w:pPr>
        <w:tabs>
          <w:tab w:val="left" w:pos="4253"/>
        </w:tabs>
        <w:ind w:left="4669"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88140508">
      <w:start w:val="1"/>
      <w:numFmt w:val="decimal"/>
      <w:lvlText w:val="%7."/>
      <w:lvlJc w:val="left"/>
      <w:pPr>
        <w:tabs>
          <w:tab w:val="left" w:pos="4253"/>
        </w:tabs>
        <w:ind w:left="5389"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45ECC0AC">
      <w:start w:val="1"/>
      <w:numFmt w:val="lowerLetter"/>
      <w:lvlText w:val="%8."/>
      <w:lvlJc w:val="left"/>
      <w:pPr>
        <w:tabs>
          <w:tab w:val="left" w:pos="4253"/>
        </w:tabs>
        <w:ind w:left="6109"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40708CAC">
      <w:start w:val="1"/>
      <w:numFmt w:val="lowerRoman"/>
      <w:lvlText w:val="%9."/>
      <w:lvlJc w:val="left"/>
      <w:pPr>
        <w:tabs>
          <w:tab w:val="left" w:pos="4253"/>
        </w:tabs>
        <w:ind w:left="6829"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396A54C1"/>
    <w:multiLevelType w:val="hybridMultilevel"/>
    <w:tmpl w:val="92CE67CA"/>
    <w:styleLink w:val="ImportedStyle2"/>
    <w:lvl w:ilvl="0" w:tplc="250EEA4C">
      <w:start w:val="1"/>
      <w:numFmt w:val="decimal"/>
      <w:lvlText w:val="(%1)"/>
      <w:lvlJc w:val="left"/>
      <w:pPr>
        <w:ind w:left="709" w:hanging="709"/>
      </w:pPr>
      <w:rPr>
        <w:rFonts w:hAnsi="Arial Unicode MS"/>
        <w:caps w:val="0"/>
        <w:smallCaps w:val="0"/>
        <w:strike w:val="0"/>
        <w:dstrike w:val="0"/>
        <w:outline w:val="0"/>
        <w:emboss w:val="0"/>
        <w:imprint w:val="0"/>
        <w:spacing w:val="0"/>
        <w:w w:val="100"/>
        <w:kern w:val="0"/>
        <w:position w:val="0"/>
        <w:highlight w:val="none"/>
        <w:vertAlign w:val="baseline"/>
      </w:rPr>
    </w:lvl>
    <w:lvl w:ilvl="1" w:tplc="EBCCA95A">
      <w:start w:val="1"/>
      <w:numFmt w:val="lowerLetter"/>
      <w:lvlText w:val="%2."/>
      <w:lvlJc w:val="left"/>
      <w:pPr>
        <w:tabs>
          <w:tab w:val="left" w:pos="709"/>
        </w:tabs>
        <w:ind w:left="1429" w:hanging="709"/>
      </w:pPr>
      <w:rPr>
        <w:rFonts w:hAnsi="Arial Unicode MS"/>
        <w:caps w:val="0"/>
        <w:smallCaps w:val="0"/>
        <w:strike w:val="0"/>
        <w:dstrike w:val="0"/>
        <w:outline w:val="0"/>
        <w:emboss w:val="0"/>
        <w:imprint w:val="0"/>
        <w:spacing w:val="0"/>
        <w:w w:val="100"/>
        <w:kern w:val="0"/>
        <w:position w:val="0"/>
        <w:highlight w:val="none"/>
        <w:vertAlign w:val="baseline"/>
      </w:rPr>
    </w:lvl>
    <w:lvl w:ilvl="2" w:tplc="6EB44E02">
      <w:start w:val="1"/>
      <w:numFmt w:val="lowerRoman"/>
      <w:lvlText w:val="%3."/>
      <w:lvlJc w:val="left"/>
      <w:pPr>
        <w:tabs>
          <w:tab w:val="left" w:pos="709"/>
        </w:tabs>
        <w:ind w:left="2149" w:hanging="649"/>
      </w:pPr>
      <w:rPr>
        <w:rFonts w:hAnsi="Arial Unicode MS"/>
        <w:caps w:val="0"/>
        <w:smallCaps w:val="0"/>
        <w:strike w:val="0"/>
        <w:dstrike w:val="0"/>
        <w:outline w:val="0"/>
        <w:emboss w:val="0"/>
        <w:imprint w:val="0"/>
        <w:spacing w:val="0"/>
        <w:w w:val="100"/>
        <w:kern w:val="0"/>
        <w:position w:val="0"/>
        <w:highlight w:val="none"/>
        <w:vertAlign w:val="baseline"/>
      </w:rPr>
    </w:lvl>
    <w:lvl w:ilvl="3" w:tplc="10CA95AE">
      <w:start w:val="1"/>
      <w:numFmt w:val="decimal"/>
      <w:lvlText w:val="%4."/>
      <w:lvlJc w:val="left"/>
      <w:pPr>
        <w:tabs>
          <w:tab w:val="left" w:pos="709"/>
        </w:tabs>
        <w:ind w:left="2869" w:hanging="709"/>
      </w:pPr>
      <w:rPr>
        <w:rFonts w:hAnsi="Arial Unicode MS"/>
        <w:caps w:val="0"/>
        <w:smallCaps w:val="0"/>
        <w:strike w:val="0"/>
        <w:dstrike w:val="0"/>
        <w:outline w:val="0"/>
        <w:emboss w:val="0"/>
        <w:imprint w:val="0"/>
        <w:spacing w:val="0"/>
        <w:w w:val="100"/>
        <w:kern w:val="0"/>
        <w:position w:val="0"/>
        <w:highlight w:val="none"/>
        <w:vertAlign w:val="baseline"/>
      </w:rPr>
    </w:lvl>
    <w:lvl w:ilvl="4" w:tplc="D4E2A348">
      <w:start w:val="1"/>
      <w:numFmt w:val="lowerLetter"/>
      <w:lvlText w:val="%5."/>
      <w:lvlJc w:val="left"/>
      <w:pPr>
        <w:tabs>
          <w:tab w:val="left" w:pos="709"/>
        </w:tabs>
        <w:ind w:left="3589" w:hanging="709"/>
      </w:pPr>
      <w:rPr>
        <w:rFonts w:hAnsi="Arial Unicode MS"/>
        <w:caps w:val="0"/>
        <w:smallCaps w:val="0"/>
        <w:strike w:val="0"/>
        <w:dstrike w:val="0"/>
        <w:outline w:val="0"/>
        <w:emboss w:val="0"/>
        <w:imprint w:val="0"/>
        <w:spacing w:val="0"/>
        <w:w w:val="100"/>
        <w:kern w:val="0"/>
        <w:position w:val="0"/>
        <w:highlight w:val="none"/>
        <w:vertAlign w:val="baseline"/>
      </w:rPr>
    </w:lvl>
    <w:lvl w:ilvl="5" w:tplc="6B94ADAA">
      <w:start w:val="1"/>
      <w:numFmt w:val="lowerRoman"/>
      <w:lvlText w:val="%6."/>
      <w:lvlJc w:val="left"/>
      <w:pPr>
        <w:tabs>
          <w:tab w:val="left" w:pos="709"/>
        </w:tabs>
        <w:ind w:left="4309" w:hanging="649"/>
      </w:pPr>
      <w:rPr>
        <w:rFonts w:hAnsi="Arial Unicode MS"/>
        <w:caps w:val="0"/>
        <w:smallCaps w:val="0"/>
        <w:strike w:val="0"/>
        <w:dstrike w:val="0"/>
        <w:outline w:val="0"/>
        <w:emboss w:val="0"/>
        <w:imprint w:val="0"/>
        <w:spacing w:val="0"/>
        <w:w w:val="100"/>
        <w:kern w:val="0"/>
        <w:position w:val="0"/>
        <w:highlight w:val="none"/>
        <w:vertAlign w:val="baseline"/>
      </w:rPr>
    </w:lvl>
    <w:lvl w:ilvl="6" w:tplc="F99A3974">
      <w:start w:val="1"/>
      <w:numFmt w:val="decimal"/>
      <w:lvlText w:val="%7."/>
      <w:lvlJc w:val="left"/>
      <w:pPr>
        <w:tabs>
          <w:tab w:val="left" w:pos="709"/>
        </w:tabs>
        <w:ind w:left="5029" w:hanging="709"/>
      </w:pPr>
      <w:rPr>
        <w:rFonts w:hAnsi="Arial Unicode MS"/>
        <w:caps w:val="0"/>
        <w:smallCaps w:val="0"/>
        <w:strike w:val="0"/>
        <w:dstrike w:val="0"/>
        <w:outline w:val="0"/>
        <w:emboss w:val="0"/>
        <w:imprint w:val="0"/>
        <w:spacing w:val="0"/>
        <w:w w:val="100"/>
        <w:kern w:val="0"/>
        <w:position w:val="0"/>
        <w:highlight w:val="none"/>
        <w:vertAlign w:val="baseline"/>
      </w:rPr>
    </w:lvl>
    <w:lvl w:ilvl="7" w:tplc="9B8CF956">
      <w:start w:val="1"/>
      <w:numFmt w:val="lowerLetter"/>
      <w:lvlText w:val="%8."/>
      <w:lvlJc w:val="left"/>
      <w:pPr>
        <w:tabs>
          <w:tab w:val="left" w:pos="709"/>
        </w:tabs>
        <w:ind w:left="5749" w:hanging="709"/>
      </w:pPr>
      <w:rPr>
        <w:rFonts w:hAnsi="Arial Unicode MS"/>
        <w:caps w:val="0"/>
        <w:smallCaps w:val="0"/>
        <w:strike w:val="0"/>
        <w:dstrike w:val="0"/>
        <w:outline w:val="0"/>
        <w:emboss w:val="0"/>
        <w:imprint w:val="0"/>
        <w:spacing w:val="0"/>
        <w:w w:val="100"/>
        <w:kern w:val="0"/>
        <w:position w:val="0"/>
        <w:highlight w:val="none"/>
        <w:vertAlign w:val="baseline"/>
      </w:rPr>
    </w:lvl>
    <w:lvl w:ilvl="8" w:tplc="132A9D0A">
      <w:start w:val="1"/>
      <w:numFmt w:val="lowerRoman"/>
      <w:lvlText w:val="%9."/>
      <w:lvlJc w:val="left"/>
      <w:pPr>
        <w:tabs>
          <w:tab w:val="left" w:pos="709"/>
        </w:tabs>
        <w:ind w:left="6469" w:hanging="64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5"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6"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7"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8" w15:restartNumberingAfterBreak="0">
    <w:nsid w:val="4D8772F7"/>
    <w:multiLevelType w:val="hybridMultilevel"/>
    <w:tmpl w:val="8F262F1E"/>
    <w:styleLink w:val="ImportedStyle3"/>
    <w:lvl w:ilvl="0" w:tplc="F5905822">
      <w:start w:val="1"/>
      <w:numFmt w:val="decimal"/>
      <w:lvlText w:val="%1."/>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852C7186">
      <w:start w:val="1"/>
      <w:numFmt w:val="lowerLetter"/>
      <w:lvlText w:val="%2."/>
      <w:lvlJc w:val="left"/>
      <w:pPr>
        <w:ind w:left="1440" w:hanging="720"/>
      </w:pPr>
      <w:rPr>
        <w:rFonts w:hAnsi="Arial Unicode MS"/>
        <w:caps w:val="0"/>
        <w:smallCaps w:val="0"/>
        <w:strike w:val="0"/>
        <w:dstrike w:val="0"/>
        <w:outline w:val="0"/>
        <w:emboss w:val="0"/>
        <w:imprint w:val="0"/>
        <w:spacing w:val="0"/>
        <w:w w:val="100"/>
        <w:kern w:val="0"/>
        <w:position w:val="0"/>
        <w:highlight w:val="none"/>
        <w:vertAlign w:val="baseline"/>
      </w:rPr>
    </w:lvl>
    <w:lvl w:ilvl="2" w:tplc="7BAE3022">
      <w:start w:val="1"/>
      <w:numFmt w:val="lowerRoman"/>
      <w:lvlText w:val="%3."/>
      <w:lvlJc w:val="left"/>
      <w:pPr>
        <w:ind w:left="2160" w:hanging="660"/>
      </w:pPr>
      <w:rPr>
        <w:rFonts w:hAnsi="Arial Unicode MS"/>
        <w:caps w:val="0"/>
        <w:smallCaps w:val="0"/>
        <w:strike w:val="0"/>
        <w:dstrike w:val="0"/>
        <w:outline w:val="0"/>
        <w:emboss w:val="0"/>
        <w:imprint w:val="0"/>
        <w:spacing w:val="0"/>
        <w:w w:val="100"/>
        <w:kern w:val="0"/>
        <w:position w:val="0"/>
        <w:highlight w:val="none"/>
        <w:vertAlign w:val="baseline"/>
      </w:rPr>
    </w:lvl>
    <w:lvl w:ilvl="3" w:tplc="1756AE04">
      <w:start w:val="1"/>
      <w:numFmt w:val="decimal"/>
      <w:lvlText w:val="%4."/>
      <w:lvlJc w:val="left"/>
      <w:pPr>
        <w:ind w:left="2880" w:hanging="720"/>
      </w:pPr>
      <w:rPr>
        <w:rFonts w:hAnsi="Arial Unicode MS"/>
        <w:caps w:val="0"/>
        <w:smallCaps w:val="0"/>
        <w:strike w:val="0"/>
        <w:dstrike w:val="0"/>
        <w:outline w:val="0"/>
        <w:emboss w:val="0"/>
        <w:imprint w:val="0"/>
        <w:spacing w:val="0"/>
        <w:w w:val="100"/>
        <w:kern w:val="0"/>
        <w:position w:val="0"/>
        <w:highlight w:val="none"/>
        <w:vertAlign w:val="baseline"/>
      </w:rPr>
    </w:lvl>
    <w:lvl w:ilvl="4" w:tplc="5F103FAA">
      <w:start w:val="1"/>
      <w:numFmt w:val="lowerLetter"/>
      <w:lvlText w:val="%5."/>
      <w:lvlJc w:val="left"/>
      <w:pPr>
        <w:ind w:left="3600" w:hanging="720"/>
      </w:pPr>
      <w:rPr>
        <w:rFonts w:hAnsi="Arial Unicode MS"/>
        <w:caps w:val="0"/>
        <w:smallCaps w:val="0"/>
        <w:strike w:val="0"/>
        <w:dstrike w:val="0"/>
        <w:outline w:val="0"/>
        <w:emboss w:val="0"/>
        <w:imprint w:val="0"/>
        <w:spacing w:val="0"/>
        <w:w w:val="100"/>
        <w:kern w:val="0"/>
        <w:position w:val="0"/>
        <w:highlight w:val="none"/>
        <w:vertAlign w:val="baseline"/>
      </w:rPr>
    </w:lvl>
    <w:lvl w:ilvl="5" w:tplc="B15E06E4">
      <w:start w:val="1"/>
      <w:numFmt w:val="lowerRoman"/>
      <w:lvlText w:val="%6."/>
      <w:lvlJc w:val="left"/>
      <w:pPr>
        <w:ind w:left="4320" w:hanging="660"/>
      </w:pPr>
      <w:rPr>
        <w:rFonts w:hAnsi="Arial Unicode MS"/>
        <w:caps w:val="0"/>
        <w:smallCaps w:val="0"/>
        <w:strike w:val="0"/>
        <w:dstrike w:val="0"/>
        <w:outline w:val="0"/>
        <w:emboss w:val="0"/>
        <w:imprint w:val="0"/>
        <w:spacing w:val="0"/>
        <w:w w:val="100"/>
        <w:kern w:val="0"/>
        <w:position w:val="0"/>
        <w:highlight w:val="none"/>
        <w:vertAlign w:val="baseline"/>
      </w:rPr>
    </w:lvl>
    <w:lvl w:ilvl="6" w:tplc="99421980">
      <w:start w:val="1"/>
      <w:numFmt w:val="decimal"/>
      <w:lvlText w:val="%7."/>
      <w:lvlJc w:val="left"/>
      <w:pPr>
        <w:ind w:left="5040" w:hanging="720"/>
      </w:pPr>
      <w:rPr>
        <w:rFonts w:hAnsi="Arial Unicode MS"/>
        <w:caps w:val="0"/>
        <w:smallCaps w:val="0"/>
        <w:strike w:val="0"/>
        <w:dstrike w:val="0"/>
        <w:outline w:val="0"/>
        <w:emboss w:val="0"/>
        <w:imprint w:val="0"/>
        <w:spacing w:val="0"/>
        <w:w w:val="100"/>
        <w:kern w:val="0"/>
        <w:position w:val="0"/>
        <w:highlight w:val="none"/>
        <w:vertAlign w:val="baseline"/>
      </w:rPr>
    </w:lvl>
    <w:lvl w:ilvl="7" w:tplc="892CE9B8">
      <w:start w:val="1"/>
      <w:numFmt w:val="lowerLetter"/>
      <w:lvlText w:val="%8."/>
      <w:lvlJc w:val="left"/>
      <w:pPr>
        <w:ind w:left="5760" w:hanging="720"/>
      </w:pPr>
      <w:rPr>
        <w:rFonts w:hAnsi="Arial Unicode MS"/>
        <w:caps w:val="0"/>
        <w:smallCaps w:val="0"/>
        <w:strike w:val="0"/>
        <w:dstrike w:val="0"/>
        <w:outline w:val="0"/>
        <w:emboss w:val="0"/>
        <w:imprint w:val="0"/>
        <w:spacing w:val="0"/>
        <w:w w:val="100"/>
        <w:kern w:val="0"/>
        <w:position w:val="0"/>
        <w:highlight w:val="none"/>
        <w:vertAlign w:val="baseline"/>
      </w:rPr>
    </w:lvl>
    <w:lvl w:ilvl="8" w:tplc="CE3EA410">
      <w:start w:val="1"/>
      <w:numFmt w:val="lowerRoman"/>
      <w:lvlText w:val="%9."/>
      <w:lvlJc w:val="left"/>
      <w:pPr>
        <w:ind w:left="6480" w:hanging="6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1"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2"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3"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67101E9E"/>
    <w:multiLevelType w:val="hybridMultilevel"/>
    <w:tmpl w:val="8B24477A"/>
    <w:styleLink w:val="ImportedStyle4"/>
    <w:lvl w:ilvl="0" w:tplc="6A3876E8">
      <w:start w:val="1"/>
      <w:numFmt w:val="bullet"/>
      <w:lvlText w:val="-"/>
      <w:lvlJc w:val="left"/>
      <w:pPr>
        <w:tabs>
          <w:tab w:val="left" w:pos="4253"/>
        </w:tabs>
        <w:ind w:left="10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0660F91A">
      <w:start w:val="1"/>
      <w:numFmt w:val="bullet"/>
      <w:lvlText w:val="o"/>
      <w:lvlJc w:val="left"/>
      <w:pPr>
        <w:tabs>
          <w:tab w:val="left" w:pos="4253"/>
        </w:tabs>
        <w:ind w:left="18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E12839A2">
      <w:start w:val="1"/>
      <w:numFmt w:val="bullet"/>
      <w:lvlText w:val="▪"/>
      <w:lvlJc w:val="left"/>
      <w:pPr>
        <w:tabs>
          <w:tab w:val="left" w:pos="4253"/>
        </w:tabs>
        <w:ind w:left="25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59569132">
      <w:start w:val="1"/>
      <w:numFmt w:val="bullet"/>
      <w:lvlText w:val="•"/>
      <w:lvlJc w:val="left"/>
      <w:pPr>
        <w:tabs>
          <w:tab w:val="left" w:pos="4253"/>
        </w:tabs>
        <w:ind w:left="32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B49A3050">
      <w:start w:val="1"/>
      <w:numFmt w:val="bullet"/>
      <w:lvlText w:val="o"/>
      <w:lvlJc w:val="left"/>
      <w:pPr>
        <w:tabs>
          <w:tab w:val="left" w:pos="4253"/>
        </w:tabs>
        <w:ind w:left="39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B59A70DC">
      <w:start w:val="1"/>
      <w:numFmt w:val="bullet"/>
      <w:lvlText w:val="▪"/>
      <w:lvlJc w:val="left"/>
      <w:pPr>
        <w:tabs>
          <w:tab w:val="left" w:pos="4253"/>
        </w:tabs>
        <w:ind w:left="46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025AA64E">
      <w:start w:val="1"/>
      <w:numFmt w:val="bullet"/>
      <w:lvlText w:val="•"/>
      <w:lvlJc w:val="left"/>
      <w:pPr>
        <w:tabs>
          <w:tab w:val="left" w:pos="4253"/>
        </w:tabs>
        <w:ind w:left="54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69708338">
      <w:start w:val="1"/>
      <w:numFmt w:val="bullet"/>
      <w:lvlText w:val="o"/>
      <w:lvlJc w:val="left"/>
      <w:pPr>
        <w:tabs>
          <w:tab w:val="left" w:pos="4253"/>
        </w:tabs>
        <w:ind w:left="61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99ACCA00">
      <w:start w:val="1"/>
      <w:numFmt w:val="bullet"/>
      <w:lvlText w:val="▪"/>
      <w:lvlJc w:val="left"/>
      <w:pPr>
        <w:tabs>
          <w:tab w:val="left" w:pos="4253"/>
        </w:tabs>
        <w:ind w:left="68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5"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6"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13"/>
  </w:num>
  <w:num w:numId="10">
    <w:abstractNumId w:val="18"/>
  </w:num>
  <w:num w:numId="11">
    <w:abstractNumId w:val="24"/>
  </w:num>
  <w:num w:numId="12">
    <w:abstractNumId w:val="12"/>
  </w:num>
  <w:num w:numId="13">
    <w:abstractNumId w:val="22"/>
  </w:num>
  <w:num w:numId="14">
    <w:abstractNumId w:val="14"/>
  </w:num>
  <w:num w:numId="15">
    <w:abstractNumId w:val="25"/>
  </w:num>
  <w:num w:numId="16">
    <w:abstractNumId w:val="11"/>
  </w:num>
  <w:num w:numId="17">
    <w:abstractNumId w:val="15"/>
  </w:num>
  <w:num w:numId="18">
    <w:abstractNumId w:val="16"/>
  </w:num>
  <w:num w:numId="19">
    <w:abstractNumId w:val="9"/>
  </w:num>
  <w:num w:numId="20">
    <w:abstractNumId w:val="23"/>
  </w:num>
  <w:num w:numId="21">
    <w:abstractNumId w:val="8"/>
  </w:num>
  <w:num w:numId="22">
    <w:abstractNumId w:val="17"/>
  </w:num>
  <w:num w:numId="23">
    <w:abstractNumId w:val="20"/>
  </w:num>
  <w:num w:numId="24">
    <w:abstractNumId w:val="21"/>
  </w:num>
  <w:num w:numId="25">
    <w:abstractNumId w:val="10"/>
  </w:num>
  <w:num w:numId="26">
    <w:abstractNumId w:val="19"/>
  </w:num>
  <w:num w:numId="27">
    <w:abstractNumId w:val="26"/>
  </w:num>
  <w:num w:numId="2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2"/>
  </w:num>
  <w:num w:numId="30">
    <w:abstractNumId w:val="14"/>
  </w:num>
  <w:num w:numId="31">
    <w:abstractNumId w:val="25"/>
  </w:num>
  <w:num w:numId="32">
    <w:abstractNumId w:val="11"/>
  </w:num>
  <w:num w:numId="33">
    <w:abstractNumId w:val="15"/>
  </w:num>
  <w:num w:numId="34">
    <w:abstractNumId w:val="16"/>
  </w:num>
  <w:num w:numId="35">
    <w:abstractNumId w:val="9"/>
  </w:num>
  <w:num w:numId="36">
    <w:abstractNumId w:val="23"/>
  </w:num>
  <w:num w:numId="37">
    <w:abstractNumId w:val="8"/>
  </w:num>
  <w:num w:numId="38">
    <w:abstractNumId w:val="17"/>
  </w:num>
  <w:num w:numId="39">
    <w:abstractNumId w:val="20"/>
  </w:num>
  <w:num w:numId="40">
    <w:abstractNumId w:val="21"/>
  </w:num>
  <w:num w:numId="41">
    <w:abstractNumId w:val="10"/>
  </w:num>
  <w:num w:numId="42">
    <w:abstractNumId w:val="19"/>
  </w:num>
  <w:num w:numId="43">
    <w:abstractNumId w:val="2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characterSpacingControl w:val="doNotCompress"/>
  <w:hdrShapeDefaults>
    <o:shapedefaults v:ext="edit" spidmax="860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R_RefLast" w:val="0"/>
    <w:docVar w:name="DQCDateTime" w:val="2026-07-27 09:02:2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to the"/>
    <w:docVar w:name="LW_ACCOMPAGNANT.CP" w:val="to the"/>
    <w:docVar w:name="LW_ANNEX_NBR_FIRST" w:val="1"/>
    <w:docVar w:name="LW_ANNEX_NBR_LAST" w:val="1"/>
    <w:docVar w:name="LW_ANNEX_UNIQUE" w:val="1"/>
    <w:docVar w:name="LW_CORRIGENDUM" w:val="&lt;UNUSED&gt;"/>
    <w:docVar w:name="LW_COVERPAGE_EXISTS" w:val="True"/>
    <w:docVar w:name="LW_COVERPAGE_GUID" w:val="AC03CF76-5D26-49E6-81CC-9D781041EC53"/>
    <w:docVar w:name="LW_COVERPAGE_TYPE" w:val="1"/>
    <w:docVar w:name="LW_CROSSREFERENCE" w:val="&lt;UNUSED&gt;"/>
    <w:docVar w:name="LW_DocType" w:val="ANNEX"/>
    <w:docVar w:name="LW_EMISSION" w:val="27.7.2026"/>
    <w:docVar w:name="LW_EMISSION_ISODATE" w:val="2026-07-27"/>
    <w:docVar w:name="LW_EMISSION_LOCATION" w:val="BRX"/>
    <w:docVar w:name="LW_EMISSION_PREFIX" w:val="Brussels, "/>
    <w:docVar w:name="LW_EMISSION_SUFFIX" w:val=" "/>
    <w:docVar w:name="LW_ID_DOCSTRUCTURE" w:val="COM/ANNEX"/>
    <w:docVar w:name="LW_ID_DOCTYPE" w:val="SG-017"/>
    <w:docVar w:name="LW_LANGUE" w:val="EN"/>
    <w:docVar w:name="LW_LEVEL_OF_SENSITIVITY" w:val="Standard treatment"/>
    <w:docVar w:name="LW_NOM.INST" w:val="EUROPEAN COMMISSION"/>
    <w:docVar w:name="LW_NOM.INST_JOINTDOC" w:val="&lt;EMPTY&gt;"/>
    <w:docVar w:name="LW_OBJETACTEPRINCIPAL" w:val="on the position to be adopted, on behalf of the European Union, within the EEA Joint Committee concerning an amendment to Annex IV (Energy) to the EEA Agreement_x000d__x000d__x000b__x000d__x000d__x000b_(Network code on interoperability and data exchange rules)"/>
    <w:docVar w:name="LW_OBJETACTEPRINCIPAL.CP" w:val="on the position to be adopted, on behalf of the European Union, within the EEA Joint Committee concerning an amendment to Annex IV (Energy) to the EEA Agreement_x000d__x000d__x000b__x000d__x000d__x000b_(Network code on interoperability and data exchange rules)"/>
    <w:docVar w:name="LW_PART_NBR" w:val="1"/>
    <w:docVar w:name="LW_PART_NBR_TOTAL" w:val="1"/>
    <w:docVar w:name="LW_REF.INST.NEW" w:val="COM"/>
    <w:docVar w:name="LW_REF.INST.NEW_ADOPTED" w:val="final"/>
    <w:docVar w:name="LW_REF.INST.NEW_TEXT" w:val="(2026) 39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
    <w:docVar w:name="LW_TYPE.DOC.CP" w:val="ANNEX"/>
    <w:docVar w:name="LW_TYPEACTEPRINCIPAL" w:val="Proposal for a_x000b__x000b_COUNCIL DECISION"/>
    <w:docVar w:name="LW_TYPEACTEPRINCIPAL.CP" w:val="Proposal for a_x000b__x000b_COUNCIL DECISION"/>
    <w:docVar w:name="LwApiVersions" w:val="LW4CoDe 1.24.5.0; LW 9.2, Build 20251112"/>
  </w:docVars>
  <w:rsids>
    <w:rsidRoot w:val="00FA089C"/>
    <w:rsid w:val="00004945"/>
    <w:rsid w:val="00034722"/>
    <w:rsid w:val="000440A0"/>
    <w:rsid w:val="0005237D"/>
    <w:rsid w:val="00061BBD"/>
    <w:rsid w:val="000774CB"/>
    <w:rsid w:val="000E198E"/>
    <w:rsid w:val="000F251E"/>
    <w:rsid w:val="000F3476"/>
    <w:rsid w:val="00106D28"/>
    <w:rsid w:val="0012048A"/>
    <w:rsid w:val="0016530C"/>
    <w:rsid w:val="001770F8"/>
    <w:rsid w:val="00185721"/>
    <w:rsid w:val="00192B5B"/>
    <w:rsid w:val="001C2816"/>
    <w:rsid w:val="001D6F25"/>
    <w:rsid w:val="00285931"/>
    <w:rsid w:val="002926FC"/>
    <w:rsid w:val="002950D0"/>
    <w:rsid w:val="002D3DFC"/>
    <w:rsid w:val="002F2559"/>
    <w:rsid w:val="002F61FE"/>
    <w:rsid w:val="00320A4E"/>
    <w:rsid w:val="00327C3C"/>
    <w:rsid w:val="00373143"/>
    <w:rsid w:val="003845CA"/>
    <w:rsid w:val="003E52B4"/>
    <w:rsid w:val="003F0E54"/>
    <w:rsid w:val="00407DF3"/>
    <w:rsid w:val="00415CCF"/>
    <w:rsid w:val="00432358"/>
    <w:rsid w:val="004369FD"/>
    <w:rsid w:val="0044348E"/>
    <w:rsid w:val="004476AE"/>
    <w:rsid w:val="00455DDA"/>
    <w:rsid w:val="004811C1"/>
    <w:rsid w:val="00484058"/>
    <w:rsid w:val="004C146F"/>
    <w:rsid w:val="004C769F"/>
    <w:rsid w:val="00500040"/>
    <w:rsid w:val="005210EF"/>
    <w:rsid w:val="005845A6"/>
    <w:rsid w:val="005E2D28"/>
    <w:rsid w:val="005E5466"/>
    <w:rsid w:val="005E7F03"/>
    <w:rsid w:val="005F59E6"/>
    <w:rsid w:val="006531D7"/>
    <w:rsid w:val="00655FE8"/>
    <w:rsid w:val="006C59B2"/>
    <w:rsid w:val="006E054A"/>
    <w:rsid w:val="006E255E"/>
    <w:rsid w:val="00731592"/>
    <w:rsid w:val="00732FD2"/>
    <w:rsid w:val="00752E77"/>
    <w:rsid w:val="00761D40"/>
    <w:rsid w:val="0076759F"/>
    <w:rsid w:val="00780782"/>
    <w:rsid w:val="007921C7"/>
    <w:rsid w:val="007C75A3"/>
    <w:rsid w:val="007D7772"/>
    <w:rsid w:val="007E131B"/>
    <w:rsid w:val="00810E27"/>
    <w:rsid w:val="00826EE6"/>
    <w:rsid w:val="00827826"/>
    <w:rsid w:val="008612AB"/>
    <w:rsid w:val="00867EBD"/>
    <w:rsid w:val="008A1F01"/>
    <w:rsid w:val="00913A49"/>
    <w:rsid w:val="00952E0F"/>
    <w:rsid w:val="00963E79"/>
    <w:rsid w:val="00974C60"/>
    <w:rsid w:val="00986B33"/>
    <w:rsid w:val="00987AD5"/>
    <w:rsid w:val="00994E02"/>
    <w:rsid w:val="009F0A00"/>
    <w:rsid w:val="009F5467"/>
    <w:rsid w:val="00A145EF"/>
    <w:rsid w:val="00A164EF"/>
    <w:rsid w:val="00A255F3"/>
    <w:rsid w:val="00A52F7E"/>
    <w:rsid w:val="00A71FC6"/>
    <w:rsid w:val="00A93C8A"/>
    <w:rsid w:val="00AA31D7"/>
    <w:rsid w:val="00B05913"/>
    <w:rsid w:val="00B0658F"/>
    <w:rsid w:val="00B14D97"/>
    <w:rsid w:val="00B336DA"/>
    <w:rsid w:val="00B42901"/>
    <w:rsid w:val="00B45548"/>
    <w:rsid w:val="00B67FFD"/>
    <w:rsid w:val="00B704E9"/>
    <w:rsid w:val="00B711EC"/>
    <w:rsid w:val="00B856AB"/>
    <w:rsid w:val="00B90126"/>
    <w:rsid w:val="00BB0CF3"/>
    <w:rsid w:val="00BB37E9"/>
    <w:rsid w:val="00BC2EB6"/>
    <w:rsid w:val="00BD3786"/>
    <w:rsid w:val="00BF17AA"/>
    <w:rsid w:val="00BF5C8E"/>
    <w:rsid w:val="00C24294"/>
    <w:rsid w:val="00C24556"/>
    <w:rsid w:val="00C362A9"/>
    <w:rsid w:val="00C445CB"/>
    <w:rsid w:val="00C5255D"/>
    <w:rsid w:val="00C55C9C"/>
    <w:rsid w:val="00C61C6D"/>
    <w:rsid w:val="00C713A2"/>
    <w:rsid w:val="00C91E25"/>
    <w:rsid w:val="00CF4F2E"/>
    <w:rsid w:val="00CF7406"/>
    <w:rsid w:val="00D05904"/>
    <w:rsid w:val="00D7412A"/>
    <w:rsid w:val="00D801B5"/>
    <w:rsid w:val="00DF0D83"/>
    <w:rsid w:val="00E10491"/>
    <w:rsid w:val="00E128B9"/>
    <w:rsid w:val="00E34FD5"/>
    <w:rsid w:val="00E420DD"/>
    <w:rsid w:val="00E666DC"/>
    <w:rsid w:val="00E7115E"/>
    <w:rsid w:val="00E853EF"/>
    <w:rsid w:val="00E871BC"/>
    <w:rsid w:val="00E8797B"/>
    <w:rsid w:val="00E87D4F"/>
    <w:rsid w:val="00EC53A0"/>
    <w:rsid w:val="00EE0A65"/>
    <w:rsid w:val="00EF3FF8"/>
    <w:rsid w:val="00F00E4B"/>
    <w:rsid w:val="00F016EA"/>
    <w:rsid w:val="00F310E2"/>
    <w:rsid w:val="00F34A2B"/>
    <w:rsid w:val="00F44453"/>
    <w:rsid w:val="00F57F03"/>
    <w:rsid w:val="00F614F4"/>
    <w:rsid w:val="00F81EBC"/>
    <w:rsid w:val="00FA089C"/>
    <w:rsid w:val="00FB19DD"/>
    <w:rsid w:val="00FB471D"/>
    <w:rsid w:val="00FD1983"/>
    <w:rsid w:val="00FE16A2"/>
    <w:rsid w:val="00FE66CD"/>
    <w:rsid w:val="00FF0A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6017"/>
    <o:shapelayout v:ext="edit">
      <o:idmap v:ext="edit" data="1"/>
    </o:shapelayout>
  </w:shapeDefaults>
  <w:decimalSymbol w:val=","/>
  <w:listSeparator w:val=";"/>
  <w14:docId w14:val="3F22C633"/>
  <w15:docId w15:val="{A60AE7C3-E0C1-400A-AE34-C2811ECB8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6"/>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6"/>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6"/>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6"/>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089C"/>
    <w:pPr>
      <w:spacing w:before="0" w:after="200" w:line="276" w:lineRule="auto"/>
      <w:ind w:left="720"/>
      <w:contextualSpacing/>
      <w:jc w:val="left"/>
    </w:pPr>
    <w:rPr>
      <w:rFonts w:cstheme="minorBidi"/>
      <w:sz w:val="20"/>
      <w:szCs w:val="20"/>
      <w:lang w:val="en-US"/>
    </w:rPr>
  </w:style>
  <w:style w:type="paragraph" w:customStyle="1" w:styleId="Articleheading">
    <w:name w:val="Article heading"/>
    <w:basedOn w:val="Normal"/>
    <w:link w:val="ArticleheadingChar"/>
    <w:qFormat/>
    <w:rsid w:val="00FA089C"/>
    <w:pPr>
      <w:keepNext/>
      <w:tabs>
        <w:tab w:val="left" w:pos="709"/>
      </w:tabs>
      <w:spacing w:before="360"/>
      <w:jc w:val="center"/>
    </w:pPr>
    <w:rPr>
      <w:i/>
      <w:color w:val="000000" w:themeColor="text1"/>
      <w:szCs w:val="24"/>
      <w:lang w:val="en-US"/>
    </w:rPr>
  </w:style>
  <w:style w:type="paragraph" w:customStyle="1" w:styleId="Articletext">
    <w:name w:val="Article text"/>
    <w:basedOn w:val="Articleheading"/>
    <w:link w:val="ArticletextChar"/>
    <w:qFormat/>
    <w:rsid w:val="00FA089C"/>
    <w:pPr>
      <w:keepNext w:val="0"/>
      <w:spacing w:before="120"/>
      <w:jc w:val="both"/>
    </w:pPr>
    <w:rPr>
      <w:i w:val="0"/>
    </w:rPr>
  </w:style>
  <w:style w:type="character" w:customStyle="1" w:styleId="ArticleheadingChar">
    <w:name w:val="Article heading Char"/>
    <w:basedOn w:val="DefaultParagraphFont"/>
    <w:link w:val="Articleheading"/>
    <w:rsid w:val="00FA089C"/>
    <w:rPr>
      <w:rFonts w:ascii="Times New Roman" w:hAnsi="Times New Roman" w:cs="Times New Roman"/>
      <w:i/>
      <w:color w:val="000000" w:themeColor="text1"/>
      <w:sz w:val="24"/>
      <w:szCs w:val="24"/>
    </w:rPr>
  </w:style>
  <w:style w:type="character" w:customStyle="1" w:styleId="ArticletextChar">
    <w:name w:val="Article text Char"/>
    <w:basedOn w:val="ArticleheadingChar"/>
    <w:link w:val="Articletext"/>
    <w:rsid w:val="00FA089C"/>
    <w:rPr>
      <w:rFonts w:ascii="Times New Roman" w:hAnsi="Times New Roman" w:cs="Times New Roman"/>
      <w:i w:val="0"/>
      <w:color w:val="000000" w:themeColor="text1"/>
      <w:sz w:val="24"/>
      <w:szCs w:val="24"/>
    </w:rPr>
  </w:style>
  <w:style w:type="character" w:customStyle="1" w:styleId="Point1Char">
    <w:name w:val="Point 1 Char"/>
    <w:basedOn w:val="ArticletextChar"/>
    <w:rsid w:val="00FA089C"/>
    <w:rPr>
      <w:rFonts w:ascii="Times New Roman" w:hAnsi="Times New Roman" w:cs="Times New Roman"/>
      <w:i w:val="0"/>
      <w:color w:val="000000" w:themeColor="text1"/>
      <w:sz w:val="24"/>
      <w:szCs w:val="24"/>
      <w:lang w:val="en-GB"/>
    </w:rPr>
  </w:style>
  <w:style w:type="character" w:customStyle="1" w:styleId="Point0Char">
    <w:name w:val="Point 0 Char"/>
    <w:basedOn w:val="Point1Char"/>
    <w:rsid w:val="00FA089C"/>
    <w:rPr>
      <w:rFonts w:ascii="Times New Roman" w:hAnsi="Times New Roman" w:cs="Times New Roman"/>
      <w:i w:val="0"/>
      <w:color w:val="000000" w:themeColor="text1"/>
      <w:sz w:val="24"/>
      <w:szCs w:val="24"/>
      <w:lang w:val="en-GB"/>
    </w:rPr>
  </w:style>
  <w:style w:type="paragraph" w:customStyle="1" w:styleId="Adaptation">
    <w:name w:val="Adaptation"/>
    <w:basedOn w:val="Point1"/>
    <w:link w:val="AdaptationChar"/>
    <w:qFormat/>
    <w:rsid w:val="00FA089C"/>
    <w:pPr>
      <w:ind w:left="851" w:firstLine="0"/>
    </w:pPr>
    <w:rPr>
      <w:color w:val="000000" w:themeColor="text1"/>
      <w:szCs w:val="24"/>
    </w:rPr>
  </w:style>
  <w:style w:type="character" w:customStyle="1" w:styleId="AdaptationChar">
    <w:name w:val="Adaptation Char"/>
    <w:basedOn w:val="Point1Char"/>
    <w:link w:val="Adaptation"/>
    <w:rsid w:val="00FA089C"/>
    <w:rPr>
      <w:rFonts w:ascii="Times New Roman" w:hAnsi="Times New Roman" w:cs="Times New Roman"/>
      <w:i w:val="0"/>
      <w:color w:val="000000" w:themeColor="text1"/>
      <w:sz w:val="24"/>
      <w:szCs w:val="24"/>
      <w:lang w:val="en-GB"/>
    </w:rPr>
  </w:style>
  <w:style w:type="paragraph" w:styleId="Caption">
    <w:name w:val="caption"/>
    <w:basedOn w:val="Normal"/>
    <w:next w:val="Normal"/>
    <w:uiPriority w:val="35"/>
    <w:semiHidden/>
    <w:unhideWhenUsed/>
    <w:qFormat/>
    <w:rsid w:val="00F016EA"/>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F016EA"/>
    <w:pPr>
      <w:spacing w:after="0"/>
    </w:pPr>
  </w:style>
  <w:style w:type="paragraph" w:styleId="ListBullet">
    <w:name w:val="List Bullet"/>
    <w:basedOn w:val="Normal"/>
    <w:uiPriority w:val="99"/>
    <w:semiHidden/>
    <w:unhideWhenUsed/>
    <w:rsid w:val="00F016EA"/>
    <w:pPr>
      <w:numPr>
        <w:numId w:val="1"/>
      </w:numPr>
      <w:contextualSpacing/>
    </w:pPr>
  </w:style>
  <w:style w:type="paragraph" w:styleId="ListBullet2">
    <w:name w:val="List Bullet 2"/>
    <w:basedOn w:val="Normal"/>
    <w:uiPriority w:val="99"/>
    <w:semiHidden/>
    <w:unhideWhenUsed/>
    <w:rsid w:val="00F016EA"/>
    <w:pPr>
      <w:numPr>
        <w:numId w:val="2"/>
      </w:numPr>
      <w:contextualSpacing/>
    </w:pPr>
  </w:style>
  <w:style w:type="paragraph" w:styleId="ListBullet3">
    <w:name w:val="List Bullet 3"/>
    <w:basedOn w:val="Normal"/>
    <w:uiPriority w:val="99"/>
    <w:semiHidden/>
    <w:unhideWhenUsed/>
    <w:rsid w:val="00F016EA"/>
    <w:pPr>
      <w:numPr>
        <w:numId w:val="3"/>
      </w:numPr>
      <w:contextualSpacing/>
    </w:pPr>
  </w:style>
  <w:style w:type="paragraph" w:styleId="ListBullet4">
    <w:name w:val="List Bullet 4"/>
    <w:basedOn w:val="Normal"/>
    <w:uiPriority w:val="99"/>
    <w:semiHidden/>
    <w:unhideWhenUsed/>
    <w:rsid w:val="00F016EA"/>
    <w:pPr>
      <w:numPr>
        <w:numId w:val="4"/>
      </w:numPr>
      <w:contextualSpacing/>
    </w:pPr>
  </w:style>
  <w:style w:type="paragraph" w:styleId="ListNumber">
    <w:name w:val="List Number"/>
    <w:basedOn w:val="Normal"/>
    <w:uiPriority w:val="99"/>
    <w:semiHidden/>
    <w:unhideWhenUsed/>
    <w:rsid w:val="00F016EA"/>
    <w:pPr>
      <w:numPr>
        <w:numId w:val="5"/>
      </w:numPr>
      <w:contextualSpacing/>
    </w:pPr>
  </w:style>
  <w:style w:type="paragraph" w:styleId="ListNumber2">
    <w:name w:val="List Number 2"/>
    <w:basedOn w:val="Normal"/>
    <w:uiPriority w:val="99"/>
    <w:semiHidden/>
    <w:unhideWhenUsed/>
    <w:rsid w:val="00F016EA"/>
    <w:pPr>
      <w:numPr>
        <w:numId w:val="6"/>
      </w:numPr>
      <w:contextualSpacing/>
    </w:pPr>
  </w:style>
  <w:style w:type="paragraph" w:styleId="ListNumber3">
    <w:name w:val="List Number 3"/>
    <w:basedOn w:val="Normal"/>
    <w:uiPriority w:val="99"/>
    <w:semiHidden/>
    <w:unhideWhenUsed/>
    <w:rsid w:val="00F016EA"/>
    <w:pPr>
      <w:numPr>
        <w:numId w:val="7"/>
      </w:numPr>
      <w:contextualSpacing/>
    </w:pPr>
  </w:style>
  <w:style w:type="paragraph" w:styleId="ListNumber4">
    <w:name w:val="List Number 4"/>
    <w:basedOn w:val="Normal"/>
    <w:uiPriority w:val="99"/>
    <w:semiHidden/>
    <w:unhideWhenUsed/>
    <w:rsid w:val="00F016EA"/>
    <w:pPr>
      <w:numPr>
        <w:numId w:val="8"/>
      </w:numPr>
      <w:contextualSpacing/>
    </w:pPr>
  </w:style>
  <w:style w:type="character" w:styleId="CommentReference">
    <w:name w:val="annotation reference"/>
    <w:basedOn w:val="DefaultParagraphFont"/>
    <w:uiPriority w:val="99"/>
    <w:semiHidden/>
    <w:unhideWhenUsed/>
    <w:rsid w:val="00C5255D"/>
    <w:rPr>
      <w:sz w:val="16"/>
      <w:szCs w:val="16"/>
    </w:rPr>
  </w:style>
  <w:style w:type="paragraph" w:styleId="CommentText">
    <w:name w:val="annotation text"/>
    <w:basedOn w:val="Normal"/>
    <w:link w:val="CommentTextChar"/>
    <w:uiPriority w:val="99"/>
    <w:semiHidden/>
    <w:unhideWhenUsed/>
    <w:rsid w:val="00C5255D"/>
    <w:rPr>
      <w:sz w:val="20"/>
      <w:szCs w:val="20"/>
    </w:rPr>
  </w:style>
  <w:style w:type="character" w:customStyle="1" w:styleId="CommentTextChar">
    <w:name w:val="Comment Text Char"/>
    <w:basedOn w:val="DefaultParagraphFont"/>
    <w:link w:val="CommentText"/>
    <w:uiPriority w:val="99"/>
    <w:semiHidden/>
    <w:rsid w:val="00C5255D"/>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C5255D"/>
    <w:rPr>
      <w:b/>
      <w:bCs/>
    </w:rPr>
  </w:style>
  <w:style w:type="character" w:customStyle="1" w:styleId="CommentSubjectChar">
    <w:name w:val="Comment Subject Char"/>
    <w:basedOn w:val="CommentTextChar"/>
    <w:link w:val="CommentSubject"/>
    <w:uiPriority w:val="99"/>
    <w:semiHidden/>
    <w:rsid w:val="00C5255D"/>
    <w:rPr>
      <w:rFonts w:ascii="Times New Roman" w:hAnsi="Times New Roman" w:cs="Times New Roman"/>
      <w:b/>
      <w:bCs/>
      <w:sz w:val="20"/>
      <w:szCs w:val="20"/>
      <w:lang w:val="en-GB"/>
    </w:rPr>
  </w:style>
  <w:style w:type="paragraph" w:styleId="BalloonText">
    <w:name w:val="Balloon Text"/>
    <w:basedOn w:val="Normal"/>
    <w:link w:val="BalloonTextChar"/>
    <w:uiPriority w:val="99"/>
    <w:semiHidden/>
    <w:unhideWhenUsed/>
    <w:rsid w:val="00C5255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255D"/>
    <w:rPr>
      <w:rFonts w:ascii="Segoe UI" w:hAnsi="Segoe UI" w:cs="Segoe UI"/>
      <w:sz w:val="18"/>
      <w:szCs w:val="18"/>
      <w:lang w:val="en-GB"/>
    </w:rPr>
  </w:style>
  <w:style w:type="character" w:styleId="Hyperlink">
    <w:name w:val="Hyperlink"/>
    <w:basedOn w:val="DefaultParagraphFont"/>
    <w:uiPriority w:val="99"/>
    <w:unhideWhenUsed/>
    <w:rsid w:val="00C5255D"/>
    <w:rPr>
      <w:color w:val="0000FF" w:themeColor="hyperlink"/>
      <w:u w:val="single"/>
    </w:rPr>
  </w:style>
  <w:style w:type="paragraph" w:customStyle="1" w:styleId="Text0">
    <w:name w:val="Text 0"/>
    <w:basedOn w:val="Text1"/>
    <w:rsid w:val="00826EE6"/>
  </w:style>
  <w:style w:type="paragraph" w:customStyle="1" w:styleId="Body">
    <w:name w:val="Body"/>
    <w:rsid w:val="00BB37E9"/>
    <w:pPr>
      <w:pBdr>
        <w:top w:val="nil"/>
        <w:left w:val="nil"/>
        <w:bottom w:val="nil"/>
        <w:right w:val="nil"/>
        <w:between w:val="nil"/>
        <w:bar w:val="nil"/>
      </w:pBdr>
      <w:spacing w:before="120" w:after="120" w:line="240" w:lineRule="auto"/>
      <w:jc w:val="both"/>
    </w:pPr>
    <w:rPr>
      <w:rFonts w:ascii="Times New Roman" w:eastAsia="Times New Roman" w:hAnsi="Times New Roman" w:cs="Times New Roman"/>
      <w:color w:val="000000"/>
      <w:sz w:val="24"/>
      <w:szCs w:val="24"/>
      <w:u w:color="000000"/>
      <w:bdr w:val="nil"/>
    </w:rPr>
  </w:style>
  <w:style w:type="numbering" w:customStyle="1" w:styleId="ImportedStyle2">
    <w:name w:val="Imported Style 2"/>
    <w:rsid w:val="00BB37E9"/>
    <w:pPr>
      <w:numPr>
        <w:numId w:val="9"/>
      </w:numPr>
    </w:pPr>
  </w:style>
  <w:style w:type="numbering" w:customStyle="1" w:styleId="ImportedStyle3">
    <w:name w:val="Imported Style 3"/>
    <w:rsid w:val="00BB37E9"/>
    <w:pPr>
      <w:numPr>
        <w:numId w:val="10"/>
      </w:numPr>
    </w:pPr>
  </w:style>
  <w:style w:type="numbering" w:customStyle="1" w:styleId="ImportedStyle4">
    <w:name w:val="Imported Style 4"/>
    <w:rsid w:val="00BB37E9"/>
    <w:pPr>
      <w:numPr>
        <w:numId w:val="11"/>
      </w:numPr>
    </w:pPr>
  </w:style>
  <w:style w:type="numbering" w:customStyle="1" w:styleId="ImportedStyle5">
    <w:name w:val="Imported Style 5"/>
    <w:rsid w:val="00BB37E9"/>
    <w:pPr>
      <w:numPr>
        <w:numId w:val="12"/>
      </w:numPr>
    </w:pPr>
  </w:style>
  <w:style w:type="paragraph" w:styleId="Revision">
    <w:name w:val="Revision"/>
    <w:hidden/>
    <w:uiPriority w:val="99"/>
    <w:semiHidden/>
    <w:rsid w:val="00B0658F"/>
    <w:pPr>
      <w:spacing w:after="0" w:line="240" w:lineRule="auto"/>
    </w:pPr>
    <w:rPr>
      <w:rFonts w:ascii="Times New Roman" w:hAnsi="Times New Roman" w:cs="Times New Roman"/>
      <w:sz w:val="24"/>
      <w:lang w:val="en-GB"/>
    </w:rPr>
  </w:style>
  <w:style w:type="character" w:customStyle="1" w:styleId="HeaderChar">
    <w:name w:val="Header Char"/>
    <w:basedOn w:val="DefaultParagraphFont"/>
    <w:link w:val="Header"/>
    <w:uiPriority w:val="99"/>
    <w:rsid w:val="005E2D28"/>
    <w:rPr>
      <w:rFonts w:ascii="Times New Roman" w:hAnsi="Times New Roman" w:cs="Times New Roman"/>
      <w:sz w:val="24"/>
      <w:lang w:val="en-GB"/>
    </w:rPr>
  </w:style>
  <w:style w:type="character" w:customStyle="1" w:styleId="FooterChar">
    <w:name w:val="Footer Char"/>
    <w:basedOn w:val="DefaultParagraphFont"/>
    <w:link w:val="Footer"/>
    <w:uiPriority w:val="99"/>
    <w:rsid w:val="005E2D28"/>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5E2D28"/>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5E2D28"/>
    <w:pPr>
      <w:spacing w:before="0"/>
      <w:jc w:val="right"/>
    </w:pPr>
    <w:rPr>
      <w:sz w:val="28"/>
    </w:rPr>
  </w:style>
  <w:style w:type="paragraph" w:customStyle="1" w:styleId="FooterSensitivity">
    <w:name w:val="Footer Sensitivity"/>
    <w:basedOn w:val="Normal"/>
    <w:rsid w:val="005E2D28"/>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9"/>
      </w:numPr>
    </w:pPr>
  </w:style>
  <w:style w:type="paragraph" w:customStyle="1" w:styleId="Tiret1">
    <w:name w:val="Tiret 1"/>
    <w:basedOn w:val="Point1"/>
    <w:pPr>
      <w:numPr>
        <w:numId w:val="30"/>
      </w:numPr>
    </w:pPr>
  </w:style>
  <w:style w:type="paragraph" w:customStyle="1" w:styleId="Tiret2">
    <w:name w:val="Tiret 2"/>
    <w:basedOn w:val="Point2"/>
    <w:pPr>
      <w:numPr>
        <w:numId w:val="31"/>
      </w:numPr>
    </w:pPr>
  </w:style>
  <w:style w:type="paragraph" w:customStyle="1" w:styleId="Tiret3">
    <w:name w:val="Tiret 3"/>
    <w:basedOn w:val="Point3"/>
    <w:pPr>
      <w:numPr>
        <w:numId w:val="32"/>
      </w:numPr>
    </w:pPr>
  </w:style>
  <w:style w:type="paragraph" w:customStyle="1" w:styleId="Tiret4">
    <w:name w:val="Tiret 4"/>
    <w:basedOn w:val="Point4"/>
    <w:pPr>
      <w:numPr>
        <w:numId w:val="33"/>
      </w:numPr>
    </w:pPr>
  </w:style>
  <w:style w:type="paragraph" w:customStyle="1" w:styleId="Tiret5">
    <w:name w:val="Tiret 5"/>
    <w:basedOn w:val="Point5"/>
    <w:pPr>
      <w:numPr>
        <w:numId w:val="3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5"/>
      </w:numPr>
    </w:pPr>
  </w:style>
  <w:style w:type="paragraph" w:customStyle="1" w:styleId="NumPar2">
    <w:name w:val="NumPar 2"/>
    <w:basedOn w:val="Normal"/>
    <w:next w:val="Text1"/>
    <w:pPr>
      <w:numPr>
        <w:ilvl w:val="1"/>
        <w:numId w:val="35"/>
      </w:numPr>
    </w:pPr>
  </w:style>
  <w:style w:type="paragraph" w:customStyle="1" w:styleId="NumPar3">
    <w:name w:val="NumPar 3"/>
    <w:basedOn w:val="Normal"/>
    <w:next w:val="Text1"/>
    <w:pPr>
      <w:numPr>
        <w:ilvl w:val="2"/>
        <w:numId w:val="35"/>
      </w:numPr>
    </w:pPr>
  </w:style>
  <w:style w:type="paragraph" w:customStyle="1" w:styleId="NumPar4">
    <w:name w:val="NumPar 4"/>
    <w:basedOn w:val="Normal"/>
    <w:next w:val="Text1"/>
    <w:pPr>
      <w:numPr>
        <w:ilvl w:val="3"/>
        <w:numId w:val="35"/>
      </w:numPr>
    </w:pPr>
  </w:style>
  <w:style w:type="paragraph" w:customStyle="1" w:styleId="NumPar5">
    <w:name w:val="NumPar 5"/>
    <w:basedOn w:val="Normal"/>
    <w:next w:val="Text2"/>
    <w:pPr>
      <w:numPr>
        <w:ilvl w:val="4"/>
        <w:numId w:val="35"/>
      </w:numPr>
    </w:pPr>
  </w:style>
  <w:style w:type="paragraph" w:customStyle="1" w:styleId="NumPar6">
    <w:name w:val="NumPar 6"/>
    <w:basedOn w:val="Normal"/>
    <w:next w:val="Text2"/>
    <w:pPr>
      <w:numPr>
        <w:ilvl w:val="5"/>
        <w:numId w:val="35"/>
      </w:numPr>
    </w:pPr>
  </w:style>
  <w:style w:type="paragraph" w:customStyle="1" w:styleId="NumPar7">
    <w:name w:val="NumPar 7"/>
    <w:basedOn w:val="Normal"/>
    <w:next w:val="Text2"/>
    <w:pPr>
      <w:numPr>
        <w:ilvl w:val="6"/>
        <w:numId w:val="3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7"/>
      </w:numPr>
    </w:pPr>
  </w:style>
  <w:style w:type="paragraph" w:customStyle="1" w:styleId="Point1number">
    <w:name w:val="Point 1 (number)"/>
    <w:basedOn w:val="Normal"/>
    <w:pPr>
      <w:numPr>
        <w:ilvl w:val="2"/>
        <w:numId w:val="37"/>
      </w:numPr>
    </w:pPr>
  </w:style>
  <w:style w:type="paragraph" w:customStyle="1" w:styleId="Point2number">
    <w:name w:val="Point 2 (number)"/>
    <w:basedOn w:val="Normal"/>
    <w:pPr>
      <w:numPr>
        <w:ilvl w:val="4"/>
        <w:numId w:val="37"/>
      </w:numPr>
    </w:pPr>
  </w:style>
  <w:style w:type="paragraph" w:customStyle="1" w:styleId="Point3number">
    <w:name w:val="Point 3 (number)"/>
    <w:basedOn w:val="Normal"/>
    <w:pPr>
      <w:numPr>
        <w:ilvl w:val="6"/>
        <w:numId w:val="37"/>
      </w:numPr>
    </w:pPr>
  </w:style>
  <w:style w:type="paragraph" w:customStyle="1" w:styleId="Point0letter">
    <w:name w:val="Point 0 (letter)"/>
    <w:basedOn w:val="Normal"/>
    <w:pPr>
      <w:numPr>
        <w:ilvl w:val="1"/>
        <w:numId w:val="37"/>
      </w:numPr>
    </w:pPr>
  </w:style>
  <w:style w:type="paragraph" w:customStyle="1" w:styleId="Point1letter">
    <w:name w:val="Point 1 (letter)"/>
    <w:basedOn w:val="Normal"/>
    <w:pPr>
      <w:numPr>
        <w:ilvl w:val="3"/>
        <w:numId w:val="37"/>
      </w:numPr>
    </w:pPr>
  </w:style>
  <w:style w:type="paragraph" w:customStyle="1" w:styleId="Point2letter">
    <w:name w:val="Point 2 (letter)"/>
    <w:basedOn w:val="Normal"/>
    <w:pPr>
      <w:numPr>
        <w:ilvl w:val="5"/>
        <w:numId w:val="37"/>
      </w:numPr>
    </w:pPr>
  </w:style>
  <w:style w:type="paragraph" w:customStyle="1" w:styleId="Point3letter">
    <w:name w:val="Point 3 (letter)"/>
    <w:basedOn w:val="Normal"/>
    <w:pPr>
      <w:numPr>
        <w:ilvl w:val="7"/>
        <w:numId w:val="37"/>
      </w:numPr>
    </w:pPr>
  </w:style>
  <w:style w:type="paragraph" w:customStyle="1" w:styleId="Point4letter">
    <w:name w:val="Point 4 (letter)"/>
    <w:basedOn w:val="Normal"/>
    <w:pPr>
      <w:numPr>
        <w:ilvl w:val="8"/>
        <w:numId w:val="37"/>
      </w:numPr>
    </w:pPr>
  </w:style>
  <w:style w:type="paragraph" w:customStyle="1" w:styleId="Bullet0">
    <w:name w:val="Bullet 0"/>
    <w:basedOn w:val="Normal"/>
    <w:pPr>
      <w:numPr>
        <w:numId w:val="38"/>
      </w:numPr>
    </w:pPr>
  </w:style>
  <w:style w:type="paragraph" w:customStyle="1" w:styleId="Bullet1">
    <w:name w:val="Bullet 1"/>
    <w:basedOn w:val="Normal"/>
    <w:pPr>
      <w:numPr>
        <w:numId w:val="39"/>
      </w:numPr>
    </w:pPr>
  </w:style>
  <w:style w:type="paragraph" w:customStyle="1" w:styleId="Bullet2">
    <w:name w:val="Bullet 2"/>
    <w:basedOn w:val="Normal"/>
    <w:pPr>
      <w:numPr>
        <w:numId w:val="40"/>
      </w:numPr>
    </w:pPr>
  </w:style>
  <w:style w:type="paragraph" w:customStyle="1" w:styleId="Bullet3">
    <w:name w:val="Bullet 3"/>
    <w:basedOn w:val="Normal"/>
    <w:pPr>
      <w:numPr>
        <w:numId w:val="41"/>
      </w:numPr>
    </w:pPr>
  </w:style>
  <w:style w:type="paragraph" w:customStyle="1" w:styleId="Bullet4">
    <w:name w:val="Bullet 4"/>
    <w:basedOn w:val="Normal"/>
    <w:pPr>
      <w:numPr>
        <w:numId w:val="4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5E2D28"/>
    <w:pPr>
      <w:tabs>
        <w:tab w:val="center" w:pos="4535"/>
        <w:tab w:val="right" w:pos="9071"/>
      </w:tabs>
      <w:spacing w:before="0"/>
    </w:pPr>
  </w:style>
  <w:style w:type="paragraph" w:customStyle="1" w:styleId="HeaderLandscape">
    <w:name w:val="HeaderLandscape"/>
    <w:basedOn w:val="Normal"/>
    <w:rsid w:val="005E2D28"/>
    <w:pPr>
      <w:tabs>
        <w:tab w:val="center" w:pos="7285"/>
        <w:tab w:val="right" w:pos="14003"/>
      </w:tabs>
      <w:spacing w:before="0"/>
    </w:pPr>
  </w:style>
  <w:style w:type="paragraph" w:styleId="Footer">
    <w:name w:val="footer"/>
    <w:basedOn w:val="Normal"/>
    <w:link w:val="FooterChar"/>
    <w:uiPriority w:val="99"/>
    <w:unhideWhenUsed/>
    <w:rsid w:val="005E2D28"/>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5E2D28"/>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1982C7-F603-4A3F-A4E9-4E72AEA6F4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14</TotalTime>
  <Pages>3</Pages>
  <Words>545</Words>
  <Characters>3109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25</cp:revision>
  <dcterms:created xsi:type="dcterms:W3CDTF">2022-10-25T08:43:00Z</dcterms:created>
  <dcterms:modified xsi:type="dcterms:W3CDTF">2026-07-27T07:02:00Z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7.0.8.0</vt:lpwstr>
  </property>
  <property fmtid="{D5CDD505-2E9C-101B-9397-08002B2CF9AE}" pid="4" name="Last edited using">
    <vt:lpwstr>LW 9.2, Build 20250828</vt:lpwstr>
  </property>
  <property fmtid="{D5CDD505-2E9C-101B-9397-08002B2CF9AE}" pid="5" name="Created using">
    <vt:lpwstr>LW 7.0, Build 20190717</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2025-04-08T07:11:44Z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cbe1ec13-364f-4d4f-b134-84538bf6b262</vt:lpwstr>
  </property>
  <property fmtid="{D5CDD505-2E9C-101B-9397-08002B2CF9AE}" pid="19" name="MSIP_Label_6bd9ddd1-4d20-43f6-abfa-fc3c07406f94_ContentBits">
    <vt:lpwstr>0</vt:lpwstr>
  </property>
  <property fmtid="{D5CDD505-2E9C-101B-9397-08002B2CF9AE}" pid="20" name="DQCStatus">
    <vt:lpwstr>Green (DQC version 03)</vt:lpwstr>
  </property>
</Properties>
</file>