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5C69E3" w14:textId="33BA51F3" w:rsidR="00FA089C" w:rsidRPr="00630C4C" w:rsidRDefault="00C31DC5" w:rsidP="00C31DC5">
      <w:pPr>
        <w:pStyle w:val="Pagedecouverture"/>
        <w:rPr>
          <w:noProof/>
        </w:rPr>
      </w:pPr>
      <w:r>
        <w:rPr>
          <w:noProof/>
        </w:rPr>
        <w:pict w14:anchorId="2FEB83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BFE68E4-D652-430F-B43C-3D3B6308BF3C" style="width:455.25pt;height:409.5pt">
            <v:imagedata r:id="rId8" o:title=""/>
          </v:shape>
        </w:pict>
      </w:r>
    </w:p>
    <w:p w14:paraId="62570DB8" w14:textId="77777777" w:rsidR="00FA089C" w:rsidRPr="00630C4C" w:rsidRDefault="00FA089C" w:rsidP="00FA089C">
      <w:pPr>
        <w:rPr>
          <w:noProof/>
        </w:rPr>
        <w:sectPr w:rsidR="00FA089C" w:rsidRPr="00630C4C" w:rsidSect="00C31DC5">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40B62708" w14:textId="77777777" w:rsidR="00FA089C" w:rsidRPr="00630C4C" w:rsidRDefault="00FA089C" w:rsidP="00FA089C">
      <w:pPr>
        <w:pStyle w:val="Annexetitre"/>
        <w:rPr>
          <w:noProof/>
        </w:rPr>
      </w:pPr>
      <w:bookmarkStart w:id="0" w:name="_GoBack"/>
      <w:bookmarkEnd w:id="0"/>
      <w:r w:rsidRPr="00630C4C">
        <w:rPr>
          <w:noProof/>
        </w:rPr>
        <w:lastRenderedPageBreak/>
        <w:t xml:space="preserve">ANNEXE </w:t>
      </w:r>
    </w:p>
    <w:p w14:paraId="270439EC" w14:textId="77777777" w:rsidR="00BB37E9" w:rsidRPr="00630C4C" w:rsidRDefault="00FB471D" w:rsidP="00BB37E9">
      <w:pPr>
        <w:pStyle w:val="Body"/>
        <w:spacing w:before="360" w:after="0"/>
        <w:jc w:val="center"/>
        <w:rPr>
          <w:b/>
          <w:bCs/>
          <w:noProof/>
        </w:rPr>
      </w:pPr>
      <w:r w:rsidRPr="00630C4C">
        <w:rPr>
          <w:b/>
          <w:noProof/>
        </w:rPr>
        <w:t>PROJET DE DÉCISION DU COMITÉ MIXTE DE L’EEE</w:t>
      </w:r>
    </w:p>
    <w:p w14:paraId="682EC84E" w14:textId="77777777" w:rsidR="00106D28" w:rsidRPr="00630C4C" w:rsidRDefault="00106D28" w:rsidP="00106D28">
      <w:pPr>
        <w:spacing w:after="0"/>
        <w:jc w:val="center"/>
        <w:rPr>
          <w:b/>
          <w:noProof/>
          <w:color w:val="0000FF"/>
          <w:szCs w:val="24"/>
        </w:rPr>
      </w:pPr>
      <w:r w:rsidRPr="00630C4C">
        <w:rPr>
          <w:b/>
          <w:noProof/>
        </w:rPr>
        <w:t>Nº </w:t>
      </w:r>
      <w:r w:rsidRPr="00630C4C">
        <w:rPr>
          <w:b/>
          <w:noProof/>
          <w:color w:val="0000FF"/>
        </w:rPr>
        <w:t>[…]</w:t>
      </w:r>
    </w:p>
    <w:p w14:paraId="65C753AA" w14:textId="77777777" w:rsidR="00106D28" w:rsidRPr="00630C4C" w:rsidRDefault="00106D28" w:rsidP="00106D28">
      <w:pPr>
        <w:spacing w:before="360" w:after="0"/>
        <w:jc w:val="center"/>
        <w:rPr>
          <w:b/>
          <w:noProof/>
          <w:color w:val="0000FF"/>
          <w:szCs w:val="24"/>
        </w:rPr>
      </w:pPr>
      <w:r w:rsidRPr="00630C4C">
        <w:rPr>
          <w:b/>
          <w:noProof/>
          <w:color w:val="000000" w:themeColor="text1"/>
        </w:rPr>
        <w:t xml:space="preserve">du </w:t>
      </w:r>
      <w:r w:rsidRPr="00630C4C">
        <w:rPr>
          <w:b/>
          <w:noProof/>
          <w:color w:val="0000FF"/>
        </w:rPr>
        <w:t>[…]</w:t>
      </w:r>
    </w:p>
    <w:p w14:paraId="2AE1A036" w14:textId="77777777" w:rsidR="00106D28" w:rsidRPr="00630C4C" w:rsidRDefault="00106D28" w:rsidP="00106D28">
      <w:pPr>
        <w:spacing w:before="360" w:after="360"/>
        <w:jc w:val="center"/>
        <w:rPr>
          <w:rFonts w:ascii="Times New Roman Bold" w:hAnsi="Times New Roman Bold"/>
          <w:b/>
          <w:noProof/>
          <w:color w:val="000000" w:themeColor="text1"/>
          <w:szCs w:val="24"/>
        </w:rPr>
      </w:pPr>
      <w:r w:rsidRPr="00630C4C">
        <w:rPr>
          <w:rFonts w:ascii="Times New Roman Bold" w:hAnsi="Times New Roman Bold"/>
          <w:b/>
          <w:noProof/>
          <w:color w:val="000000" w:themeColor="text1"/>
        </w:rPr>
        <w:t>modifiant l’annexe IV (Énergie) de l’accord EEE</w:t>
      </w:r>
    </w:p>
    <w:p w14:paraId="2CCC1055" w14:textId="77777777" w:rsidR="00106D28" w:rsidRPr="00630C4C" w:rsidRDefault="00106D28" w:rsidP="00106D28">
      <w:pPr>
        <w:spacing w:before="600"/>
        <w:rPr>
          <w:noProof/>
          <w:color w:val="000000" w:themeColor="text1"/>
          <w:szCs w:val="24"/>
        </w:rPr>
      </w:pPr>
      <w:r w:rsidRPr="00630C4C">
        <w:rPr>
          <w:noProof/>
          <w:color w:val="000000" w:themeColor="text1"/>
        </w:rPr>
        <w:t>LE COMITÉ MIXTE DE L’EEE,</w:t>
      </w:r>
    </w:p>
    <w:p w14:paraId="2B9B691E" w14:textId="77777777" w:rsidR="00106D28" w:rsidRPr="00630C4C" w:rsidRDefault="00106D28" w:rsidP="00106D28">
      <w:pPr>
        <w:rPr>
          <w:noProof/>
          <w:color w:val="000000" w:themeColor="text1"/>
          <w:szCs w:val="24"/>
        </w:rPr>
      </w:pPr>
      <w:r w:rsidRPr="00630C4C">
        <w:rPr>
          <w:noProof/>
          <w:color w:val="000000" w:themeColor="text1"/>
        </w:rPr>
        <w:t>vu l’accord sur l’Espace économique européen (ci-après l’«accord EEE»), et notamment son article 98,</w:t>
      </w:r>
    </w:p>
    <w:p w14:paraId="041C6E62" w14:textId="77777777" w:rsidR="00106D28" w:rsidRPr="00630C4C" w:rsidRDefault="00106D28" w:rsidP="00106D28">
      <w:pPr>
        <w:rPr>
          <w:noProof/>
          <w:color w:val="000000" w:themeColor="text1"/>
          <w:szCs w:val="24"/>
        </w:rPr>
      </w:pPr>
      <w:r w:rsidRPr="00630C4C">
        <w:rPr>
          <w:noProof/>
          <w:color w:val="000000" w:themeColor="text1"/>
        </w:rPr>
        <w:t>considérant ce qui suit:</w:t>
      </w:r>
    </w:p>
    <w:p w14:paraId="51C347D8" w14:textId="77777777" w:rsidR="00106D28" w:rsidRPr="00630C4C" w:rsidRDefault="00106D28" w:rsidP="006D0632">
      <w:pPr>
        <w:pStyle w:val="Point0number"/>
        <w:numPr>
          <w:ilvl w:val="0"/>
          <w:numId w:val="13"/>
        </w:numPr>
        <w:rPr>
          <w:noProof/>
        </w:rPr>
      </w:pPr>
      <w:bookmarkStart w:id="1" w:name="_Hlk232611016"/>
      <w:r w:rsidRPr="00630C4C">
        <w:rPr>
          <w:noProof/>
        </w:rPr>
        <w:t>Le règlement (UE) 2015/703 de la Commission du 30 avril 2015 établissant un code de réseau sur les règles en matière d’interopérabilité et d’échange de données</w:t>
      </w:r>
      <w:r w:rsidRPr="00630C4C">
        <w:rPr>
          <w:rStyle w:val="FootnoteReference"/>
          <w:noProof/>
          <w:szCs w:val="24"/>
        </w:rPr>
        <w:footnoteReference w:id="1"/>
      </w:r>
      <w:bookmarkEnd w:id="1"/>
      <w:r w:rsidRPr="00630C4C">
        <w:rPr>
          <w:noProof/>
        </w:rPr>
        <w:t xml:space="preserve"> doit être intégré dans l’accord EEE.</w:t>
      </w:r>
    </w:p>
    <w:p w14:paraId="4BA803AF" w14:textId="77777777" w:rsidR="00106D28" w:rsidRPr="00630C4C" w:rsidRDefault="00106D28" w:rsidP="00E128B9">
      <w:pPr>
        <w:pStyle w:val="Point0number"/>
        <w:rPr>
          <w:noProof/>
        </w:rPr>
      </w:pPr>
      <w:bookmarkStart w:id="2" w:name="_Hlk24636643"/>
      <w:r w:rsidRPr="00630C4C">
        <w:rPr>
          <w:noProof/>
        </w:rPr>
        <w:t>Conformément à la décision du Comité mixte de l’EEE nº 93/2017 du 5 mai 2017</w:t>
      </w:r>
      <w:r w:rsidRPr="00630C4C">
        <w:rPr>
          <w:rStyle w:val="FootnoteReference"/>
          <w:noProof/>
          <w:szCs w:val="24"/>
        </w:rPr>
        <w:footnoteReference w:id="2"/>
      </w:r>
      <w:r w:rsidRPr="00630C4C">
        <w:rPr>
          <w:noProof/>
        </w:rPr>
        <w:t>, l’Islande bénéficie d’une dérogation au règlement (CE) nº 715/2009 du Parlement européen et du Conseil, qui constitue la base juridique du règlement (UE) 2015/703. Par conséquent, le règlement (UE) 2015/703 ne devrait pas s’appliquer à l’Islande.</w:t>
      </w:r>
    </w:p>
    <w:bookmarkEnd w:id="2"/>
    <w:p w14:paraId="07A21EBA" w14:textId="77777777" w:rsidR="00106D28" w:rsidRPr="00630C4C" w:rsidRDefault="00106D28" w:rsidP="00E128B9">
      <w:pPr>
        <w:pStyle w:val="Point0number"/>
        <w:rPr>
          <w:noProof/>
        </w:rPr>
      </w:pPr>
      <w:r w:rsidRPr="00630C4C">
        <w:rPr>
          <w:noProof/>
        </w:rPr>
        <w:t>L’article 1</w:t>
      </w:r>
      <w:r w:rsidRPr="00630C4C">
        <w:rPr>
          <w:noProof/>
          <w:vertAlign w:val="superscript"/>
        </w:rPr>
        <w:t>er</w:t>
      </w:r>
      <w:r w:rsidRPr="00630C4C">
        <w:rPr>
          <w:noProof/>
        </w:rPr>
        <w:t xml:space="preserve">, paragraphe 3, du règlement (UE) 2015/703 </w:t>
      </w:r>
      <w:bookmarkStart w:id="3" w:name="_Hlk24620272"/>
      <w:r w:rsidRPr="00630C4C">
        <w:rPr>
          <w:noProof/>
        </w:rPr>
        <w:t>prévoit que le règlement ne s’applique pas aux points d’interconnexion entre des États membres lorsqu’un de ces États membres bénéficie d’une dérogation sur la base de l’article 49 de la directive 2009/73/CE du Parlement européen et du Conseil. Conformément à la directive 2009/73/CE, telle qu’intégrée dans l’accord EEE par la décision du Comité mixte de l’EEE nº 93/2017 du 5 mai 2017</w:t>
      </w:r>
      <w:r w:rsidRPr="00630C4C">
        <w:rPr>
          <w:rStyle w:val="FootnoteReference"/>
          <w:noProof/>
          <w:szCs w:val="24"/>
        </w:rPr>
        <w:footnoteReference w:id="3"/>
      </w:r>
      <w:r w:rsidRPr="00630C4C">
        <w:rPr>
          <w:noProof/>
        </w:rPr>
        <w:t>, cette dérogation s’applique au Liechtenstein.</w:t>
      </w:r>
      <w:bookmarkEnd w:id="3"/>
      <w:r w:rsidRPr="00630C4C">
        <w:rPr>
          <w:noProof/>
        </w:rPr>
        <w:t>. Par conséquent, le règlement (UE) 2015/703 ne devrait pas s’appliquer au Liechtenstein.</w:t>
      </w:r>
    </w:p>
    <w:p w14:paraId="71818A5A" w14:textId="77777777" w:rsidR="00106D28" w:rsidRPr="00630C4C" w:rsidRDefault="00106D28" w:rsidP="00E128B9">
      <w:pPr>
        <w:pStyle w:val="Point0number"/>
        <w:rPr>
          <w:noProof/>
        </w:rPr>
      </w:pPr>
      <w:r w:rsidRPr="00630C4C">
        <w:rPr>
          <w:noProof/>
        </w:rPr>
        <w:t>Il n’existe pas, en Norvège, de réseau de transport de gaz soumis aux dispositions du règlement (CE) nº 715/2009 du Parlement européen et du Conseil du 13 juillet 2009 concernant les conditions d’accès aux réseaux de transport de gaz naturel et abrogeant le règlement (CE) nº 1775/2005</w:t>
      </w:r>
      <w:r w:rsidRPr="00630C4C">
        <w:rPr>
          <w:rStyle w:val="FootnoteReference"/>
          <w:noProof/>
          <w:szCs w:val="24"/>
        </w:rPr>
        <w:footnoteReference w:id="4"/>
      </w:r>
      <w:r w:rsidRPr="00630C4C">
        <w:rPr>
          <w:noProof/>
        </w:rPr>
        <w:t>. Par conséquent, le règlement (UE) 2015/703 devrait être intégré dans l’accord EEE et transposé en droit national, mais son application devrait être suspendue jusqu’à ce qu’un réseau opérationnel de transport de gaz soit en place en Norvège. Lorsque cela sera le cas, il convient que la Norvège le notifie à l’Autorité de surveillance AELE.</w:t>
      </w:r>
    </w:p>
    <w:p w14:paraId="11A59529" w14:textId="77777777" w:rsidR="00106D28" w:rsidRPr="00630C4C" w:rsidRDefault="00106D28" w:rsidP="00E128B9">
      <w:pPr>
        <w:pStyle w:val="Point0number"/>
        <w:rPr>
          <w:noProof/>
        </w:rPr>
      </w:pPr>
      <w:r w:rsidRPr="00630C4C">
        <w:rPr>
          <w:noProof/>
        </w:rPr>
        <w:t>Le règlement (UE) 2015/703 ayant été adopté sur la base du règlement (CE) nº 715/2009, les adaptations élaborées et adoptées au moyen de la décision du Comité mixte de l’EEE nº 93/2017 du 5 mai 2017</w:t>
      </w:r>
      <w:r w:rsidRPr="00630C4C">
        <w:rPr>
          <w:rStyle w:val="FootnoteReference"/>
          <w:noProof/>
          <w:szCs w:val="24"/>
        </w:rPr>
        <w:footnoteReference w:id="5"/>
      </w:r>
      <w:r w:rsidRPr="00630C4C">
        <w:rPr>
          <w:noProof/>
        </w:rPr>
        <w:t>, qui intègre le règlement (CE) nº 715/2009 dans l’accord EEE, sont pertinentes aux fins de l’application du règlement (UE) 2015/703.</w:t>
      </w:r>
    </w:p>
    <w:p w14:paraId="1858001E" w14:textId="77777777" w:rsidR="00106D28" w:rsidRPr="00630C4C" w:rsidRDefault="00106D28" w:rsidP="00E128B9">
      <w:pPr>
        <w:pStyle w:val="Point0number"/>
        <w:rPr>
          <w:noProof/>
          <w:color w:val="000000" w:themeColor="text1"/>
        </w:rPr>
      </w:pPr>
      <w:r w:rsidRPr="00630C4C">
        <w:rPr>
          <w:noProof/>
        </w:rPr>
        <w:t>Il convient dès lors de modifier l’annexe IV de l’accord EEE en conséquence,</w:t>
      </w:r>
    </w:p>
    <w:p w14:paraId="0309378C" w14:textId="77777777" w:rsidR="00106D28" w:rsidRPr="00630C4C" w:rsidRDefault="00106D28" w:rsidP="00106D28">
      <w:pPr>
        <w:keepNext/>
        <w:tabs>
          <w:tab w:val="left" w:pos="709"/>
        </w:tabs>
        <w:rPr>
          <w:noProof/>
          <w:color w:val="000000" w:themeColor="text1"/>
          <w:szCs w:val="24"/>
        </w:rPr>
      </w:pPr>
      <w:r w:rsidRPr="00630C4C">
        <w:rPr>
          <w:noProof/>
          <w:color w:val="000000" w:themeColor="text1"/>
        </w:rPr>
        <w:t>A ADOPTÉ LA PRÉSENTE DÉCISION:</w:t>
      </w:r>
    </w:p>
    <w:p w14:paraId="13A4B5A0" w14:textId="77777777" w:rsidR="00106D28" w:rsidRPr="00630C4C" w:rsidRDefault="00106D28" w:rsidP="00106D28">
      <w:pPr>
        <w:pStyle w:val="Articleheading"/>
        <w:rPr>
          <w:noProof/>
        </w:rPr>
      </w:pPr>
      <w:r w:rsidRPr="00630C4C">
        <w:rPr>
          <w:noProof/>
        </w:rPr>
        <w:t>Article premier</w:t>
      </w:r>
    </w:p>
    <w:p w14:paraId="30D884B5" w14:textId="77777777" w:rsidR="00106D28" w:rsidRPr="00630C4C" w:rsidRDefault="00106D28" w:rsidP="00106D28">
      <w:pPr>
        <w:pStyle w:val="Articletext"/>
        <w:rPr>
          <w:noProof/>
        </w:rPr>
      </w:pPr>
      <w:r w:rsidRPr="00630C4C">
        <w:rPr>
          <w:noProof/>
        </w:rPr>
        <w:t>Le point suivant est inséré après le point 48 [règlement (UE) nº 543/2013 de la Commission] de l’annexe IV de l’accord EEE:</w:t>
      </w:r>
    </w:p>
    <w:p w14:paraId="7D67EC77" w14:textId="77777777" w:rsidR="00106D28" w:rsidRPr="00630C4C" w:rsidRDefault="00106D28" w:rsidP="00106D28">
      <w:pPr>
        <w:pStyle w:val="Point0"/>
        <w:rPr>
          <w:noProof/>
        </w:rPr>
      </w:pPr>
      <w:r w:rsidRPr="00630C4C">
        <w:rPr>
          <w:noProof/>
        </w:rPr>
        <w:t>«49.</w:t>
      </w:r>
      <w:r w:rsidRPr="00630C4C">
        <w:rPr>
          <w:noProof/>
        </w:rPr>
        <w:tab/>
      </w:r>
      <w:r w:rsidRPr="00630C4C">
        <w:rPr>
          <w:b/>
          <w:bCs/>
          <w:noProof/>
        </w:rPr>
        <w:t>32015 R 0703</w:t>
      </w:r>
      <w:r w:rsidRPr="00630C4C">
        <w:rPr>
          <w:noProof/>
        </w:rPr>
        <w:t>: règlement (UE) 2015/703 de la Commission du 30 avril 2015 établissant un code de réseau sur les règles en matière d’interopérabilité et d’échange de données (JO L 113 du 1.5.2015, p. 13).</w:t>
      </w:r>
    </w:p>
    <w:p w14:paraId="16E793D5" w14:textId="77777777" w:rsidR="00106D28" w:rsidRPr="00630C4C" w:rsidRDefault="00106D28" w:rsidP="00106D28">
      <w:pPr>
        <w:pStyle w:val="Point0"/>
        <w:ind w:firstLine="0"/>
        <w:rPr>
          <w:noProof/>
        </w:rPr>
      </w:pPr>
      <w:r w:rsidRPr="00630C4C">
        <w:rPr>
          <w:noProof/>
        </w:rPr>
        <w:t>Aux fins du présent accord, les dispositions du règlement sont adaptées comme suit:</w:t>
      </w:r>
    </w:p>
    <w:p w14:paraId="4D1F1CEF" w14:textId="77777777" w:rsidR="00106D28" w:rsidRPr="00630C4C" w:rsidRDefault="00106D28" w:rsidP="00106D28">
      <w:pPr>
        <w:pStyle w:val="Point0"/>
        <w:ind w:firstLine="0"/>
        <w:rPr>
          <w:noProof/>
        </w:rPr>
      </w:pPr>
      <w:r w:rsidRPr="00630C4C">
        <w:rPr>
          <w:noProof/>
        </w:rPr>
        <w:t>La Norvège peut suspendre la mise en œuvre du règlement jusqu’à la mise en service d’un réseau de transport de gaz sur son territoire. Lorsqu’un réseau de transport de gaz sera en place, la Norvège devra le notifier à l’Autorité de surveillance AELE.</w:t>
      </w:r>
    </w:p>
    <w:p w14:paraId="3DA5CC66" w14:textId="77777777" w:rsidR="00106D28" w:rsidRPr="00630C4C" w:rsidRDefault="00106D28" w:rsidP="00106D28">
      <w:pPr>
        <w:pStyle w:val="Point0"/>
        <w:ind w:firstLine="0"/>
        <w:rPr>
          <w:noProof/>
        </w:rPr>
      </w:pPr>
      <w:r w:rsidRPr="00630C4C">
        <w:rPr>
          <w:noProof/>
        </w:rPr>
        <w:t>Le présent règlement ne s’applique ni à l’Islande ni au Liechtenstein.».</w:t>
      </w:r>
    </w:p>
    <w:p w14:paraId="1C9F3B26" w14:textId="77777777" w:rsidR="00106D28" w:rsidRPr="00630C4C" w:rsidRDefault="00106D28" w:rsidP="00106D28">
      <w:pPr>
        <w:pStyle w:val="Articleheading"/>
        <w:rPr>
          <w:noProof/>
        </w:rPr>
      </w:pPr>
      <w:r w:rsidRPr="00630C4C">
        <w:rPr>
          <w:noProof/>
        </w:rPr>
        <w:t>Article 2</w:t>
      </w:r>
    </w:p>
    <w:p w14:paraId="23ACEF55" w14:textId="77777777" w:rsidR="00106D28" w:rsidRPr="00630C4C" w:rsidRDefault="00106D28" w:rsidP="00106D28">
      <w:pPr>
        <w:pStyle w:val="Articletext"/>
        <w:rPr>
          <w:noProof/>
        </w:rPr>
      </w:pPr>
      <w:r w:rsidRPr="00630C4C">
        <w:rPr>
          <w:noProof/>
        </w:rPr>
        <w:t xml:space="preserve">Les textes du règlement (UE) 2015/703 de la Commission en langues islandaise et norvégienne, à publier dans le supplément EEE du </w:t>
      </w:r>
      <w:r w:rsidRPr="00630C4C">
        <w:rPr>
          <w:i/>
          <w:noProof/>
        </w:rPr>
        <w:t>Journal officiel de l’Union européenne</w:t>
      </w:r>
      <w:r w:rsidRPr="00630C4C">
        <w:rPr>
          <w:noProof/>
        </w:rPr>
        <w:t>, font foi.</w:t>
      </w:r>
    </w:p>
    <w:p w14:paraId="3C665124" w14:textId="77777777" w:rsidR="00106D28" w:rsidRPr="00630C4C" w:rsidRDefault="00106D28" w:rsidP="00106D28">
      <w:pPr>
        <w:pStyle w:val="Articleheading"/>
        <w:rPr>
          <w:noProof/>
        </w:rPr>
      </w:pPr>
      <w:r w:rsidRPr="00630C4C">
        <w:rPr>
          <w:noProof/>
        </w:rPr>
        <w:t>Article 3</w:t>
      </w:r>
    </w:p>
    <w:p w14:paraId="3C43B3EF" w14:textId="77777777" w:rsidR="00106D28" w:rsidRPr="00630C4C" w:rsidRDefault="00106D28" w:rsidP="00106D28">
      <w:pPr>
        <w:pStyle w:val="Articletext"/>
        <w:rPr>
          <w:noProof/>
        </w:rPr>
      </w:pPr>
      <w:r w:rsidRPr="00630C4C">
        <w:rPr>
          <w:noProof/>
          <w:color w:val="000000"/>
        </w:rPr>
        <w:t xml:space="preserve">La présente décision entre en vigueur le </w:t>
      </w:r>
      <w:r w:rsidRPr="00630C4C">
        <w:rPr>
          <w:rStyle w:val="Marker"/>
          <w:noProof/>
        </w:rPr>
        <w:t>[…]</w:t>
      </w:r>
      <w:r w:rsidRPr="00630C4C">
        <w:rPr>
          <w:noProof/>
          <w:color w:val="000000"/>
        </w:rPr>
        <w:t>, pour autant que toutes les notifications prévues à l’article 103, paragraphe 1, de l’accord EEE aient été faites</w:t>
      </w:r>
      <w:r w:rsidRPr="00630C4C">
        <w:rPr>
          <w:rStyle w:val="FootnoteReference"/>
          <w:rFonts w:eastAsia="Calibri"/>
          <w:b/>
          <w:noProof/>
          <w:color w:val="000000"/>
        </w:rPr>
        <w:footnoteReference w:customMarkFollows="1" w:id="6"/>
        <w:sym w:font="Symbol" w:char="F02A"/>
      </w:r>
      <w:r w:rsidRPr="00630C4C">
        <w:rPr>
          <w:noProof/>
          <w:color w:val="000000"/>
        </w:rPr>
        <w:t>.</w:t>
      </w:r>
    </w:p>
    <w:p w14:paraId="0C5ABA35" w14:textId="77777777" w:rsidR="00106D28" w:rsidRPr="00630C4C" w:rsidRDefault="00106D28" w:rsidP="00106D28">
      <w:pPr>
        <w:pStyle w:val="Articleheading"/>
        <w:rPr>
          <w:noProof/>
        </w:rPr>
      </w:pPr>
      <w:r w:rsidRPr="00630C4C">
        <w:rPr>
          <w:noProof/>
        </w:rPr>
        <w:t>Article 4</w:t>
      </w:r>
    </w:p>
    <w:p w14:paraId="0FA649B1" w14:textId="77777777" w:rsidR="00106D28" w:rsidRPr="00630C4C" w:rsidRDefault="00106D28" w:rsidP="00106D28">
      <w:pPr>
        <w:pStyle w:val="Articletext"/>
        <w:rPr>
          <w:noProof/>
        </w:rPr>
      </w:pPr>
      <w:r w:rsidRPr="00630C4C">
        <w:rPr>
          <w:noProof/>
        </w:rPr>
        <w:t xml:space="preserve">La présente décision est publiée dans la partie EEE et dans le supplément EEE du </w:t>
      </w:r>
      <w:r w:rsidRPr="00630C4C">
        <w:rPr>
          <w:i/>
          <w:noProof/>
        </w:rPr>
        <w:t>Journal officiel de l’Union européenne</w:t>
      </w:r>
      <w:r w:rsidRPr="00630C4C">
        <w:rPr>
          <w:noProof/>
        </w:rPr>
        <w:t>.</w:t>
      </w:r>
    </w:p>
    <w:p w14:paraId="7965B4E2" w14:textId="77777777" w:rsidR="00106D28" w:rsidRPr="00630C4C" w:rsidRDefault="00106D28" w:rsidP="00106D28">
      <w:pPr>
        <w:rPr>
          <w:noProof/>
          <w:szCs w:val="24"/>
        </w:rPr>
      </w:pPr>
      <w:r w:rsidRPr="00630C4C">
        <w:rPr>
          <w:noProof/>
        </w:rPr>
        <w:t xml:space="preserve">Fait à Bruxelles, le </w:t>
      </w:r>
      <w:r w:rsidRPr="00630C4C">
        <w:rPr>
          <w:rStyle w:val="Marker"/>
          <w:noProof/>
        </w:rPr>
        <w:t>[…]</w:t>
      </w:r>
      <w:r w:rsidRPr="00630C4C">
        <w:rPr>
          <w:noProof/>
        </w:rPr>
        <w:t>.</w:t>
      </w:r>
    </w:p>
    <w:p w14:paraId="4DD93B09" w14:textId="77777777" w:rsidR="00106D28" w:rsidRPr="00630C4C" w:rsidRDefault="00106D28" w:rsidP="00106D28">
      <w:pPr>
        <w:tabs>
          <w:tab w:val="left" w:pos="4253"/>
        </w:tabs>
        <w:spacing w:after="0"/>
        <w:rPr>
          <w:i/>
          <w:noProof/>
          <w:szCs w:val="24"/>
        </w:rPr>
      </w:pPr>
      <w:r w:rsidRPr="00630C4C">
        <w:rPr>
          <w:noProof/>
        </w:rPr>
        <w:tab/>
      </w:r>
      <w:r w:rsidRPr="00630C4C">
        <w:rPr>
          <w:i/>
          <w:noProof/>
        </w:rPr>
        <w:t>Par le Comité mixte de l’EEE</w:t>
      </w:r>
    </w:p>
    <w:p w14:paraId="21BAA8B4" w14:textId="77777777" w:rsidR="00106D28" w:rsidRPr="00630C4C" w:rsidRDefault="00106D28" w:rsidP="00106D28">
      <w:pPr>
        <w:tabs>
          <w:tab w:val="left" w:pos="4253"/>
        </w:tabs>
        <w:spacing w:after="0"/>
        <w:rPr>
          <w:i/>
          <w:noProof/>
          <w:szCs w:val="24"/>
        </w:rPr>
      </w:pPr>
      <w:r w:rsidRPr="00630C4C">
        <w:rPr>
          <w:noProof/>
        </w:rPr>
        <w:tab/>
      </w:r>
      <w:r w:rsidRPr="00630C4C">
        <w:rPr>
          <w:i/>
          <w:noProof/>
        </w:rPr>
        <w:t>Le président/La présidente</w:t>
      </w:r>
    </w:p>
    <w:p w14:paraId="10E6D277" w14:textId="77777777" w:rsidR="00106D28" w:rsidRPr="00630C4C" w:rsidRDefault="00106D28" w:rsidP="00106D28">
      <w:pPr>
        <w:tabs>
          <w:tab w:val="left" w:pos="4253"/>
        </w:tabs>
        <w:spacing w:after="0"/>
        <w:rPr>
          <w:i/>
          <w:noProof/>
          <w:szCs w:val="24"/>
        </w:rPr>
      </w:pPr>
      <w:r w:rsidRPr="00630C4C">
        <w:rPr>
          <w:noProof/>
        </w:rPr>
        <w:tab/>
      </w:r>
      <w:r w:rsidRPr="00630C4C">
        <w:rPr>
          <w:rStyle w:val="Marker"/>
          <w:noProof/>
        </w:rPr>
        <w:t>[…]</w:t>
      </w:r>
    </w:p>
    <w:p w14:paraId="0224E73E" w14:textId="77777777" w:rsidR="00106D28" w:rsidRPr="00630C4C" w:rsidRDefault="00106D28" w:rsidP="00106D28">
      <w:pPr>
        <w:pStyle w:val="ListParagraph"/>
        <w:ind w:left="0"/>
        <w:rPr>
          <w:rStyle w:val="Marker"/>
          <w:noProof/>
        </w:rPr>
      </w:pPr>
    </w:p>
    <w:p w14:paraId="5CC7D7FD" w14:textId="77777777" w:rsidR="00106D28" w:rsidRPr="00630C4C" w:rsidRDefault="00106D28" w:rsidP="00106D28">
      <w:pPr>
        <w:pStyle w:val="ListParagraph"/>
        <w:ind w:left="0"/>
        <w:rPr>
          <w:rStyle w:val="Marker"/>
          <w:noProof/>
        </w:rPr>
      </w:pPr>
    </w:p>
    <w:p w14:paraId="79B5F407" w14:textId="77777777" w:rsidR="00106D28" w:rsidRPr="00630C4C" w:rsidRDefault="00106D28" w:rsidP="00106D28">
      <w:pPr>
        <w:pStyle w:val="ListParagraph"/>
        <w:tabs>
          <w:tab w:val="left" w:pos="4253"/>
        </w:tabs>
        <w:ind w:left="0"/>
        <w:rPr>
          <w:rFonts w:cs="Times New Roman"/>
          <w:i/>
          <w:noProof/>
          <w:sz w:val="24"/>
          <w:szCs w:val="24"/>
        </w:rPr>
      </w:pPr>
      <w:r w:rsidRPr="00630C4C">
        <w:rPr>
          <w:noProof/>
        </w:rPr>
        <w:tab/>
      </w:r>
      <w:r w:rsidRPr="00630C4C">
        <w:rPr>
          <w:i/>
          <w:noProof/>
          <w:sz w:val="24"/>
        </w:rPr>
        <w:t>Les secrétaires</w:t>
      </w:r>
    </w:p>
    <w:p w14:paraId="545FAFB2" w14:textId="77777777" w:rsidR="00106D28" w:rsidRPr="00630C4C" w:rsidRDefault="00106D28" w:rsidP="00106D28">
      <w:pPr>
        <w:pStyle w:val="ListParagraph"/>
        <w:tabs>
          <w:tab w:val="left" w:pos="4253"/>
        </w:tabs>
        <w:ind w:left="0"/>
        <w:rPr>
          <w:rFonts w:cs="Times New Roman"/>
          <w:i/>
          <w:noProof/>
          <w:sz w:val="24"/>
          <w:szCs w:val="24"/>
        </w:rPr>
      </w:pPr>
      <w:r w:rsidRPr="00630C4C">
        <w:rPr>
          <w:noProof/>
        </w:rPr>
        <w:tab/>
      </w:r>
      <w:r w:rsidRPr="00630C4C">
        <w:rPr>
          <w:i/>
          <w:noProof/>
          <w:sz w:val="24"/>
        </w:rPr>
        <w:t>du Comité mixte de l’EEE</w:t>
      </w:r>
    </w:p>
    <w:p w14:paraId="75E422F1" w14:textId="77777777" w:rsidR="00106D28" w:rsidRPr="00630C4C" w:rsidRDefault="00106D28" w:rsidP="00106D28">
      <w:pPr>
        <w:pStyle w:val="ListParagraph"/>
        <w:tabs>
          <w:tab w:val="left" w:pos="4253"/>
        </w:tabs>
        <w:ind w:left="0"/>
        <w:rPr>
          <w:noProof/>
          <w:sz w:val="24"/>
          <w:szCs w:val="24"/>
        </w:rPr>
      </w:pPr>
      <w:r w:rsidRPr="00630C4C">
        <w:rPr>
          <w:noProof/>
        </w:rPr>
        <w:tab/>
      </w:r>
      <w:r w:rsidRPr="00630C4C">
        <w:rPr>
          <w:rStyle w:val="Marker"/>
          <w:noProof/>
          <w:sz w:val="24"/>
        </w:rPr>
        <w:t>[…]</w:t>
      </w:r>
    </w:p>
    <w:p w14:paraId="1FA7EE63" w14:textId="77777777" w:rsidR="00106D28" w:rsidRPr="00630C4C" w:rsidRDefault="00106D28" w:rsidP="004F7214">
      <w:pPr>
        <w:pStyle w:val="Body"/>
        <w:spacing w:before="360" w:after="0"/>
        <w:rPr>
          <w:b/>
          <w:bCs/>
          <w:noProof/>
        </w:rPr>
      </w:pPr>
    </w:p>
    <w:sectPr w:rsidR="00106D28" w:rsidRPr="00630C4C" w:rsidSect="00C31DC5">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2E04D9" w14:textId="77777777" w:rsidR="00FA089C" w:rsidRDefault="00FA089C" w:rsidP="00FA089C">
      <w:pPr>
        <w:spacing w:before="0" w:after="0"/>
      </w:pPr>
      <w:r>
        <w:separator/>
      </w:r>
    </w:p>
  </w:endnote>
  <w:endnote w:type="continuationSeparator" w:id="0">
    <w:p w14:paraId="45835202" w14:textId="77777777" w:rsidR="00FA089C" w:rsidRDefault="00FA089C" w:rsidP="00FA08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3CDE8" w14:textId="43B63CBE" w:rsidR="00C31DC5" w:rsidRPr="00C31DC5" w:rsidRDefault="00C31DC5" w:rsidP="00C31DC5">
    <w:pPr>
      <w:pStyle w:val="Footer"/>
      <w:rPr>
        <w:rFonts w:ascii="Arial" w:hAnsi="Arial" w:cs="Arial"/>
        <w:b/>
        <w:sz w:val="48"/>
      </w:rPr>
    </w:pPr>
    <w:r w:rsidRPr="00C31DC5">
      <w:rPr>
        <w:rFonts w:ascii="Arial" w:hAnsi="Arial" w:cs="Arial"/>
        <w:b/>
        <w:sz w:val="48"/>
      </w:rPr>
      <w:t>FR</w:t>
    </w:r>
    <w:r w:rsidRPr="00C31DC5">
      <w:rPr>
        <w:rFonts w:ascii="Arial" w:hAnsi="Arial" w:cs="Arial"/>
        <w:b/>
        <w:sz w:val="48"/>
      </w:rPr>
      <w:tab/>
    </w:r>
    <w:r w:rsidRPr="00C31DC5">
      <w:rPr>
        <w:rFonts w:ascii="Arial" w:hAnsi="Arial" w:cs="Arial"/>
        <w:b/>
        <w:sz w:val="48"/>
      </w:rPr>
      <w:tab/>
    </w:r>
    <w:r w:rsidRPr="00C31DC5">
      <w:tab/>
    </w:r>
    <w:r w:rsidRPr="00C31DC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D75A1" w14:textId="35C87C1F" w:rsidR="00C31DC5" w:rsidRPr="00C31DC5" w:rsidRDefault="00C31DC5" w:rsidP="00C31DC5">
    <w:pPr>
      <w:pStyle w:val="Footer"/>
      <w:rPr>
        <w:rFonts w:ascii="Arial" w:hAnsi="Arial" w:cs="Arial"/>
        <w:b/>
        <w:sz w:val="48"/>
      </w:rPr>
    </w:pPr>
    <w:r w:rsidRPr="00C31DC5">
      <w:rPr>
        <w:rFonts w:ascii="Arial" w:hAnsi="Arial" w:cs="Arial"/>
        <w:b/>
        <w:sz w:val="48"/>
      </w:rPr>
      <w:t>FR</w:t>
    </w:r>
    <w:r w:rsidRPr="00C31DC5">
      <w:rPr>
        <w:rFonts w:ascii="Arial" w:hAnsi="Arial" w:cs="Arial"/>
        <w:b/>
        <w:sz w:val="48"/>
      </w:rPr>
      <w:tab/>
    </w:r>
    <w:r w:rsidRPr="00C31DC5">
      <w:rPr>
        <w:rFonts w:ascii="Arial" w:hAnsi="Arial" w:cs="Arial"/>
        <w:b/>
        <w:sz w:val="48"/>
      </w:rPr>
      <w:tab/>
    </w:r>
    <w:r w:rsidRPr="00C31DC5">
      <w:tab/>
    </w:r>
    <w:r w:rsidRPr="00C31DC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0FE9B" w14:textId="77777777" w:rsidR="00C31DC5" w:rsidRPr="00C31DC5" w:rsidRDefault="00C31DC5" w:rsidP="00C31D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D0569" w14:textId="77777777" w:rsidR="00C31DC5" w:rsidRDefault="00C31DC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E0F9E" w14:textId="0BACDBF5" w:rsidR="00C31DC5" w:rsidRPr="00C31DC5" w:rsidRDefault="00C31DC5" w:rsidP="00C31DC5">
    <w:pPr>
      <w:pStyle w:val="Footer"/>
      <w:rPr>
        <w:rFonts w:ascii="Arial" w:hAnsi="Arial" w:cs="Arial"/>
        <w:b/>
        <w:sz w:val="48"/>
      </w:rPr>
    </w:pPr>
    <w:r w:rsidRPr="00C31DC5">
      <w:rPr>
        <w:rFonts w:ascii="Arial" w:hAnsi="Arial" w:cs="Arial"/>
        <w:b/>
        <w:sz w:val="48"/>
      </w:rPr>
      <w:t>FR</w:t>
    </w:r>
    <w:r w:rsidRPr="00C31DC5">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C31DC5">
      <w:tab/>
    </w:r>
    <w:r w:rsidRPr="00C31DC5">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FFCCC" w14:textId="77777777" w:rsidR="00C31DC5" w:rsidRDefault="00C31DC5" w:rsidP="00C31D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7EA2FA" w14:textId="77777777" w:rsidR="00FA089C" w:rsidRDefault="00FA089C" w:rsidP="00FA089C">
      <w:pPr>
        <w:spacing w:before="0" w:after="0"/>
      </w:pPr>
      <w:r>
        <w:separator/>
      </w:r>
    </w:p>
  </w:footnote>
  <w:footnote w:type="continuationSeparator" w:id="0">
    <w:p w14:paraId="1B917265" w14:textId="77777777" w:rsidR="00FA089C" w:rsidRDefault="00FA089C" w:rsidP="00FA089C">
      <w:pPr>
        <w:spacing w:before="0" w:after="0"/>
      </w:pPr>
      <w:r>
        <w:continuationSeparator/>
      </w:r>
    </w:p>
  </w:footnote>
  <w:footnote w:id="1">
    <w:p w14:paraId="5CE0A103" w14:textId="57822E84" w:rsidR="00106D28" w:rsidRPr="004F7214" w:rsidRDefault="00106D28" w:rsidP="00106D28">
      <w:pPr>
        <w:pStyle w:val="FootnoteText"/>
        <w:rPr>
          <w:lang w:val="fr-BE"/>
        </w:rPr>
      </w:pPr>
      <w:r>
        <w:rPr>
          <w:rStyle w:val="FootnoteReference"/>
        </w:rPr>
        <w:footnoteRef/>
      </w:r>
      <w:r w:rsidRPr="004F7214">
        <w:rPr>
          <w:lang w:val="fr-BE"/>
        </w:rPr>
        <w:tab/>
        <w:t>JO L</w:t>
      </w:r>
      <w:r w:rsidR="00CD2957">
        <w:rPr>
          <w:lang w:val="fr-BE"/>
        </w:rPr>
        <w:t> </w:t>
      </w:r>
      <w:r w:rsidRPr="004F7214">
        <w:rPr>
          <w:lang w:val="fr-BE"/>
        </w:rPr>
        <w:t>113 du 1.5.2015, p. 13.</w:t>
      </w:r>
    </w:p>
  </w:footnote>
  <w:footnote w:id="2">
    <w:p w14:paraId="308DD9BD" w14:textId="705A20F3" w:rsidR="00106D28" w:rsidRPr="004F7214" w:rsidRDefault="00106D28" w:rsidP="00106D28">
      <w:pPr>
        <w:pStyle w:val="FootnoteText"/>
        <w:rPr>
          <w:lang w:val="fr-BE"/>
        </w:rPr>
      </w:pPr>
      <w:r>
        <w:rPr>
          <w:rStyle w:val="FootnoteReference"/>
        </w:rPr>
        <w:footnoteRef/>
      </w:r>
      <w:r w:rsidRPr="004F7214">
        <w:rPr>
          <w:lang w:val="fr-BE"/>
        </w:rPr>
        <w:tab/>
        <w:t>JO L</w:t>
      </w:r>
      <w:r w:rsidR="00CD2957">
        <w:rPr>
          <w:lang w:val="fr-BE"/>
        </w:rPr>
        <w:t> </w:t>
      </w:r>
      <w:r w:rsidRPr="004F7214">
        <w:rPr>
          <w:lang w:val="fr-BE"/>
        </w:rPr>
        <w:t>36 du 7.2.2019, p. 44.</w:t>
      </w:r>
    </w:p>
  </w:footnote>
  <w:footnote w:id="3">
    <w:p w14:paraId="4CE705D8" w14:textId="77777777" w:rsidR="00106D28" w:rsidRPr="004F7214" w:rsidRDefault="00106D28" w:rsidP="00106D28">
      <w:pPr>
        <w:pStyle w:val="FootnoteText"/>
        <w:rPr>
          <w:lang w:val="fr-BE"/>
        </w:rPr>
      </w:pPr>
      <w:r>
        <w:rPr>
          <w:rStyle w:val="FootnoteReference"/>
        </w:rPr>
        <w:footnoteRef/>
      </w:r>
      <w:r w:rsidRPr="004F7214">
        <w:rPr>
          <w:lang w:val="fr-BE"/>
        </w:rPr>
        <w:tab/>
      </w:r>
      <w:bookmarkStart w:id="4" w:name="_Hlk24620180"/>
      <w:r w:rsidRPr="004F7214">
        <w:rPr>
          <w:lang w:val="fr-BE"/>
        </w:rPr>
        <w:t>JO L 36 du 7.2.2019, p. 44.</w:t>
      </w:r>
      <w:bookmarkEnd w:id="4"/>
    </w:p>
  </w:footnote>
  <w:footnote w:id="4">
    <w:p w14:paraId="55D815AC" w14:textId="72A4DD41" w:rsidR="00106D28" w:rsidRPr="004F7214" w:rsidRDefault="00106D28" w:rsidP="00106D28">
      <w:pPr>
        <w:pStyle w:val="FootnoteText"/>
        <w:rPr>
          <w:lang w:val="fr-BE"/>
        </w:rPr>
      </w:pPr>
      <w:r>
        <w:rPr>
          <w:rStyle w:val="FootnoteReference"/>
        </w:rPr>
        <w:footnoteRef/>
      </w:r>
      <w:r w:rsidRPr="004F7214">
        <w:rPr>
          <w:lang w:val="fr-BE"/>
        </w:rPr>
        <w:tab/>
        <w:t>JO L</w:t>
      </w:r>
      <w:r w:rsidR="00CD2957">
        <w:rPr>
          <w:lang w:val="fr-BE"/>
        </w:rPr>
        <w:t> </w:t>
      </w:r>
      <w:r w:rsidRPr="004F7214">
        <w:rPr>
          <w:lang w:val="fr-BE"/>
        </w:rPr>
        <w:t>211 du 14.8.2009, p. 36.</w:t>
      </w:r>
    </w:p>
  </w:footnote>
  <w:footnote w:id="5">
    <w:p w14:paraId="5DC43808" w14:textId="6F5C7A27" w:rsidR="00106D28" w:rsidRPr="004F7214" w:rsidRDefault="00106D28" w:rsidP="00106D28">
      <w:pPr>
        <w:pStyle w:val="FootnoteText"/>
        <w:rPr>
          <w:lang w:val="fr-BE"/>
        </w:rPr>
      </w:pPr>
      <w:r>
        <w:rPr>
          <w:rStyle w:val="FootnoteReference"/>
        </w:rPr>
        <w:footnoteRef/>
      </w:r>
      <w:r w:rsidRPr="004F7214">
        <w:rPr>
          <w:lang w:val="fr-BE"/>
        </w:rPr>
        <w:tab/>
        <w:t>JO L</w:t>
      </w:r>
      <w:r w:rsidR="00CD2957">
        <w:rPr>
          <w:lang w:val="fr-BE"/>
        </w:rPr>
        <w:t> </w:t>
      </w:r>
      <w:r w:rsidRPr="004F7214">
        <w:rPr>
          <w:lang w:val="fr-BE"/>
        </w:rPr>
        <w:t>36 du 7.2.2019, p. 44.</w:t>
      </w:r>
    </w:p>
  </w:footnote>
  <w:footnote w:id="6">
    <w:p w14:paraId="4BA66EDC" w14:textId="77777777" w:rsidR="00106D28" w:rsidRPr="004C219A" w:rsidRDefault="00106D28" w:rsidP="00106D28">
      <w:pPr>
        <w:pStyle w:val="FootnoteText"/>
        <w:rPr>
          <w:rFonts w:eastAsia="Calibri"/>
        </w:rPr>
      </w:pPr>
      <w:r>
        <w:rPr>
          <w:rStyle w:val="FootnoteReference"/>
        </w:rPr>
        <w:sym w:font="Symbol" w:char="F02A"/>
      </w:r>
      <w:r w:rsidRPr="004F7214">
        <w:rPr>
          <w:lang w:val="fr-BE"/>
        </w:rPr>
        <w:tab/>
        <w:t xml:space="preserve">[Pas de procédures constitutionnelles signalées.] </w:t>
      </w:r>
      <w:r>
        <w:t>[Procédures constitutionnelles signalées.]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80736" w14:textId="77777777" w:rsidR="00C31DC5" w:rsidRPr="00C31DC5" w:rsidRDefault="00C31DC5" w:rsidP="00C31D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B3FE6" w14:textId="77777777" w:rsidR="00C31DC5" w:rsidRPr="00C31DC5" w:rsidRDefault="00C31DC5" w:rsidP="00C31D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F6F3D" w14:textId="77777777" w:rsidR="00C31DC5" w:rsidRPr="00C31DC5" w:rsidRDefault="00C31DC5" w:rsidP="00C31D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BE6CB" w14:textId="77777777" w:rsidR="00C31DC5" w:rsidRDefault="00C31D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59A27" w14:textId="77777777" w:rsidR="00C31DC5" w:rsidRDefault="00C31D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048214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EE2F7B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21E28C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8AE4D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4D6D6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44C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70C6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A2A96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38317848"/>
    <w:multiLevelType w:val="hybridMultilevel"/>
    <w:tmpl w:val="4F1C422C"/>
    <w:styleLink w:val="ImportedStyle5"/>
    <w:lvl w:ilvl="0" w:tplc="EC5AFA20">
      <w:start w:val="1"/>
      <w:numFmt w:val="lowerRoman"/>
      <w:lvlText w:val="(%1)"/>
      <w:lvlJc w:val="left"/>
      <w:pPr>
        <w:tabs>
          <w:tab w:val="left" w:pos="4253"/>
        </w:tabs>
        <w:ind w:left="1429"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5C88343C">
      <w:start w:val="1"/>
      <w:numFmt w:val="lowerLetter"/>
      <w:lvlText w:val="%2."/>
      <w:lvlJc w:val="left"/>
      <w:pPr>
        <w:tabs>
          <w:tab w:val="left" w:pos="4253"/>
        </w:tabs>
        <w:ind w:left="178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EC5040">
      <w:start w:val="1"/>
      <w:numFmt w:val="lowerRoman"/>
      <w:lvlText w:val="%3."/>
      <w:lvlJc w:val="left"/>
      <w:pPr>
        <w:tabs>
          <w:tab w:val="left" w:pos="4253"/>
        </w:tabs>
        <w:ind w:left="2509"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A06782A">
      <w:start w:val="1"/>
      <w:numFmt w:val="decimal"/>
      <w:lvlText w:val="%4."/>
      <w:lvlJc w:val="left"/>
      <w:pPr>
        <w:tabs>
          <w:tab w:val="left" w:pos="4253"/>
        </w:tabs>
        <w:ind w:left="322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64606E">
      <w:start w:val="1"/>
      <w:numFmt w:val="lowerLetter"/>
      <w:lvlText w:val="%5."/>
      <w:lvlJc w:val="left"/>
      <w:pPr>
        <w:tabs>
          <w:tab w:val="left" w:pos="4253"/>
        </w:tabs>
        <w:ind w:left="394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92C608E">
      <w:start w:val="1"/>
      <w:numFmt w:val="lowerRoman"/>
      <w:lvlText w:val="%6."/>
      <w:lvlJc w:val="left"/>
      <w:pPr>
        <w:tabs>
          <w:tab w:val="left" w:pos="4253"/>
        </w:tabs>
        <w:ind w:left="4669"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8140508">
      <w:start w:val="1"/>
      <w:numFmt w:val="decimal"/>
      <w:lvlText w:val="%7."/>
      <w:lvlJc w:val="left"/>
      <w:pPr>
        <w:tabs>
          <w:tab w:val="left" w:pos="4253"/>
        </w:tabs>
        <w:ind w:left="538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5ECC0AC">
      <w:start w:val="1"/>
      <w:numFmt w:val="lowerLetter"/>
      <w:lvlText w:val="%8."/>
      <w:lvlJc w:val="left"/>
      <w:pPr>
        <w:tabs>
          <w:tab w:val="left" w:pos="4253"/>
        </w:tabs>
        <w:ind w:left="610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708CAC">
      <w:start w:val="1"/>
      <w:numFmt w:val="lowerRoman"/>
      <w:lvlText w:val="%9."/>
      <w:lvlJc w:val="left"/>
      <w:pPr>
        <w:tabs>
          <w:tab w:val="left" w:pos="4253"/>
        </w:tabs>
        <w:ind w:left="6829"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96A54C1"/>
    <w:multiLevelType w:val="hybridMultilevel"/>
    <w:tmpl w:val="92CE67CA"/>
    <w:styleLink w:val="ImportedStyle2"/>
    <w:lvl w:ilvl="0" w:tplc="250EEA4C">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EBCCA95A">
      <w:start w:val="1"/>
      <w:numFmt w:val="lowerLetter"/>
      <w:lvlText w:val="%2."/>
      <w:lvlJc w:val="left"/>
      <w:pPr>
        <w:tabs>
          <w:tab w:val="left" w:pos="709"/>
        </w:tabs>
        <w:ind w:left="142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6EB44E02">
      <w:start w:val="1"/>
      <w:numFmt w:val="lowerRoman"/>
      <w:lvlText w:val="%3."/>
      <w:lvlJc w:val="left"/>
      <w:pPr>
        <w:tabs>
          <w:tab w:val="left" w:pos="709"/>
        </w:tabs>
        <w:ind w:left="2149" w:hanging="649"/>
      </w:pPr>
      <w:rPr>
        <w:rFonts w:hAnsi="Arial Unicode MS"/>
        <w:caps w:val="0"/>
        <w:smallCaps w:val="0"/>
        <w:strike w:val="0"/>
        <w:dstrike w:val="0"/>
        <w:outline w:val="0"/>
        <w:emboss w:val="0"/>
        <w:imprint w:val="0"/>
        <w:spacing w:val="0"/>
        <w:w w:val="100"/>
        <w:kern w:val="0"/>
        <w:position w:val="0"/>
        <w:highlight w:val="none"/>
        <w:vertAlign w:val="baseline"/>
      </w:rPr>
    </w:lvl>
    <w:lvl w:ilvl="3" w:tplc="10CA95AE">
      <w:start w:val="1"/>
      <w:numFmt w:val="decimal"/>
      <w:lvlText w:val="%4."/>
      <w:lvlJc w:val="left"/>
      <w:pPr>
        <w:tabs>
          <w:tab w:val="left" w:pos="709"/>
        </w:tabs>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D4E2A348">
      <w:start w:val="1"/>
      <w:numFmt w:val="lowerLetter"/>
      <w:lvlText w:val="%5."/>
      <w:lvlJc w:val="left"/>
      <w:pPr>
        <w:tabs>
          <w:tab w:val="left" w:pos="709"/>
        </w:tabs>
        <w:ind w:left="358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6B94ADAA">
      <w:start w:val="1"/>
      <w:numFmt w:val="lowerRoman"/>
      <w:lvlText w:val="%6."/>
      <w:lvlJc w:val="left"/>
      <w:pPr>
        <w:tabs>
          <w:tab w:val="left" w:pos="709"/>
        </w:tabs>
        <w:ind w:left="4309" w:hanging="649"/>
      </w:pPr>
      <w:rPr>
        <w:rFonts w:hAnsi="Arial Unicode MS"/>
        <w:caps w:val="0"/>
        <w:smallCaps w:val="0"/>
        <w:strike w:val="0"/>
        <w:dstrike w:val="0"/>
        <w:outline w:val="0"/>
        <w:emboss w:val="0"/>
        <w:imprint w:val="0"/>
        <w:spacing w:val="0"/>
        <w:w w:val="100"/>
        <w:kern w:val="0"/>
        <w:position w:val="0"/>
        <w:highlight w:val="none"/>
        <w:vertAlign w:val="baseline"/>
      </w:rPr>
    </w:lvl>
    <w:lvl w:ilvl="6" w:tplc="F99A3974">
      <w:start w:val="1"/>
      <w:numFmt w:val="decimal"/>
      <w:lvlText w:val="%7."/>
      <w:lvlJc w:val="left"/>
      <w:pPr>
        <w:tabs>
          <w:tab w:val="left" w:pos="709"/>
        </w:tabs>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9B8CF956">
      <w:start w:val="1"/>
      <w:numFmt w:val="lowerLetter"/>
      <w:lvlText w:val="%8."/>
      <w:lvlJc w:val="left"/>
      <w:pPr>
        <w:tabs>
          <w:tab w:val="left" w:pos="709"/>
        </w:tabs>
        <w:ind w:left="574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132A9D0A">
      <w:start w:val="1"/>
      <w:numFmt w:val="lowerRoman"/>
      <w:lvlText w:val="%9."/>
      <w:lvlJc w:val="left"/>
      <w:pPr>
        <w:tabs>
          <w:tab w:val="left" w:pos="709"/>
        </w:tabs>
        <w:ind w:left="6469" w:hanging="64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D8772F7"/>
    <w:multiLevelType w:val="hybridMultilevel"/>
    <w:tmpl w:val="8F262F1E"/>
    <w:styleLink w:val="ImportedStyle3"/>
    <w:lvl w:ilvl="0" w:tplc="F590582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52C7186">
      <w:start w:val="1"/>
      <w:numFmt w:val="lowerLetter"/>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BAE3022">
      <w:start w:val="1"/>
      <w:numFmt w:val="lowerRoman"/>
      <w:lvlText w:val="%3."/>
      <w:lvlJc w:val="left"/>
      <w:pPr>
        <w:ind w:left="2160"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1756AE04">
      <w:start w:val="1"/>
      <w:numFmt w:val="decimal"/>
      <w:lvlText w:val="%4."/>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5F103FAA">
      <w:start w:val="1"/>
      <w:numFmt w:val="lowerLetter"/>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B15E06E4">
      <w:start w:val="1"/>
      <w:numFmt w:val="lowerRoman"/>
      <w:lvlText w:val="%6."/>
      <w:lvlJc w:val="left"/>
      <w:pPr>
        <w:ind w:left="4320"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99421980">
      <w:start w:val="1"/>
      <w:numFmt w:val="decimal"/>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892CE9B8">
      <w:start w:val="1"/>
      <w:numFmt w:val="lowerLetter"/>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CE3EA410">
      <w:start w:val="1"/>
      <w:numFmt w:val="lowerRoman"/>
      <w:lvlText w:val="%9."/>
      <w:lvlJc w:val="left"/>
      <w:pPr>
        <w:ind w:left="6480"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101E9E"/>
    <w:multiLevelType w:val="hybridMultilevel"/>
    <w:tmpl w:val="8B24477A"/>
    <w:styleLink w:val="ImportedStyle4"/>
    <w:lvl w:ilvl="0" w:tplc="6A3876E8">
      <w:start w:val="1"/>
      <w:numFmt w:val="bullet"/>
      <w:lvlText w:val="-"/>
      <w:lvlJc w:val="left"/>
      <w:pPr>
        <w:tabs>
          <w:tab w:val="left" w:pos="4253"/>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660F91A">
      <w:start w:val="1"/>
      <w:numFmt w:val="bullet"/>
      <w:lvlText w:val="o"/>
      <w:lvlJc w:val="left"/>
      <w:pPr>
        <w:tabs>
          <w:tab w:val="left" w:pos="4253"/>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12839A2">
      <w:start w:val="1"/>
      <w:numFmt w:val="bullet"/>
      <w:lvlText w:val="▪"/>
      <w:lvlJc w:val="left"/>
      <w:pPr>
        <w:tabs>
          <w:tab w:val="left" w:pos="4253"/>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9569132">
      <w:start w:val="1"/>
      <w:numFmt w:val="bullet"/>
      <w:lvlText w:val="•"/>
      <w:lvlJc w:val="left"/>
      <w:pPr>
        <w:tabs>
          <w:tab w:val="left" w:pos="4253"/>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49A3050">
      <w:start w:val="1"/>
      <w:numFmt w:val="bullet"/>
      <w:lvlText w:val="o"/>
      <w:lvlJc w:val="left"/>
      <w:pPr>
        <w:tabs>
          <w:tab w:val="left" w:pos="4253"/>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59A70DC">
      <w:start w:val="1"/>
      <w:numFmt w:val="bullet"/>
      <w:lvlText w:val="▪"/>
      <w:lvlJc w:val="left"/>
      <w:pPr>
        <w:tabs>
          <w:tab w:val="left" w:pos="4253"/>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25AA64E">
      <w:start w:val="1"/>
      <w:numFmt w:val="bullet"/>
      <w:lvlText w:val="•"/>
      <w:lvlJc w:val="left"/>
      <w:pPr>
        <w:tabs>
          <w:tab w:val="left" w:pos="4253"/>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9708338">
      <w:start w:val="1"/>
      <w:numFmt w:val="bullet"/>
      <w:lvlText w:val="o"/>
      <w:lvlJc w:val="left"/>
      <w:pPr>
        <w:tabs>
          <w:tab w:val="left" w:pos="4253"/>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9ACCA00">
      <w:start w:val="1"/>
      <w:numFmt w:val="bullet"/>
      <w:lvlText w:val="▪"/>
      <w:lvlJc w:val="left"/>
      <w:pPr>
        <w:tabs>
          <w:tab w:val="left" w:pos="4253"/>
        </w:tabs>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3"/>
  </w:num>
  <w:num w:numId="10">
    <w:abstractNumId w:val="18"/>
  </w:num>
  <w:num w:numId="11">
    <w:abstractNumId w:val="24"/>
  </w:num>
  <w:num w:numId="12">
    <w:abstractNumId w:val="1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14"/>
  </w:num>
  <w:num w:numId="16">
    <w:abstractNumId w:val="25"/>
  </w:num>
  <w:num w:numId="17">
    <w:abstractNumId w:val="11"/>
  </w:num>
  <w:num w:numId="18">
    <w:abstractNumId w:val="15"/>
  </w:num>
  <w:num w:numId="19">
    <w:abstractNumId w:val="16"/>
  </w:num>
  <w:num w:numId="20">
    <w:abstractNumId w:val="9"/>
  </w:num>
  <w:num w:numId="21">
    <w:abstractNumId w:val="23"/>
  </w:num>
  <w:num w:numId="22">
    <w:abstractNumId w:val="8"/>
  </w:num>
  <w:num w:numId="23">
    <w:abstractNumId w:val="17"/>
  </w:num>
  <w:num w:numId="24">
    <w:abstractNumId w:val="20"/>
  </w:num>
  <w:num w:numId="25">
    <w:abstractNumId w:val="21"/>
  </w:num>
  <w:num w:numId="26">
    <w:abstractNumId w:val="10"/>
  </w:num>
  <w:num w:numId="27">
    <w:abstractNumId w:val="19"/>
  </w:num>
  <w:num w:numId="28">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7-27 09:03:0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9BFE68E4-D652-430F-B43C-3D3B6308BF3C"/>
    <w:docVar w:name="LW_COVERPAGE_TYPE" w:val="1"/>
    <w:docVar w:name="LW_CROSSREFERENCE" w:val="&lt;UNUSED&gt;"/>
    <w:docVar w:name="LW_DocType" w:val="ANNEX"/>
    <w:docVar w:name="LW_EMISSION" w:val="27.7.2026"/>
    <w:docVar w:name="LW_EMISSION_ISODATE" w:val="2026-07-27"/>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position à prendre, au nom de l\u8217?Union européenne, au sein du Comité mixte de l\u8217?EEE à l\u8217?égard d\u8217?une modification de l\u8217?annexe IV (Énergie) de l\u8217?accord EEE_x000d__x000d__x000d__x000d__x000b__x000d__x000d__x000d__x000d__x000b_(Code de réseau sur les règles en matière d\u8217?interopérabilité et d\u8217?échange de données)"/>
    <w:docVar w:name="LW_OBJETACTEPRINCIPAL.CP" w:val="relative à la position à prendre, au nom de l\u8217?Union européenne, au sein du Comité mixte de l\u8217?EEE à l\u8217?égard d\u8217?une modification de l\u8217?annexe IV (Énergie) de l\u8217?accord EEE_x000d__x000d__x000d__x000d__x000b__x000d__x000d__x000d__x000d__x000b_(Code de réseau sur les règles en matière d\u8217?interopérabilité et d\u8217?échange de données)"/>
    <w:docVar w:name="LW_PART_NBR" w:val="1"/>
    <w:docVar w:name="LW_PART_NBR_TOTAL" w:val="1"/>
    <w:docVar w:name="LW_REF.INST.NEW" w:val="COM"/>
    <w:docVar w:name="LW_REF.INST.NEW_ADOPTED" w:val="final"/>
    <w:docVar w:name="LW_REF.INST.NEW_TEXT" w:val="(2026) 39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_x000b__x000b_DÉCISION DU CONSEIL"/>
    <w:docVar w:name="LW_TYPEACTEPRINCIPAL.CP" w:val="proposition de_x000b__x000b_DÉCISION DU CONSEIL"/>
    <w:docVar w:name="LwApiVersions" w:val="LW4CoDe 1.24.5.0; LW 9.2, Build 20251112"/>
  </w:docVars>
  <w:rsids>
    <w:rsidRoot w:val="00FA089C"/>
    <w:rsid w:val="00004945"/>
    <w:rsid w:val="00034722"/>
    <w:rsid w:val="000440A0"/>
    <w:rsid w:val="0005237D"/>
    <w:rsid w:val="00061BBD"/>
    <w:rsid w:val="000765F7"/>
    <w:rsid w:val="000774CB"/>
    <w:rsid w:val="00095DE4"/>
    <w:rsid w:val="000E198E"/>
    <w:rsid w:val="000F251E"/>
    <w:rsid w:val="000F3476"/>
    <w:rsid w:val="00106D28"/>
    <w:rsid w:val="0012048A"/>
    <w:rsid w:val="0016530C"/>
    <w:rsid w:val="001770F8"/>
    <w:rsid w:val="001825BD"/>
    <w:rsid w:val="00185721"/>
    <w:rsid w:val="00192B5B"/>
    <w:rsid w:val="001A6372"/>
    <w:rsid w:val="001C0448"/>
    <w:rsid w:val="001C2816"/>
    <w:rsid w:val="001C450E"/>
    <w:rsid w:val="001D6F25"/>
    <w:rsid w:val="00285931"/>
    <w:rsid w:val="002926FC"/>
    <w:rsid w:val="002950D0"/>
    <w:rsid w:val="002D3DFC"/>
    <w:rsid w:val="002F2559"/>
    <w:rsid w:val="002F61FE"/>
    <w:rsid w:val="00320A4E"/>
    <w:rsid w:val="00327C3C"/>
    <w:rsid w:val="00372B39"/>
    <w:rsid w:val="00373143"/>
    <w:rsid w:val="003845CA"/>
    <w:rsid w:val="003E52B4"/>
    <w:rsid w:val="003F0E54"/>
    <w:rsid w:val="00407DF3"/>
    <w:rsid w:val="00415CCF"/>
    <w:rsid w:val="004230FA"/>
    <w:rsid w:val="00432358"/>
    <w:rsid w:val="00432A6A"/>
    <w:rsid w:val="004369FD"/>
    <w:rsid w:val="0044348E"/>
    <w:rsid w:val="004476AE"/>
    <w:rsid w:val="00455DDA"/>
    <w:rsid w:val="004811C1"/>
    <w:rsid w:val="00484058"/>
    <w:rsid w:val="004C146F"/>
    <w:rsid w:val="004F7214"/>
    <w:rsid w:val="00500040"/>
    <w:rsid w:val="005210EF"/>
    <w:rsid w:val="0055027C"/>
    <w:rsid w:val="005845A6"/>
    <w:rsid w:val="005E5466"/>
    <w:rsid w:val="005E7F03"/>
    <w:rsid w:val="005F59E6"/>
    <w:rsid w:val="00630C4C"/>
    <w:rsid w:val="006531D7"/>
    <w:rsid w:val="00655FE8"/>
    <w:rsid w:val="006C59B2"/>
    <w:rsid w:val="006D0632"/>
    <w:rsid w:val="006E054A"/>
    <w:rsid w:val="006E255E"/>
    <w:rsid w:val="00731592"/>
    <w:rsid w:val="00752E77"/>
    <w:rsid w:val="00761D40"/>
    <w:rsid w:val="0076759F"/>
    <w:rsid w:val="00780782"/>
    <w:rsid w:val="007921C7"/>
    <w:rsid w:val="007C75A3"/>
    <w:rsid w:val="007D7772"/>
    <w:rsid w:val="007E131B"/>
    <w:rsid w:val="00810E27"/>
    <w:rsid w:val="00826EE6"/>
    <w:rsid w:val="00827826"/>
    <w:rsid w:val="008612AB"/>
    <w:rsid w:val="00867EBD"/>
    <w:rsid w:val="008A1F01"/>
    <w:rsid w:val="00913A49"/>
    <w:rsid w:val="00952E0F"/>
    <w:rsid w:val="00963E79"/>
    <w:rsid w:val="0096496F"/>
    <w:rsid w:val="00974C60"/>
    <w:rsid w:val="00986B33"/>
    <w:rsid w:val="00987AD5"/>
    <w:rsid w:val="00994E02"/>
    <w:rsid w:val="009F0A00"/>
    <w:rsid w:val="009F5467"/>
    <w:rsid w:val="00A145EF"/>
    <w:rsid w:val="00A164EF"/>
    <w:rsid w:val="00A255F3"/>
    <w:rsid w:val="00A52F7E"/>
    <w:rsid w:val="00A71FC6"/>
    <w:rsid w:val="00A90BA2"/>
    <w:rsid w:val="00A93C8A"/>
    <w:rsid w:val="00AA283B"/>
    <w:rsid w:val="00AA31D7"/>
    <w:rsid w:val="00B05913"/>
    <w:rsid w:val="00B0658F"/>
    <w:rsid w:val="00B14D97"/>
    <w:rsid w:val="00B336DA"/>
    <w:rsid w:val="00B42901"/>
    <w:rsid w:val="00B45548"/>
    <w:rsid w:val="00B67FFD"/>
    <w:rsid w:val="00B704E9"/>
    <w:rsid w:val="00B711EC"/>
    <w:rsid w:val="00B856AB"/>
    <w:rsid w:val="00B90126"/>
    <w:rsid w:val="00BB0CF3"/>
    <w:rsid w:val="00BB37E9"/>
    <w:rsid w:val="00BC2EB6"/>
    <w:rsid w:val="00BD3786"/>
    <w:rsid w:val="00BF17AA"/>
    <w:rsid w:val="00BF5C8E"/>
    <w:rsid w:val="00C24294"/>
    <w:rsid w:val="00C24556"/>
    <w:rsid w:val="00C31DC5"/>
    <w:rsid w:val="00C362A9"/>
    <w:rsid w:val="00C445CB"/>
    <w:rsid w:val="00C5255D"/>
    <w:rsid w:val="00C55C9C"/>
    <w:rsid w:val="00C61C6D"/>
    <w:rsid w:val="00C713A2"/>
    <w:rsid w:val="00C91E25"/>
    <w:rsid w:val="00CD2957"/>
    <w:rsid w:val="00CF4F2E"/>
    <w:rsid w:val="00CF7406"/>
    <w:rsid w:val="00D05904"/>
    <w:rsid w:val="00D7412A"/>
    <w:rsid w:val="00D801B5"/>
    <w:rsid w:val="00DF0D83"/>
    <w:rsid w:val="00E10491"/>
    <w:rsid w:val="00E128B9"/>
    <w:rsid w:val="00E34FD5"/>
    <w:rsid w:val="00E420DD"/>
    <w:rsid w:val="00E666DC"/>
    <w:rsid w:val="00E7115E"/>
    <w:rsid w:val="00E853EF"/>
    <w:rsid w:val="00E871BC"/>
    <w:rsid w:val="00E8797B"/>
    <w:rsid w:val="00E87D4F"/>
    <w:rsid w:val="00EC53A0"/>
    <w:rsid w:val="00EE0A65"/>
    <w:rsid w:val="00EF3FF8"/>
    <w:rsid w:val="00F00E4B"/>
    <w:rsid w:val="00F016EA"/>
    <w:rsid w:val="00F310E2"/>
    <w:rsid w:val="00F34A2B"/>
    <w:rsid w:val="00F44453"/>
    <w:rsid w:val="00F57F03"/>
    <w:rsid w:val="00F614F4"/>
    <w:rsid w:val="00F81EBC"/>
    <w:rsid w:val="00FA089C"/>
    <w:rsid w:val="00FB19DD"/>
    <w:rsid w:val="00FB471D"/>
    <w:rsid w:val="00FD1983"/>
    <w:rsid w:val="00FE16A2"/>
    <w:rsid w:val="00FE66CD"/>
    <w:rsid w:val="00FF0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3F22C633"/>
  <w15:docId w15:val="{A60AE7C3-E0C1-400A-AE34-C2811ECB8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89C"/>
    <w:pPr>
      <w:spacing w:before="0" w:after="200" w:line="276" w:lineRule="auto"/>
      <w:ind w:left="720"/>
      <w:contextualSpacing/>
      <w:jc w:val="left"/>
    </w:pPr>
    <w:rPr>
      <w:rFonts w:cstheme="minorBidi"/>
      <w:sz w:val="20"/>
      <w:szCs w:val="20"/>
    </w:rPr>
  </w:style>
  <w:style w:type="paragraph" w:customStyle="1" w:styleId="Articleheading">
    <w:name w:val="Article heading"/>
    <w:basedOn w:val="Normal"/>
    <w:link w:val="ArticleheadingChar"/>
    <w:qFormat/>
    <w:rsid w:val="00FA089C"/>
    <w:pPr>
      <w:keepNext/>
      <w:tabs>
        <w:tab w:val="left" w:pos="709"/>
      </w:tabs>
      <w:spacing w:before="360"/>
      <w:jc w:val="center"/>
    </w:pPr>
    <w:rPr>
      <w:i/>
      <w:color w:val="000000" w:themeColor="text1"/>
      <w:szCs w:val="24"/>
    </w:rPr>
  </w:style>
  <w:style w:type="paragraph" w:customStyle="1" w:styleId="Articletext">
    <w:name w:val="Article text"/>
    <w:basedOn w:val="Articleheading"/>
    <w:link w:val="ArticletextChar"/>
    <w:qFormat/>
    <w:rsid w:val="00FA089C"/>
    <w:pPr>
      <w:keepNext w:val="0"/>
      <w:spacing w:before="120"/>
      <w:jc w:val="both"/>
    </w:pPr>
    <w:rPr>
      <w:i w:val="0"/>
    </w:rPr>
  </w:style>
  <w:style w:type="character" w:customStyle="1" w:styleId="ArticleheadingChar">
    <w:name w:val="Article heading Char"/>
    <w:basedOn w:val="DefaultParagraphFont"/>
    <w:link w:val="Articleheading"/>
    <w:rsid w:val="00FA089C"/>
    <w:rPr>
      <w:rFonts w:ascii="Times New Roman" w:hAnsi="Times New Roman" w:cs="Times New Roman"/>
      <w:i/>
      <w:color w:val="000000" w:themeColor="text1"/>
      <w:sz w:val="24"/>
      <w:szCs w:val="24"/>
    </w:rPr>
  </w:style>
  <w:style w:type="character" w:customStyle="1" w:styleId="ArticletextChar">
    <w:name w:val="Article text Char"/>
    <w:basedOn w:val="ArticleheadingChar"/>
    <w:link w:val="Articletext"/>
    <w:rsid w:val="00FA089C"/>
    <w:rPr>
      <w:rFonts w:ascii="Times New Roman" w:hAnsi="Times New Roman" w:cs="Times New Roman"/>
      <w:i w:val="0"/>
      <w:color w:val="000000" w:themeColor="text1"/>
      <w:sz w:val="24"/>
      <w:szCs w:val="24"/>
    </w:rPr>
  </w:style>
  <w:style w:type="character" w:customStyle="1" w:styleId="Point1Char">
    <w:name w:val="Point 1 Char"/>
    <w:basedOn w:val="ArticletextChar"/>
    <w:rsid w:val="00FA089C"/>
    <w:rPr>
      <w:rFonts w:ascii="Times New Roman" w:hAnsi="Times New Roman" w:cs="Times New Roman"/>
      <w:i w:val="0"/>
      <w:color w:val="000000" w:themeColor="text1"/>
      <w:sz w:val="24"/>
      <w:szCs w:val="24"/>
      <w:lang w:val="fr-FR"/>
    </w:rPr>
  </w:style>
  <w:style w:type="character" w:customStyle="1" w:styleId="Point0Char">
    <w:name w:val="Point 0 Char"/>
    <w:basedOn w:val="Point1Char"/>
    <w:rsid w:val="00FA089C"/>
    <w:rPr>
      <w:rFonts w:ascii="Times New Roman" w:hAnsi="Times New Roman" w:cs="Times New Roman"/>
      <w:i w:val="0"/>
      <w:color w:val="000000" w:themeColor="text1"/>
      <w:sz w:val="24"/>
      <w:szCs w:val="24"/>
      <w:lang w:val="fr-FR"/>
    </w:rPr>
  </w:style>
  <w:style w:type="paragraph" w:customStyle="1" w:styleId="Adaptation">
    <w:name w:val="Adaptation"/>
    <w:basedOn w:val="Point1"/>
    <w:link w:val="AdaptationChar"/>
    <w:qFormat/>
    <w:rsid w:val="00FA089C"/>
    <w:pPr>
      <w:ind w:left="851" w:firstLine="0"/>
    </w:pPr>
    <w:rPr>
      <w:color w:val="000000" w:themeColor="text1"/>
      <w:szCs w:val="24"/>
    </w:rPr>
  </w:style>
  <w:style w:type="character" w:customStyle="1" w:styleId="AdaptationChar">
    <w:name w:val="Adaptation Char"/>
    <w:basedOn w:val="Point1Char"/>
    <w:link w:val="Adaptation"/>
    <w:rsid w:val="00FA089C"/>
    <w:rPr>
      <w:rFonts w:ascii="Times New Roman" w:hAnsi="Times New Roman" w:cs="Times New Roman"/>
      <w:i w:val="0"/>
      <w:color w:val="000000" w:themeColor="text1"/>
      <w:sz w:val="24"/>
      <w:szCs w:val="24"/>
      <w:lang w:val="fr-FR"/>
    </w:rPr>
  </w:style>
  <w:style w:type="paragraph" w:styleId="Caption">
    <w:name w:val="caption"/>
    <w:basedOn w:val="Normal"/>
    <w:next w:val="Normal"/>
    <w:uiPriority w:val="35"/>
    <w:semiHidden/>
    <w:unhideWhenUsed/>
    <w:qFormat/>
    <w:rsid w:val="00F016E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016EA"/>
    <w:pPr>
      <w:spacing w:after="0"/>
    </w:pPr>
  </w:style>
  <w:style w:type="paragraph" w:styleId="ListBullet">
    <w:name w:val="List Bullet"/>
    <w:basedOn w:val="Normal"/>
    <w:uiPriority w:val="99"/>
    <w:semiHidden/>
    <w:unhideWhenUsed/>
    <w:rsid w:val="00F016EA"/>
    <w:pPr>
      <w:numPr>
        <w:numId w:val="1"/>
      </w:numPr>
      <w:contextualSpacing/>
    </w:pPr>
  </w:style>
  <w:style w:type="paragraph" w:styleId="ListBullet2">
    <w:name w:val="List Bullet 2"/>
    <w:basedOn w:val="Normal"/>
    <w:uiPriority w:val="99"/>
    <w:semiHidden/>
    <w:unhideWhenUsed/>
    <w:rsid w:val="00F016EA"/>
    <w:pPr>
      <w:numPr>
        <w:numId w:val="2"/>
      </w:numPr>
      <w:contextualSpacing/>
    </w:pPr>
  </w:style>
  <w:style w:type="paragraph" w:styleId="ListBullet3">
    <w:name w:val="List Bullet 3"/>
    <w:basedOn w:val="Normal"/>
    <w:uiPriority w:val="99"/>
    <w:semiHidden/>
    <w:unhideWhenUsed/>
    <w:rsid w:val="00F016EA"/>
    <w:pPr>
      <w:numPr>
        <w:numId w:val="3"/>
      </w:numPr>
      <w:contextualSpacing/>
    </w:pPr>
  </w:style>
  <w:style w:type="paragraph" w:styleId="ListBullet4">
    <w:name w:val="List Bullet 4"/>
    <w:basedOn w:val="Normal"/>
    <w:uiPriority w:val="99"/>
    <w:semiHidden/>
    <w:unhideWhenUsed/>
    <w:rsid w:val="00F016EA"/>
    <w:pPr>
      <w:numPr>
        <w:numId w:val="4"/>
      </w:numPr>
      <w:contextualSpacing/>
    </w:pPr>
  </w:style>
  <w:style w:type="paragraph" w:styleId="ListNumber">
    <w:name w:val="List Number"/>
    <w:basedOn w:val="Normal"/>
    <w:uiPriority w:val="99"/>
    <w:semiHidden/>
    <w:unhideWhenUsed/>
    <w:rsid w:val="00F016EA"/>
    <w:pPr>
      <w:numPr>
        <w:numId w:val="5"/>
      </w:numPr>
      <w:contextualSpacing/>
    </w:pPr>
  </w:style>
  <w:style w:type="paragraph" w:styleId="ListNumber2">
    <w:name w:val="List Number 2"/>
    <w:basedOn w:val="Normal"/>
    <w:uiPriority w:val="99"/>
    <w:semiHidden/>
    <w:unhideWhenUsed/>
    <w:rsid w:val="00F016EA"/>
    <w:pPr>
      <w:numPr>
        <w:numId w:val="6"/>
      </w:numPr>
      <w:contextualSpacing/>
    </w:pPr>
  </w:style>
  <w:style w:type="paragraph" w:styleId="ListNumber3">
    <w:name w:val="List Number 3"/>
    <w:basedOn w:val="Normal"/>
    <w:uiPriority w:val="99"/>
    <w:semiHidden/>
    <w:unhideWhenUsed/>
    <w:rsid w:val="00F016EA"/>
    <w:pPr>
      <w:numPr>
        <w:numId w:val="7"/>
      </w:numPr>
      <w:contextualSpacing/>
    </w:pPr>
  </w:style>
  <w:style w:type="paragraph" w:styleId="ListNumber4">
    <w:name w:val="List Number 4"/>
    <w:basedOn w:val="Normal"/>
    <w:uiPriority w:val="99"/>
    <w:semiHidden/>
    <w:unhideWhenUsed/>
    <w:rsid w:val="00F016EA"/>
    <w:pPr>
      <w:numPr>
        <w:numId w:val="8"/>
      </w:numPr>
      <w:contextualSpacing/>
    </w:pPr>
  </w:style>
  <w:style w:type="character" w:styleId="CommentReference">
    <w:name w:val="annotation reference"/>
    <w:basedOn w:val="DefaultParagraphFont"/>
    <w:uiPriority w:val="99"/>
    <w:semiHidden/>
    <w:unhideWhenUsed/>
    <w:rsid w:val="00C5255D"/>
    <w:rPr>
      <w:sz w:val="16"/>
      <w:szCs w:val="16"/>
    </w:rPr>
  </w:style>
  <w:style w:type="paragraph" w:styleId="CommentText">
    <w:name w:val="annotation text"/>
    <w:basedOn w:val="Normal"/>
    <w:link w:val="CommentTextChar"/>
    <w:uiPriority w:val="99"/>
    <w:semiHidden/>
    <w:unhideWhenUsed/>
    <w:rsid w:val="00C5255D"/>
    <w:rPr>
      <w:sz w:val="20"/>
      <w:szCs w:val="20"/>
    </w:rPr>
  </w:style>
  <w:style w:type="character" w:customStyle="1" w:styleId="CommentTextChar">
    <w:name w:val="Comment Text Char"/>
    <w:basedOn w:val="DefaultParagraphFont"/>
    <w:link w:val="CommentText"/>
    <w:uiPriority w:val="99"/>
    <w:semiHidden/>
    <w:rsid w:val="00C5255D"/>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5255D"/>
    <w:rPr>
      <w:b/>
      <w:bCs/>
    </w:rPr>
  </w:style>
  <w:style w:type="character" w:customStyle="1" w:styleId="CommentSubjectChar">
    <w:name w:val="Comment Subject Char"/>
    <w:basedOn w:val="CommentTextChar"/>
    <w:link w:val="CommentSubject"/>
    <w:uiPriority w:val="99"/>
    <w:semiHidden/>
    <w:rsid w:val="00C5255D"/>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C525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55D"/>
    <w:rPr>
      <w:rFonts w:ascii="Segoe UI" w:hAnsi="Segoe UI" w:cs="Segoe UI"/>
      <w:sz w:val="18"/>
      <w:szCs w:val="18"/>
      <w:lang w:val="fr-FR"/>
    </w:rPr>
  </w:style>
  <w:style w:type="character" w:styleId="Hyperlink">
    <w:name w:val="Hyperlink"/>
    <w:basedOn w:val="DefaultParagraphFont"/>
    <w:uiPriority w:val="99"/>
    <w:unhideWhenUsed/>
    <w:rsid w:val="00C5255D"/>
    <w:rPr>
      <w:color w:val="0000FF" w:themeColor="hyperlink"/>
      <w:u w:val="single"/>
    </w:rPr>
  </w:style>
  <w:style w:type="paragraph" w:customStyle="1" w:styleId="Text0">
    <w:name w:val="Text 0"/>
    <w:basedOn w:val="Text1"/>
    <w:rsid w:val="00826EE6"/>
  </w:style>
  <w:style w:type="paragraph" w:customStyle="1" w:styleId="Body">
    <w:name w:val="Body"/>
    <w:rsid w:val="00BB37E9"/>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numbering" w:customStyle="1" w:styleId="ImportedStyle2">
    <w:name w:val="Imported Style 2"/>
    <w:rsid w:val="00BB37E9"/>
    <w:pPr>
      <w:numPr>
        <w:numId w:val="9"/>
      </w:numPr>
    </w:pPr>
  </w:style>
  <w:style w:type="numbering" w:customStyle="1" w:styleId="ImportedStyle3">
    <w:name w:val="Imported Style 3"/>
    <w:rsid w:val="00BB37E9"/>
    <w:pPr>
      <w:numPr>
        <w:numId w:val="10"/>
      </w:numPr>
    </w:pPr>
  </w:style>
  <w:style w:type="numbering" w:customStyle="1" w:styleId="ImportedStyle4">
    <w:name w:val="Imported Style 4"/>
    <w:rsid w:val="00BB37E9"/>
    <w:pPr>
      <w:numPr>
        <w:numId w:val="11"/>
      </w:numPr>
    </w:pPr>
  </w:style>
  <w:style w:type="numbering" w:customStyle="1" w:styleId="ImportedStyle5">
    <w:name w:val="Imported Style 5"/>
    <w:rsid w:val="00BB37E9"/>
    <w:pPr>
      <w:numPr>
        <w:numId w:val="12"/>
      </w:numPr>
    </w:pPr>
  </w:style>
  <w:style w:type="paragraph" w:styleId="Revision">
    <w:name w:val="Revision"/>
    <w:hidden/>
    <w:uiPriority w:val="99"/>
    <w:semiHidden/>
    <w:rsid w:val="00B0658F"/>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C31DC5"/>
    <w:rPr>
      <w:rFonts w:ascii="Times New Roman" w:hAnsi="Times New Roman" w:cs="Times New Roman"/>
      <w:sz w:val="24"/>
      <w:lang w:val="fr-FR"/>
    </w:rPr>
  </w:style>
  <w:style w:type="character" w:customStyle="1" w:styleId="FooterChar">
    <w:name w:val="Footer Char"/>
    <w:basedOn w:val="DefaultParagraphFont"/>
    <w:link w:val="Footer"/>
    <w:uiPriority w:val="99"/>
    <w:rsid w:val="00C31DC5"/>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31DC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31DC5"/>
    <w:pPr>
      <w:spacing w:before="0"/>
      <w:jc w:val="right"/>
    </w:pPr>
    <w:rPr>
      <w:sz w:val="28"/>
    </w:rPr>
  </w:style>
  <w:style w:type="paragraph" w:customStyle="1" w:styleId="FooterSensitivity">
    <w:name w:val="Footer Sensitivity"/>
    <w:basedOn w:val="Normal"/>
    <w:rsid w:val="00C31DC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4"/>
      </w:numPr>
    </w:pPr>
  </w:style>
  <w:style w:type="paragraph" w:customStyle="1" w:styleId="Tiret1">
    <w:name w:val="Tiret 1"/>
    <w:basedOn w:val="Point1"/>
    <w:pPr>
      <w:numPr>
        <w:numId w:val="15"/>
      </w:numPr>
    </w:pPr>
  </w:style>
  <w:style w:type="paragraph" w:customStyle="1" w:styleId="Tiret2">
    <w:name w:val="Tiret 2"/>
    <w:basedOn w:val="Point2"/>
    <w:pPr>
      <w:numPr>
        <w:numId w:val="16"/>
      </w:numPr>
    </w:pPr>
  </w:style>
  <w:style w:type="paragraph" w:customStyle="1" w:styleId="Tiret3">
    <w:name w:val="Tiret 3"/>
    <w:basedOn w:val="Point3"/>
    <w:pPr>
      <w:numPr>
        <w:numId w:val="17"/>
      </w:numPr>
    </w:pPr>
  </w:style>
  <w:style w:type="paragraph" w:customStyle="1" w:styleId="Tiret4">
    <w:name w:val="Tiret 4"/>
    <w:basedOn w:val="Point4"/>
    <w:pPr>
      <w:numPr>
        <w:numId w:val="18"/>
      </w:numPr>
    </w:pPr>
  </w:style>
  <w:style w:type="paragraph" w:customStyle="1" w:styleId="Tiret5">
    <w:name w:val="Tiret 5"/>
    <w:basedOn w:val="Point5"/>
    <w:pPr>
      <w:numPr>
        <w:numId w:val="1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0"/>
      </w:numPr>
    </w:pPr>
  </w:style>
  <w:style w:type="paragraph" w:customStyle="1" w:styleId="NumPar2">
    <w:name w:val="NumPar 2"/>
    <w:basedOn w:val="Normal"/>
    <w:next w:val="Text1"/>
    <w:pPr>
      <w:numPr>
        <w:ilvl w:val="1"/>
        <w:numId w:val="20"/>
      </w:numPr>
    </w:pPr>
  </w:style>
  <w:style w:type="paragraph" w:customStyle="1" w:styleId="NumPar3">
    <w:name w:val="NumPar 3"/>
    <w:basedOn w:val="Normal"/>
    <w:next w:val="Text1"/>
    <w:pPr>
      <w:numPr>
        <w:ilvl w:val="2"/>
        <w:numId w:val="20"/>
      </w:numPr>
    </w:pPr>
  </w:style>
  <w:style w:type="paragraph" w:customStyle="1" w:styleId="NumPar4">
    <w:name w:val="NumPar 4"/>
    <w:basedOn w:val="Normal"/>
    <w:next w:val="Text1"/>
    <w:pPr>
      <w:numPr>
        <w:ilvl w:val="3"/>
        <w:numId w:val="20"/>
      </w:numPr>
    </w:pPr>
  </w:style>
  <w:style w:type="paragraph" w:customStyle="1" w:styleId="NumPar5">
    <w:name w:val="NumPar 5"/>
    <w:basedOn w:val="Normal"/>
    <w:next w:val="Text2"/>
    <w:pPr>
      <w:numPr>
        <w:ilvl w:val="4"/>
        <w:numId w:val="20"/>
      </w:numPr>
    </w:pPr>
  </w:style>
  <w:style w:type="paragraph" w:customStyle="1" w:styleId="NumPar6">
    <w:name w:val="NumPar 6"/>
    <w:basedOn w:val="Normal"/>
    <w:next w:val="Text2"/>
    <w:pPr>
      <w:numPr>
        <w:ilvl w:val="5"/>
        <w:numId w:val="20"/>
      </w:numPr>
    </w:pPr>
  </w:style>
  <w:style w:type="paragraph" w:customStyle="1" w:styleId="NumPar7">
    <w:name w:val="NumPar 7"/>
    <w:basedOn w:val="Normal"/>
    <w:next w:val="Text2"/>
    <w:pPr>
      <w:numPr>
        <w:ilvl w:val="6"/>
        <w:numId w:val="2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2"/>
      </w:numPr>
    </w:pPr>
  </w:style>
  <w:style w:type="paragraph" w:customStyle="1" w:styleId="Point1number">
    <w:name w:val="Point 1 (number)"/>
    <w:basedOn w:val="Normal"/>
    <w:pPr>
      <w:numPr>
        <w:ilvl w:val="2"/>
        <w:numId w:val="22"/>
      </w:numPr>
    </w:pPr>
  </w:style>
  <w:style w:type="paragraph" w:customStyle="1" w:styleId="Point2number">
    <w:name w:val="Point 2 (number)"/>
    <w:basedOn w:val="Normal"/>
    <w:pPr>
      <w:numPr>
        <w:ilvl w:val="4"/>
        <w:numId w:val="22"/>
      </w:numPr>
    </w:pPr>
  </w:style>
  <w:style w:type="paragraph" w:customStyle="1" w:styleId="Point3number">
    <w:name w:val="Point 3 (number)"/>
    <w:basedOn w:val="Normal"/>
    <w:pPr>
      <w:numPr>
        <w:ilvl w:val="6"/>
        <w:numId w:val="22"/>
      </w:numPr>
    </w:pPr>
  </w:style>
  <w:style w:type="paragraph" w:customStyle="1" w:styleId="Point0letter">
    <w:name w:val="Point 0 (letter)"/>
    <w:basedOn w:val="Normal"/>
    <w:pPr>
      <w:numPr>
        <w:ilvl w:val="1"/>
        <w:numId w:val="22"/>
      </w:numPr>
    </w:pPr>
  </w:style>
  <w:style w:type="paragraph" w:customStyle="1" w:styleId="Point1letter">
    <w:name w:val="Point 1 (letter)"/>
    <w:basedOn w:val="Normal"/>
    <w:pPr>
      <w:numPr>
        <w:ilvl w:val="3"/>
        <w:numId w:val="22"/>
      </w:numPr>
    </w:pPr>
  </w:style>
  <w:style w:type="paragraph" w:customStyle="1" w:styleId="Point2letter">
    <w:name w:val="Point 2 (letter)"/>
    <w:basedOn w:val="Normal"/>
    <w:pPr>
      <w:numPr>
        <w:ilvl w:val="5"/>
        <w:numId w:val="22"/>
      </w:numPr>
    </w:pPr>
  </w:style>
  <w:style w:type="paragraph" w:customStyle="1" w:styleId="Point3letter">
    <w:name w:val="Point 3 (letter)"/>
    <w:basedOn w:val="Normal"/>
    <w:pPr>
      <w:numPr>
        <w:ilvl w:val="7"/>
        <w:numId w:val="22"/>
      </w:numPr>
    </w:pPr>
  </w:style>
  <w:style w:type="paragraph" w:customStyle="1" w:styleId="Point4letter">
    <w:name w:val="Point 4 (letter)"/>
    <w:basedOn w:val="Normal"/>
    <w:pPr>
      <w:numPr>
        <w:ilvl w:val="8"/>
        <w:numId w:val="22"/>
      </w:numPr>
    </w:pPr>
  </w:style>
  <w:style w:type="paragraph" w:customStyle="1" w:styleId="Bullet0">
    <w:name w:val="Bullet 0"/>
    <w:basedOn w:val="Normal"/>
    <w:pPr>
      <w:numPr>
        <w:numId w:val="23"/>
      </w:numPr>
    </w:pPr>
  </w:style>
  <w:style w:type="paragraph" w:customStyle="1" w:styleId="Bullet1">
    <w:name w:val="Bullet 1"/>
    <w:basedOn w:val="Normal"/>
    <w:pPr>
      <w:numPr>
        <w:numId w:val="24"/>
      </w:numPr>
    </w:pPr>
  </w:style>
  <w:style w:type="paragraph" w:customStyle="1" w:styleId="Bullet2">
    <w:name w:val="Bullet 2"/>
    <w:basedOn w:val="Normal"/>
    <w:pPr>
      <w:numPr>
        <w:numId w:val="25"/>
      </w:numPr>
    </w:pPr>
  </w:style>
  <w:style w:type="paragraph" w:customStyle="1" w:styleId="Bullet3">
    <w:name w:val="Bullet 3"/>
    <w:basedOn w:val="Normal"/>
    <w:pPr>
      <w:numPr>
        <w:numId w:val="26"/>
      </w:numPr>
    </w:pPr>
  </w:style>
  <w:style w:type="paragraph" w:customStyle="1" w:styleId="Bullet4">
    <w:name w:val="Bullet 4"/>
    <w:basedOn w:val="Normal"/>
    <w:pPr>
      <w:numPr>
        <w:numId w:val="2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C31DC5"/>
    <w:pPr>
      <w:tabs>
        <w:tab w:val="center" w:pos="4535"/>
        <w:tab w:val="right" w:pos="9071"/>
      </w:tabs>
      <w:spacing w:before="0"/>
    </w:pPr>
  </w:style>
  <w:style w:type="paragraph" w:customStyle="1" w:styleId="HeaderLandscape">
    <w:name w:val="HeaderLandscape"/>
    <w:basedOn w:val="Normal"/>
    <w:rsid w:val="00C31DC5"/>
    <w:pPr>
      <w:tabs>
        <w:tab w:val="center" w:pos="7285"/>
        <w:tab w:val="right" w:pos="14003"/>
      </w:tabs>
      <w:spacing w:before="0"/>
    </w:pPr>
  </w:style>
  <w:style w:type="paragraph" w:styleId="Footer">
    <w:name w:val="footer"/>
    <w:basedOn w:val="Normal"/>
    <w:link w:val="FooterChar"/>
    <w:uiPriority w:val="99"/>
    <w:unhideWhenUsed/>
    <w:rsid w:val="00C31DC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31DC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9437B-8F26-4560-97A0-5440C2AD2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27</TotalTime>
  <Pages>3</Pages>
  <Words>571</Words>
  <Characters>3257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41</cp:revision>
  <dcterms:created xsi:type="dcterms:W3CDTF">2022-10-25T08:43:00Z</dcterms:created>
  <dcterms:modified xsi:type="dcterms:W3CDTF">2026-07-27T07:03:00Z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2025-04-08T07:11:44Z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cbe1ec13-364f-4d4f-b134-84538bf6b262</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