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30" w:rsidRPr="008E5D77" w:rsidRDefault="00B306B9" w:rsidP="00B306B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8A178CA-0A5A-4C8F-A1E8-FA1CB549140E" style="width:455.25pt;height:440.25pt">
            <v:imagedata r:id="rId8" o:title=""/>
          </v:shape>
        </w:pict>
      </w:r>
    </w:p>
    <w:p w:rsidR="00112030" w:rsidRPr="008E5D77" w:rsidRDefault="00112030" w:rsidP="00112030">
      <w:pPr>
        <w:rPr>
          <w:noProof/>
        </w:rPr>
        <w:sectPr w:rsidR="00112030" w:rsidRPr="008E5D77" w:rsidSect="00B306B9">
          <w:footerReference w:type="even" r:id="rId9"/>
          <w:footerReference w:type="default" r:id="rId10"/>
          <w:pgSz w:w="11907" w:h="16839"/>
          <w:pgMar w:top="1134" w:right="1417" w:bottom="1134" w:left="1417" w:header="709" w:footer="709" w:gutter="0"/>
          <w:pgNumType w:start="0"/>
          <w:cols w:space="720"/>
          <w:docGrid w:linePitch="360"/>
        </w:sectPr>
      </w:pPr>
    </w:p>
    <w:p w:rsidR="00112030" w:rsidRPr="00FF6DDF" w:rsidRDefault="00112030" w:rsidP="00BB6B30">
      <w:pPr>
        <w:pStyle w:val="Exposdesmotifstitre"/>
        <w:rPr>
          <w:noProof/>
        </w:rPr>
      </w:pPr>
      <w:bookmarkStart w:id="0" w:name="_GoBack"/>
      <w:bookmarkEnd w:id="0"/>
      <w:r w:rsidRPr="00FF6DDF">
        <w:rPr>
          <w:noProof/>
        </w:rPr>
        <w:lastRenderedPageBreak/>
        <w:t>EXPUNERE DE MOTIVE</w:t>
      </w:r>
    </w:p>
    <w:p w:rsidR="00112030" w:rsidRPr="00FF6DDF" w:rsidRDefault="00112030" w:rsidP="00BB7C00">
      <w:pPr>
        <w:pStyle w:val="Heading"/>
        <w:numPr>
          <w:ilvl w:val="0"/>
          <w:numId w:val="1"/>
        </w:numPr>
        <w:rPr>
          <w:noProof/>
        </w:rPr>
      </w:pPr>
      <w:r w:rsidRPr="00FF6DDF">
        <w:rPr>
          <w:noProof/>
        </w:rPr>
        <w:t>Obiectul propunerii</w:t>
      </w:r>
    </w:p>
    <w:p w:rsidR="00112030" w:rsidRPr="008E5D77" w:rsidRDefault="00112030" w:rsidP="00112030">
      <w:pPr>
        <w:pStyle w:val="Body"/>
        <w:rPr>
          <w:noProof/>
        </w:rPr>
      </w:pPr>
      <w:r w:rsidRPr="008E5D77">
        <w:rPr>
          <w:noProof/>
        </w:rPr>
        <w:t>Prezenta propunere se referă la decizia de stabilire a poziției care urmează să fie luată în numele Uniunii în cadrul Comitetului mixt al SEE în legătură cu adoptarea preconizată a deciziei Comitetului mixt privind o modificare a anexei IV (Energia) la Acordul privind SEE</w:t>
      </w:r>
    </w:p>
    <w:p w:rsidR="00112030" w:rsidRPr="00FF6DDF" w:rsidRDefault="00112030" w:rsidP="00BB7C00">
      <w:pPr>
        <w:pStyle w:val="Heading"/>
        <w:numPr>
          <w:ilvl w:val="0"/>
          <w:numId w:val="1"/>
        </w:numPr>
        <w:rPr>
          <w:noProof/>
        </w:rPr>
      </w:pPr>
      <w:r w:rsidRPr="00FF6DDF">
        <w:rPr>
          <w:noProof/>
        </w:rPr>
        <w:t>Contextul propunerii</w:t>
      </w:r>
    </w:p>
    <w:p w:rsidR="00112030" w:rsidRPr="00FF6DDF" w:rsidRDefault="00112030" w:rsidP="00BB7C00">
      <w:pPr>
        <w:pStyle w:val="ManualHeading2"/>
        <w:pBdr>
          <w:top w:val="nil"/>
          <w:left w:val="nil"/>
          <w:bottom w:val="nil"/>
          <w:right w:val="nil"/>
          <w:between w:val="nil"/>
          <w:bar w:val="nil"/>
        </w:pBdr>
        <w:rPr>
          <w:noProof/>
        </w:rPr>
      </w:pPr>
      <w:r>
        <w:rPr>
          <w:noProof/>
        </w:rPr>
        <w:t>1.1.</w:t>
      </w:r>
      <w:r>
        <w:rPr>
          <w:noProof/>
        </w:rPr>
        <w:tab/>
      </w:r>
      <w:r w:rsidRPr="00FF6DDF">
        <w:rPr>
          <w:noProof/>
        </w:rPr>
        <w:t>Acordul privind SEE</w:t>
      </w:r>
    </w:p>
    <w:p w:rsidR="00112030" w:rsidRPr="008E5D77" w:rsidRDefault="00112030" w:rsidP="00112030">
      <w:pPr>
        <w:pStyle w:val="Body"/>
        <w:rPr>
          <w:noProof/>
        </w:rPr>
      </w:pPr>
      <w:r w:rsidRPr="008E5D77">
        <w:rPr>
          <w:noProof/>
        </w:rPr>
        <w:t xml:space="preserve">Acordul privind Spațiul Economic European („Acordul privind SEE”) garantează drepturi și obligații egale în cadrul pieței interne pentru cetățenii și operatorii economici din SEE. Acesta prevede includerea legislației UE din domeniul celor patru libertăți în toate cele </w:t>
      </w:r>
      <w:r w:rsidRPr="00FF6DDF">
        <w:rPr>
          <w:noProof/>
        </w:rPr>
        <w:t>30</w:t>
      </w:r>
      <w:r w:rsidRPr="008E5D77">
        <w:rPr>
          <w:noProof/>
        </w:rPr>
        <w:t xml:space="preserve"> de state SEE, care cuprind statele membre ale UE, Norvegia, Islanda și Liechtenstein. În plus, Acordul privind SEE reglementează cooperarea și în alte domenii importante, cum ar fi cercetarea și dezvoltarea, educația, politica socială, mediul, protecția consumatorilor, turismul și cultura, denumite colectiv „politici de sprijin și orizontale”. Acordul privind SEE a intrat în vigoare la </w:t>
      </w:r>
      <w:r w:rsidRPr="00FF6DDF">
        <w:rPr>
          <w:noProof/>
        </w:rPr>
        <w:t>1</w:t>
      </w:r>
      <w:r w:rsidRPr="008E5D77">
        <w:rPr>
          <w:noProof/>
        </w:rPr>
        <w:t xml:space="preserve"> ianuarie </w:t>
      </w:r>
      <w:r w:rsidRPr="00FF6DDF">
        <w:rPr>
          <w:noProof/>
        </w:rPr>
        <w:t>1994</w:t>
      </w:r>
      <w:r w:rsidRPr="008E5D77">
        <w:rPr>
          <w:noProof/>
        </w:rPr>
        <w:t>. Uniunea, împreună cu statele sale membre, este parte la Acordul privind SEE.</w:t>
      </w:r>
    </w:p>
    <w:p w:rsidR="00112030" w:rsidRPr="00FF6DDF" w:rsidRDefault="00112030" w:rsidP="00BB7C00">
      <w:pPr>
        <w:pStyle w:val="ManualHeading2"/>
        <w:pBdr>
          <w:top w:val="nil"/>
          <w:left w:val="nil"/>
          <w:bottom w:val="nil"/>
          <w:right w:val="nil"/>
          <w:between w:val="nil"/>
          <w:bar w:val="nil"/>
        </w:pBdr>
        <w:rPr>
          <w:noProof/>
        </w:rPr>
      </w:pPr>
      <w:r>
        <w:rPr>
          <w:noProof/>
        </w:rPr>
        <w:t>1.2.</w:t>
      </w:r>
      <w:r>
        <w:rPr>
          <w:noProof/>
        </w:rPr>
        <w:tab/>
      </w:r>
      <w:r w:rsidRPr="00FF6DDF">
        <w:rPr>
          <w:noProof/>
        </w:rPr>
        <w:t>Comitetul mixt al SEE</w:t>
      </w:r>
    </w:p>
    <w:p w:rsidR="00112030" w:rsidRPr="008E5D77" w:rsidRDefault="00112030" w:rsidP="00112030">
      <w:pPr>
        <w:pStyle w:val="Body"/>
        <w:rPr>
          <w:noProof/>
        </w:rPr>
      </w:pPr>
      <w:r w:rsidRPr="008E5D77">
        <w:rPr>
          <w:noProof/>
        </w:rPr>
        <w:t>Comitetul mixt al SEE este responsabil cu gestionarea Acordului privind SEE. Comitetul mixt este un forum pentru schimbul de opinii cu privire la funcționarea Acordului privind SEE. Deciziile sale sunt luate prin consens și sunt obligatorii pentru părți. În cazul UE, responsabilitatea pentru coordonarea aspectelor legate de SEE revine Secretariatului General al Comisiei Europene. </w:t>
      </w:r>
    </w:p>
    <w:p w:rsidR="00112030" w:rsidRPr="00FF6DDF" w:rsidRDefault="00112030" w:rsidP="00BB7C00">
      <w:pPr>
        <w:pStyle w:val="ManualHeading2"/>
        <w:pBdr>
          <w:top w:val="nil"/>
          <w:left w:val="nil"/>
          <w:bottom w:val="nil"/>
          <w:right w:val="nil"/>
          <w:between w:val="nil"/>
          <w:bar w:val="nil"/>
        </w:pBdr>
        <w:rPr>
          <w:noProof/>
        </w:rPr>
      </w:pPr>
      <w:r>
        <w:rPr>
          <w:noProof/>
        </w:rPr>
        <w:t>1.3.</w:t>
      </w:r>
      <w:r>
        <w:rPr>
          <w:noProof/>
        </w:rPr>
        <w:tab/>
      </w:r>
      <w:r w:rsidRPr="00FF6DDF">
        <w:rPr>
          <w:noProof/>
        </w:rPr>
        <w:t>Actul avut în vedere spre adoptare de către Comitetul mixt al SEE</w:t>
      </w:r>
    </w:p>
    <w:p w:rsidR="00112030" w:rsidRPr="008E5D77" w:rsidRDefault="00112030" w:rsidP="00112030">
      <w:pPr>
        <w:pStyle w:val="Body"/>
        <w:rPr>
          <w:noProof/>
        </w:rPr>
      </w:pPr>
      <w:r w:rsidRPr="008E5D77">
        <w:rPr>
          <w:noProof/>
        </w:rPr>
        <w:t>Comitetul mixt al SEE urmează să adopte decizia Comitetului mixt al SEE („actul avut în vedere”) referitoare la modificarea anexei IV (Energia) la Acordul privind SEE.</w:t>
      </w:r>
    </w:p>
    <w:p w:rsidR="00112030" w:rsidRPr="008E5D77" w:rsidRDefault="00112030" w:rsidP="00112030">
      <w:pPr>
        <w:pStyle w:val="Body"/>
        <w:rPr>
          <w:noProof/>
        </w:rPr>
      </w:pPr>
      <w:r w:rsidRPr="008E5D77">
        <w:rPr>
          <w:noProof/>
        </w:rPr>
        <w:t xml:space="preserve">Scopul actului avut în vedere este de a încorpora în Acordul privind SEE </w:t>
      </w:r>
      <w:r w:rsidRPr="008E5D77">
        <w:rPr>
          <w:noProof/>
          <w:color w:val="000000" w:themeColor="text1"/>
        </w:rPr>
        <w:t xml:space="preserve">Regulamentul (UE) </w:t>
      </w:r>
      <w:r w:rsidRPr="00FF6DDF">
        <w:rPr>
          <w:noProof/>
          <w:color w:val="000000" w:themeColor="text1"/>
        </w:rPr>
        <w:t>2017</w:t>
      </w:r>
      <w:r w:rsidRPr="008E5D77">
        <w:rPr>
          <w:noProof/>
          <w:color w:val="000000" w:themeColor="text1"/>
        </w:rPr>
        <w:t>/</w:t>
      </w:r>
      <w:r w:rsidRPr="00FF6DDF">
        <w:rPr>
          <w:noProof/>
          <w:color w:val="000000" w:themeColor="text1"/>
        </w:rPr>
        <w:t>459</w:t>
      </w:r>
      <w:r w:rsidRPr="008E5D77">
        <w:rPr>
          <w:noProof/>
          <w:color w:val="000000" w:themeColor="text1"/>
        </w:rPr>
        <w:t xml:space="preserve"> al Comisiei de stabilire a unui cod al rețelei privind mecanismele de alocare a capacității în sistemele de transport al gazelor și de abrogare a Regulamentului (UE) nr. </w:t>
      </w:r>
      <w:r w:rsidRPr="00FF6DDF">
        <w:rPr>
          <w:noProof/>
          <w:color w:val="000000" w:themeColor="text1"/>
        </w:rPr>
        <w:t>984</w:t>
      </w:r>
      <w:r w:rsidRPr="008E5D77">
        <w:rPr>
          <w:noProof/>
          <w:color w:val="000000" w:themeColor="text1"/>
        </w:rPr>
        <w:t>/</w:t>
      </w:r>
      <w:r w:rsidRPr="00FF6DDF">
        <w:rPr>
          <w:noProof/>
          <w:color w:val="000000" w:themeColor="text1"/>
        </w:rPr>
        <w:t>2013</w:t>
      </w:r>
      <w:r w:rsidRPr="008E5D77">
        <w:rPr>
          <w:rStyle w:val="FootnoteReference"/>
          <w:noProof/>
          <w:color w:val="000000" w:themeColor="text1"/>
        </w:rPr>
        <w:footnoteReference w:id="1"/>
      </w:r>
      <w:r w:rsidRPr="008E5D77">
        <w:rPr>
          <w:noProof/>
        </w:rPr>
        <w:t xml:space="preserve">. </w:t>
      </w:r>
    </w:p>
    <w:p w:rsidR="00AB72F8" w:rsidRPr="008E5D77" w:rsidRDefault="00AB72F8" w:rsidP="00AB72F8">
      <w:pPr>
        <w:pStyle w:val="Body"/>
        <w:rPr>
          <w:rFonts w:eastAsia="Arial Unicode MS" w:cs="Arial Unicode MS"/>
          <w:noProof/>
        </w:rPr>
      </w:pPr>
      <w:r w:rsidRPr="008E5D77">
        <w:rPr>
          <w:noProof/>
        </w:rPr>
        <w:t>Actul avut în vedere va deveni obligatoriu pentru părți în conformitate cu articolele </w:t>
      </w:r>
      <w:r w:rsidRPr="00FF6DDF">
        <w:rPr>
          <w:noProof/>
        </w:rPr>
        <w:t>103</w:t>
      </w:r>
      <w:r w:rsidRPr="008E5D77">
        <w:rPr>
          <w:noProof/>
        </w:rPr>
        <w:t xml:space="preserve"> și </w:t>
      </w:r>
      <w:r w:rsidRPr="00FF6DDF">
        <w:rPr>
          <w:noProof/>
        </w:rPr>
        <w:t>104</w:t>
      </w:r>
      <w:r w:rsidRPr="008E5D77">
        <w:rPr>
          <w:noProof/>
        </w:rPr>
        <w:t xml:space="preserve"> din Acordul privind SEE. </w:t>
      </w:r>
    </w:p>
    <w:p w:rsidR="00AB72F8" w:rsidRPr="008E5D77" w:rsidRDefault="00AB72F8" w:rsidP="00112030">
      <w:pPr>
        <w:pStyle w:val="Body"/>
        <w:rPr>
          <w:noProof/>
        </w:rPr>
      </w:pPr>
    </w:p>
    <w:p w:rsidR="00112030" w:rsidRPr="00FF6DDF" w:rsidRDefault="00112030" w:rsidP="00BB7C00">
      <w:pPr>
        <w:pStyle w:val="Heading"/>
        <w:numPr>
          <w:ilvl w:val="0"/>
          <w:numId w:val="1"/>
        </w:numPr>
        <w:rPr>
          <w:noProof/>
        </w:rPr>
      </w:pPr>
      <w:r w:rsidRPr="00FF6DDF">
        <w:rPr>
          <w:noProof/>
        </w:rPr>
        <w:t>Poziția care urmează să fie adoptată în numele Uniunii</w:t>
      </w:r>
    </w:p>
    <w:p w:rsidR="00112030" w:rsidRPr="008E5D77" w:rsidRDefault="00112030" w:rsidP="00112030">
      <w:pPr>
        <w:pStyle w:val="Body"/>
        <w:rPr>
          <w:noProof/>
        </w:rPr>
      </w:pPr>
      <w:r w:rsidRPr="008E5D77">
        <w:rPr>
          <w:noProof/>
        </w:rPr>
        <w:t>Comisia prezintă proiectul anexat de decizie a Comitetului mixt al SEE în vederea adoptării sale de către Consiliu ca poziție a Uniunii. Odată adoptată, poziția ar trebui să fie prezentată în cel mai scurt timp în cadrul Comitetului mixt al SEE.</w:t>
      </w:r>
    </w:p>
    <w:p w:rsidR="00112030" w:rsidRPr="008E5D77" w:rsidRDefault="00112030" w:rsidP="006B4860">
      <w:pPr>
        <w:pStyle w:val="Body"/>
        <w:rPr>
          <w:noProof/>
        </w:rPr>
      </w:pPr>
      <w:r w:rsidRPr="008E5D77">
        <w:rPr>
          <w:noProof/>
        </w:rPr>
        <w:t xml:space="preserve">Proiectul anexat de decizie a Comitetului mixt al SEE scutește, într-o anumită măsură, cele trei state AELS care fac parte din SEE de la aplicarea principiului omogenității prevăzut la </w:t>
      </w:r>
      <w:r w:rsidRPr="008E5D77">
        <w:rPr>
          <w:noProof/>
        </w:rPr>
        <w:lastRenderedPageBreak/>
        <w:t>articolul </w:t>
      </w:r>
      <w:r w:rsidRPr="00FF6DDF">
        <w:rPr>
          <w:noProof/>
        </w:rPr>
        <w:t>1</w:t>
      </w:r>
      <w:r w:rsidRPr="008E5D77">
        <w:rPr>
          <w:noProof/>
        </w:rPr>
        <w:t xml:space="preserve"> alineatul (</w:t>
      </w:r>
      <w:r w:rsidRPr="00FF6DDF">
        <w:rPr>
          <w:noProof/>
        </w:rPr>
        <w:t>1</w:t>
      </w:r>
      <w:r w:rsidRPr="008E5D77">
        <w:rPr>
          <w:noProof/>
        </w:rPr>
        <w:t>) din Acordul privind SEE, justificând acest lucru prin absența unei rețele de gaze relevante existente, aceasta depășind ceea ce poate fi considerat drept simple adaptări tehnice în sensul Regulamentului (CE) nr. </w:t>
      </w:r>
      <w:r w:rsidRPr="00FF6DDF">
        <w:rPr>
          <w:noProof/>
        </w:rPr>
        <w:t>2894</w:t>
      </w:r>
      <w:r w:rsidRPr="008E5D77">
        <w:rPr>
          <w:noProof/>
        </w:rPr>
        <w:t>/</w:t>
      </w:r>
      <w:r w:rsidRPr="00FF6DDF">
        <w:rPr>
          <w:noProof/>
        </w:rPr>
        <w:t>94</w:t>
      </w:r>
      <w:r w:rsidRPr="008E5D77">
        <w:rPr>
          <w:noProof/>
        </w:rPr>
        <w:t xml:space="preserve"> al Consiliului</w:t>
      </w:r>
      <w:r w:rsidRPr="008E5D77">
        <w:rPr>
          <w:rStyle w:val="FootnoteReference"/>
          <w:rFonts w:eastAsia="Arial Unicode MS" w:cs="Arial Unicode MS"/>
          <w:noProof/>
        </w:rPr>
        <w:footnoteReference w:id="2"/>
      </w:r>
      <w:r w:rsidRPr="008E5D77">
        <w:rPr>
          <w:noProof/>
        </w:rPr>
        <w:t>. Prin urmare, poziția Uniunii trebuie stabilită de Consiliu.</w:t>
      </w:r>
    </w:p>
    <w:p w:rsidR="00112030" w:rsidRPr="00FF6DDF" w:rsidRDefault="00112030" w:rsidP="00BB7C00">
      <w:pPr>
        <w:pStyle w:val="Heading"/>
        <w:numPr>
          <w:ilvl w:val="0"/>
          <w:numId w:val="1"/>
        </w:numPr>
        <w:rPr>
          <w:noProof/>
        </w:rPr>
      </w:pPr>
      <w:r w:rsidRPr="00FF6DDF">
        <w:rPr>
          <w:noProof/>
        </w:rPr>
        <w:t>Temei juridic</w:t>
      </w:r>
    </w:p>
    <w:p w:rsidR="00112030" w:rsidRPr="00FF6DDF" w:rsidRDefault="00112030" w:rsidP="00BB7C00">
      <w:pPr>
        <w:pStyle w:val="ManualHeading2"/>
        <w:pBdr>
          <w:top w:val="nil"/>
          <w:left w:val="nil"/>
          <w:bottom w:val="nil"/>
          <w:right w:val="nil"/>
          <w:between w:val="nil"/>
          <w:bar w:val="nil"/>
        </w:pBdr>
        <w:rPr>
          <w:noProof/>
        </w:rPr>
      </w:pPr>
      <w:r>
        <w:rPr>
          <w:noProof/>
        </w:rPr>
        <w:t>1.4.</w:t>
      </w:r>
      <w:r>
        <w:rPr>
          <w:noProof/>
        </w:rPr>
        <w:tab/>
      </w:r>
      <w:r w:rsidRPr="00FF6DDF">
        <w:rPr>
          <w:noProof/>
        </w:rPr>
        <w:t>Temeiul juridic procedural</w:t>
      </w:r>
    </w:p>
    <w:p w:rsidR="00112030" w:rsidRPr="00FF6DDF" w:rsidRDefault="00112030" w:rsidP="00BB7C00">
      <w:pPr>
        <w:pStyle w:val="ManualHeading3"/>
        <w:pBdr>
          <w:top w:val="nil"/>
          <w:left w:val="nil"/>
          <w:bottom w:val="nil"/>
          <w:right w:val="nil"/>
          <w:between w:val="nil"/>
          <w:bar w:val="nil"/>
        </w:pBdr>
        <w:rPr>
          <w:noProof/>
        </w:rPr>
      </w:pPr>
      <w:r>
        <w:rPr>
          <w:noProof/>
        </w:rPr>
        <w:t>1.4.1.</w:t>
      </w:r>
      <w:r>
        <w:rPr>
          <w:noProof/>
        </w:rPr>
        <w:tab/>
      </w:r>
      <w:r w:rsidRPr="00FF6DDF">
        <w:rPr>
          <w:noProof/>
        </w:rPr>
        <w:t>Principii</w:t>
      </w:r>
    </w:p>
    <w:p w:rsidR="00112030" w:rsidRPr="008E5D77" w:rsidRDefault="00112030" w:rsidP="00112030">
      <w:pPr>
        <w:pStyle w:val="Body"/>
        <w:rPr>
          <w:noProof/>
        </w:rPr>
      </w:pPr>
      <w:r w:rsidRPr="008E5D77">
        <w:rPr>
          <w:noProof/>
        </w:rPr>
        <w:t xml:space="preserve">Articolul </w:t>
      </w:r>
      <w:r w:rsidRPr="00FF6DDF">
        <w:rPr>
          <w:noProof/>
        </w:rPr>
        <w:t>218</w:t>
      </w:r>
      <w:r w:rsidRPr="008E5D77">
        <w:rPr>
          <w:noProof/>
        </w:rPr>
        <w:t xml:space="preserve"> alineatul (</w:t>
      </w:r>
      <w:r w:rsidRPr="00FF6DDF">
        <w:rPr>
          <w:noProof/>
        </w:rPr>
        <w:t>9</w:t>
      </w:r>
      <w:r w:rsidRPr="008E5D77">
        <w:rPr>
          <w:noProof/>
        </w:rPr>
        <w:t>) din Tratatul privind funcționarea Uniunii Europene (TFUE) prevede adoptarea unor decizii de stabilire „a pozițiilor care trebuie adoptate în numele Uniunii în cadrul unui organism creat printr-un acord, în cazul în care acest organism trebuie să adopte acte cu efecte juridice, cu excepția actelor care modifică sau completează cadrul instituțional al acordului”.</w:t>
      </w:r>
    </w:p>
    <w:p w:rsidR="00112030" w:rsidRPr="008E5D77" w:rsidRDefault="00112030" w:rsidP="00112030">
      <w:pPr>
        <w:pStyle w:val="Body"/>
        <w:rPr>
          <w:noProof/>
        </w:rPr>
      </w:pPr>
      <w:r w:rsidRPr="008E5D77">
        <w:rPr>
          <w:noProof/>
        </w:rPr>
        <w:t xml:space="preserve">Noțiunea de „acte cu efecte juridice” include actele care au efecte juridice în temeiul normelor de drept internațional aplicabile organismului în cauză. Acesta include totodată instrumente care nu au un caracter obligatoriu în temeiul dreptului internațional, dar care </w:t>
      </w:r>
      <w:r w:rsidRPr="00FF6DDF">
        <w:rPr>
          <w:i/>
          <w:noProof/>
        </w:rPr>
        <w:t>„au vocația de a influența în mod decisiv conținutul reglementării adoptate de legiuitorul Uniunii”</w:t>
      </w:r>
      <w:r w:rsidRPr="008E5D77">
        <w:rPr>
          <w:rStyle w:val="FootnoteReference"/>
          <w:noProof/>
        </w:rPr>
        <w:footnoteReference w:id="3"/>
      </w:r>
      <w:r w:rsidRPr="008E5D77">
        <w:rPr>
          <w:noProof/>
        </w:rPr>
        <w:t>.</w:t>
      </w:r>
    </w:p>
    <w:p w:rsidR="00112030" w:rsidRPr="00FF6DDF" w:rsidRDefault="00112030" w:rsidP="00BB7C00">
      <w:pPr>
        <w:pStyle w:val="ManualHeading3"/>
        <w:pBdr>
          <w:top w:val="nil"/>
          <w:left w:val="nil"/>
          <w:bottom w:val="nil"/>
          <w:right w:val="nil"/>
          <w:between w:val="nil"/>
          <w:bar w:val="nil"/>
        </w:pBdr>
        <w:rPr>
          <w:noProof/>
        </w:rPr>
      </w:pPr>
      <w:r>
        <w:rPr>
          <w:noProof/>
        </w:rPr>
        <w:t>1.4.2.</w:t>
      </w:r>
      <w:r>
        <w:rPr>
          <w:noProof/>
        </w:rPr>
        <w:tab/>
      </w:r>
      <w:r w:rsidRPr="00FF6DDF">
        <w:rPr>
          <w:noProof/>
        </w:rPr>
        <w:t>Aplicarea la cazul în speță</w:t>
      </w:r>
    </w:p>
    <w:p w:rsidR="00112030" w:rsidRPr="008E5D77" w:rsidRDefault="00112030" w:rsidP="00112030">
      <w:pPr>
        <w:pStyle w:val="Body"/>
        <w:rPr>
          <w:noProof/>
        </w:rPr>
      </w:pPr>
      <w:r w:rsidRPr="008E5D77">
        <w:rPr>
          <w:noProof/>
        </w:rPr>
        <w:t xml:space="preserve">Comitetul mixt al SEE este un organism creat printr-un acord, și anume Acordul privind SEE. Actul pe care Comitetul mixt al SEE este invitat să îl adopte este un act cu efecte juridice. Actul avut în vedere va avea caracter obligatoriu în temeiul dreptului internațional, în conformitate cu articolele </w:t>
      </w:r>
      <w:r w:rsidRPr="00FF6DDF">
        <w:rPr>
          <w:noProof/>
        </w:rPr>
        <w:t>103</w:t>
      </w:r>
      <w:r w:rsidRPr="008E5D77">
        <w:rPr>
          <w:noProof/>
        </w:rPr>
        <w:t xml:space="preserve"> și </w:t>
      </w:r>
      <w:r w:rsidRPr="00FF6DDF">
        <w:rPr>
          <w:noProof/>
        </w:rPr>
        <w:t>104</w:t>
      </w:r>
      <w:r w:rsidRPr="008E5D77">
        <w:rPr>
          <w:noProof/>
        </w:rPr>
        <w:t xml:space="preserve"> din Acordul privind SEE. </w:t>
      </w:r>
    </w:p>
    <w:p w:rsidR="00112030" w:rsidRPr="008E5D77" w:rsidRDefault="00112030" w:rsidP="00112030">
      <w:pPr>
        <w:pStyle w:val="Body"/>
        <w:rPr>
          <w:noProof/>
        </w:rPr>
      </w:pPr>
      <w:r w:rsidRPr="008E5D77">
        <w:rPr>
          <w:noProof/>
        </w:rPr>
        <w:t xml:space="preserve">Actul avut în vedere nu modifică și nici nu completează cadrul instituțional al acordului. Prin urmare, temeiul juridic procedural al deciziei propuse este articolul </w:t>
      </w:r>
      <w:r w:rsidRPr="00FF6DDF">
        <w:rPr>
          <w:noProof/>
        </w:rPr>
        <w:t>218</w:t>
      </w:r>
      <w:r w:rsidRPr="008E5D77">
        <w:rPr>
          <w:noProof/>
        </w:rPr>
        <w:t xml:space="preserve"> alineatul (</w:t>
      </w:r>
      <w:r w:rsidRPr="00FF6DDF">
        <w:rPr>
          <w:noProof/>
        </w:rPr>
        <w:t>9</w:t>
      </w:r>
      <w:r w:rsidRPr="008E5D77">
        <w:rPr>
          <w:noProof/>
        </w:rPr>
        <w:t xml:space="preserve">) din TFUE, coroborat cu articolul </w:t>
      </w:r>
      <w:r w:rsidRPr="00FF6DDF">
        <w:rPr>
          <w:noProof/>
        </w:rPr>
        <w:t>1</w:t>
      </w:r>
      <w:r w:rsidRPr="008E5D77">
        <w:rPr>
          <w:noProof/>
        </w:rPr>
        <w:t xml:space="preserve"> alineatul (</w:t>
      </w:r>
      <w:r w:rsidRPr="00FF6DDF">
        <w:rPr>
          <w:noProof/>
        </w:rPr>
        <w:t>3</w:t>
      </w:r>
      <w:r w:rsidRPr="008E5D77">
        <w:rPr>
          <w:noProof/>
        </w:rPr>
        <w:t>) din Regulamentul (CE) nr. </w:t>
      </w:r>
      <w:r w:rsidRPr="00FF6DDF">
        <w:rPr>
          <w:noProof/>
        </w:rPr>
        <w:t>2894</w:t>
      </w:r>
      <w:r w:rsidRPr="008E5D77">
        <w:rPr>
          <w:noProof/>
        </w:rPr>
        <w:t>/</w:t>
      </w:r>
      <w:r w:rsidRPr="00FF6DDF">
        <w:rPr>
          <w:noProof/>
        </w:rPr>
        <w:t>94</w:t>
      </w:r>
      <w:r w:rsidRPr="008E5D77">
        <w:rPr>
          <w:noProof/>
        </w:rPr>
        <w:t xml:space="preserve"> al Consiliului.</w:t>
      </w:r>
    </w:p>
    <w:p w:rsidR="00112030" w:rsidRPr="00FF6DDF" w:rsidRDefault="00112030" w:rsidP="00BB7C00">
      <w:pPr>
        <w:pStyle w:val="ManualHeading2"/>
        <w:pBdr>
          <w:top w:val="nil"/>
          <w:left w:val="nil"/>
          <w:bottom w:val="nil"/>
          <w:right w:val="nil"/>
          <w:between w:val="nil"/>
          <w:bar w:val="nil"/>
        </w:pBdr>
        <w:rPr>
          <w:noProof/>
        </w:rPr>
      </w:pPr>
      <w:r>
        <w:rPr>
          <w:noProof/>
        </w:rPr>
        <w:t>1.5.</w:t>
      </w:r>
      <w:r>
        <w:rPr>
          <w:noProof/>
        </w:rPr>
        <w:tab/>
      </w:r>
      <w:r w:rsidRPr="00FF6DDF">
        <w:rPr>
          <w:noProof/>
        </w:rPr>
        <w:t>Temeiul juridic material</w:t>
      </w:r>
    </w:p>
    <w:p w:rsidR="00112030" w:rsidRPr="00FF6DDF" w:rsidRDefault="00112030" w:rsidP="00BB7C00">
      <w:pPr>
        <w:pStyle w:val="ManualHeading3"/>
        <w:pBdr>
          <w:top w:val="nil"/>
          <w:left w:val="nil"/>
          <w:bottom w:val="nil"/>
          <w:right w:val="nil"/>
          <w:between w:val="nil"/>
          <w:bar w:val="nil"/>
        </w:pBdr>
        <w:rPr>
          <w:noProof/>
        </w:rPr>
      </w:pPr>
      <w:r>
        <w:rPr>
          <w:noProof/>
        </w:rPr>
        <w:t>1.5.1.</w:t>
      </w:r>
      <w:r>
        <w:rPr>
          <w:noProof/>
        </w:rPr>
        <w:tab/>
      </w:r>
      <w:r w:rsidRPr="00FF6DDF">
        <w:rPr>
          <w:noProof/>
        </w:rPr>
        <w:t>Principii</w:t>
      </w:r>
    </w:p>
    <w:p w:rsidR="00112030" w:rsidRPr="008E5D77" w:rsidRDefault="00112030" w:rsidP="00112030">
      <w:pPr>
        <w:pStyle w:val="Body"/>
        <w:rPr>
          <w:noProof/>
        </w:rPr>
      </w:pPr>
      <w:r w:rsidRPr="008E5D77">
        <w:rPr>
          <w:noProof/>
        </w:rPr>
        <w:t>Temeiul juridic material al unei decizii adoptate în temeiul articolului </w:t>
      </w:r>
      <w:r w:rsidRPr="00FF6DDF">
        <w:rPr>
          <w:noProof/>
        </w:rPr>
        <w:t>218</w:t>
      </w:r>
      <w:r w:rsidRPr="008E5D77">
        <w:rPr>
          <w:noProof/>
        </w:rPr>
        <w:t xml:space="preserve"> alineatul (</w:t>
      </w:r>
      <w:r w:rsidRPr="00FF6DDF">
        <w:rPr>
          <w:noProof/>
        </w:rPr>
        <w:t>9</w:t>
      </w:r>
      <w:r w:rsidRPr="008E5D77">
        <w:rPr>
          <w:noProof/>
        </w:rPr>
        <w:t>) din TFUE, coroborat cu articolul </w:t>
      </w:r>
      <w:r w:rsidRPr="00FF6DDF">
        <w:rPr>
          <w:noProof/>
        </w:rPr>
        <w:t>1</w:t>
      </w:r>
      <w:r w:rsidRPr="008E5D77">
        <w:rPr>
          <w:noProof/>
        </w:rPr>
        <w:t xml:space="preserve"> alineatul (</w:t>
      </w:r>
      <w:r w:rsidRPr="00FF6DDF">
        <w:rPr>
          <w:noProof/>
        </w:rPr>
        <w:t>3</w:t>
      </w:r>
      <w:r w:rsidRPr="008E5D77">
        <w:rPr>
          <w:noProof/>
        </w:rPr>
        <w:t xml:space="preserve">) din Regulamentul (CE) nr. </w:t>
      </w:r>
      <w:r w:rsidRPr="00FF6DDF">
        <w:rPr>
          <w:noProof/>
        </w:rPr>
        <w:t>2894</w:t>
      </w:r>
      <w:r w:rsidRPr="008E5D77">
        <w:rPr>
          <w:noProof/>
        </w:rPr>
        <w:t>/</w:t>
      </w:r>
      <w:r w:rsidRPr="00FF6DDF">
        <w:rPr>
          <w:noProof/>
        </w:rPr>
        <w:t>94</w:t>
      </w:r>
      <w:r w:rsidRPr="008E5D77">
        <w:rPr>
          <w:noProof/>
        </w:rPr>
        <w:t xml:space="preserve"> al Consiliului, depinde în primul rând de temeiul juridic material al actului juridic al UE care urmează să fie încorporat în Acordul privind SEE. </w:t>
      </w:r>
    </w:p>
    <w:p w:rsidR="00112030" w:rsidRPr="008E5D77" w:rsidRDefault="00112030" w:rsidP="00112030">
      <w:pPr>
        <w:pStyle w:val="Body"/>
        <w:rPr>
          <w:noProof/>
        </w:rPr>
      </w:pPr>
      <w:r w:rsidRPr="008E5D77">
        <w:rPr>
          <w:noProof/>
        </w:rPr>
        <w:t xml:space="preserve">Dacă actul avut în vedere urmărește două obiective sau include două elemente, dintre care unul poate fi identificat ca fiind principal, iar celălalt ca având mai degrabă un caracter accesoriu, decizia adoptată în temeiul articolului </w:t>
      </w:r>
      <w:r w:rsidRPr="00FF6DDF">
        <w:rPr>
          <w:noProof/>
        </w:rPr>
        <w:t>218</w:t>
      </w:r>
      <w:r w:rsidRPr="008E5D77">
        <w:rPr>
          <w:noProof/>
        </w:rPr>
        <w:t xml:space="preserve"> alineatul (</w:t>
      </w:r>
      <w:r w:rsidRPr="00FF6DDF">
        <w:rPr>
          <w:noProof/>
        </w:rPr>
        <w:t>9</w:t>
      </w:r>
      <w:r w:rsidRPr="008E5D77">
        <w:rPr>
          <w:noProof/>
        </w:rPr>
        <w:t>) din TFUE trebuie să se întemeieze pe un singur temei juridic material, respectiv cel impus de obiectivul sau de elementul principal sau predominant.</w:t>
      </w:r>
    </w:p>
    <w:p w:rsidR="00112030" w:rsidRPr="00FF6DDF" w:rsidRDefault="00112030" w:rsidP="00BB7C00">
      <w:pPr>
        <w:pStyle w:val="ManualHeading3"/>
        <w:pBdr>
          <w:top w:val="nil"/>
          <w:left w:val="nil"/>
          <w:bottom w:val="nil"/>
          <w:right w:val="nil"/>
          <w:between w:val="nil"/>
          <w:bar w:val="nil"/>
        </w:pBdr>
        <w:rPr>
          <w:noProof/>
        </w:rPr>
      </w:pPr>
      <w:r>
        <w:rPr>
          <w:noProof/>
        </w:rPr>
        <w:t>1.5.2.</w:t>
      </w:r>
      <w:r>
        <w:rPr>
          <w:noProof/>
        </w:rPr>
        <w:tab/>
      </w:r>
      <w:r w:rsidRPr="00FF6DDF">
        <w:rPr>
          <w:noProof/>
        </w:rPr>
        <w:t>Aplicarea la cazul în speță</w:t>
      </w:r>
    </w:p>
    <w:p w:rsidR="00112030" w:rsidRPr="008E5D77" w:rsidRDefault="00112030" w:rsidP="00112030">
      <w:pPr>
        <w:pStyle w:val="Body"/>
        <w:rPr>
          <w:noProof/>
        </w:rPr>
      </w:pPr>
      <w:r w:rsidRPr="008E5D77">
        <w:rPr>
          <w:noProof/>
        </w:rPr>
        <w:t xml:space="preserve">Întrucât decizia Comitetului mixt încorporează Regulamentul (UE) </w:t>
      </w:r>
      <w:r w:rsidRPr="00FF6DDF">
        <w:rPr>
          <w:noProof/>
        </w:rPr>
        <w:t>2017</w:t>
      </w:r>
      <w:r w:rsidRPr="008E5D77">
        <w:rPr>
          <w:noProof/>
        </w:rPr>
        <w:t>/</w:t>
      </w:r>
      <w:r w:rsidRPr="00FF6DDF">
        <w:rPr>
          <w:noProof/>
        </w:rPr>
        <w:t>459</w:t>
      </w:r>
      <w:r w:rsidRPr="008E5D77">
        <w:rPr>
          <w:noProof/>
        </w:rPr>
        <w:t xml:space="preserve"> al Comisiei în Acordul privind SEE, este oportun ca prezenta decizie a Consiliului să se întemeieze pe </w:t>
      </w:r>
      <w:r w:rsidRPr="008E5D77">
        <w:rPr>
          <w:noProof/>
        </w:rPr>
        <w:lastRenderedPageBreak/>
        <w:t xml:space="preserve">același temei juridic material ca actul încorporat. Prin urmare, temeiul juridic material al propunerii de decizie este articolul </w:t>
      </w:r>
      <w:r w:rsidRPr="00FF6DDF">
        <w:rPr>
          <w:noProof/>
        </w:rPr>
        <w:t>95</w:t>
      </w:r>
      <w:r w:rsidRPr="008E5D77">
        <w:rPr>
          <w:noProof/>
        </w:rPr>
        <w:t xml:space="preserve"> din TFUE.</w:t>
      </w:r>
    </w:p>
    <w:p w:rsidR="00112030" w:rsidRPr="00FF6DDF" w:rsidRDefault="00112030" w:rsidP="00BB7C00">
      <w:pPr>
        <w:pStyle w:val="ManualHeading2"/>
        <w:pBdr>
          <w:top w:val="nil"/>
          <w:left w:val="nil"/>
          <w:bottom w:val="nil"/>
          <w:right w:val="nil"/>
          <w:between w:val="nil"/>
          <w:bar w:val="nil"/>
        </w:pBdr>
        <w:rPr>
          <w:noProof/>
        </w:rPr>
      </w:pPr>
      <w:r>
        <w:rPr>
          <w:noProof/>
        </w:rPr>
        <w:t>1.6.</w:t>
      </w:r>
      <w:r>
        <w:rPr>
          <w:noProof/>
        </w:rPr>
        <w:tab/>
      </w:r>
      <w:r w:rsidRPr="00FF6DDF">
        <w:rPr>
          <w:noProof/>
        </w:rPr>
        <w:t>Concluzie</w:t>
      </w:r>
    </w:p>
    <w:p w:rsidR="00112030" w:rsidRPr="008E5D77" w:rsidRDefault="00112030" w:rsidP="00112030">
      <w:pPr>
        <w:pStyle w:val="Body"/>
        <w:rPr>
          <w:noProof/>
        </w:rPr>
      </w:pPr>
      <w:r w:rsidRPr="008E5D77">
        <w:rPr>
          <w:noProof/>
        </w:rPr>
        <w:t xml:space="preserve">Temeiul juridic al deciziei propuse ar trebui să fie articolul </w:t>
      </w:r>
      <w:r w:rsidRPr="00FF6DDF">
        <w:rPr>
          <w:noProof/>
        </w:rPr>
        <w:t>95</w:t>
      </w:r>
      <w:r w:rsidRPr="008E5D77">
        <w:rPr>
          <w:noProof/>
        </w:rPr>
        <w:t xml:space="preserve"> din TFUE, coroborat cu articolul </w:t>
      </w:r>
      <w:r w:rsidRPr="00FF6DDF">
        <w:rPr>
          <w:noProof/>
        </w:rPr>
        <w:t>218</w:t>
      </w:r>
      <w:r w:rsidRPr="008E5D77">
        <w:rPr>
          <w:noProof/>
        </w:rPr>
        <w:t xml:space="preserve"> alineatul (</w:t>
      </w:r>
      <w:r w:rsidRPr="00FF6DDF">
        <w:rPr>
          <w:noProof/>
        </w:rPr>
        <w:t>9</w:t>
      </w:r>
      <w:r w:rsidRPr="008E5D77">
        <w:rPr>
          <w:noProof/>
        </w:rPr>
        <w:t xml:space="preserve">) din TFUE și cu articolul </w:t>
      </w:r>
      <w:r w:rsidRPr="00FF6DDF">
        <w:rPr>
          <w:noProof/>
        </w:rPr>
        <w:t>1</w:t>
      </w:r>
      <w:r w:rsidRPr="008E5D77">
        <w:rPr>
          <w:noProof/>
        </w:rPr>
        <w:t xml:space="preserve"> alineatul (</w:t>
      </w:r>
      <w:r w:rsidRPr="00FF6DDF">
        <w:rPr>
          <w:noProof/>
        </w:rPr>
        <w:t>3</w:t>
      </w:r>
      <w:r w:rsidRPr="008E5D77">
        <w:rPr>
          <w:noProof/>
        </w:rPr>
        <w:t>) din Regulamentul (CE) nr. </w:t>
      </w:r>
      <w:r w:rsidRPr="00FF6DDF">
        <w:rPr>
          <w:noProof/>
        </w:rPr>
        <w:t>2894</w:t>
      </w:r>
      <w:r w:rsidRPr="008E5D77">
        <w:rPr>
          <w:noProof/>
        </w:rPr>
        <w:t>/</w:t>
      </w:r>
      <w:r w:rsidRPr="00FF6DDF">
        <w:rPr>
          <w:noProof/>
        </w:rPr>
        <w:t>94</w:t>
      </w:r>
      <w:r w:rsidRPr="008E5D77">
        <w:rPr>
          <w:noProof/>
        </w:rPr>
        <w:t xml:space="preserve"> al Consiliului.</w:t>
      </w:r>
    </w:p>
    <w:p w:rsidR="00112030" w:rsidRPr="00FF6DDF" w:rsidRDefault="00112030" w:rsidP="00BB7C00">
      <w:pPr>
        <w:pStyle w:val="Heading"/>
        <w:numPr>
          <w:ilvl w:val="0"/>
          <w:numId w:val="1"/>
        </w:numPr>
        <w:rPr>
          <w:noProof/>
        </w:rPr>
      </w:pPr>
      <w:r w:rsidRPr="00FF6DDF">
        <w:rPr>
          <w:noProof/>
        </w:rPr>
        <w:t>Publicarea actului avut în vedere</w:t>
      </w:r>
    </w:p>
    <w:p w:rsidR="00112030" w:rsidRPr="008E5D77" w:rsidRDefault="00112030" w:rsidP="00112030">
      <w:pPr>
        <w:pStyle w:val="Body"/>
        <w:rPr>
          <w:noProof/>
        </w:rPr>
      </w:pPr>
      <w:r w:rsidRPr="008E5D77">
        <w:rPr>
          <w:noProof/>
        </w:rPr>
        <w:t xml:space="preserve">Întrucât actul Comitetului mixt al SEE va modifica anexa IV (Energia) la Acordul privind SEE, este oportună publicarea sa, după adoptare, în </w:t>
      </w:r>
      <w:r w:rsidRPr="00FF6DDF">
        <w:rPr>
          <w:i/>
          <w:noProof/>
        </w:rPr>
        <w:t>Jurnalul Oficial al Uniunii Europene</w:t>
      </w:r>
      <w:r w:rsidRPr="008E5D77">
        <w:rPr>
          <w:noProof/>
        </w:rPr>
        <w:t>.</w:t>
      </w:r>
    </w:p>
    <w:p w:rsidR="00112030" w:rsidRPr="00FF6DDF" w:rsidRDefault="00112030" w:rsidP="00112030">
      <w:pPr>
        <w:pStyle w:val="ManualHeading1"/>
        <w:rPr>
          <w:i/>
          <w:iCs/>
          <w:noProof/>
        </w:rPr>
      </w:pPr>
    </w:p>
    <w:p w:rsidR="00112030" w:rsidRPr="008E5D77" w:rsidRDefault="00112030" w:rsidP="00112030">
      <w:pPr>
        <w:pStyle w:val="BodyText2"/>
        <w:jc w:val="both"/>
        <w:rPr>
          <w:i w:val="0"/>
          <w:iCs w:val="0"/>
          <w:noProof/>
        </w:rPr>
      </w:pPr>
    </w:p>
    <w:p w:rsidR="00112030" w:rsidRPr="008E5D77" w:rsidRDefault="00112030" w:rsidP="00112030">
      <w:pPr>
        <w:pStyle w:val="Body"/>
        <w:rPr>
          <w:noProof/>
        </w:rPr>
        <w:sectPr w:rsidR="00112030" w:rsidRPr="008E5D77" w:rsidSect="00B306B9">
          <w:headerReference w:type="even"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rsidR="00BC08AD" w:rsidRDefault="003754B2">
      <w:pPr>
        <w:pStyle w:val="Rfrenceinterinstitutionnelle"/>
        <w:rPr>
          <w:noProof/>
        </w:rPr>
      </w:pPr>
      <w:r>
        <w:rPr>
          <w:noProof/>
        </w:rPr>
        <w:lastRenderedPageBreak/>
        <w:t>2026/0218 (NLE)</w:t>
      </w:r>
    </w:p>
    <w:p w:rsidR="00112030" w:rsidRPr="008E5D77" w:rsidRDefault="008E5D77" w:rsidP="008E5D77">
      <w:pPr>
        <w:pStyle w:val="Statut"/>
        <w:rPr>
          <w:noProof/>
        </w:rPr>
      </w:pPr>
      <w:r w:rsidRPr="008E5D77">
        <w:rPr>
          <w:noProof/>
        </w:rPr>
        <w:t>Propunere de</w:t>
      </w:r>
    </w:p>
    <w:p w:rsidR="00112030" w:rsidRPr="00FF6DDF" w:rsidRDefault="008E5D77" w:rsidP="008E5D77">
      <w:pPr>
        <w:pStyle w:val="Typedudocument"/>
        <w:rPr>
          <w:noProof/>
        </w:rPr>
      </w:pPr>
      <w:r w:rsidRPr="00FF6DDF">
        <w:rPr>
          <w:noProof/>
        </w:rPr>
        <w:t>DECIZIE A CONSILIULUI</w:t>
      </w:r>
    </w:p>
    <w:p w:rsidR="00112030" w:rsidRPr="00FF6DDF" w:rsidRDefault="008E5D77" w:rsidP="008E5D77">
      <w:pPr>
        <w:pStyle w:val="Titreobjet"/>
        <w:rPr>
          <w:noProof/>
        </w:rPr>
      </w:pPr>
      <w:r w:rsidRPr="00FF6DDF">
        <w:rPr>
          <w:noProof/>
        </w:rPr>
        <w:t xml:space="preserve">privind poziția care urmează să fie luată, în numele Uniunii Europene în cadrul Comitetului mixt al SEE, referitor la modificarea anexei IV (Energia) la Acordul privind SEE </w:t>
      </w:r>
      <w:r w:rsidRPr="00FF6DDF">
        <w:rPr>
          <w:noProof/>
        </w:rPr>
        <w:br/>
        <w:t xml:space="preserve"> </w:t>
      </w:r>
      <w:r w:rsidRPr="00FF6DDF">
        <w:rPr>
          <w:noProof/>
        </w:rPr>
        <w:br/>
        <w:t xml:space="preserve">(Codul rețelei privind mecanismele de alocare a capacității în sistemele de transport al gazelor) </w:t>
      </w:r>
      <w:r w:rsidRPr="00FF6DDF">
        <w:rPr>
          <w:noProof/>
        </w:rPr>
        <w:br/>
        <w:t xml:space="preserve"> </w:t>
      </w:r>
      <w:r w:rsidRPr="00FF6DDF">
        <w:rPr>
          <w:noProof/>
        </w:rPr>
        <w:br/>
      </w:r>
    </w:p>
    <w:p w:rsidR="00112030" w:rsidRPr="008E5D77" w:rsidRDefault="008E5D77" w:rsidP="008E5D77">
      <w:pPr>
        <w:pStyle w:val="IntrtEEE"/>
        <w:rPr>
          <w:noProof/>
        </w:rPr>
      </w:pPr>
      <w:r w:rsidRPr="008E5D77">
        <w:rPr>
          <w:noProof/>
        </w:rPr>
        <w:t>(Text cu relevanță pentru SEE)</w:t>
      </w:r>
    </w:p>
    <w:p w:rsidR="00112030" w:rsidRPr="008E5D77" w:rsidRDefault="00112030" w:rsidP="00112030">
      <w:pPr>
        <w:pStyle w:val="Institutionquiagit"/>
        <w:rPr>
          <w:noProof/>
        </w:rPr>
      </w:pPr>
      <w:r w:rsidRPr="008E5D77">
        <w:rPr>
          <w:noProof/>
        </w:rPr>
        <w:t>CONSILIUL UNIUNII EUROPENE,</w:t>
      </w:r>
    </w:p>
    <w:p w:rsidR="00112030" w:rsidRPr="008E5D77" w:rsidRDefault="00112030" w:rsidP="00112030">
      <w:pPr>
        <w:rPr>
          <w:noProof/>
        </w:rPr>
      </w:pPr>
      <w:r w:rsidRPr="008E5D77">
        <w:rPr>
          <w:noProof/>
        </w:rPr>
        <w:t xml:space="preserve">având în vedere Tratatul privind funcționarea Uniunii Europene, în special articolul </w:t>
      </w:r>
      <w:r w:rsidRPr="00FF6DDF">
        <w:rPr>
          <w:noProof/>
        </w:rPr>
        <w:t>95</w:t>
      </w:r>
      <w:r w:rsidRPr="008E5D77">
        <w:rPr>
          <w:noProof/>
        </w:rPr>
        <w:t xml:space="preserve">, coroborat cu articolul </w:t>
      </w:r>
      <w:r w:rsidRPr="00FF6DDF">
        <w:rPr>
          <w:noProof/>
        </w:rPr>
        <w:t>218</w:t>
      </w:r>
      <w:r w:rsidRPr="008E5D77">
        <w:rPr>
          <w:noProof/>
        </w:rPr>
        <w:t xml:space="preserve"> alineatul (</w:t>
      </w:r>
      <w:r w:rsidRPr="00FF6DDF">
        <w:rPr>
          <w:noProof/>
        </w:rPr>
        <w:t>9</w:t>
      </w:r>
      <w:r w:rsidRPr="008E5D77">
        <w:rPr>
          <w:noProof/>
        </w:rPr>
        <w:t>),</w:t>
      </w:r>
    </w:p>
    <w:p w:rsidR="00112030" w:rsidRPr="008E5D77" w:rsidRDefault="00112030" w:rsidP="00112030">
      <w:pPr>
        <w:rPr>
          <w:noProof/>
        </w:rPr>
      </w:pPr>
      <w:r w:rsidRPr="008E5D77">
        <w:rPr>
          <w:noProof/>
        </w:rPr>
        <w:t xml:space="preserve">având în vedere Regulamentul (CE) nr. </w:t>
      </w:r>
      <w:r w:rsidRPr="00FF6DDF">
        <w:rPr>
          <w:noProof/>
        </w:rPr>
        <w:t>2894</w:t>
      </w:r>
      <w:r w:rsidRPr="008E5D77">
        <w:rPr>
          <w:noProof/>
        </w:rPr>
        <w:t>/</w:t>
      </w:r>
      <w:r w:rsidRPr="00FF6DDF">
        <w:rPr>
          <w:noProof/>
        </w:rPr>
        <w:t>94</w:t>
      </w:r>
      <w:r w:rsidRPr="008E5D77">
        <w:rPr>
          <w:noProof/>
        </w:rPr>
        <w:t xml:space="preserve"> al Consiliului din </w:t>
      </w:r>
      <w:r w:rsidRPr="00FF6DDF">
        <w:rPr>
          <w:noProof/>
        </w:rPr>
        <w:t>28</w:t>
      </w:r>
      <w:r w:rsidRPr="008E5D77">
        <w:rPr>
          <w:noProof/>
        </w:rPr>
        <w:t xml:space="preserve"> noiembrie </w:t>
      </w:r>
      <w:r w:rsidRPr="00FF6DDF">
        <w:rPr>
          <w:noProof/>
        </w:rPr>
        <w:t>1994</w:t>
      </w:r>
      <w:r w:rsidRPr="008E5D77">
        <w:rPr>
          <w:noProof/>
        </w:rPr>
        <w:t xml:space="preserve"> privind normele de punere în aplicare a Acordului privind Spațiul Economic European</w:t>
      </w:r>
      <w:r w:rsidRPr="008E5D77">
        <w:rPr>
          <w:rStyle w:val="FootnoteReference"/>
          <w:noProof/>
        </w:rPr>
        <w:footnoteReference w:id="4"/>
      </w:r>
      <w:r w:rsidRPr="008E5D77">
        <w:rPr>
          <w:noProof/>
        </w:rPr>
        <w:t xml:space="preserve">, în special articolul </w:t>
      </w:r>
      <w:r w:rsidRPr="00FF6DDF">
        <w:rPr>
          <w:noProof/>
        </w:rPr>
        <w:t>1</w:t>
      </w:r>
      <w:r w:rsidRPr="008E5D77">
        <w:rPr>
          <w:noProof/>
        </w:rPr>
        <w:t xml:space="preserve"> alineatul (</w:t>
      </w:r>
      <w:r w:rsidRPr="00FF6DDF">
        <w:rPr>
          <w:noProof/>
        </w:rPr>
        <w:t>3</w:t>
      </w:r>
      <w:r w:rsidRPr="008E5D77">
        <w:rPr>
          <w:noProof/>
        </w:rPr>
        <w:t>),</w:t>
      </w:r>
    </w:p>
    <w:p w:rsidR="00112030" w:rsidRPr="008E5D77" w:rsidRDefault="00112030" w:rsidP="00112030">
      <w:pPr>
        <w:rPr>
          <w:noProof/>
        </w:rPr>
      </w:pPr>
      <w:r w:rsidRPr="008E5D77">
        <w:rPr>
          <w:noProof/>
        </w:rPr>
        <w:t>având în vedere propunerea Comisiei Europene,</w:t>
      </w:r>
    </w:p>
    <w:p w:rsidR="00112030" w:rsidRPr="008E5D77" w:rsidRDefault="00112030" w:rsidP="00112030">
      <w:pPr>
        <w:rPr>
          <w:noProof/>
        </w:rPr>
      </w:pPr>
      <w:r w:rsidRPr="008E5D77">
        <w:rPr>
          <w:noProof/>
        </w:rPr>
        <w:t>întrucât:</w:t>
      </w:r>
    </w:p>
    <w:p w:rsidR="00112030" w:rsidRPr="008E5D77" w:rsidRDefault="00112030" w:rsidP="00BB7C00">
      <w:pPr>
        <w:pStyle w:val="ManualConsidrant"/>
        <w:pBdr>
          <w:top w:val="nil"/>
          <w:left w:val="nil"/>
          <w:bottom w:val="nil"/>
          <w:right w:val="nil"/>
          <w:between w:val="nil"/>
          <w:bar w:val="nil"/>
        </w:pBdr>
        <w:tabs>
          <w:tab w:val="left" w:pos="709"/>
        </w:tabs>
        <w:rPr>
          <w:noProof/>
        </w:rPr>
      </w:pPr>
      <w:r>
        <w:rPr>
          <w:noProof/>
        </w:rPr>
        <w:t>(1)</w:t>
      </w:r>
      <w:r>
        <w:rPr>
          <w:noProof/>
        </w:rPr>
        <w:tab/>
      </w:r>
      <w:r w:rsidRPr="008E5D77">
        <w:rPr>
          <w:noProof/>
        </w:rPr>
        <w:t>Acordul privind Spațiul Economic European</w:t>
      </w:r>
      <w:r w:rsidRPr="008E5D77">
        <w:rPr>
          <w:rStyle w:val="FootnoteReference"/>
          <w:rFonts w:eastAsia="Times New Roman"/>
          <w:noProof/>
        </w:rPr>
        <w:footnoteReference w:id="5"/>
      </w:r>
      <w:r w:rsidRPr="008E5D77">
        <w:rPr>
          <w:noProof/>
        </w:rPr>
        <w:t xml:space="preserve"> („Acordul privind SEE”) a intrat în vigoare la </w:t>
      </w:r>
      <w:r w:rsidRPr="00FF6DDF">
        <w:rPr>
          <w:noProof/>
        </w:rPr>
        <w:t>1</w:t>
      </w:r>
      <w:r w:rsidRPr="008E5D77">
        <w:rPr>
          <w:noProof/>
        </w:rPr>
        <w:t> ianuarie </w:t>
      </w:r>
      <w:r w:rsidRPr="00FF6DDF">
        <w:rPr>
          <w:noProof/>
        </w:rPr>
        <w:t>1994</w:t>
      </w:r>
      <w:r w:rsidRPr="008E5D77">
        <w:rPr>
          <w:noProof/>
        </w:rPr>
        <w:t>.</w:t>
      </w:r>
    </w:p>
    <w:p w:rsidR="00112030" w:rsidRPr="008E5D77" w:rsidRDefault="00112030" w:rsidP="00BB7C00">
      <w:pPr>
        <w:pStyle w:val="ManualConsidrant"/>
        <w:pBdr>
          <w:top w:val="nil"/>
          <w:left w:val="nil"/>
          <w:bottom w:val="nil"/>
          <w:right w:val="nil"/>
          <w:between w:val="nil"/>
          <w:bar w:val="nil"/>
        </w:pBdr>
        <w:tabs>
          <w:tab w:val="left" w:pos="709"/>
        </w:tabs>
        <w:rPr>
          <w:noProof/>
        </w:rPr>
      </w:pPr>
      <w:r>
        <w:rPr>
          <w:noProof/>
        </w:rPr>
        <w:t>(2)</w:t>
      </w:r>
      <w:r>
        <w:rPr>
          <w:noProof/>
        </w:rPr>
        <w:tab/>
      </w:r>
      <w:r w:rsidRPr="008E5D77">
        <w:rPr>
          <w:noProof/>
        </w:rPr>
        <w:t xml:space="preserve">În temeiul articolului </w:t>
      </w:r>
      <w:r w:rsidRPr="00FF6DDF">
        <w:rPr>
          <w:noProof/>
        </w:rPr>
        <w:t>98</w:t>
      </w:r>
      <w:r w:rsidRPr="008E5D77">
        <w:rPr>
          <w:noProof/>
        </w:rPr>
        <w:t xml:space="preserve"> din Acordul privind SEE, Comitetul mixt al SEE poate decide să modifice, printre altele, anexa IV (Energia) la Acordul privind SEE.</w:t>
      </w:r>
    </w:p>
    <w:p w:rsidR="00112030" w:rsidRPr="008E5D77" w:rsidRDefault="0065024C" w:rsidP="00BB7C00">
      <w:pPr>
        <w:pStyle w:val="ManualConsidrant"/>
        <w:pBdr>
          <w:top w:val="nil"/>
          <w:left w:val="nil"/>
          <w:bottom w:val="nil"/>
          <w:right w:val="nil"/>
          <w:between w:val="nil"/>
          <w:bar w:val="nil"/>
        </w:pBdr>
        <w:tabs>
          <w:tab w:val="left" w:pos="709"/>
        </w:tabs>
        <w:rPr>
          <w:noProof/>
        </w:rPr>
      </w:pPr>
      <w:r>
        <w:rPr>
          <w:noProof/>
        </w:rPr>
        <w:t>(3)</w:t>
      </w:r>
      <w:r>
        <w:rPr>
          <w:noProof/>
        </w:rPr>
        <w:tab/>
      </w:r>
      <w:r w:rsidRPr="008E5D77">
        <w:rPr>
          <w:noProof/>
          <w:color w:val="000000" w:themeColor="text1"/>
        </w:rPr>
        <w:t xml:space="preserve">Regulamentul (UE) </w:t>
      </w:r>
      <w:r w:rsidRPr="00FF6DDF">
        <w:rPr>
          <w:noProof/>
          <w:color w:val="000000" w:themeColor="text1"/>
        </w:rPr>
        <w:t>2017</w:t>
      </w:r>
      <w:r w:rsidRPr="008E5D77">
        <w:rPr>
          <w:noProof/>
          <w:color w:val="000000" w:themeColor="text1"/>
        </w:rPr>
        <w:t>/</w:t>
      </w:r>
      <w:r w:rsidRPr="00FF6DDF">
        <w:rPr>
          <w:noProof/>
          <w:color w:val="000000" w:themeColor="text1"/>
        </w:rPr>
        <w:t>459</w:t>
      </w:r>
      <w:r w:rsidRPr="008E5D77">
        <w:rPr>
          <w:noProof/>
          <w:color w:val="000000" w:themeColor="text1"/>
        </w:rPr>
        <w:t xml:space="preserve"> al Comisiei de stabilire a unui cod al rețelei privind mecanismele de alocare a capacității în sistemele de transport al gazelor și de abrogare a Regulamentului (UE) nr. </w:t>
      </w:r>
      <w:r w:rsidRPr="00FF6DDF">
        <w:rPr>
          <w:noProof/>
          <w:color w:val="000000" w:themeColor="text1"/>
        </w:rPr>
        <w:t>984</w:t>
      </w:r>
      <w:r w:rsidRPr="008E5D77">
        <w:rPr>
          <w:noProof/>
          <w:color w:val="000000" w:themeColor="text1"/>
        </w:rPr>
        <w:t>/</w:t>
      </w:r>
      <w:r w:rsidRPr="00FF6DDF">
        <w:rPr>
          <w:noProof/>
          <w:color w:val="000000" w:themeColor="text1"/>
        </w:rPr>
        <w:t>2013</w:t>
      </w:r>
      <w:r w:rsidRPr="008E5D77">
        <w:rPr>
          <w:rStyle w:val="FootnoteReference"/>
          <w:noProof/>
          <w:color w:val="000000" w:themeColor="text1"/>
          <w:szCs w:val="24"/>
        </w:rPr>
        <w:footnoteReference w:id="6"/>
      </w:r>
      <w:r w:rsidRPr="008E5D77">
        <w:rPr>
          <w:noProof/>
        </w:rPr>
        <w:t xml:space="preserve"> ar trebui încorporat în Acordul privind SEE.</w:t>
      </w:r>
    </w:p>
    <w:p w:rsidR="00112030" w:rsidRPr="008E5D77" w:rsidRDefault="006B4860" w:rsidP="00BB7C00">
      <w:pPr>
        <w:pStyle w:val="ManualConsidrant"/>
        <w:pBdr>
          <w:top w:val="nil"/>
          <w:left w:val="nil"/>
          <w:bottom w:val="nil"/>
          <w:right w:val="nil"/>
          <w:between w:val="nil"/>
          <w:bar w:val="nil"/>
        </w:pBdr>
        <w:tabs>
          <w:tab w:val="left" w:pos="709"/>
        </w:tabs>
        <w:rPr>
          <w:noProof/>
        </w:rPr>
      </w:pPr>
      <w:r>
        <w:rPr>
          <w:noProof/>
        </w:rPr>
        <w:t>(4)</w:t>
      </w:r>
      <w:r>
        <w:rPr>
          <w:noProof/>
        </w:rPr>
        <w:tab/>
      </w:r>
      <w:r w:rsidRPr="008E5D77">
        <w:rPr>
          <w:noProof/>
        </w:rPr>
        <w:t>Anexa IV (Energia) la Acordul privind SEE ar trebui. așadar, modificată în mod corespunzător.</w:t>
      </w:r>
    </w:p>
    <w:p w:rsidR="00112030" w:rsidRPr="008E5D77" w:rsidRDefault="00112030" w:rsidP="00BB7C00">
      <w:pPr>
        <w:pStyle w:val="ManualConsidrant"/>
        <w:pBdr>
          <w:top w:val="nil"/>
          <w:left w:val="nil"/>
          <w:bottom w:val="nil"/>
          <w:right w:val="nil"/>
          <w:between w:val="nil"/>
          <w:bar w:val="nil"/>
        </w:pBdr>
        <w:tabs>
          <w:tab w:val="left" w:pos="709"/>
        </w:tabs>
        <w:rPr>
          <w:noProof/>
        </w:rPr>
      </w:pPr>
      <w:r>
        <w:rPr>
          <w:noProof/>
        </w:rPr>
        <w:t>(5)</w:t>
      </w:r>
      <w:r>
        <w:rPr>
          <w:noProof/>
        </w:rPr>
        <w:tab/>
      </w:r>
      <w:r w:rsidRPr="008E5D77">
        <w:rPr>
          <w:noProof/>
        </w:rPr>
        <w:t>Prin urmare, poziția Uniunii în cadrul Comitetului mixt al SEE ar trebui să se bazeze pe proiectul de decizie atașat,</w:t>
      </w:r>
    </w:p>
    <w:p w:rsidR="00112030" w:rsidRPr="008E5D77" w:rsidRDefault="00112030" w:rsidP="00112030">
      <w:pPr>
        <w:pStyle w:val="Formuledadoption"/>
        <w:rPr>
          <w:noProof/>
        </w:rPr>
      </w:pPr>
      <w:r w:rsidRPr="008E5D77">
        <w:rPr>
          <w:noProof/>
        </w:rPr>
        <w:lastRenderedPageBreak/>
        <w:t xml:space="preserve">ADOPTĂ PREZENTA DECIZIE: </w:t>
      </w:r>
    </w:p>
    <w:p w:rsidR="00112030" w:rsidRPr="00FF6DDF" w:rsidRDefault="00112030" w:rsidP="00112030">
      <w:pPr>
        <w:pStyle w:val="Titrearticle"/>
        <w:rPr>
          <w:noProof/>
        </w:rPr>
      </w:pPr>
      <w:r w:rsidRPr="00FF6DDF">
        <w:rPr>
          <w:noProof/>
        </w:rPr>
        <w:t>Articolul 1</w:t>
      </w:r>
    </w:p>
    <w:p w:rsidR="00112030" w:rsidRPr="008E5D77" w:rsidRDefault="00112030" w:rsidP="00112030">
      <w:pPr>
        <w:pStyle w:val="Body"/>
        <w:rPr>
          <w:noProof/>
        </w:rPr>
      </w:pPr>
      <w:r w:rsidRPr="008E5D77">
        <w:rPr>
          <w:noProof/>
        </w:rPr>
        <w:t>Poziția care urmează să fie luată în numele Uniunii, în cadrul Comitetului mixt al SEE, în legătură cu propunerea de modificare a anexei IV (Energia) la Acordul privind SEE se bazează pe proiectul de decizie a Comitetului mixt al SEE atașat la prezenta decizie.</w:t>
      </w:r>
    </w:p>
    <w:p w:rsidR="00112030" w:rsidRPr="00FF6DDF" w:rsidRDefault="00112030" w:rsidP="00742607">
      <w:pPr>
        <w:pStyle w:val="Titrearticle"/>
        <w:rPr>
          <w:noProof/>
        </w:rPr>
      </w:pPr>
      <w:r w:rsidRPr="00FF6DDF">
        <w:rPr>
          <w:noProof/>
        </w:rPr>
        <w:t>Articolul 2</w:t>
      </w:r>
    </w:p>
    <w:p w:rsidR="00112030" w:rsidRPr="008E5D77" w:rsidRDefault="00112030" w:rsidP="00112030">
      <w:pPr>
        <w:pStyle w:val="Body"/>
        <w:keepLines/>
        <w:rPr>
          <w:noProof/>
        </w:rPr>
      </w:pPr>
      <w:r w:rsidRPr="008E5D77">
        <w:rPr>
          <w:noProof/>
        </w:rPr>
        <w:t>Prezenta decizie intră în vigoare la data adoptării sale.</w:t>
      </w:r>
    </w:p>
    <w:p w:rsidR="00112030" w:rsidRPr="008E5D77" w:rsidRDefault="008E5D77" w:rsidP="00742607">
      <w:pPr>
        <w:pStyle w:val="Fait"/>
        <w:rPr>
          <w:noProof/>
        </w:rPr>
      </w:pPr>
      <w:r>
        <w:rPr>
          <w:noProof/>
        </w:rPr>
        <w:t>Adoptată la Bruxelles,</w:t>
      </w:r>
    </w:p>
    <w:p w:rsidR="00112030" w:rsidRPr="00FF6DDF" w:rsidRDefault="00112030" w:rsidP="00742607">
      <w:pPr>
        <w:pStyle w:val="Institutionquisigne"/>
        <w:rPr>
          <w:noProof/>
        </w:rPr>
      </w:pPr>
      <w:r w:rsidRPr="00FF6DDF">
        <w:rPr>
          <w:noProof/>
        </w:rPr>
        <w:tab/>
        <w:t>Pentru Consiliu</w:t>
      </w:r>
    </w:p>
    <w:p w:rsidR="00112030" w:rsidRPr="00FF6DDF" w:rsidRDefault="00112030" w:rsidP="00112030">
      <w:pPr>
        <w:pStyle w:val="Personnequisigne"/>
        <w:rPr>
          <w:noProof/>
        </w:rPr>
      </w:pPr>
      <w:r w:rsidRPr="00FF6DDF">
        <w:rPr>
          <w:noProof/>
        </w:rPr>
        <w:tab/>
        <w:t>Președintele</w:t>
      </w:r>
    </w:p>
    <w:sectPr w:rsidR="00112030" w:rsidRPr="00FF6DDF" w:rsidSect="00B306B9">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5AEE" w:rsidRDefault="00AC5AEE" w:rsidP="00112030">
      <w:pPr>
        <w:spacing w:before="0" w:after="0"/>
      </w:pPr>
      <w:r>
        <w:separator/>
      </w:r>
    </w:p>
  </w:endnote>
  <w:endnote w:type="continuationSeparator" w:id="0">
    <w:p w:rsidR="00AC5AEE" w:rsidRDefault="00AC5AEE"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6B9" w:rsidRPr="00B306B9" w:rsidRDefault="00B306B9" w:rsidP="00B306B9">
    <w:pPr>
      <w:pStyle w:val="Footer"/>
      <w:rPr>
        <w:rFonts w:ascii="Arial" w:hAnsi="Arial" w:cs="Arial"/>
        <w:b/>
        <w:sz w:val="48"/>
      </w:rPr>
    </w:pPr>
    <w:r w:rsidRPr="00B306B9">
      <w:rPr>
        <w:rFonts w:ascii="Arial" w:hAnsi="Arial" w:cs="Arial"/>
        <w:b/>
        <w:sz w:val="48"/>
      </w:rPr>
      <w:t>RO</w:t>
    </w:r>
    <w:r w:rsidRPr="00B306B9">
      <w:rPr>
        <w:rFonts w:ascii="Arial" w:hAnsi="Arial" w:cs="Arial"/>
        <w:b/>
        <w:sz w:val="48"/>
      </w:rPr>
      <w:tab/>
    </w:r>
    <w:r w:rsidRPr="00B306B9">
      <w:rPr>
        <w:rFonts w:ascii="Arial" w:hAnsi="Arial" w:cs="Arial"/>
        <w:b/>
        <w:sz w:val="48"/>
      </w:rPr>
      <w:tab/>
    </w:r>
    <w:r w:rsidRPr="00B306B9">
      <w:tab/>
    </w:r>
    <w:r w:rsidRPr="00B306B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6B9" w:rsidRPr="00B306B9" w:rsidRDefault="00B306B9" w:rsidP="00B306B9">
    <w:pPr>
      <w:pStyle w:val="Footer"/>
      <w:rPr>
        <w:rFonts w:ascii="Arial" w:hAnsi="Arial" w:cs="Arial"/>
        <w:b/>
        <w:sz w:val="48"/>
      </w:rPr>
    </w:pPr>
    <w:r w:rsidRPr="00B306B9">
      <w:rPr>
        <w:rFonts w:ascii="Arial" w:hAnsi="Arial" w:cs="Arial"/>
        <w:b/>
        <w:sz w:val="48"/>
      </w:rPr>
      <w:t>RO</w:t>
    </w:r>
    <w:r w:rsidRPr="00B306B9">
      <w:rPr>
        <w:rFonts w:ascii="Arial" w:hAnsi="Arial" w:cs="Arial"/>
        <w:b/>
        <w:sz w:val="48"/>
      </w:rPr>
      <w:tab/>
    </w:r>
    <w:r w:rsidRPr="00B306B9">
      <w:rPr>
        <w:rFonts w:ascii="Arial" w:hAnsi="Arial" w:cs="Arial"/>
        <w:b/>
        <w:sz w:val="48"/>
      </w:rPr>
      <w:tab/>
    </w:r>
    <w:r w:rsidRPr="00B306B9">
      <w:tab/>
    </w:r>
    <w:r w:rsidRPr="00B306B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6B9" w:rsidRDefault="00B306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6B9" w:rsidRPr="00B306B9" w:rsidRDefault="00B306B9" w:rsidP="00B306B9">
    <w:pPr>
      <w:pStyle w:val="Footer"/>
      <w:rPr>
        <w:rFonts w:ascii="Arial" w:hAnsi="Arial" w:cs="Arial"/>
        <w:b/>
        <w:sz w:val="48"/>
      </w:rPr>
    </w:pPr>
    <w:r w:rsidRPr="00B306B9">
      <w:rPr>
        <w:rFonts w:ascii="Arial" w:hAnsi="Arial" w:cs="Arial"/>
        <w:b/>
        <w:sz w:val="48"/>
      </w:rPr>
      <w:t>RO</w:t>
    </w:r>
    <w:r w:rsidRPr="00B306B9">
      <w:rPr>
        <w:rFonts w:ascii="Arial" w:hAnsi="Arial" w:cs="Arial"/>
        <w:b/>
        <w:sz w:val="48"/>
      </w:rPr>
      <w:tab/>
    </w:r>
    <w:r>
      <w:fldChar w:fldCharType="begin"/>
    </w:r>
    <w:r>
      <w:instrText xml:space="preserve"> PAGE  \* MERGEFORMAT </w:instrText>
    </w:r>
    <w:r>
      <w:fldChar w:fldCharType="separate"/>
    </w:r>
    <w:r w:rsidR="00742607">
      <w:rPr>
        <w:noProof/>
      </w:rPr>
      <w:t>5</w:t>
    </w:r>
    <w:r>
      <w:fldChar w:fldCharType="end"/>
    </w:r>
    <w:r>
      <w:tab/>
    </w:r>
    <w:r w:rsidRPr="00B306B9">
      <w:tab/>
    </w:r>
    <w:r w:rsidRPr="00B306B9">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6B9" w:rsidRDefault="00B306B9" w:rsidP="00B306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5AEE" w:rsidRDefault="00AC5AEE" w:rsidP="00112030">
      <w:pPr>
        <w:spacing w:before="0" w:after="0"/>
      </w:pPr>
      <w:r>
        <w:separator/>
      </w:r>
    </w:p>
  </w:footnote>
  <w:footnote w:type="continuationSeparator" w:id="0">
    <w:p w:rsidR="00AC5AEE" w:rsidRDefault="00AC5AEE" w:rsidP="00112030">
      <w:pPr>
        <w:spacing w:before="0" w:after="0"/>
      </w:pPr>
      <w:r>
        <w:continuationSeparator/>
      </w:r>
    </w:p>
  </w:footnote>
  <w:footnote w:id="1">
    <w:p w:rsidR="0065024C" w:rsidRPr="000E467D" w:rsidRDefault="0065024C" w:rsidP="0065024C">
      <w:pPr>
        <w:pStyle w:val="FootnoteText"/>
      </w:pPr>
      <w:r>
        <w:rPr>
          <w:rStyle w:val="FootnoteReference"/>
        </w:rPr>
        <w:footnoteRef/>
      </w:r>
      <w:r>
        <w:tab/>
        <w:t xml:space="preserve">Regulamentul (UE) </w:t>
      </w:r>
      <w:r w:rsidRPr="00FF6DDF">
        <w:t>2017</w:t>
      </w:r>
      <w:r>
        <w:t>/</w:t>
      </w:r>
      <w:r w:rsidRPr="00FF6DDF">
        <w:t>459</w:t>
      </w:r>
      <w:r>
        <w:t xml:space="preserve"> al Comisiei din </w:t>
      </w:r>
      <w:r w:rsidRPr="00FF6DDF">
        <w:t>16</w:t>
      </w:r>
      <w:r>
        <w:t xml:space="preserve"> martie </w:t>
      </w:r>
      <w:r w:rsidRPr="00FF6DDF">
        <w:t>2017</w:t>
      </w:r>
      <w:r>
        <w:t xml:space="preserve"> de stabilire a unui cod al rețelei privind mecanismele de alocare a capacității în sistemele de transport al gazelor și de abrogare a Regulamentului (UE) nr. </w:t>
      </w:r>
      <w:r w:rsidRPr="00FF6DDF">
        <w:t>984</w:t>
      </w:r>
      <w:r>
        <w:t>/</w:t>
      </w:r>
      <w:r w:rsidRPr="00FF6DDF">
        <w:t>2013</w:t>
      </w:r>
      <w:r>
        <w:t>, JO L </w:t>
      </w:r>
      <w:r w:rsidRPr="00FF6DDF">
        <w:t>72</w:t>
      </w:r>
      <w:r>
        <w:t xml:space="preserve">, </w:t>
      </w:r>
      <w:r w:rsidRPr="00FF6DDF">
        <w:t>17</w:t>
      </w:r>
      <w:r>
        <w:t>.</w:t>
      </w:r>
      <w:r w:rsidRPr="00FF6DDF">
        <w:t>3</w:t>
      </w:r>
      <w:r>
        <w:t>.</w:t>
      </w:r>
      <w:r w:rsidRPr="00FF6DDF">
        <w:t>2017</w:t>
      </w:r>
      <w:r>
        <w:t>, p. </w:t>
      </w:r>
      <w:r w:rsidRPr="00FF6DDF">
        <w:t>1</w:t>
      </w:r>
      <w:r>
        <w:t>.</w:t>
      </w:r>
    </w:p>
  </w:footnote>
  <w:footnote w:id="2">
    <w:p w:rsidR="00977C02" w:rsidRPr="00977C02" w:rsidRDefault="00977C02">
      <w:pPr>
        <w:pStyle w:val="FootnoteText"/>
      </w:pPr>
      <w:r>
        <w:rPr>
          <w:rStyle w:val="FootnoteReference"/>
        </w:rPr>
        <w:footnoteRef/>
      </w:r>
      <w:r>
        <w:tab/>
        <w:t>Regulamentul (CE) nr. </w:t>
      </w:r>
      <w:r w:rsidRPr="00FF6DDF">
        <w:t>2894</w:t>
      </w:r>
      <w:r>
        <w:t>/</w:t>
      </w:r>
      <w:r w:rsidRPr="00FF6DDF">
        <w:t>94</w:t>
      </w:r>
      <w:r>
        <w:t xml:space="preserve"> al Consiliului din </w:t>
      </w:r>
      <w:r w:rsidRPr="00FF6DDF">
        <w:t>28</w:t>
      </w:r>
      <w:r>
        <w:t xml:space="preserve"> noiembrie </w:t>
      </w:r>
      <w:r w:rsidRPr="00FF6DDF">
        <w:t>1994</w:t>
      </w:r>
      <w:r>
        <w:t xml:space="preserve"> privind normele de punere în aplicare a Acordului privind Spațiul Economic European, JO L </w:t>
      </w:r>
      <w:r w:rsidRPr="00FF6DDF">
        <w:t>305</w:t>
      </w:r>
      <w:r>
        <w:t xml:space="preserve">, </w:t>
      </w:r>
      <w:r w:rsidRPr="00FF6DDF">
        <w:t>30</w:t>
      </w:r>
      <w:r>
        <w:t>.</w:t>
      </w:r>
      <w:r w:rsidRPr="00FF6DDF">
        <w:t>11</w:t>
      </w:r>
      <w:r>
        <w:t>.</w:t>
      </w:r>
      <w:r w:rsidRPr="00FF6DDF">
        <w:t>1994</w:t>
      </w:r>
      <w:r>
        <w:t xml:space="preserve">, p. </w:t>
      </w:r>
      <w:r w:rsidRPr="00FF6DDF">
        <w:t>6</w:t>
      </w:r>
      <w:r>
        <w:t>.</w:t>
      </w:r>
    </w:p>
  </w:footnote>
  <w:footnote w:id="3">
    <w:p w:rsidR="00112030" w:rsidRDefault="00112030" w:rsidP="00112030">
      <w:pPr>
        <w:pStyle w:val="FootnoteText"/>
      </w:pPr>
      <w:r>
        <w:rPr>
          <w:rStyle w:val="FootnoteReference"/>
        </w:rPr>
        <w:footnoteRef/>
      </w:r>
      <w:r>
        <w:tab/>
        <w:t xml:space="preserve">Hotărârea Curții de Justiție din </w:t>
      </w:r>
      <w:r w:rsidRPr="00FF6DDF">
        <w:t>7</w:t>
      </w:r>
      <w:r>
        <w:t xml:space="preserve"> octombrie </w:t>
      </w:r>
      <w:r w:rsidRPr="00FF6DDF">
        <w:t>2014</w:t>
      </w:r>
      <w:r>
        <w:t>, Germania/Consiliul, C-</w:t>
      </w:r>
      <w:r w:rsidRPr="00FF6DDF">
        <w:t>399</w:t>
      </w:r>
      <w:r>
        <w:t>/</w:t>
      </w:r>
      <w:r w:rsidRPr="00FF6DDF">
        <w:t>12</w:t>
      </w:r>
      <w:r>
        <w:t>, ECLI:EU:C:</w:t>
      </w:r>
      <w:r w:rsidRPr="00FF6DDF">
        <w:t>2014</w:t>
      </w:r>
      <w:r>
        <w:t>:</w:t>
      </w:r>
      <w:r w:rsidRPr="00FF6DDF">
        <w:t>2258</w:t>
      </w:r>
      <w:r>
        <w:t xml:space="preserve">, punctele </w:t>
      </w:r>
      <w:r w:rsidRPr="00FF6DDF">
        <w:t>61</w:t>
      </w:r>
      <w:r>
        <w:t>-</w:t>
      </w:r>
      <w:r w:rsidRPr="00FF6DDF">
        <w:t>64</w:t>
      </w:r>
      <w:r>
        <w:t xml:space="preserve">. </w:t>
      </w:r>
    </w:p>
  </w:footnote>
  <w:footnote w:id="4">
    <w:p w:rsidR="00112030" w:rsidRDefault="00112030" w:rsidP="00112030">
      <w:pPr>
        <w:pStyle w:val="FootnoteText"/>
      </w:pPr>
      <w:r>
        <w:rPr>
          <w:rStyle w:val="FootnoteReference"/>
        </w:rPr>
        <w:footnoteRef/>
      </w:r>
      <w:r>
        <w:tab/>
        <w:t xml:space="preserve">JO L </w:t>
      </w:r>
      <w:r w:rsidRPr="00FF6DDF">
        <w:t>305</w:t>
      </w:r>
      <w:r>
        <w:t xml:space="preserve">, </w:t>
      </w:r>
      <w:r w:rsidRPr="00FF6DDF">
        <w:t>30</w:t>
      </w:r>
      <w:r>
        <w:t>.</w:t>
      </w:r>
      <w:r w:rsidRPr="00FF6DDF">
        <w:t>11</w:t>
      </w:r>
      <w:r>
        <w:t>.</w:t>
      </w:r>
      <w:r w:rsidRPr="00FF6DDF">
        <w:t>1994</w:t>
      </w:r>
      <w:r>
        <w:t xml:space="preserve">, p. </w:t>
      </w:r>
      <w:r w:rsidRPr="00FF6DDF">
        <w:t>6</w:t>
      </w:r>
      <w:r>
        <w:t>.</w:t>
      </w:r>
    </w:p>
  </w:footnote>
  <w:footnote w:id="5">
    <w:p w:rsidR="00112030" w:rsidRDefault="00112030" w:rsidP="00112030">
      <w:pPr>
        <w:pStyle w:val="FootnoteText"/>
      </w:pPr>
      <w:r>
        <w:rPr>
          <w:rStyle w:val="FootnoteReference"/>
        </w:rPr>
        <w:footnoteRef/>
      </w:r>
      <w:r>
        <w:tab/>
        <w:t xml:space="preserve">JO L </w:t>
      </w:r>
      <w:r w:rsidRPr="00FF6DDF">
        <w:t>1</w:t>
      </w:r>
      <w:r>
        <w:t xml:space="preserve">, </w:t>
      </w:r>
      <w:r w:rsidRPr="00FF6DDF">
        <w:t>3</w:t>
      </w:r>
      <w:r>
        <w:t>.</w:t>
      </w:r>
      <w:r w:rsidRPr="00FF6DDF">
        <w:t>1</w:t>
      </w:r>
      <w:r>
        <w:t>.</w:t>
      </w:r>
      <w:r w:rsidRPr="00FF6DDF">
        <w:t>1994</w:t>
      </w:r>
      <w:r>
        <w:t xml:space="preserve">, p. </w:t>
      </w:r>
      <w:r w:rsidRPr="00FF6DDF">
        <w:t>3</w:t>
      </w:r>
      <w:r>
        <w:t>.</w:t>
      </w:r>
    </w:p>
  </w:footnote>
  <w:footnote w:id="6">
    <w:p w:rsidR="0065024C" w:rsidRPr="000E467D" w:rsidRDefault="0065024C" w:rsidP="0065024C">
      <w:pPr>
        <w:pStyle w:val="FootnoteText"/>
      </w:pPr>
      <w:r>
        <w:rPr>
          <w:rStyle w:val="FootnoteReference"/>
        </w:rPr>
        <w:footnoteRef/>
      </w:r>
      <w:r>
        <w:tab/>
        <w:t xml:space="preserve">Regulamentul (UE) </w:t>
      </w:r>
      <w:r w:rsidRPr="00FF6DDF">
        <w:t>2017</w:t>
      </w:r>
      <w:r>
        <w:t>/</w:t>
      </w:r>
      <w:r w:rsidRPr="00FF6DDF">
        <w:t>459</w:t>
      </w:r>
      <w:r>
        <w:t xml:space="preserve"> al Comisiei din </w:t>
      </w:r>
      <w:r w:rsidRPr="00FF6DDF">
        <w:t>16</w:t>
      </w:r>
      <w:r>
        <w:t xml:space="preserve"> martie </w:t>
      </w:r>
      <w:r w:rsidRPr="00FF6DDF">
        <w:t>2017</w:t>
      </w:r>
      <w:r>
        <w:t xml:space="preserve"> de stabilire a unui cod al rețelei privind mecanismele de alocare a capacității în sistemele de transport al gazelor și de abrogare a Regulamentului (UE) nr. </w:t>
      </w:r>
      <w:r w:rsidRPr="00FF6DDF">
        <w:t>984</w:t>
      </w:r>
      <w:r>
        <w:t>/</w:t>
      </w:r>
      <w:r w:rsidRPr="00FF6DDF">
        <w:t>2013</w:t>
      </w:r>
      <w:r>
        <w:t>, JO L </w:t>
      </w:r>
      <w:r w:rsidRPr="00FF6DDF">
        <w:t>72</w:t>
      </w:r>
      <w:r>
        <w:t xml:space="preserve">, </w:t>
      </w:r>
      <w:r w:rsidRPr="00FF6DDF">
        <w:t>17</w:t>
      </w:r>
      <w:r>
        <w:t>.</w:t>
      </w:r>
      <w:r w:rsidRPr="00FF6DDF">
        <w:t>3</w:t>
      </w:r>
      <w:r>
        <w:t>.</w:t>
      </w:r>
      <w:r w:rsidRPr="00FF6DDF">
        <w:t>2017</w:t>
      </w:r>
      <w:r>
        <w:t>, p. </w:t>
      </w:r>
      <w:r w:rsidRPr="00FF6DDF">
        <w:t>1</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6B9" w:rsidRDefault="00B306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6B9" w:rsidRDefault="00B306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nl-NL" w:vendorID="64" w:dllVersion="0" w:nlCheck="1" w:checkStyle="0"/>
  <w:attachedTemplate r:id="rId1"/>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27 10:08:0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8A178CA-0A5A-4C8F-A1E8-FA1CB549140E"/>
    <w:docVar w:name="LW_COVERPAGE_TYPE" w:val="1"/>
    <w:docVar w:name="LW_CROSSREFERENCE" w:val="&lt;UNUSED&gt;"/>
    <w:docVar w:name="LW_DocType" w:val="COM"/>
    <w:docVar w:name="LW_EMISSION" w:val="27.7.2026"/>
    <w:docVar w:name="LW_EMISSION_ISODATE" w:val="2026-07-27"/>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18"/>
    <w:docVar w:name="LW_REF.II.NEW.CP_YEAR" w:val="2026"/>
    <w:docVar w:name="LW_REF.INST.NEW" w:val="COM"/>
    <w:docVar w:name="LW_REF.INST.NEW_ADOPTED" w:val="final"/>
    <w:docVar w:name="LW_REF.INST.NEW_TEXT" w:val="(2026) 39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luat\u259?, în numele Uniunii Europene în cadrul Comitetului mixt al SEE, referitor la modificarea anexei IV (Energia) la Acordul privind SEE _x000b_ _x000b_(Codul re\u539?elei privind mecanismele de alocare a capacit\u259?\u539?ii în sistemele de transport al gazelor) _x000b_ _x000b_"/>
    <w:docVar w:name="LW_TYPE.DOC.CP" w:val="DECIZIE A CONSILIULUI"/>
    <w:docVar w:name="LwApiVersions" w:val="LW4CoDe 1.24.5.0; LW 9.2, Build 20251112"/>
  </w:docVars>
  <w:rsids>
    <w:rsidRoot w:val="00112030"/>
    <w:rsid w:val="00090B2C"/>
    <w:rsid w:val="00090CDA"/>
    <w:rsid w:val="000B609A"/>
    <w:rsid w:val="000B7A7D"/>
    <w:rsid w:val="00111E76"/>
    <w:rsid w:val="00112030"/>
    <w:rsid w:val="00152894"/>
    <w:rsid w:val="00160597"/>
    <w:rsid w:val="001B7D8B"/>
    <w:rsid w:val="001C10EF"/>
    <w:rsid w:val="00265BB7"/>
    <w:rsid w:val="00295F65"/>
    <w:rsid w:val="002A3F52"/>
    <w:rsid w:val="002D0CE3"/>
    <w:rsid w:val="00316462"/>
    <w:rsid w:val="00396ACD"/>
    <w:rsid w:val="003C1FA8"/>
    <w:rsid w:val="003D60C2"/>
    <w:rsid w:val="00437AA5"/>
    <w:rsid w:val="00454287"/>
    <w:rsid w:val="00455A9C"/>
    <w:rsid w:val="00490B1C"/>
    <w:rsid w:val="00492396"/>
    <w:rsid w:val="004E19F9"/>
    <w:rsid w:val="00513350"/>
    <w:rsid w:val="00517205"/>
    <w:rsid w:val="00542487"/>
    <w:rsid w:val="00582810"/>
    <w:rsid w:val="00595540"/>
    <w:rsid w:val="005B5FA6"/>
    <w:rsid w:val="005C5840"/>
    <w:rsid w:val="00637C22"/>
    <w:rsid w:val="0065024C"/>
    <w:rsid w:val="006654AB"/>
    <w:rsid w:val="00697060"/>
    <w:rsid w:val="006B4860"/>
    <w:rsid w:val="006F01B4"/>
    <w:rsid w:val="006F7EFE"/>
    <w:rsid w:val="0070711A"/>
    <w:rsid w:val="007339F2"/>
    <w:rsid w:val="00742607"/>
    <w:rsid w:val="00745EAD"/>
    <w:rsid w:val="0079095A"/>
    <w:rsid w:val="007C7F02"/>
    <w:rsid w:val="007D0861"/>
    <w:rsid w:val="007E010B"/>
    <w:rsid w:val="007F673B"/>
    <w:rsid w:val="00802FC2"/>
    <w:rsid w:val="00867EBD"/>
    <w:rsid w:val="00870B19"/>
    <w:rsid w:val="00887A95"/>
    <w:rsid w:val="008C5D4F"/>
    <w:rsid w:val="008E2694"/>
    <w:rsid w:val="008E5D77"/>
    <w:rsid w:val="00906DC3"/>
    <w:rsid w:val="00906FD7"/>
    <w:rsid w:val="009134FD"/>
    <w:rsid w:val="00940731"/>
    <w:rsid w:val="00977C02"/>
    <w:rsid w:val="00981C72"/>
    <w:rsid w:val="009957C5"/>
    <w:rsid w:val="009D42B1"/>
    <w:rsid w:val="00A32D68"/>
    <w:rsid w:val="00A565C7"/>
    <w:rsid w:val="00AA79DB"/>
    <w:rsid w:val="00AB72F8"/>
    <w:rsid w:val="00AC5AEE"/>
    <w:rsid w:val="00AE13BD"/>
    <w:rsid w:val="00B306B9"/>
    <w:rsid w:val="00BB7C00"/>
    <w:rsid w:val="00BC08AD"/>
    <w:rsid w:val="00C23CF4"/>
    <w:rsid w:val="00C3731F"/>
    <w:rsid w:val="00C51F04"/>
    <w:rsid w:val="00D42A85"/>
    <w:rsid w:val="00D83F23"/>
    <w:rsid w:val="00D91215"/>
    <w:rsid w:val="00D95757"/>
    <w:rsid w:val="00D96B28"/>
    <w:rsid w:val="00DA4F00"/>
    <w:rsid w:val="00DB4B20"/>
    <w:rsid w:val="00E07235"/>
    <w:rsid w:val="00E33C9F"/>
    <w:rsid w:val="00E51D95"/>
    <w:rsid w:val="00E8561D"/>
    <w:rsid w:val="00E944A8"/>
    <w:rsid w:val="00E979AB"/>
    <w:rsid w:val="00EA3EAD"/>
    <w:rsid w:val="00EB1A04"/>
    <w:rsid w:val="00EC39BC"/>
    <w:rsid w:val="00EE140B"/>
    <w:rsid w:val="00F044F0"/>
    <w:rsid w:val="00F1508C"/>
    <w:rsid w:val="00F24950"/>
    <w:rsid w:val="00F415C4"/>
    <w:rsid w:val="00F7391F"/>
    <w:rsid w:val="00FC2396"/>
    <w:rsid w:val="00FF2B24"/>
    <w:rsid w:val="00FF6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977C02"/>
    <w:rPr>
      <w:vertAlign w:val="superscript"/>
    </w:rPr>
  </w:style>
  <w:style w:type="character" w:styleId="CommentReference">
    <w:name w:val="annotation reference"/>
    <w:basedOn w:val="DefaultParagraphFont"/>
    <w:uiPriority w:val="99"/>
    <w:semiHidden/>
    <w:unhideWhenUsed/>
    <w:rsid w:val="00AE13BD"/>
    <w:rPr>
      <w:sz w:val="16"/>
      <w:szCs w:val="16"/>
    </w:rPr>
  </w:style>
  <w:style w:type="paragraph" w:styleId="CommentText">
    <w:name w:val="annotation text"/>
    <w:basedOn w:val="Normal"/>
    <w:link w:val="CommentTextChar"/>
    <w:uiPriority w:val="99"/>
    <w:semiHidden/>
    <w:unhideWhenUsed/>
    <w:rsid w:val="00AE13BD"/>
    <w:rPr>
      <w:sz w:val="20"/>
      <w:szCs w:val="20"/>
    </w:rPr>
  </w:style>
  <w:style w:type="character" w:customStyle="1" w:styleId="CommentTextChar">
    <w:name w:val="Comment Text Char"/>
    <w:basedOn w:val="DefaultParagraphFont"/>
    <w:link w:val="CommentText"/>
    <w:uiPriority w:val="99"/>
    <w:semiHidden/>
    <w:rsid w:val="00AE13BD"/>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AE13BD"/>
    <w:rPr>
      <w:b/>
      <w:bCs/>
    </w:rPr>
  </w:style>
  <w:style w:type="character" w:customStyle="1" w:styleId="CommentSubjectChar">
    <w:name w:val="Comment Subject Char"/>
    <w:basedOn w:val="CommentTextChar"/>
    <w:link w:val="CommentSubject"/>
    <w:uiPriority w:val="99"/>
    <w:semiHidden/>
    <w:rsid w:val="00AE13BD"/>
    <w:rPr>
      <w:rFonts w:ascii="Times New Roman" w:hAnsi="Times New Roman" w:cs="Times New Roman"/>
      <w:b/>
      <w:bCs/>
      <w:sz w:val="20"/>
      <w:szCs w:val="20"/>
      <w:lang w:val="ro-RO"/>
    </w:rPr>
  </w:style>
  <w:style w:type="character" w:styleId="Hyperlink">
    <w:name w:val="Hyperlink"/>
    <w:basedOn w:val="DefaultParagraphFont"/>
    <w:uiPriority w:val="99"/>
    <w:unhideWhenUsed/>
    <w:rsid w:val="00AE13BD"/>
    <w:rPr>
      <w:color w:val="0000FF" w:themeColor="hyperlink"/>
      <w:u w:val="single"/>
    </w:rPr>
  </w:style>
  <w:style w:type="character" w:customStyle="1" w:styleId="UnresolvedMention">
    <w:name w:val="Unresolved Mention"/>
    <w:basedOn w:val="DefaultParagraphFont"/>
    <w:uiPriority w:val="99"/>
    <w:semiHidden/>
    <w:unhideWhenUsed/>
    <w:rsid w:val="00AE13BD"/>
    <w:rPr>
      <w:color w:val="605E5C"/>
      <w:shd w:val="clear" w:color="auto" w:fill="E1DFDD"/>
    </w:rPr>
  </w:style>
  <w:style w:type="character" w:customStyle="1" w:styleId="HeaderChar">
    <w:name w:val="Header Char"/>
    <w:basedOn w:val="DefaultParagraphFont"/>
    <w:link w:val="Header"/>
    <w:uiPriority w:val="99"/>
    <w:rsid w:val="00B306B9"/>
    <w:rPr>
      <w:rFonts w:ascii="Times New Roman" w:hAnsi="Times New Roman" w:cs="Times New Roman"/>
      <w:sz w:val="24"/>
      <w:lang w:val="ro-RO"/>
    </w:rPr>
  </w:style>
  <w:style w:type="character" w:customStyle="1" w:styleId="FooterChar">
    <w:name w:val="Footer Char"/>
    <w:basedOn w:val="DefaultParagraphFont"/>
    <w:link w:val="Footer"/>
    <w:uiPriority w:val="99"/>
    <w:rsid w:val="00B306B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306B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306B9"/>
    <w:pPr>
      <w:spacing w:before="0"/>
      <w:jc w:val="right"/>
    </w:pPr>
    <w:rPr>
      <w:sz w:val="28"/>
    </w:rPr>
  </w:style>
  <w:style w:type="paragraph" w:customStyle="1" w:styleId="FooterSensitivity">
    <w:name w:val="Footer Sensitivity"/>
    <w:basedOn w:val="Normal"/>
    <w:rsid w:val="00B306B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306B9"/>
    <w:pPr>
      <w:tabs>
        <w:tab w:val="center" w:pos="4535"/>
        <w:tab w:val="right" w:pos="9071"/>
      </w:tabs>
      <w:spacing w:before="0"/>
    </w:pPr>
  </w:style>
  <w:style w:type="paragraph" w:customStyle="1" w:styleId="HeaderLandscape">
    <w:name w:val="HeaderLandscape"/>
    <w:basedOn w:val="Normal"/>
    <w:rsid w:val="00B306B9"/>
    <w:pPr>
      <w:tabs>
        <w:tab w:val="center" w:pos="7285"/>
        <w:tab w:val="right" w:pos="14003"/>
      </w:tabs>
      <w:spacing w:before="0"/>
    </w:pPr>
  </w:style>
  <w:style w:type="paragraph" w:styleId="Footer">
    <w:name w:val="footer"/>
    <w:basedOn w:val="Normal"/>
    <w:link w:val="FooterChar"/>
    <w:uiPriority w:val="99"/>
    <w:unhideWhenUsed/>
    <w:rsid w:val="00B306B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306B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4FBDF-B02F-45F3-BCF5-2B4433BDB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6</Pages>
  <Words>1191</Words>
  <Characters>6793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2026-07-22T07:11:00Z</dcterms:created>
  <dcterms:modified xsi:type="dcterms:W3CDTF">2026-07-27T08:08:00Z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