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DF6DC" w14:textId="3E98DE5E" w:rsidR="0029533F" w:rsidRDefault="00E1253C" w:rsidP="00E1253C">
      <w:pPr>
        <w:pStyle w:val="Pagedecouverture"/>
        <w:rPr>
          <w:noProof/>
        </w:rPr>
      </w:pPr>
      <w:r>
        <w:rPr>
          <w:noProof/>
        </w:rPr>
        <w:pict w14:anchorId="2A21F4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DEF25A20-5A3A-4DCE-88AB-7A91244F1C9A" style="width:455.25pt;height:450pt">
            <v:imagedata r:id="rId8" o:title=""/>
          </v:shape>
        </w:pict>
      </w:r>
    </w:p>
    <w:p w14:paraId="76545273" w14:textId="77777777" w:rsidR="0080666E" w:rsidRPr="00320D66" w:rsidRDefault="0080666E">
      <w:pPr>
        <w:rPr>
          <w:noProof/>
        </w:rPr>
        <w:sectPr w:rsidR="0080666E" w:rsidRPr="00320D66" w:rsidSect="00E1253C">
          <w:footerReference w:type="even" r:id="rId9"/>
          <w:footerReference w:type="default" r:id="rId10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7D91BDAC" w14:textId="0733D895" w:rsidR="00FF6489" w:rsidRDefault="00FF6489" w:rsidP="00FF6489">
      <w:pPr>
        <w:pStyle w:val="Rfrenceinterinstitutionnelle"/>
        <w:rPr>
          <w:noProof/>
        </w:rPr>
      </w:pPr>
      <w:bookmarkStart w:id="0" w:name="_GoBack"/>
      <w:bookmarkEnd w:id="0"/>
      <w:r>
        <w:rPr>
          <w:noProof/>
        </w:rPr>
        <w:lastRenderedPageBreak/>
        <w:t>2025/0429 (COD)</w:t>
      </w:r>
    </w:p>
    <w:p w14:paraId="1BEC0D2D" w14:textId="30AD8F90" w:rsidR="0080666E" w:rsidRPr="00320D66" w:rsidRDefault="00FF6489" w:rsidP="00FF6489">
      <w:pPr>
        <w:pStyle w:val="Typedudocument"/>
        <w:rPr>
          <w:noProof/>
        </w:rPr>
      </w:pPr>
      <w:r w:rsidRPr="00FF6489">
        <w:rPr>
          <w:noProof/>
        </w:rPr>
        <w:t>OPINION OF THE COMMISSION</w:t>
      </w:r>
      <w:r w:rsidRPr="00FF6489">
        <w:rPr>
          <w:noProof/>
        </w:rPr>
        <w:br/>
      </w:r>
      <w:r w:rsidRPr="00FF6489">
        <w:rPr>
          <w:noProof/>
        </w:rPr>
        <w:br/>
        <w:t>pursuant to Article 294(7), point (c), of the Treaty on the Functioning of the European Union,</w:t>
      </w:r>
      <w:r w:rsidRPr="00FF6489">
        <w:rPr>
          <w:noProof/>
        </w:rPr>
        <w:br/>
        <w:t>on the European Parliament's amendments</w:t>
      </w:r>
      <w:r w:rsidRPr="00FF6489">
        <w:rPr>
          <w:noProof/>
        </w:rPr>
        <w:br/>
        <w:t>to the Council's position</w:t>
      </w:r>
    </w:p>
    <w:p w14:paraId="49C23384" w14:textId="1A7DC7F0" w:rsidR="0080666E" w:rsidRPr="00320D66" w:rsidRDefault="00FF6489" w:rsidP="00FF6489">
      <w:pPr>
        <w:pStyle w:val="Titreobjet"/>
        <w:rPr>
          <w:noProof/>
        </w:rPr>
      </w:pPr>
      <w:r w:rsidRPr="00FF6489">
        <w:rPr>
          <w:noProof/>
        </w:rPr>
        <w:t>regarding the proposal for a Regulation OF THE EUROPEAN PARLIAMENT AND OF THE COUNCIL</w:t>
      </w:r>
      <w:r w:rsidRPr="00FF6489">
        <w:rPr>
          <w:noProof/>
        </w:rPr>
        <w:br/>
      </w:r>
      <w:r w:rsidRPr="00FF6489">
        <w:rPr>
          <w:noProof/>
        </w:rPr>
        <w:br/>
        <w:t>on a temporary derogation from certain provisions of Directive 2002/58/EC as regards the use of technologies by providers of number-independent interpersonal communications services for the processing of personal and other data for the purpose of combating online child sexual abuse</w:t>
      </w:r>
    </w:p>
    <w:p w14:paraId="3A3F2353" w14:textId="77777777" w:rsidR="0080666E" w:rsidRPr="00320D66" w:rsidRDefault="0080666E" w:rsidP="00F006B9">
      <w:pPr>
        <w:pStyle w:val="ManualHeading1"/>
        <w:rPr>
          <w:noProof/>
        </w:rPr>
      </w:pPr>
      <w:r w:rsidRPr="00320D66">
        <w:rPr>
          <w:noProof/>
        </w:rPr>
        <w:t>1.</w:t>
      </w:r>
      <w:r w:rsidRPr="00320D66">
        <w:rPr>
          <w:noProof/>
        </w:rPr>
        <w:tab/>
        <w:t>Introduction</w:t>
      </w:r>
    </w:p>
    <w:p w14:paraId="233AEEDC" w14:textId="3A5F24DB" w:rsidR="0080666E" w:rsidRPr="00320D66" w:rsidRDefault="0080666E" w:rsidP="00F006B9">
      <w:pPr>
        <w:rPr>
          <w:noProof/>
        </w:rPr>
      </w:pPr>
      <w:r w:rsidRPr="00320D66">
        <w:rPr>
          <w:noProof/>
        </w:rPr>
        <w:t>Article 294(7)</w:t>
      </w:r>
      <w:r>
        <w:rPr>
          <w:noProof/>
        </w:rPr>
        <w:t xml:space="preserve">, point </w:t>
      </w:r>
      <w:r w:rsidRPr="00320D66">
        <w:rPr>
          <w:noProof/>
        </w:rPr>
        <w:t>(c)</w:t>
      </w:r>
      <w:r>
        <w:rPr>
          <w:noProof/>
        </w:rPr>
        <w:t>,</w:t>
      </w:r>
      <w:r w:rsidRPr="00320D66">
        <w:rPr>
          <w:noProof/>
        </w:rPr>
        <w:t xml:space="preserve"> of the Treaty on the Functioning of the European Union provides that the Commission is to deliver an opinion on the amendments proposed by the European Parliament </w:t>
      </w:r>
      <w:r w:rsidR="00BA4386">
        <w:rPr>
          <w:noProof/>
        </w:rPr>
        <w:t>in</w:t>
      </w:r>
      <w:r w:rsidRPr="00320D66">
        <w:rPr>
          <w:noProof/>
        </w:rPr>
        <w:t xml:space="preserve"> second reading. The Commission sets out its opinion below on the </w:t>
      </w:r>
      <w:r w:rsidR="006B17EB" w:rsidRPr="00C33A7B">
        <w:rPr>
          <w:noProof/>
        </w:rPr>
        <w:t xml:space="preserve">three </w:t>
      </w:r>
      <w:r w:rsidRPr="00320D66">
        <w:rPr>
          <w:noProof/>
        </w:rPr>
        <w:t>amendment</w:t>
      </w:r>
      <w:r w:rsidRPr="00EA5650">
        <w:rPr>
          <w:noProof/>
        </w:rPr>
        <w:t>s</w:t>
      </w:r>
      <w:r w:rsidRPr="00320D66">
        <w:rPr>
          <w:noProof/>
        </w:rPr>
        <w:t xml:space="preserve"> proposed by the </w:t>
      </w:r>
      <w:r w:rsidRPr="00761116">
        <w:rPr>
          <w:noProof/>
        </w:rPr>
        <w:t>Parliament</w:t>
      </w:r>
      <w:r w:rsidRPr="00320D66">
        <w:rPr>
          <w:noProof/>
        </w:rPr>
        <w:t xml:space="preserve">. </w:t>
      </w:r>
    </w:p>
    <w:p w14:paraId="26EA413E" w14:textId="77777777" w:rsidR="0080666E" w:rsidRPr="00320D66" w:rsidRDefault="0080666E" w:rsidP="00F006B9">
      <w:pPr>
        <w:pStyle w:val="ManualHeading1"/>
        <w:rPr>
          <w:noProof/>
        </w:rPr>
      </w:pPr>
      <w:r w:rsidRPr="00320D66">
        <w:rPr>
          <w:noProof/>
        </w:rPr>
        <w:t>2.</w:t>
      </w:r>
      <w:r w:rsidRPr="00320D66">
        <w:rPr>
          <w:noProof/>
        </w:rPr>
        <w:tab/>
        <w:t>Background</w:t>
      </w:r>
    </w:p>
    <w:p w14:paraId="03D5C0C4" w14:textId="7CE2D528" w:rsidR="0080666E" w:rsidRPr="00C33A7B" w:rsidRDefault="0080666E" w:rsidP="0080666E">
      <w:pPr>
        <w:rPr>
          <w:noProof/>
        </w:rPr>
      </w:pPr>
      <w:r w:rsidRPr="00C33A7B">
        <w:rPr>
          <w:noProof/>
        </w:rPr>
        <w:t xml:space="preserve">Regulation (EU) 2021/1232 (hereinafter the ‘Interim Regulation’) </w:t>
      </w:r>
      <w:r w:rsidRPr="0080666E">
        <w:rPr>
          <w:noProof/>
        </w:rPr>
        <w:t xml:space="preserve">introduced a temporary </w:t>
      </w:r>
      <w:r w:rsidR="00227459">
        <w:rPr>
          <w:noProof/>
        </w:rPr>
        <w:t>derogation</w:t>
      </w:r>
      <w:r w:rsidRPr="0080666E">
        <w:rPr>
          <w:noProof/>
        </w:rPr>
        <w:t xml:space="preserve"> from certain obligations laid down in Directive 2002/58/EC</w:t>
      </w:r>
      <w:r w:rsidRPr="0080666E">
        <w:rPr>
          <w:rStyle w:val="FootnoteReference"/>
          <w:noProof/>
        </w:rPr>
        <w:footnoteReference w:id="1"/>
      </w:r>
      <w:r w:rsidRPr="0080666E">
        <w:rPr>
          <w:noProof/>
        </w:rPr>
        <w:t xml:space="preserve">.  It allowed providers of certain number-independent interpersonal communications services, on a voluntary basis and subject to strict safeguards, to continue using technologies for the processing of personal and other data in order to detect, report and remove </w:t>
      </w:r>
      <w:r w:rsidR="00E83D8B">
        <w:rPr>
          <w:noProof/>
        </w:rPr>
        <w:t xml:space="preserve">online child sexual abuse from their services. </w:t>
      </w:r>
    </w:p>
    <w:p w14:paraId="7FE8D4BC" w14:textId="54E616CD" w:rsidR="00E83D8B" w:rsidRPr="0080666E" w:rsidRDefault="00FD248D" w:rsidP="0080666E">
      <w:pPr>
        <w:rPr>
          <w:noProof/>
        </w:rPr>
      </w:pPr>
      <w:r>
        <w:rPr>
          <w:noProof/>
        </w:rPr>
        <w:t>In December 2025, t</w:t>
      </w:r>
      <w:r w:rsidR="0080666E" w:rsidRPr="00C33A7B">
        <w:rPr>
          <w:noProof/>
        </w:rPr>
        <w:t>he Commission adopted a proposal for a limited extension of the Interim Regulation</w:t>
      </w:r>
      <w:r w:rsidR="00E83D8B">
        <w:rPr>
          <w:noProof/>
        </w:rPr>
        <w:t xml:space="preserve"> until 3 April 2028</w:t>
      </w:r>
      <w:r w:rsidR="0080666E" w:rsidRPr="00C33A7B">
        <w:rPr>
          <w:noProof/>
        </w:rPr>
        <w:t xml:space="preserve">, </w:t>
      </w:r>
      <w:r w:rsidR="00EA0F3D" w:rsidRPr="00EA0F3D">
        <w:rPr>
          <w:noProof/>
        </w:rPr>
        <w:t>with a view to avoiding legal uncertainty for service providers and maintaining a legal framework enabling voluntary activities</w:t>
      </w:r>
      <w:r w:rsidR="007C14FE">
        <w:rPr>
          <w:noProof/>
        </w:rPr>
        <w:t xml:space="preserve"> </w:t>
      </w:r>
      <w:r w:rsidR="007C14FE" w:rsidRPr="007C14FE">
        <w:rPr>
          <w:noProof/>
        </w:rPr>
        <w:t>to detect, report and remove online child sexual abuse from their services</w:t>
      </w:r>
      <w:r w:rsidR="00EA0F3D" w:rsidRPr="00EA0F3D">
        <w:rPr>
          <w:noProof/>
        </w:rPr>
        <w:t xml:space="preserve"> to continue in compliance with Union law</w:t>
      </w:r>
      <w:r w:rsidR="00E83D8B">
        <w:rPr>
          <w:noProof/>
        </w:rPr>
        <w:t xml:space="preserve"> </w:t>
      </w:r>
      <w:r w:rsidR="00E83D8B" w:rsidRPr="00C33A7B">
        <w:rPr>
          <w:noProof/>
        </w:rPr>
        <w:t>while negotiations on the long-term Regulation to prevent and combat child sexual abuse online</w:t>
      </w:r>
      <w:r w:rsidR="00E83D8B" w:rsidRPr="0080666E">
        <w:rPr>
          <w:rStyle w:val="FootnoteReference"/>
          <w:noProof/>
        </w:rPr>
        <w:footnoteReference w:id="2"/>
      </w:r>
      <w:r w:rsidR="00E83D8B">
        <w:rPr>
          <w:noProof/>
        </w:rPr>
        <w:t xml:space="preserve"> </w:t>
      </w:r>
      <w:r w:rsidR="00E83D8B" w:rsidRPr="00C33A7B">
        <w:rPr>
          <w:noProof/>
        </w:rPr>
        <w:t>(hereinafter the ‘long-term Regulation’</w:t>
      </w:r>
      <w:r w:rsidR="00E83D8B">
        <w:rPr>
          <w:noProof/>
        </w:rPr>
        <w:t>)</w:t>
      </w:r>
      <w:r w:rsidR="00E83D8B" w:rsidRPr="00C33A7B">
        <w:rPr>
          <w:noProof/>
        </w:rPr>
        <w:t xml:space="preserve"> </w:t>
      </w:r>
      <w:r w:rsidR="00E83D8B">
        <w:rPr>
          <w:noProof/>
        </w:rPr>
        <w:t>were</w:t>
      </w:r>
      <w:r w:rsidR="00E83D8B" w:rsidRPr="00C33A7B">
        <w:rPr>
          <w:noProof/>
        </w:rPr>
        <w:t xml:space="preserve"> ongoing</w:t>
      </w:r>
      <w:r w:rsidR="00EA0F3D" w:rsidRPr="00EA0F3D">
        <w:rPr>
          <w:noProof/>
        </w:rPr>
        <w:t>.</w:t>
      </w:r>
      <w:r w:rsidR="00EA0F3D">
        <w:rPr>
          <w:noProof/>
        </w:rPr>
        <w:t xml:space="preserve"> </w:t>
      </w:r>
      <w:r w:rsidR="00E83D8B" w:rsidRPr="00C33A7B">
        <w:rPr>
          <w:noProof/>
        </w:rPr>
        <w:t>The Interim Regulation lapsed on 3 April 2026</w:t>
      </w:r>
      <w:r w:rsidR="00E83D8B">
        <w:rPr>
          <w:noProof/>
        </w:rPr>
        <w:t xml:space="preserve">. </w:t>
      </w:r>
      <w:r w:rsidR="0080666E" w:rsidRPr="00C33A7B">
        <w:rPr>
          <w:noProof/>
        </w:rPr>
        <w:t xml:space="preserve">The Council adopted its position </w:t>
      </w:r>
      <w:r w:rsidR="00BA4386">
        <w:rPr>
          <w:noProof/>
        </w:rPr>
        <w:t>in</w:t>
      </w:r>
      <w:r w:rsidR="0080666E" w:rsidRPr="00C33A7B">
        <w:rPr>
          <w:noProof/>
        </w:rPr>
        <w:t xml:space="preserve"> first reading on 2 July 2026. The Commission </w:t>
      </w:r>
      <w:r w:rsidR="007C14FE">
        <w:rPr>
          <w:noProof/>
        </w:rPr>
        <w:t>adopted</w:t>
      </w:r>
      <w:r w:rsidR="007C14FE" w:rsidRPr="00C33A7B">
        <w:rPr>
          <w:noProof/>
        </w:rPr>
        <w:t xml:space="preserve"> </w:t>
      </w:r>
      <w:r w:rsidR="0080666E" w:rsidRPr="00C33A7B">
        <w:rPr>
          <w:noProof/>
        </w:rPr>
        <w:t xml:space="preserve">its </w:t>
      </w:r>
      <w:r w:rsidR="007C14FE">
        <w:rPr>
          <w:noProof/>
        </w:rPr>
        <w:t xml:space="preserve">position on the Council’s position </w:t>
      </w:r>
      <w:r w:rsidR="0080666E" w:rsidRPr="00C33A7B">
        <w:rPr>
          <w:noProof/>
        </w:rPr>
        <w:t xml:space="preserve">pursuant to Article 294(6) of the Treaty on the Function of the European Union on 3 July 2026. </w:t>
      </w:r>
    </w:p>
    <w:p w14:paraId="4B9AB8C5" w14:textId="77777777" w:rsidR="0080666E" w:rsidRPr="0080666E" w:rsidRDefault="0080666E" w:rsidP="00F006B9">
      <w:pPr>
        <w:pStyle w:val="ManualHeading1"/>
        <w:rPr>
          <w:noProof/>
        </w:rPr>
      </w:pPr>
      <w:r w:rsidRPr="0080666E">
        <w:rPr>
          <w:noProof/>
        </w:rPr>
        <w:lastRenderedPageBreak/>
        <w:t>3.</w:t>
      </w:r>
      <w:r w:rsidRPr="0080666E">
        <w:rPr>
          <w:noProof/>
        </w:rPr>
        <w:tab/>
        <w:t xml:space="preserve">Objective of the proposal from the Commission </w:t>
      </w:r>
    </w:p>
    <w:p w14:paraId="09AF28CC" w14:textId="7EAC3417" w:rsidR="0080666E" w:rsidRPr="0080666E" w:rsidRDefault="0080666E" w:rsidP="00F006B9">
      <w:pPr>
        <w:rPr>
          <w:noProof/>
        </w:rPr>
      </w:pPr>
      <w:r w:rsidRPr="002D35EA">
        <w:rPr>
          <w:noProof/>
        </w:rPr>
        <w:t xml:space="preserve">The Commission proposal </w:t>
      </w:r>
      <w:r w:rsidR="004F394A">
        <w:rPr>
          <w:noProof/>
        </w:rPr>
        <w:t xml:space="preserve">is </w:t>
      </w:r>
      <w:r w:rsidR="00527C2C">
        <w:rPr>
          <w:noProof/>
        </w:rPr>
        <w:t>solely</w:t>
      </w:r>
      <w:r w:rsidRPr="002D35EA">
        <w:rPr>
          <w:noProof/>
        </w:rPr>
        <w:t xml:space="preserve"> intended to extend the period of application of the Interim Regulation, without otherwise altering its substance or the safeguards it provide</w:t>
      </w:r>
      <w:r w:rsidR="00E83D8B">
        <w:rPr>
          <w:noProof/>
        </w:rPr>
        <w:t>d</w:t>
      </w:r>
      <w:r w:rsidRPr="002D35EA">
        <w:rPr>
          <w:noProof/>
        </w:rPr>
        <w:t xml:space="preserve">. The proposal </w:t>
      </w:r>
      <w:r w:rsidR="00BA4386">
        <w:rPr>
          <w:noProof/>
        </w:rPr>
        <w:t>ha</w:t>
      </w:r>
      <w:r w:rsidR="004F394A">
        <w:rPr>
          <w:noProof/>
        </w:rPr>
        <w:t>s</w:t>
      </w:r>
      <w:r w:rsidR="00BA4386">
        <w:rPr>
          <w:noProof/>
        </w:rPr>
        <w:t xml:space="preserve"> as an objective to</w:t>
      </w:r>
      <w:r w:rsidRPr="002D35EA">
        <w:rPr>
          <w:noProof/>
        </w:rPr>
        <w:t xml:space="preserve"> prevent</w:t>
      </w:r>
      <w:r w:rsidR="002C2138">
        <w:rPr>
          <w:noProof/>
        </w:rPr>
        <w:t xml:space="preserve"> l</w:t>
      </w:r>
      <w:r w:rsidRPr="002D35EA">
        <w:rPr>
          <w:noProof/>
        </w:rPr>
        <w:t>egal uncertainty for service providers and ensur</w:t>
      </w:r>
      <w:r w:rsidR="007C14FE">
        <w:rPr>
          <w:noProof/>
        </w:rPr>
        <w:t>e</w:t>
      </w:r>
      <w:r w:rsidRPr="002D35EA">
        <w:rPr>
          <w:noProof/>
        </w:rPr>
        <w:t xml:space="preserve"> the continuity of the temporary legal framework, allowing providers to continue, on a voluntary basis and subject to strict conditions, activities </w:t>
      </w:r>
      <w:r w:rsidR="002C2138">
        <w:rPr>
          <w:noProof/>
        </w:rPr>
        <w:t xml:space="preserve">to detect, report and remove </w:t>
      </w:r>
      <w:r w:rsidR="00E83D8B">
        <w:rPr>
          <w:noProof/>
        </w:rPr>
        <w:t>online child sexual abuse</w:t>
      </w:r>
      <w:r w:rsidR="002C2138">
        <w:rPr>
          <w:noProof/>
        </w:rPr>
        <w:t xml:space="preserve">, </w:t>
      </w:r>
      <w:r w:rsidRPr="002D35EA">
        <w:rPr>
          <w:noProof/>
        </w:rPr>
        <w:t>pending the adoption and application of the long-term Regulation.</w:t>
      </w:r>
    </w:p>
    <w:p w14:paraId="1FBCDBAD" w14:textId="77777777" w:rsidR="0080666E" w:rsidRPr="00320D66" w:rsidRDefault="0080666E" w:rsidP="005909C5">
      <w:pPr>
        <w:pStyle w:val="ManualHeading1"/>
        <w:rPr>
          <w:noProof/>
        </w:rPr>
      </w:pPr>
      <w:r w:rsidRPr="00320D66">
        <w:rPr>
          <w:noProof/>
        </w:rPr>
        <w:t>4.</w:t>
      </w:r>
      <w:r w:rsidRPr="00320D66">
        <w:rPr>
          <w:noProof/>
        </w:rPr>
        <w:tab/>
        <w:t>Opinion of the Commission on the amendment</w:t>
      </w:r>
      <w:r w:rsidRPr="00EA5650">
        <w:rPr>
          <w:noProof/>
        </w:rPr>
        <w:t>s</w:t>
      </w:r>
      <w:r w:rsidRPr="00320D66">
        <w:rPr>
          <w:noProof/>
        </w:rPr>
        <w:t xml:space="preserve"> </w:t>
      </w:r>
      <w:r w:rsidRPr="00761116">
        <w:rPr>
          <w:noProof/>
        </w:rPr>
        <w:t>proposed</w:t>
      </w:r>
      <w:r>
        <w:rPr>
          <w:noProof/>
        </w:rPr>
        <w:t xml:space="preserve"> </w:t>
      </w:r>
      <w:r w:rsidRPr="00320D66">
        <w:rPr>
          <w:noProof/>
        </w:rPr>
        <w:t>by the European Parliament</w:t>
      </w:r>
    </w:p>
    <w:p w14:paraId="7693E44A" w14:textId="23592570" w:rsidR="00F45297" w:rsidRDefault="00F45297" w:rsidP="00F45297">
      <w:pPr>
        <w:rPr>
          <w:noProof/>
        </w:rPr>
      </w:pPr>
      <w:r>
        <w:rPr>
          <w:noProof/>
        </w:rPr>
        <w:t xml:space="preserve">The three amendments </w:t>
      </w:r>
      <w:r w:rsidR="004F6F40">
        <w:rPr>
          <w:noProof/>
        </w:rPr>
        <w:t xml:space="preserve">proposed by the European Parliament </w:t>
      </w:r>
      <w:r>
        <w:rPr>
          <w:noProof/>
        </w:rPr>
        <w:t xml:space="preserve">exclude from the scope of the Regulation number-independent interpersonal communications to which end-to-end encryption is, has been or will be applied. </w:t>
      </w:r>
    </w:p>
    <w:p w14:paraId="2B442CDA" w14:textId="00552383" w:rsidR="005B0D97" w:rsidRDefault="00E61A3C" w:rsidP="005B0D97">
      <w:pPr>
        <w:rPr>
          <w:noProof/>
        </w:rPr>
      </w:pPr>
      <w:r w:rsidRPr="00E61A3C">
        <w:rPr>
          <w:noProof/>
        </w:rPr>
        <w:t xml:space="preserve">The Commission </w:t>
      </w:r>
      <w:r w:rsidR="007F478E">
        <w:rPr>
          <w:noProof/>
        </w:rPr>
        <w:t xml:space="preserve">can support </w:t>
      </w:r>
      <w:r w:rsidRPr="00E61A3C">
        <w:rPr>
          <w:noProof/>
        </w:rPr>
        <w:t>the adoption of the Regulation providing for a temporary derogation from certain provisions of Directive 2002/58/EC as amended by the European Parliament</w:t>
      </w:r>
      <w:r w:rsidR="007F478E">
        <w:rPr>
          <w:noProof/>
        </w:rPr>
        <w:t xml:space="preserve"> in its vote on 9 July 2026</w:t>
      </w:r>
      <w:r w:rsidRPr="00E61A3C">
        <w:rPr>
          <w:noProof/>
        </w:rPr>
        <w:t xml:space="preserve">, as an exceptional </w:t>
      </w:r>
      <w:r w:rsidRPr="001C66AD">
        <w:rPr>
          <w:noProof/>
        </w:rPr>
        <w:t xml:space="preserve">and strictly temporary measure justified </w:t>
      </w:r>
      <w:r w:rsidR="00B81344" w:rsidRPr="008C02FC">
        <w:rPr>
          <w:noProof/>
        </w:rPr>
        <w:t xml:space="preserve">by the urgent need to </w:t>
      </w:r>
      <w:r w:rsidR="001C66AD" w:rsidRPr="008C02FC">
        <w:rPr>
          <w:noProof/>
        </w:rPr>
        <w:t>restore</w:t>
      </w:r>
      <w:r w:rsidR="008E1277">
        <w:rPr>
          <w:noProof/>
        </w:rPr>
        <w:t xml:space="preserve">, </w:t>
      </w:r>
      <w:r w:rsidR="008E1277" w:rsidRPr="008B6F7E">
        <w:rPr>
          <w:noProof/>
        </w:rPr>
        <w:t>without retroactive effect</w:t>
      </w:r>
      <w:r w:rsidR="008E1277">
        <w:rPr>
          <w:noProof/>
        </w:rPr>
        <w:t>,</w:t>
      </w:r>
      <w:r w:rsidR="001C66AD" w:rsidRPr="008C02FC">
        <w:rPr>
          <w:noProof/>
        </w:rPr>
        <w:t xml:space="preserve"> legal certainty at EU level for the voluntary activities of providers of </w:t>
      </w:r>
      <w:r w:rsidR="001C66AD" w:rsidRPr="001C66AD">
        <w:rPr>
          <w:noProof/>
        </w:rPr>
        <w:t xml:space="preserve">number-independent interpersonal communications services to detect, report and remove online child sexual abuse from their services. </w:t>
      </w:r>
      <w:r w:rsidR="003540A4">
        <w:rPr>
          <w:noProof/>
        </w:rPr>
        <w:t xml:space="preserve">In view of the limited duration and specific purpose of the Interim Regulation, </w:t>
      </w:r>
      <w:r w:rsidR="00BA4386" w:rsidRPr="00BA4386">
        <w:rPr>
          <w:noProof/>
        </w:rPr>
        <w:t xml:space="preserve">although </w:t>
      </w:r>
      <w:r w:rsidR="00A46F40">
        <w:rPr>
          <w:noProof/>
        </w:rPr>
        <w:t xml:space="preserve">the </w:t>
      </w:r>
      <w:r w:rsidR="00A46F40" w:rsidRPr="00A46F40">
        <w:rPr>
          <w:noProof/>
        </w:rPr>
        <w:t xml:space="preserve">scope of the exclusion </w:t>
      </w:r>
      <w:r w:rsidR="00BA4386" w:rsidRPr="00BA4386">
        <w:rPr>
          <w:noProof/>
        </w:rPr>
        <w:t xml:space="preserve">would benefit from more precision and clarity </w:t>
      </w:r>
      <w:r w:rsidR="007F478E">
        <w:rPr>
          <w:noProof/>
        </w:rPr>
        <w:t>to ensure an effective protection of children from both sexual violence and secondary victimisation</w:t>
      </w:r>
      <w:r w:rsidR="00A46F40">
        <w:rPr>
          <w:noProof/>
        </w:rPr>
        <w:t xml:space="preserve">, </w:t>
      </w:r>
      <w:r w:rsidR="00A46F40" w:rsidRPr="00A46F40">
        <w:rPr>
          <w:noProof/>
        </w:rPr>
        <w:t>the amendments adopted by the European Parliament are considered acceptable</w:t>
      </w:r>
      <w:r w:rsidR="00A46F40">
        <w:rPr>
          <w:noProof/>
        </w:rPr>
        <w:t xml:space="preserve"> and the Commission can therefore give a positive opinion on them</w:t>
      </w:r>
      <w:r w:rsidR="003540A4">
        <w:rPr>
          <w:noProof/>
        </w:rPr>
        <w:t>.</w:t>
      </w:r>
    </w:p>
    <w:p w14:paraId="72B4F62F" w14:textId="08012A66" w:rsidR="00F45297" w:rsidRDefault="00E83D8B" w:rsidP="005B0D97">
      <w:pPr>
        <w:rPr>
          <w:noProof/>
        </w:rPr>
      </w:pPr>
      <w:r>
        <w:rPr>
          <w:noProof/>
        </w:rPr>
        <w:t>Th</w:t>
      </w:r>
      <w:r w:rsidR="00442845">
        <w:rPr>
          <w:noProof/>
        </w:rPr>
        <w:t xml:space="preserve">is </w:t>
      </w:r>
      <w:r>
        <w:rPr>
          <w:noProof/>
        </w:rPr>
        <w:t xml:space="preserve">agreement </w:t>
      </w:r>
      <w:r w:rsidR="005B0D97">
        <w:rPr>
          <w:noProof/>
        </w:rPr>
        <w:t xml:space="preserve">is without prejudice to the </w:t>
      </w:r>
      <w:r>
        <w:rPr>
          <w:noProof/>
        </w:rPr>
        <w:t xml:space="preserve">position of the Commission on the ongoing negotiations on the </w:t>
      </w:r>
      <w:r w:rsidR="00D648D6">
        <w:rPr>
          <w:noProof/>
        </w:rPr>
        <w:t>long-term</w:t>
      </w:r>
      <w:r w:rsidR="00D648D6" w:rsidRPr="00D648D6">
        <w:rPr>
          <w:noProof/>
        </w:rPr>
        <w:t xml:space="preserve"> Regulation</w:t>
      </w:r>
      <w:r w:rsidR="0002648C">
        <w:rPr>
          <w:noProof/>
        </w:rPr>
        <w:t>, wh</w:t>
      </w:r>
      <w:r w:rsidR="007F478E">
        <w:rPr>
          <w:noProof/>
        </w:rPr>
        <w:t>ich need to provide legal clarity and certainty for the long term</w:t>
      </w:r>
      <w:r w:rsidR="005B0D97">
        <w:rPr>
          <w:noProof/>
        </w:rPr>
        <w:t xml:space="preserve">. </w:t>
      </w:r>
      <w:r w:rsidR="0002648C">
        <w:rPr>
          <w:noProof/>
        </w:rPr>
        <w:t xml:space="preserve">The Commission </w:t>
      </w:r>
      <w:r w:rsidR="002B7494">
        <w:rPr>
          <w:noProof/>
        </w:rPr>
        <w:t xml:space="preserve">reiterates the need to reach swift agreement </w:t>
      </w:r>
      <w:r w:rsidR="007F478E">
        <w:rPr>
          <w:noProof/>
        </w:rPr>
        <w:t xml:space="preserve">on a long-term </w:t>
      </w:r>
      <w:r w:rsidR="00211CA9">
        <w:rPr>
          <w:noProof/>
        </w:rPr>
        <w:t>Regulation to ensure</w:t>
      </w:r>
      <w:r w:rsidR="002B7494">
        <w:rPr>
          <w:noProof/>
        </w:rPr>
        <w:t xml:space="preserve"> effective protect</w:t>
      </w:r>
      <w:r w:rsidR="00211CA9">
        <w:rPr>
          <w:noProof/>
        </w:rPr>
        <w:t>ion of</w:t>
      </w:r>
      <w:r w:rsidR="002B7494">
        <w:rPr>
          <w:noProof/>
        </w:rPr>
        <w:t xml:space="preserve"> children.</w:t>
      </w:r>
    </w:p>
    <w:p w14:paraId="0576657C" w14:textId="77777777" w:rsidR="00A86196" w:rsidRDefault="00A86196" w:rsidP="00F006B9">
      <w:pPr>
        <w:rPr>
          <w:noProof/>
        </w:rPr>
      </w:pPr>
    </w:p>
    <w:p w14:paraId="6C0DA987" w14:textId="4EC56311" w:rsidR="0080666E" w:rsidRPr="00320D66" w:rsidRDefault="0080666E" w:rsidP="00F006B9">
      <w:pPr>
        <w:rPr>
          <w:noProof/>
        </w:rPr>
      </w:pPr>
    </w:p>
    <w:sectPr w:rsidR="0080666E" w:rsidRPr="00320D66" w:rsidSect="00E1253C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941A2" w14:textId="77777777" w:rsidR="00050ECD" w:rsidRDefault="00050ECD" w:rsidP="0080666E">
      <w:pPr>
        <w:spacing w:before="0" w:after="0"/>
      </w:pPr>
      <w:r>
        <w:separator/>
      </w:r>
    </w:p>
  </w:endnote>
  <w:endnote w:type="continuationSeparator" w:id="0">
    <w:p w14:paraId="6CD39823" w14:textId="77777777" w:rsidR="00050ECD" w:rsidRDefault="00050ECD" w:rsidP="0080666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54212" w14:textId="1D272152" w:rsidR="00E1253C" w:rsidRPr="00E1253C" w:rsidRDefault="00E1253C" w:rsidP="00E1253C">
    <w:pPr>
      <w:pStyle w:val="Footer"/>
      <w:rPr>
        <w:rFonts w:ascii="Arial" w:hAnsi="Arial" w:cs="Arial"/>
        <w:b/>
        <w:sz w:val="48"/>
      </w:rPr>
    </w:pPr>
    <w:r w:rsidRPr="00E1253C">
      <w:rPr>
        <w:rFonts w:ascii="Arial" w:hAnsi="Arial" w:cs="Arial"/>
        <w:b/>
        <w:sz w:val="48"/>
      </w:rPr>
      <w:t>EN</w:t>
    </w:r>
    <w:r w:rsidRPr="00E1253C">
      <w:rPr>
        <w:rFonts w:ascii="Arial" w:hAnsi="Arial" w:cs="Arial"/>
        <w:b/>
        <w:sz w:val="48"/>
      </w:rPr>
      <w:tab/>
    </w:r>
    <w:r w:rsidRPr="00E1253C">
      <w:rPr>
        <w:rFonts w:ascii="Arial" w:hAnsi="Arial" w:cs="Arial"/>
        <w:b/>
        <w:sz w:val="48"/>
      </w:rPr>
      <w:tab/>
    </w:r>
    <w:r w:rsidRPr="00E1253C">
      <w:tab/>
    </w:r>
    <w:r w:rsidRPr="00E1253C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B79DA" w14:textId="63B36FF2" w:rsidR="00E1253C" w:rsidRPr="00E1253C" w:rsidRDefault="00E1253C" w:rsidP="00E1253C">
    <w:pPr>
      <w:pStyle w:val="Footer"/>
      <w:rPr>
        <w:rFonts w:ascii="Arial" w:hAnsi="Arial" w:cs="Arial"/>
        <w:b/>
        <w:sz w:val="48"/>
      </w:rPr>
    </w:pPr>
    <w:r w:rsidRPr="00E1253C">
      <w:rPr>
        <w:rFonts w:ascii="Arial" w:hAnsi="Arial" w:cs="Arial"/>
        <w:b/>
        <w:sz w:val="48"/>
      </w:rPr>
      <w:t>EN</w:t>
    </w:r>
    <w:r w:rsidRPr="00E1253C">
      <w:rPr>
        <w:rFonts w:ascii="Arial" w:hAnsi="Arial" w:cs="Arial"/>
        <w:b/>
        <w:sz w:val="48"/>
      </w:rPr>
      <w:tab/>
    </w:r>
    <w:r w:rsidRPr="00E1253C">
      <w:rPr>
        <w:rFonts w:ascii="Arial" w:hAnsi="Arial" w:cs="Arial"/>
        <w:b/>
        <w:sz w:val="48"/>
      </w:rPr>
      <w:tab/>
    </w:r>
    <w:r w:rsidRPr="00E1253C">
      <w:tab/>
    </w:r>
    <w:r w:rsidRPr="00E1253C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110B7" w14:textId="77777777" w:rsidR="00E1253C" w:rsidRDefault="00E1253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C75CC" w14:textId="4F5C1318" w:rsidR="00E1253C" w:rsidRPr="00E1253C" w:rsidRDefault="00E1253C" w:rsidP="00E1253C">
    <w:pPr>
      <w:pStyle w:val="Footer"/>
      <w:rPr>
        <w:rFonts w:ascii="Arial" w:hAnsi="Arial" w:cs="Arial"/>
        <w:b/>
        <w:sz w:val="48"/>
      </w:rPr>
    </w:pPr>
    <w:r w:rsidRPr="00E1253C">
      <w:rPr>
        <w:rFonts w:ascii="Arial" w:hAnsi="Arial" w:cs="Arial"/>
        <w:b/>
        <w:sz w:val="48"/>
      </w:rPr>
      <w:t>EN</w:t>
    </w:r>
    <w:r w:rsidRPr="00E1253C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A86196">
      <w:rPr>
        <w:noProof/>
      </w:rPr>
      <w:t>2</w:t>
    </w:r>
    <w:r>
      <w:fldChar w:fldCharType="end"/>
    </w:r>
    <w:r>
      <w:tab/>
    </w:r>
    <w:r w:rsidRPr="00E1253C">
      <w:tab/>
    </w:r>
    <w:r w:rsidRPr="00E1253C">
      <w:rPr>
        <w:rFonts w:ascii="Arial" w:hAnsi="Arial" w:cs="Arial"/>
        <w:b/>
        <w:sz w:val="48"/>
      </w:rPr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EEB" w14:textId="77777777" w:rsidR="00E1253C" w:rsidRDefault="00E1253C" w:rsidP="00E12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EB011B" w14:textId="77777777" w:rsidR="00050ECD" w:rsidRDefault="00050ECD" w:rsidP="0080666E">
      <w:pPr>
        <w:spacing w:before="0" w:after="0"/>
      </w:pPr>
      <w:r>
        <w:separator/>
      </w:r>
    </w:p>
  </w:footnote>
  <w:footnote w:type="continuationSeparator" w:id="0">
    <w:p w14:paraId="4BC8EF87" w14:textId="77777777" w:rsidR="00050ECD" w:rsidRDefault="00050ECD" w:rsidP="0080666E">
      <w:pPr>
        <w:spacing w:before="0" w:after="0"/>
      </w:pPr>
      <w:r>
        <w:continuationSeparator/>
      </w:r>
    </w:p>
  </w:footnote>
  <w:footnote w:id="1">
    <w:p w14:paraId="3D56FEE1" w14:textId="6A6D49B0" w:rsidR="0080666E" w:rsidRPr="0080666E" w:rsidRDefault="0080666E">
      <w:pPr>
        <w:pStyle w:val="FootnoteText"/>
      </w:pPr>
      <w:r w:rsidRPr="002D35EA">
        <w:rPr>
          <w:rStyle w:val="FootnoteReference"/>
        </w:rPr>
        <w:footnoteRef/>
      </w:r>
      <w:r w:rsidR="002D35EA">
        <w:tab/>
      </w:r>
      <w:r w:rsidRPr="0080666E">
        <w:t xml:space="preserve">Directive 2002/58/EC of the European Parliament and of the Council of 12 July 2002 concerning the </w:t>
      </w:r>
      <w:r>
        <w:t>p</w:t>
      </w:r>
      <w:r w:rsidRPr="0080666E">
        <w:t>rocessing of personal data and the protection of privacy in the electronic communications sector (Directive on privacy and electronic communications) (OJ L 201, 31.7.2002, p. 37).</w:t>
      </w:r>
    </w:p>
  </w:footnote>
  <w:footnote w:id="2">
    <w:p w14:paraId="4B37F797" w14:textId="77777777" w:rsidR="00E83D8B" w:rsidRPr="0080666E" w:rsidRDefault="00E83D8B" w:rsidP="00E83D8B">
      <w:pPr>
        <w:pStyle w:val="FootnoteText"/>
        <w:rPr>
          <w:lang w:val="en-IE"/>
        </w:rPr>
      </w:pPr>
      <w:r w:rsidRPr="002D35EA">
        <w:rPr>
          <w:rStyle w:val="FootnoteReference"/>
        </w:rPr>
        <w:footnoteRef/>
      </w:r>
      <w:r>
        <w:tab/>
        <w:t>Proposal for a Regulation of the European Parliament and of the Council laying down rules to prevent and combat child sexual abuse, COM/2022/209 final.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8FB79" w14:textId="77777777" w:rsidR="00E1253C" w:rsidRDefault="00E125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6BAF6" w14:textId="77777777" w:rsidR="00E1253C" w:rsidRDefault="00E125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3D4622C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3CFE5EA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E7FC6B6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A732CDB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BB3EC7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DFB480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8E4C89F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296A6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9"/>
  </w:num>
  <w:num w:numId="10">
    <w:abstractNumId w:val="12"/>
  </w:num>
  <w:num w:numId="11">
    <w:abstractNumId w:val="21"/>
  </w:num>
  <w:num w:numId="12">
    <w:abstractNumId w:val="11"/>
  </w:num>
  <w:num w:numId="13">
    <w:abstractNumId w:val="13"/>
  </w:num>
  <w:num w:numId="14">
    <w:abstractNumId w:val="14"/>
  </w:num>
  <w:num w:numId="15">
    <w:abstractNumId w:val="9"/>
  </w:num>
  <w:num w:numId="16">
    <w:abstractNumId w:val="20"/>
  </w:num>
  <w:num w:numId="17">
    <w:abstractNumId w:val="8"/>
  </w:num>
  <w:num w:numId="18">
    <w:abstractNumId w:val="15"/>
  </w:num>
  <w:num w:numId="19">
    <w:abstractNumId w:val="17"/>
  </w:num>
  <w:num w:numId="20">
    <w:abstractNumId w:val="18"/>
  </w:num>
  <w:num w:numId="21">
    <w:abstractNumId w:val="10"/>
  </w:num>
  <w:num w:numId="22">
    <w:abstractNumId w:val="16"/>
  </w:num>
  <w:num w:numId="23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6-07-15 11:37:44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DEF25A20-5A3A-4DCE-88AB-7A91244F1C9A"/>
    <w:docVar w:name="LW_COVERPAGE_TYPE" w:val="1"/>
    <w:docVar w:name="LW_CreatedUtc" w:val="2026-07-09T15:14:02.3038366Z"/>
    <w:docVar w:name="LW_CROSSREFERENCE" w:val="&lt;UNUSED&gt;"/>
    <w:docVar w:name="LW_DocType" w:val="COM"/>
    <w:docVar w:name="LW_EMISSION" w:val="15.7.2026"/>
    <w:docVar w:name="LW_EMISSION_ISODATE" w:val="2026-07-15"/>
    <w:docVar w:name="LW_EMISSION_LOCATION" w:val="BRX"/>
    <w:docVar w:name="LW_EMISSION_PREFIX" w:val="Brussels, "/>
    <w:docVar w:name="LW_EMISSION_SUFFIX" w:val=" "/>
    <w:docVar w:name="LW_ID_DOCMODEL" w:val="SJ-029_P"/>
    <w:docVar w:name="LW_ID_DOCSTRUCTURE" w:val="COM/PL/CODEC"/>
    <w:docVar w:name="LW_ID_DOCTYPE" w:val="SJ-029_P"/>
    <w:docVar w:name="LW_INTERETEEE.CP" w:val="&lt;UNUSED&gt;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PART_NBR" w:val="1"/>
    <w:docVar w:name="LW_PART_NBR_TOTAL" w:val="1"/>
    <w:docVar w:name="LW_REF.II.NEW.CP" w:val="COD"/>
    <w:docVar w:name="LW_REF.II.NEW.CP_NUMBER" w:val="0429"/>
    <w:docVar w:name="LW_REF.II.NEW.CP_YEAR" w:val="2025"/>
    <w:docVar w:name="LW_REF.INST.NEW" w:val="COM"/>
    <w:docVar w:name="LW_REF.INST.NEW_ADOPTED" w:val="final"/>
    <w:docVar w:name="LW_REF.INST.NEW_TEXT" w:val="(2026) 393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regarding the proposal for a Regulation OF THE EUROPEAN PARLIAMENT AND OF THE COUNCIL_x000b__x000b_on a temporary derogation from certain provisions of Directive 2002/58/EC as regards the use of technologies by providers of number-independent interpersonal communications services for the processing of personal and other data for the purpose of combating online child sexual abuse"/>
    <w:docVar w:name="LW_TYPE.DOC.CP" w:val="OPINION OF THE COMMISSION_x000b__x000b_pursuant to Article 294(7), point (c), of the Treaty on the Functioning of the European Union,_x000b_on the European Parliament's amendments_x000b_to the Council's position"/>
    <w:docVar w:name="LwApiVersions" w:val="LW4CoDe 1.24.5.0; LW 9.2, Build 20251112"/>
  </w:docVars>
  <w:rsids>
    <w:rsidRoot w:val="0080666E"/>
    <w:rsid w:val="0000183E"/>
    <w:rsid w:val="0002648C"/>
    <w:rsid w:val="00027033"/>
    <w:rsid w:val="00030EB0"/>
    <w:rsid w:val="00050ECD"/>
    <w:rsid w:val="00062B0B"/>
    <w:rsid w:val="00096479"/>
    <w:rsid w:val="000A0E11"/>
    <w:rsid w:val="000D0EEA"/>
    <w:rsid w:val="00104018"/>
    <w:rsid w:val="001065F5"/>
    <w:rsid w:val="00122560"/>
    <w:rsid w:val="001238EF"/>
    <w:rsid w:val="00124B68"/>
    <w:rsid w:val="0014289A"/>
    <w:rsid w:val="00161626"/>
    <w:rsid w:val="00185B24"/>
    <w:rsid w:val="00192957"/>
    <w:rsid w:val="00197613"/>
    <w:rsid w:val="001C4EFC"/>
    <w:rsid w:val="001C66AD"/>
    <w:rsid w:val="00204301"/>
    <w:rsid w:val="00211CA9"/>
    <w:rsid w:val="00227459"/>
    <w:rsid w:val="00233DC7"/>
    <w:rsid w:val="00237AE2"/>
    <w:rsid w:val="00247779"/>
    <w:rsid w:val="0025280C"/>
    <w:rsid w:val="002542B6"/>
    <w:rsid w:val="002703C1"/>
    <w:rsid w:val="00272646"/>
    <w:rsid w:val="00285BEE"/>
    <w:rsid w:val="0029533F"/>
    <w:rsid w:val="002A1D94"/>
    <w:rsid w:val="002A79CC"/>
    <w:rsid w:val="002B30AF"/>
    <w:rsid w:val="002B5FB6"/>
    <w:rsid w:val="002B7494"/>
    <w:rsid w:val="002C2138"/>
    <w:rsid w:val="002C2183"/>
    <w:rsid w:val="002C55D4"/>
    <w:rsid w:val="002C76A3"/>
    <w:rsid w:val="002D0041"/>
    <w:rsid w:val="002D29A5"/>
    <w:rsid w:val="002D35EA"/>
    <w:rsid w:val="002E21E8"/>
    <w:rsid w:val="00323E2E"/>
    <w:rsid w:val="0033344A"/>
    <w:rsid w:val="0034305D"/>
    <w:rsid w:val="003540A4"/>
    <w:rsid w:val="00355365"/>
    <w:rsid w:val="00372205"/>
    <w:rsid w:val="00376FAB"/>
    <w:rsid w:val="003D6760"/>
    <w:rsid w:val="00406946"/>
    <w:rsid w:val="0042648E"/>
    <w:rsid w:val="00442845"/>
    <w:rsid w:val="004754BA"/>
    <w:rsid w:val="004758E3"/>
    <w:rsid w:val="004936D2"/>
    <w:rsid w:val="004A515B"/>
    <w:rsid w:val="004F394A"/>
    <w:rsid w:val="004F6F40"/>
    <w:rsid w:val="00501733"/>
    <w:rsid w:val="00527C2C"/>
    <w:rsid w:val="005544FA"/>
    <w:rsid w:val="00567170"/>
    <w:rsid w:val="005909C5"/>
    <w:rsid w:val="005923BA"/>
    <w:rsid w:val="005B0D97"/>
    <w:rsid w:val="005B1EB6"/>
    <w:rsid w:val="005D1F90"/>
    <w:rsid w:val="0064339D"/>
    <w:rsid w:val="00654084"/>
    <w:rsid w:val="00654641"/>
    <w:rsid w:val="006664B9"/>
    <w:rsid w:val="0067584D"/>
    <w:rsid w:val="006801A8"/>
    <w:rsid w:val="0069030D"/>
    <w:rsid w:val="006B17EB"/>
    <w:rsid w:val="006B59BD"/>
    <w:rsid w:val="006C41AE"/>
    <w:rsid w:val="007018B2"/>
    <w:rsid w:val="00707C49"/>
    <w:rsid w:val="00712B35"/>
    <w:rsid w:val="00727109"/>
    <w:rsid w:val="0076385B"/>
    <w:rsid w:val="00773331"/>
    <w:rsid w:val="007932EF"/>
    <w:rsid w:val="007C14FE"/>
    <w:rsid w:val="007E05B0"/>
    <w:rsid w:val="007F478E"/>
    <w:rsid w:val="0080666E"/>
    <w:rsid w:val="00860FD6"/>
    <w:rsid w:val="00874D22"/>
    <w:rsid w:val="0088481B"/>
    <w:rsid w:val="0089741D"/>
    <w:rsid w:val="008A2914"/>
    <w:rsid w:val="008C02FC"/>
    <w:rsid w:val="008C7811"/>
    <w:rsid w:val="008E1277"/>
    <w:rsid w:val="008E4D8E"/>
    <w:rsid w:val="008F2848"/>
    <w:rsid w:val="0090538C"/>
    <w:rsid w:val="00912429"/>
    <w:rsid w:val="00933495"/>
    <w:rsid w:val="00940EAE"/>
    <w:rsid w:val="00946327"/>
    <w:rsid w:val="00956F8F"/>
    <w:rsid w:val="009A06F9"/>
    <w:rsid w:val="009D6E0E"/>
    <w:rsid w:val="009D7A53"/>
    <w:rsid w:val="009E6045"/>
    <w:rsid w:val="00A14F67"/>
    <w:rsid w:val="00A20918"/>
    <w:rsid w:val="00A24BB0"/>
    <w:rsid w:val="00A332D1"/>
    <w:rsid w:val="00A35D53"/>
    <w:rsid w:val="00A46F40"/>
    <w:rsid w:val="00A54DAB"/>
    <w:rsid w:val="00A65B65"/>
    <w:rsid w:val="00A86196"/>
    <w:rsid w:val="00AA548F"/>
    <w:rsid w:val="00B007BD"/>
    <w:rsid w:val="00B02644"/>
    <w:rsid w:val="00B607F3"/>
    <w:rsid w:val="00B81344"/>
    <w:rsid w:val="00B8747C"/>
    <w:rsid w:val="00B950A5"/>
    <w:rsid w:val="00BA4386"/>
    <w:rsid w:val="00BC3984"/>
    <w:rsid w:val="00BD63AA"/>
    <w:rsid w:val="00BD662C"/>
    <w:rsid w:val="00C12301"/>
    <w:rsid w:val="00C158BE"/>
    <w:rsid w:val="00C33A7B"/>
    <w:rsid w:val="00C42B11"/>
    <w:rsid w:val="00C76809"/>
    <w:rsid w:val="00C7780C"/>
    <w:rsid w:val="00CC6025"/>
    <w:rsid w:val="00CD754C"/>
    <w:rsid w:val="00D20381"/>
    <w:rsid w:val="00D23AE3"/>
    <w:rsid w:val="00D25848"/>
    <w:rsid w:val="00D648D6"/>
    <w:rsid w:val="00D6530E"/>
    <w:rsid w:val="00D93744"/>
    <w:rsid w:val="00DA2C4A"/>
    <w:rsid w:val="00DA2C59"/>
    <w:rsid w:val="00DA35F8"/>
    <w:rsid w:val="00DA54DB"/>
    <w:rsid w:val="00DB6D35"/>
    <w:rsid w:val="00DC3181"/>
    <w:rsid w:val="00DD604C"/>
    <w:rsid w:val="00E002AE"/>
    <w:rsid w:val="00E114DC"/>
    <w:rsid w:val="00E1253C"/>
    <w:rsid w:val="00E46020"/>
    <w:rsid w:val="00E61A3C"/>
    <w:rsid w:val="00E664ED"/>
    <w:rsid w:val="00E83D8B"/>
    <w:rsid w:val="00EA0F3D"/>
    <w:rsid w:val="00EC190C"/>
    <w:rsid w:val="00EC396B"/>
    <w:rsid w:val="00EF1303"/>
    <w:rsid w:val="00F060F8"/>
    <w:rsid w:val="00F3760B"/>
    <w:rsid w:val="00F45297"/>
    <w:rsid w:val="00F735A9"/>
    <w:rsid w:val="00FA71D2"/>
    <w:rsid w:val="00FB0451"/>
    <w:rsid w:val="00FC38F8"/>
    <w:rsid w:val="00FC6735"/>
    <w:rsid w:val="00FD248D"/>
    <w:rsid w:val="00FF0271"/>
    <w:rsid w:val="00FF181E"/>
    <w:rsid w:val="00FF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AB54039"/>
  <w15:docId w15:val="{13F59CF7-7EBB-4EA0-9A9D-71848A025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6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6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6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6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16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16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16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4">
    <w:name w:val="List Bullet 4"/>
    <w:basedOn w:val="Normal"/>
    <w:rsid w:val="0080666E"/>
    <w:pPr>
      <w:numPr>
        <w:numId w:val="1"/>
      </w:numPr>
      <w:tabs>
        <w:tab w:val="clear" w:pos="1209"/>
      </w:tabs>
      <w:ind w:left="0" w:firstLine="0"/>
    </w:pPr>
    <w:rPr>
      <w:rFonts w:eastAsia="Times New Roman"/>
      <w:lang w:eastAsia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6F8F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956F8F"/>
    <w:pPr>
      <w:spacing w:after="0"/>
    </w:pPr>
  </w:style>
  <w:style w:type="paragraph" w:styleId="ListBullet">
    <w:name w:val="List Bullet"/>
    <w:basedOn w:val="Normal"/>
    <w:uiPriority w:val="99"/>
    <w:semiHidden/>
    <w:unhideWhenUsed/>
    <w:rsid w:val="00956F8F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56F8F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56F8F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956F8F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56F8F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56F8F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56F8F"/>
    <w:pPr>
      <w:numPr>
        <w:numId w:val="8"/>
      </w:numPr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7264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726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4F6F40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43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4386"/>
    <w:rPr>
      <w:rFonts w:ascii="Times New Roman" w:hAnsi="Times New Roman" w:cs="Times New Roman"/>
      <w:b/>
      <w:bCs/>
      <w:sz w:val="20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E1253C"/>
    <w:rPr>
      <w:rFonts w:ascii="Times New Roman" w:hAnsi="Times New Roman" w:cs="Times New Roman"/>
      <w:sz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E1253C"/>
    <w:rPr>
      <w:rFonts w:ascii="Times New Roman" w:hAnsi="Times New Roman" w:cs="Times New Roman"/>
      <w:sz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E1253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E1253C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E1253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9"/>
      </w:numPr>
    </w:pPr>
  </w:style>
  <w:style w:type="paragraph" w:customStyle="1" w:styleId="Tiret1">
    <w:name w:val="Tiret 1"/>
    <w:basedOn w:val="Point1"/>
    <w:pPr>
      <w:numPr>
        <w:numId w:val="10"/>
      </w:numPr>
    </w:pPr>
  </w:style>
  <w:style w:type="paragraph" w:customStyle="1" w:styleId="Tiret2">
    <w:name w:val="Tiret 2"/>
    <w:basedOn w:val="Point2"/>
    <w:pPr>
      <w:numPr>
        <w:numId w:val="11"/>
      </w:numPr>
    </w:pPr>
  </w:style>
  <w:style w:type="paragraph" w:customStyle="1" w:styleId="Tiret3">
    <w:name w:val="Tiret 3"/>
    <w:basedOn w:val="Point3"/>
    <w:pPr>
      <w:numPr>
        <w:numId w:val="12"/>
      </w:numPr>
    </w:pPr>
  </w:style>
  <w:style w:type="paragraph" w:customStyle="1" w:styleId="Tiret4">
    <w:name w:val="Tiret 4"/>
    <w:basedOn w:val="Point4"/>
    <w:pPr>
      <w:numPr>
        <w:numId w:val="13"/>
      </w:numPr>
    </w:pPr>
  </w:style>
  <w:style w:type="paragraph" w:customStyle="1" w:styleId="Tiret5">
    <w:name w:val="Tiret 5"/>
    <w:basedOn w:val="Point5"/>
    <w:pPr>
      <w:numPr>
        <w:numId w:val="14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5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5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5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5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15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15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15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17"/>
      </w:numPr>
    </w:pPr>
  </w:style>
  <w:style w:type="paragraph" w:customStyle="1" w:styleId="Point1number">
    <w:name w:val="Point 1 (number)"/>
    <w:basedOn w:val="Normal"/>
    <w:pPr>
      <w:numPr>
        <w:ilvl w:val="2"/>
        <w:numId w:val="17"/>
      </w:numPr>
    </w:pPr>
  </w:style>
  <w:style w:type="paragraph" w:customStyle="1" w:styleId="Point2number">
    <w:name w:val="Point 2 (number)"/>
    <w:basedOn w:val="Normal"/>
    <w:pPr>
      <w:numPr>
        <w:ilvl w:val="4"/>
        <w:numId w:val="17"/>
      </w:numPr>
    </w:pPr>
  </w:style>
  <w:style w:type="paragraph" w:customStyle="1" w:styleId="Point3number">
    <w:name w:val="Point 3 (number)"/>
    <w:basedOn w:val="Normal"/>
    <w:pPr>
      <w:numPr>
        <w:ilvl w:val="6"/>
        <w:numId w:val="17"/>
      </w:numPr>
    </w:pPr>
  </w:style>
  <w:style w:type="paragraph" w:customStyle="1" w:styleId="Point0letter">
    <w:name w:val="Point 0 (letter)"/>
    <w:basedOn w:val="Normal"/>
    <w:pPr>
      <w:numPr>
        <w:ilvl w:val="1"/>
        <w:numId w:val="17"/>
      </w:numPr>
    </w:pPr>
  </w:style>
  <w:style w:type="paragraph" w:customStyle="1" w:styleId="Point1letter">
    <w:name w:val="Point 1 (letter)"/>
    <w:basedOn w:val="Normal"/>
    <w:pPr>
      <w:numPr>
        <w:ilvl w:val="3"/>
        <w:numId w:val="17"/>
      </w:numPr>
    </w:pPr>
  </w:style>
  <w:style w:type="paragraph" w:customStyle="1" w:styleId="Point2letter">
    <w:name w:val="Point 2 (letter)"/>
    <w:basedOn w:val="Normal"/>
    <w:pPr>
      <w:numPr>
        <w:ilvl w:val="5"/>
        <w:numId w:val="17"/>
      </w:numPr>
    </w:pPr>
  </w:style>
  <w:style w:type="paragraph" w:customStyle="1" w:styleId="Point3letter">
    <w:name w:val="Point 3 (letter)"/>
    <w:basedOn w:val="Normal"/>
    <w:pPr>
      <w:numPr>
        <w:ilvl w:val="7"/>
        <w:numId w:val="17"/>
      </w:numPr>
    </w:pPr>
  </w:style>
  <w:style w:type="paragraph" w:customStyle="1" w:styleId="Point4letter">
    <w:name w:val="Point 4 (letter)"/>
    <w:basedOn w:val="Normal"/>
    <w:pPr>
      <w:numPr>
        <w:ilvl w:val="8"/>
        <w:numId w:val="17"/>
      </w:numPr>
    </w:pPr>
  </w:style>
  <w:style w:type="paragraph" w:customStyle="1" w:styleId="Bullet0">
    <w:name w:val="Bullet 0"/>
    <w:basedOn w:val="Normal"/>
    <w:pPr>
      <w:numPr>
        <w:numId w:val="18"/>
      </w:numPr>
    </w:pPr>
  </w:style>
  <w:style w:type="paragraph" w:customStyle="1" w:styleId="Bullet1">
    <w:name w:val="Bullet 1"/>
    <w:basedOn w:val="Normal"/>
    <w:pPr>
      <w:numPr>
        <w:numId w:val="19"/>
      </w:numPr>
    </w:pPr>
  </w:style>
  <w:style w:type="paragraph" w:customStyle="1" w:styleId="Bullet2">
    <w:name w:val="Bullet 2"/>
    <w:basedOn w:val="Normal"/>
    <w:pPr>
      <w:numPr>
        <w:numId w:val="20"/>
      </w:numPr>
    </w:pPr>
  </w:style>
  <w:style w:type="paragraph" w:customStyle="1" w:styleId="Bullet3">
    <w:name w:val="Bullet 3"/>
    <w:basedOn w:val="Normal"/>
    <w:pPr>
      <w:numPr>
        <w:numId w:val="21"/>
      </w:numPr>
    </w:pPr>
  </w:style>
  <w:style w:type="paragraph" w:customStyle="1" w:styleId="Bullet4">
    <w:name w:val="Bullet 4"/>
    <w:basedOn w:val="Normal"/>
    <w:pPr>
      <w:numPr>
        <w:numId w:val="22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3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E664ED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664ED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664ED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664ED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E1253C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E1253C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E1253C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E1253C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AFBF2-D423-4529-9F3D-87520719D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8</TotalTime>
  <Pages>3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15</cp:revision>
  <dcterms:created xsi:type="dcterms:W3CDTF">2026-07-14T08:55:00Z</dcterms:created>
  <dcterms:modified xsi:type="dcterms:W3CDTF">2026-07-15T09:37:00Z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COM/PL/CODEC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9.2, Build 20250828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SJ-029_P</vt:lpwstr>
  </property>
  <property fmtid="{D5CDD505-2E9C-101B-9397-08002B2CF9AE}" pid="10" name="MSIP_Label_6bd9ddd1-4d20-43f6-abfa-fc3c07406f94_Enabled">
    <vt:lpwstr>true</vt:lpwstr>
  </property>
  <property fmtid="{D5CDD505-2E9C-101B-9397-08002B2CF9AE}" pid="11" name="MSIP_Label_6bd9ddd1-4d20-43f6-abfa-fc3c07406f94_SetDate">
    <vt:lpwstr>2026-07-09T15:28:56Z</vt:lpwstr>
  </property>
  <property fmtid="{D5CDD505-2E9C-101B-9397-08002B2CF9AE}" pid="12" name="MSIP_Label_6bd9ddd1-4d20-43f6-abfa-fc3c07406f94_Method">
    <vt:lpwstr>Standard</vt:lpwstr>
  </property>
  <property fmtid="{D5CDD505-2E9C-101B-9397-08002B2CF9AE}" pid="13" name="MSIP_Label_6bd9ddd1-4d20-43f6-abfa-fc3c07406f94_Name">
    <vt:lpwstr>Commission Use</vt:lpwstr>
  </property>
  <property fmtid="{D5CDD505-2E9C-101B-9397-08002B2CF9AE}" pid="14" name="MSIP_Label_6bd9ddd1-4d20-43f6-abfa-fc3c07406f94_SiteId">
    <vt:lpwstr>b24c8b06-522c-46fe-9080-70926f8dddb1</vt:lpwstr>
  </property>
  <property fmtid="{D5CDD505-2E9C-101B-9397-08002B2CF9AE}" pid="15" name="MSIP_Label_6bd9ddd1-4d20-43f6-abfa-fc3c07406f94_ActionId">
    <vt:lpwstr>7c1ca073-b1ad-45d2-9347-0de51487cbf5</vt:lpwstr>
  </property>
  <property fmtid="{D5CDD505-2E9C-101B-9397-08002B2CF9AE}" pid="16" name="MSIP_Label_6bd9ddd1-4d20-43f6-abfa-fc3c07406f94_ContentBits">
    <vt:lpwstr>0</vt:lpwstr>
  </property>
  <property fmtid="{D5CDD505-2E9C-101B-9397-08002B2CF9AE}" pid="17" name="MSIP_Label_6bd9ddd1-4d20-43f6-abfa-fc3c07406f94_Tag">
    <vt:lpwstr>10, 3, 0, 1</vt:lpwstr>
  </property>
  <property fmtid="{D5CDD505-2E9C-101B-9397-08002B2CF9AE}" pid="18" name="DQCStatus">
    <vt:lpwstr>Green (DQC version 03)</vt:lpwstr>
  </property>
</Properties>
</file>