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941DC" w14:textId="0B17C6EF" w:rsidR="00E825A7" w:rsidRPr="00D84C46" w:rsidRDefault="002846F0" w:rsidP="002846F0">
      <w:pPr>
        <w:pStyle w:val="Pagedecouverture"/>
        <w:rPr>
          <w:noProof/>
        </w:rPr>
      </w:pPr>
      <w:bookmarkStart w:id="0" w:name="LW_BM_COVERPAGE"/>
      <w:r>
        <w:rPr>
          <w:noProof/>
        </w:rPr>
        <w:pict w14:anchorId="54AAC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A95479-2714-448D-AE75-840C5105BB43" style="width:455.25pt;height:327.75pt">
            <v:imagedata r:id="rId8" o:title=""/>
          </v:shape>
        </w:pict>
      </w:r>
    </w:p>
    <w:bookmarkEnd w:id="0"/>
    <w:p w14:paraId="6956B7E8" w14:textId="77777777" w:rsidR="00E825A7" w:rsidRPr="00D84C46" w:rsidRDefault="00E825A7" w:rsidP="00E825A7">
      <w:pPr>
        <w:rPr>
          <w:rFonts w:ascii="Times New Roman" w:hAnsi="Times New Roman" w:cs="Times New Roman"/>
          <w:noProof/>
        </w:rPr>
        <w:sectPr w:rsidR="00E825A7" w:rsidRPr="00D84C46" w:rsidSect="002846F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75E5491F" w14:textId="76AE269B" w:rsidR="00FD1462" w:rsidRDefault="00E825A7" w:rsidP="00E825A7">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lang w:eastAsia="en-IE"/>
          <w14:ligatures w14:val="none"/>
        </w:rPr>
      </w:pPr>
      <w:bookmarkStart w:id="1" w:name="_GoBack"/>
      <w:bookmarkEnd w:id="1"/>
      <w:r w:rsidRPr="00E825A7">
        <w:rPr>
          <w:rFonts w:ascii="Times New Roman" w:eastAsia="Times New Roman" w:hAnsi="Times New Roman" w:cs="Times New Roman"/>
          <w:b/>
          <w:smallCaps/>
          <w:noProof/>
          <w:color w:val="auto"/>
          <w:kern w:val="0"/>
          <w:sz w:val="24"/>
          <w:szCs w:val="20"/>
          <w:lang w:eastAsia="en-IE"/>
          <w14:ligatures w14:val="none"/>
        </w:rPr>
        <w:lastRenderedPageBreak/>
        <w:t>Introduction</w:t>
      </w:r>
    </w:p>
    <w:p w14:paraId="215E2A2E" w14:textId="7D648E36" w:rsidR="00E825A7" w:rsidRDefault="00E825A7" w:rsidP="00021060">
      <w:pPr>
        <w:jc w:val="both"/>
        <w:rPr>
          <w:rFonts w:ascii="Times New Roman" w:eastAsia="Calibri" w:hAnsi="Times New Roman" w:cs="Times New Roman"/>
          <w:noProof/>
          <w:kern w:val="0"/>
          <w:sz w:val="24"/>
          <w:lang w:eastAsia="en-IE"/>
          <w14:ligatures w14:val="none"/>
        </w:rPr>
      </w:pPr>
      <w:r w:rsidRPr="00E825A7">
        <w:rPr>
          <w:rFonts w:ascii="Times New Roman" w:eastAsia="Calibri" w:hAnsi="Times New Roman" w:cs="Times New Roman"/>
          <w:noProof/>
          <w:kern w:val="0"/>
          <w:sz w:val="24"/>
          <w:lang w:eastAsia="en-IE"/>
          <w14:ligatures w14:val="none"/>
        </w:rPr>
        <w:t>Regulation (EU)</w:t>
      </w:r>
      <w:r>
        <w:rPr>
          <w:rFonts w:ascii="Times New Roman" w:eastAsia="Calibri" w:hAnsi="Times New Roman" w:cs="Times New Roman"/>
          <w:noProof/>
          <w:kern w:val="0"/>
          <w:sz w:val="24"/>
          <w:lang w:eastAsia="en-IE"/>
          <w14:ligatures w14:val="none"/>
        </w:rPr>
        <w:t xml:space="preserve"> 2021/821</w:t>
      </w:r>
      <w:r w:rsidR="001A034F">
        <w:rPr>
          <w:rStyle w:val="FootnoteReference"/>
          <w:rFonts w:ascii="Times New Roman" w:eastAsia="Calibri" w:hAnsi="Times New Roman" w:cs="Times New Roman"/>
          <w:noProof/>
          <w:kern w:val="0"/>
          <w:sz w:val="24"/>
          <w:lang w:eastAsia="en-IE"/>
          <w14:ligatures w14:val="none"/>
        </w:rPr>
        <w:footnoteReference w:id="1"/>
      </w:r>
      <w:r>
        <w:rPr>
          <w:rFonts w:ascii="Times New Roman" w:eastAsia="Calibri" w:hAnsi="Times New Roman" w:cs="Times New Roman"/>
          <w:noProof/>
          <w:kern w:val="0"/>
          <w:sz w:val="24"/>
          <w:lang w:eastAsia="en-IE"/>
          <w14:ligatures w14:val="none"/>
        </w:rPr>
        <w:t xml:space="preserve"> (hereinafter ‘the Dual-Use Regulation’</w:t>
      </w:r>
      <w:r w:rsidR="00F727C7">
        <w:rPr>
          <w:rFonts w:ascii="Times New Roman" w:eastAsia="Calibri" w:hAnsi="Times New Roman" w:cs="Times New Roman"/>
          <w:noProof/>
          <w:kern w:val="0"/>
          <w:sz w:val="24"/>
          <w:lang w:eastAsia="en-IE"/>
          <w14:ligatures w14:val="none"/>
        </w:rPr>
        <w:t xml:space="preserve"> or ‘the Regulation’</w:t>
      </w:r>
      <w:r w:rsidR="001A034F">
        <w:rPr>
          <w:rFonts w:ascii="Times New Roman" w:eastAsia="Calibri" w:hAnsi="Times New Roman" w:cs="Times New Roman"/>
          <w:noProof/>
          <w:kern w:val="0"/>
          <w:sz w:val="24"/>
          <w:lang w:eastAsia="en-IE"/>
          <w14:ligatures w14:val="none"/>
        </w:rPr>
        <w:t>)</w:t>
      </w:r>
      <w:r w:rsidRPr="00E825A7">
        <w:rPr>
          <w:rFonts w:ascii="Times New Roman" w:eastAsia="Calibri" w:hAnsi="Times New Roman" w:cs="Times New Roman"/>
          <w:noProof/>
          <w:kern w:val="0"/>
          <w:sz w:val="24"/>
          <w:lang w:eastAsia="en-IE"/>
          <w14:ligatures w14:val="none"/>
        </w:rPr>
        <w:t xml:space="preserve"> </w:t>
      </w:r>
      <w:r w:rsidR="00DA209D">
        <w:rPr>
          <w:rFonts w:ascii="Times New Roman" w:eastAsia="Calibri" w:hAnsi="Times New Roman" w:cs="Times New Roman"/>
          <w:noProof/>
          <w:kern w:val="0"/>
          <w:sz w:val="24"/>
          <w:lang w:eastAsia="en-IE"/>
          <w14:ligatures w14:val="none"/>
        </w:rPr>
        <w:t xml:space="preserve">was adopted on 20 </w:t>
      </w:r>
      <w:r w:rsidR="00AC1141">
        <w:rPr>
          <w:rFonts w:ascii="Times New Roman" w:eastAsia="Calibri" w:hAnsi="Times New Roman" w:cs="Times New Roman"/>
          <w:noProof/>
          <w:kern w:val="0"/>
          <w:sz w:val="24"/>
          <w:lang w:eastAsia="en-IE"/>
          <w14:ligatures w14:val="none"/>
        </w:rPr>
        <w:t xml:space="preserve">May 2021. It repeals Council Regulation (EC) </w:t>
      </w:r>
      <w:r w:rsidR="00FD756F">
        <w:rPr>
          <w:rFonts w:ascii="Times New Roman" w:eastAsia="Calibri" w:hAnsi="Times New Roman" w:cs="Times New Roman"/>
          <w:noProof/>
          <w:kern w:val="0"/>
          <w:sz w:val="24"/>
          <w:lang w:eastAsia="en-IE"/>
          <w14:ligatures w14:val="none"/>
        </w:rPr>
        <w:t>No 428/2009</w:t>
      </w:r>
      <w:r w:rsidR="00FD756F">
        <w:rPr>
          <w:rStyle w:val="FootnoteReference"/>
          <w:rFonts w:ascii="Times New Roman" w:eastAsia="Calibri" w:hAnsi="Times New Roman" w:cs="Times New Roman"/>
          <w:noProof/>
          <w:kern w:val="0"/>
          <w:sz w:val="24"/>
          <w:lang w:eastAsia="en-IE"/>
          <w14:ligatures w14:val="none"/>
        </w:rPr>
        <w:footnoteReference w:id="2"/>
      </w:r>
      <w:r w:rsidR="00D84C46">
        <w:rPr>
          <w:rFonts w:ascii="Times New Roman" w:eastAsia="Calibri" w:hAnsi="Times New Roman" w:cs="Times New Roman"/>
          <w:noProof/>
          <w:kern w:val="0"/>
          <w:sz w:val="24"/>
          <w:lang w:eastAsia="en-IE"/>
          <w14:ligatures w14:val="none"/>
        </w:rPr>
        <w:t xml:space="preserve">, </w:t>
      </w:r>
      <w:r w:rsidR="00534E04">
        <w:rPr>
          <w:rFonts w:ascii="Times New Roman" w:eastAsia="Calibri" w:hAnsi="Times New Roman" w:cs="Times New Roman"/>
          <w:noProof/>
          <w:kern w:val="0"/>
          <w:sz w:val="24"/>
          <w:lang w:eastAsia="en-IE"/>
          <w14:ligatures w14:val="none"/>
        </w:rPr>
        <w:t xml:space="preserve">and </w:t>
      </w:r>
      <w:r w:rsidR="0057083A">
        <w:rPr>
          <w:rFonts w:ascii="Times New Roman" w:eastAsia="Calibri" w:hAnsi="Times New Roman" w:cs="Times New Roman"/>
          <w:noProof/>
          <w:kern w:val="0"/>
          <w:sz w:val="24"/>
          <w:lang w:eastAsia="en-IE"/>
          <w14:ligatures w14:val="none"/>
        </w:rPr>
        <w:t>upgrades the EU dual-use export control framework to address technological advancements,</w:t>
      </w:r>
      <w:r w:rsidR="00021060">
        <w:rPr>
          <w:rFonts w:ascii="Times New Roman" w:eastAsia="Calibri" w:hAnsi="Times New Roman" w:cs="Times New Roman"/>
          <w:noProof/>
          <w:kern w:val="0"/>
          <w:sz w:val="24"/>
          <w:lang w:eastAsia="en-IE"/>
          <w14:ligatures w14:val="none"/>
        </w:rPr>
        <w:t xml:space="preserve"> to enhance the human rights and security dimensions and to ensure a more unified approach across EU Member States with the objective of responding to an evolving geopolitical landscape.</w:t>
      </w:r>
    </w:p>
    <w:p w14:paraId="76F37F5F" w14:textId="2AC7DEC9" w:rsidR="00021060" w:rsidRDefault="00021060" w:rsidP="00021060">
      <w:pPr>
        <w:jc w:val="both"/>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 xml:space="preserve">Annex I to the Dual-Use Regulation </w:t>
      </w:r>
      <w:r w:rsidR="00EB7EC2">
        <w:rPr>
          <w:rFonts w:ascii="Times New Roman" w:eastAsia="Calibri" w:hAnsi="Times New Roman" w:cs="Times New Roman"/>
          <w:noProof/>
          <w:kern w:val="0"/>
          <w:sz w:val="24"/>
          <w:lang w:eastAsia="en-IE"/>
          <w14:ligatures w14:val="none"/>
        </w:rPr>
        <w:t xml:space="preserve">lists </w:t>
      </w:r>
      <w:r w:rsidR="006E539D">
        <w:rPr>
          <w:rFonts w:ascii="Times New Roman" w:eastAsia="Calibri" w:hAnsi="Times New Roman" w:cs="Times New Roman"/>
          <w:noProof/>
          <w:kern w:val="0"/>
          <w:sz w:val="24"/>
          <w:lang w:eastAsia="en-IE"/>
          <w14:ligatures w14:val="none"/>
        </w:rPr>
        <w:t xml:space="preserve">dual-use </w:t>
      </w:r>
      <w:r w:rsidR="00EB7EC2">
        <w:rPr>
          <w:rFonts w:ascii="Times New Roman" w:eastAsia="Calibri" w:hAnsi="Times New Roman" w:cs="Times New Roman"/>
          <w:noProof/>
          <w:kern w:val="0"/>
          <w:sz w:val="24"/>
          <w:lang w:eastAsia="en-IE"/>
          <w14:ligatures w14:val="none"/>
        </w:rPr>
        <w:t>items that Member States m</w:t>
      </w:r>
      <w:r w:rsidR="002262E3">
        <w:rPr>
          <w:rFonts w:ascii="Times New Roman" w:eastAsia="Calibri" w:hAnsi="Times New Roman" w:cs="Times New Roman"/>
          <w:noProof/>
          <w:kern w:val="0"/>
          <w:sz w:val="24"/>
          <w:lang w:eastAsia="en-IE"/>
          <w14:ligatures w14:val="none"/>
        </w:rPr>
        <w:t xml:space="preserve">ust subject to </w:t>
      </w:r>
      <w:r w:rsidR="006E539D">
        <w:rPr>
          <w:rFonts w:ascii="Times New Roman" w:eastAsia="Calibri" w:hAnsi="Times New Roman" w:cs="Times New Roman"/>
          <w:noProof/>
          <w:kern w:val="0"/>
          <w:sz w:val="24"/>
          <w:lang w:eastAsia="en-IE"/>
          <w14:ligatures w14:val="none"/>
        </w:rPr>
        <w:t xml:space="preserve">export </w:t>
      </w:r>
      <w:r w:rsidR="002262E3">
        <w:rPr>
          <w:rFonts w:ascii="Times New Roman" w:eastAsia="Calibri" w:hAnsi="Times New Roman" w:cs="Times New Roman"/>
          <w:noProof/>
          <w:kern w:val="0"/>
          <w:sz w:val="24"/>
          <w:lang w:eastAsia="en-IE"/>
          <w14:ligatures w14:val="none"/>
        </w:rPr>
        <w:t>control</w:t>
      </w:r>
      <w:r w:rsidR="006E539D">
        <w:rPr>
          <w:rFonts w:ascii="Times New Roman" w:eastAsia="Calibri" w:hAnsi="Times New Roman" w:cs="Times New Roman"/>
          <w:noProof/>
          <w:kern w:val="0"/>
          <w:sz w:val="24"/>
          <w:lang w:eastAsia="en-IE"/>
          <w14:ligatures w14:val="none"/>
        </w:rPr>
        <w:t>s</w:t>
      </w:r>
      <w:r w:rsidR="002262E3">
        <w:rPr>
          <w:rFonts w:ascii="Times New Roman" w:eastAsia="Calibri" w:hAnsi="Times New Roman" w:cs="Times New Roman"/>
          <w:noProof/>
          <w:kern w:val="0"/>
          <w:sz w:val="24"/>
          <w:lang w:eastAsia="en-IE"/>
          <w14:ligatures w14:val="none"/>
        </w:rPr>
        <w:t>, aligning the Regulation with the decisions taken in the multilateral export control regimes</w:t>
      </w:r>
      <w:r w:rsidR="001F450B">
        <w:rPr>
          <w:rStyle w:val="FootnoteReference"/>
          <w:rFonts w:ascii="Times New Roman" w:eastAsia="Calibri" w:hAnsi="Times New Roman" w:cs="Times New Roman"/>
          <w:noProof/>
          <w:kern w:val="0"/>
          <w:sz w:val="24"/>
          <w:lang w:eastAsia="en-IE"/>
          <w14:ligatures w14:val="none"/>
        </w:rPr>
        <w:footnoteReference w:id="3"/>
      </w:r>
      <w:r w:rsidR="002262E3">
        <w:rPr>
          <w:rFonts w:ascii="Times New Roman" w:eastAsia="Calibri" w:hAnsi="Times New Roman" w:cs="Times New Roman"/>
          <w:noProof/>
          <w:kern w:val="0"/>
          <w:sz w:val="24"/>
          <w:lang w:eastAsia="en-IE"/>
          <w14:ligatures w14:val="none"/>
        </w:rPr>
        <w:t>.</w:t>
      </w:r>
      <w:r w:rsidR="002F1C43">
        <w:rPr>
          <w:rFonts w:ascii="Times New Roman" w:eastAsia="Calibri" w:hAnsi="Times New Roman" w:cs="Times New Roman"/>
          <w:noProof/>
          <w:kern w:val="0"/>
          <w:sz w:val="24"/>
          <w:lang w:eastAsia="en-IE"/>
          <w14:ligatures w14:val="none"/>
        </w:rPr>
        <w:t xml:space="preserve"> Certain items, considered particularly sensitive, are included in Annex IV</w:t>
      </w:r>
      <w:r w:rsidR="00991029">
        <w:rPr>
          <w:rFonts w:ascii="Times New Roman" w:eastAsia="Calibri" w:hAnsi="Times New Roman" w:cs="Times New Roman"/>
          <w:noProof/>
          <w:kern w:val="0"/>
          <w:sz w:val="24"/>
          <w:lang w:eastAsia="en-IE"/>
          <w14:ligatures w14:val="none"/>
        </w:rPr>
        <w:t xml:space="preserve"> </w:t>
      </w:r>
      <w:r w:rsidR="002F1C43">
        <w:rPr>
          <w:rFonts w:ascii="Times New Roman" w:eastAsia="Calibri" w:hAnsi="Times New Roman" w:cs="Times New Roman"/>
          <w:noProof/>
          <w:kern w:val="0"/>
          <w:sz w:val="24"/>
          <w:lang w:eastAsia="en-IE"/>
          <w14:ligatures w14:val="none"/>
        </w:rPr>
        <w:t xml:space="preserve">requiring authorisation for intra-EU transfers. Annex II </w:t>
      </w:r>
      <w:r w:rsidR="0091290E">
        <w:rPr>
          <w:rFonts w:ascii="Times New Roman" w:eastAsia="Calibri" w:hAnsi="Times New Roman" w:cs="Times New Roman"/>
          <w:noProof/>
          <w:kern w:val="0"/>
          <w:sz w:val="24"/>
          <w:lang w:eastAsia="en-IE"/>
          <w14:ligatures w14:val="none"/>
        </w:rPr>
        <w:t xml:space="preserve">sets out the Union general export authorisations for the export of certain items to certain destinations. </w:t>
      </w:r>
    </w:p>
    <w:p w14:paraId="3E7974EC" w14:textId="169F2C5D" w:rsidR="00C20ADE" w:rsidRDefault="00C20ADE" w:rsidP="00021060">
      <w:pPr>
        <w:jc w:val="both"/>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 xml:space="preserve">Pursuant to Article 17 of the Dual-Use Regulation, the Commission is empowered to </w:t>
      </w:r>
      <w:r w:rsidR="00F727C7">
        <w:rPr>
          <w:rFonts w:ascii="Times New Roman" w:eastAsia="Calibri" w:hAnsi="Times New Roman" w:cs="Times New Roman"/>
          <w:noProof/>
          <w:kern w:val="0"/>
          <w:sz w:val="24"/>
          <w:lang w:eastAsia="en-IE"/>
          <w14:ligatures w14:val="none"/>
        </w:rPr>
        <w:t xml:space="preserve">adopt delegated acts in accordance with the conditions laid down in </w:t>
      </w:r>
      <w:r w:rsidR="005B3E5D">
        <w:rPr>
          <w:rFonts w:ascii="Times New Roman" w:eastAsia="Calibri" w:hAnsi="Times New Roman" w:cs="Times New Roman"/>
          <w:noProof/>
          <w:kern w:val="0"/>
          <w:sz w:val="24"/>
          <w:lang w:eastAsia="en-IE"/>
          <w14:ligatures w14:val="none"/>
        </w:rPr>
        <w:t xml:space="preserve">Article 18 </w:t>
      </w:r>
      <w:r w:rsidR="00C842B1">
        <w:rPr>
          <w:rFonts w:ascii="Times New Roman" w:eastAsia="Calibri" w:hAnsi="Times New Roman" w:cs="Times New Roman"/>
          <w:noProof/>
          <w:kern w:val="0"/>
          <w:sz w:val="24"/>
          <w:lang w:eastAsia="en-IE"/>
          <w14:ligatures w14:val="none"/>
        </w:rPr>
        <w:t xml:space="preserve">in order to amend the list of dual-use items set out in Annexes I and IV </w:t>
      </w:r>
      <w:r w:rsidR="00A87884">
        <w:rPr>
          <w:rFonts w:ascii="Times New Roman" w:eastAsia="Calibri" w:hAnsi="Times New Roman" w:cs="Times New Roman"/>
          <w:noProof/>
          <w:kern w:val="0"/>
          <w:sz w:val="24"/>
          <w:lang w:eastAsia="en-IE"/>
          <w14:ligatures w14:val="none"/>
        </w:rPr>
        <w:t xml:space="preserve">and to amend Annex II by removing items and by adding or removing destinations from the scope of Union general export authorisations. </w:t>
      </w:r>
    </w:p>
    <w:p w14:paraId="5F5D6ED2" w14:textId="750D3271" w:rsidR="004607FB" w:rsidRDefault="004607FB" w:rsidP="00021060">
      <w:pPr>
        <w:jc w:val="both"/>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The power to adopt delegated acts is conferred on the Commission for a p</w:t>
      </w:r>
      <w:r w:rsidR="00825976">
        <w:rPr>
          <w:rFonts w:ascii="Times New Roman" w:eastAsia="Calibri" w:hAnsi="Times New Roman" w:cs="Times New Roman"/>
          <w:noProof/>
          <w:kern w:val="0"/>
          <w:sz w:val="24"/>
          <w:lang w:eastAsia="en-IE"/>
          <w14:ligatures w14:val="none"/>
        </w:rPr>
        <w:t>erio</w:t>
      </w:r>
      <w:r>
        <w:rPr>
          <w:rFonts w:ascii="Times New Roman" w:eastAsia="Calibri" w:hAnsi="Times New Roman" w:cs="Times New Roman"/>
          <w:noProof/>
          <w:kern w:val="0"/>
          <w:sz w:val="24"/>
          <w:lang w:eastAsia="en-IE"/>
          <w14:ligatures w14:val="none"/>
        </w:rPr>
        <w:t>d of five years from 9 September 2021.</w:t>
      </w:r>
    </w:p>
    <w:p w14:paraId="074A654E" w14:textId="438D823F" w:rsidR="00A87884" w:rsidRDefault="001417FC" w:rsidP="001417FC">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lang w:eastAsia="en-IE"/>
          <w14:ligatures w14:val="none"/>
        </w:rPr>
      </w:pPr>
      <w:r w:rsidRPr="001417FC">
        <w:rPr>
          <w:rFonts w:ascii="Times New Roman" w:eastAsia="Times New Roman" w:hAnsi="Times New Roman" w:cs="Times New Roman"/>
          <w:b/>
          <w:smallCaps/>
          <w:noProof/>
          <w:color w:val="auto"/>
          <w:kern w:val="0"/>
          <w:sz w:val="24"/>
          <w:szCs w:val="20"/>
          <w:lang w:eastAsia="en-IE"/>
          <w14:ligatures w14:val="none"/>
        </w:rPr>
        <w:t>Legal basis</w:t>
      </w:r>
    </w:p>
    <w:p w14:paraId="27C67ECF" w14:textId="77777777" w:rsidR="00802D9B" w:rsidRDefault="000E675C" w:rsidP="00825976">
      <w:pPr>
        <w:jc w:val="both"/>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 xml:space="preserve">Article 18(2) of the Dual-Use Regulation requires the Commission to </w:t>
      </w:r>
      <w:r w:rsidR="00717B57">
        <w:rPr>
          <w:rFonts w:ascii="Times New Roman" w:eastAsia="Calibri" w:hAnsi="Times New Roman" w:cs="Times New Roman"/>
          <w:noProof/>
          <w:kern w:val="0"/>
          <w:sz w:val="24"/>
          <w:lang w:eastAsia="en-IE"/>
          <w14:ligatures w14:val="none"/>
        </w:rPr>
        <w:t xml:space="preserve">draw up a report in respect of the delegation of power not later than nine </w:t>
      </w:r>
      <w:r w:rsidR="00BD3A07">
        <w:rPr>
          <w:rFonts w:ascii="Times New Roman" w:eastAsia="Calibri" w:hAnsi="Times New Roman" w:cs="Times New Roman"/>
          <w:noProof/>
          <w:kern w:val="0"/>
          <w:sz w:val="24"/>
          <w:lang w:eastAsia="en-IE"/>
          <w14:ligatures w14:val="none"/>
        </w:rPr>
        <w:t xml:space="preserve">months before the end of the five-year period. </w:t>
      </w:r>
    </w:p>
    <w:p w14:paraId="28E9AC85" w14:textId="40DD2C7A" w:rsidR="000E675C" w:rsidRDefault="00802D9B" w:rsidP="00612572">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lang w:eastAsia="en-IE"/>
          <w14:ligatures w14:val="none"/>
        </w:rPr>
      </w:pPr>
      <w:r w:rsidRPr="00612572">
        <w:rPr>
          <w:rFonts w:ascii="Times New Roman" w:eastAsia="Times New Roman" w:hAnsi="Times New Roman" w:cs="Times New Roman"/>
          <w:b/>
          <w:smallCaps/>
          <w:noProof/>
          <w:color w:val="auto"/>
          <w:kern w:val="0"/>
          <w:sz w:val="24"/>
          <w:szCs w:val="20"/>
          <w:lang w:eastAsia="en-IE"/>
          <w14:ligatures w14:val="none"/>
        </w:rPr>
        <w:t>Exercise of the</w:t>
      </w:r>
      <w:r w:rsidR="00745F9E" w:rsidRPr="00612572">
        <w:rPr>
          <w:rFonts w:ascii="Times New Roman" w:eastAsia="Times New Roman" w:hAnsi="Times New Roman" w:cs="Times New Roman"/>
          <w:b/>
          <w:smallCaps/>
          <w:noProof/>
          <w:color w:val="auto"/>
          <w:kern w:val="0"/>
          <w:sz w:val="24"/>
          <w:szCs w:val="20"/>
          <w:lang w:eastAsia="en-IE"/>
          <w14:ligatures w14:val="none"/>
        </w:rPr>
        <w:t xml:space="preserve"> </w:t>
      </w:r>
      <w:r w:rsidR="004226D4" w:rsidRPr="00612572">
        <w:rPr>
          <w:rFonts w:ascii="Times New Roman" w:eastAsia="Times New Roman" w:hAnsi="Times New Roman" w:cs="Times New Roman"/>
          <w:b/>
          <w:smallCaps/>
          <w:noProof/>
          <w:color w:val="auto"/>
          <w:kern w:val="0"/>
          <w:sz w:val="24"/>
          <w:szCs w:val="20"/>
          <w:lang w:eastAsia="en-IE"/>
          <w14:ligatures w14:val="none"/>
        </w:rPr>
        <w:t>delegation of power to adopt delegated acts</w:t>
      </w:r>
      <w:r w:rsidR="006646E7" w:rsidRPr="00612572">
        <w:rPr>
          <w:rFonts w:ascii="Times New Roman" w:eastAsia="Times New Roman" w:hAnsi="Times New Roman" w:cs="Times New Roman"/>
          <w:b/>
          <w:smallCaps/>
          <w:noProof/>
          <w:color w:val="auto"/>
          <w:kern w:val="0"/>
          <w:sz w:val="24"/>
          <w:szCs w:val="20"/>
          <w:lang w:eastAsia="en-IE"/>
          <w14:ligatures w14:val="none"/>
        </w:rPr>
        <w:t xml:space="preserve"> </w:t>
      </w:r>
      <w:r w:rsidR="00745F9E" w:rsidRPr="00612572">
        <w:rPr>
          <w:rFonts w:ascii="Times New Roman" w:eastAsia="Times New Roman" w:hAnsi="Times New Roman" w:cs="Times New Roman"/>
          <w:b/>
          <w:smallCaps/>
          <w:noProof/>
          <w:color w:val="auto"/>
          <w:kern w:val="0"/>
          <w:sz w:val="24"/>
          <w:szCs w:val="20"/>
          <w:lang w:eastAsia="en-IE"/>
          <w14:ligatures w14:val="none"/>
        </w:rPr>
        <w:t xml:space="preserve"> </w:t>
      </w:r>
      <w:r w:rsidRPr="00612572">
        <w:rPr>
          <w:rFonts w:ascii="Times New Roman" w:eastAsia="Times New Roman" w:hAnsi="Times New Roman" w:cs="Times New Roman"/>
          <w:b/>
          <w:smallCaps/>
          <w:noProof/>
          <w:color w:val="auto"/>
          <w:kern w:val="0"/>
          <w:sz w:val="24"/>
          <w:szCs w:val="20"/>
          <w:lang w:eastAsia="en-IE"/>
          <w14:ligatures w14:val="none"/>
        </w:rPr>
        <w:t xml:space="preserve"> </w:t>
      </w:r>
      <w:r w:rsidR="000E675C" w:rsidRPr="00612572">
        <w:rPr>
          <w:rFonts w:ascii="Times New Roman" w:eastAsia="Times New Roman" w:hAnsi="Times New Roman" w:cs="Times New Roman"/>
          <w:b/>
          <w:smallCaps/>
          <w:noProof/>
          <w:color w:val="auto"/>
          <w:kern w:val="0"/>
          <w:sz w:val="24"/>
          <w:szCs w:val="20"/>
          <w:lang w:eastAsia="en-IE"/>
          <w14:ligatures w14:val="none"/>
        </w:rPr>
        <w:t xml:space="preserve"> </w:t>
      </w:r>
    </w:p>
    <w:p w14:paraId="3BB7B6DD" w14:textId="1DAF5B1E" w:rsidR="00716B26" w:rsidRDefault="00C6224A" w:rsidP="0046736D">
      <w:pPr>
        <w:jc w:val="both"/>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B</w:t>
      </w:r>
      <w:r w:rsidR="002A1663">
        <w:rPr>
          <w:rFonts w:ascii="Times New Roman" w:eastAsia="Calibri" w:hAnsi="Times New Roman" w:cs="Times New Roman"/>
          <w:noProof/>
          <w:kern w:val="0"/>
          <w:sz w:val="24"/>
          <w:lang w:eastAsia="en-IE"/>
          <w14:ligatures w14:val="none"/>
        </w:rPr>
        <w:t xml:space="preserve">etween </w:t>
      </w:r>
      <w:r w:rsidR="00A421D2">
        <w:rPr>
          <w:rFonts w:ascii="Times New Roman" w:eastAsia="Calibri" w:hAnsi="Times New Roman" w:cs="Times New Roman"/>
          <w:noProof/>
          <w:kern w:val="0"/>
          <w:sz w:val="24"/>
          <w:lang w:eastAsia="en-IE"/>
          <w14:ligatures w14:val="none"/>
        </w:rPr>
        <w:t xml:space="preserve">9 September 2021 and </w:t>
      </w:r>
      <w:r w:rsidR="006A0BEA">
        <w:rPr>
          <w:rFonts w:ascii="Times New Roman" w:eastAsia="Calibri" w:hAnsi="Times New Roman" w:cs="Times New Roman"/>
          <w:noProof/>
          <w:kern w:val="0"/>
          <w:sz w:val="24"/>
          <w:lang w:eastAsia="en-IE"/>
          <w14:ligatures w14:val="none"/>
        </w:rPr>
        <w:t>9 December 2025</w:t>
      </w:r>
      <w:r>
        <w:rPr>
          <w:rFonts w:ascii="Times New Roman" w:eastAsia="Calibri" w:hAnsi="Times New Roman" w:cs="Times New Roman"/>
          <w:noProof/>
          <w:kern w:val="0"/>
          <w:sz w:val="24"/>
          <w:lang w:eastAsia="en-IE"/>
          <w14:ligatures w14:val="none"/>
        </w:rPr>
        <w:t>, the Commission exercised its authority to adopt</w:t>
      </w:r>
      <w:r w:rsidR="007851AC">
        <w:rPr>
          <w:rFonts w:ascii="Times New Roman" w:eastAsia="Calibri" w:hAnsi="Times New Roman" w:cs="Times New Roman"/>
          <w:noProof/>
          <w:kern w:val="0"/>
          <w:sz w:val="24"/>
          <w:lang w:eastAsia="en-IE"/>
          <w14:ligatures w14:val="none"/>
        </w:rPr>
        <w:t xml:space="preserve"> delegated acts </w:t>
      </w:r>
      <w:r w:rsidR="00C203E3">
        <w:rPr>
          <w:rFonts w:ascii="Times New Roman" w:eastAsia="Calibri" w:hAnsi="Times New Roman" w:cs="Times New Roman"/>
          <w:noProof/>
          <w:kern w:val="0"/>
          <w:sz w:val="24"/>
          <w:lang w:eastAsia="en-IE"/>
          <w14:ligatures w14:val="none"/>
        </w:rPr>
        <w:t xml:space="preserve">on seven occasions </w:t>
      </w:r>
      <w:r w:rsidR="007851AC">
        <w:rPr>
          <w:rFonts w:ascii="Times New Roman" w:eastAsia="Calibri" w:hAnsi="Times New Roman" w:cs="Times New Roman"/>
          <w:noProof/>
          <w:kern w:val="0"/>
          <w:sz w:val="24"/>
          <w:lang w:eastAsia="en-IE"/>
          <w14:ligatures w14:val="none"/>
        </w:rPr>
        <w:t>to ensure that</w:t>
      </w:r>
      <w:r w:rsidR="00B53C03">
        <w:rPr>
          <w:rFonts w:ascii="Times New Roman" w:eastAsia="Calibri" w:hAnsi="Times New Roman" w:cs="Times New Roman"/>
          <w:noProof/>
          <w:kern w:val="0"/>
          <w:sz w:val="24"/>
          <w:lang w:eastAsia="en-IE"/>
          <w14:ligatures w14:val="none"/>
        </w:rPr>
        <w:t xml:space="preserve"> the EU list of dual-use items</w:t>
      </w:r>
      <w:r w:rsidR="007851AC">
        <w:rPr>
          <w:rFonts w:ascii="Times New Roman" w:eastAsia="Calibri" w:hAnsi="Times New Roman" w:cs="Times New Roman"/>
          <w:noProof/>
          <w:kern w:val="0"/>
          <w:sz w:val="24"/>
          <w:lang w:eastAsia="en-IE"/>
          <w14:ligatures w14:val="none"/>
        </w:rPr>
        <w:t xml:space="preserve"> remained aligned</w:t>
      </w:r>
      <w:r w:rsidR="00B53C03">
        <w:rPr>
          <w:rFonts w:ascii="Times New Roman" w:eastAsia="Calibri" w:hAnsi="Times New Roman" w:cs="Times New Roman"/>
          <w:noProof/>
          <w:kern w:val="0"/>
          <w:sz w:val="24"/>
          <w:lang w:eastAsia="en-IE"/>
          <w14:ligatures w14:val="none"/>
        </w:rPr>
        <w:t xml:space="preserve"> with decisions taken </w:t>
      </w:r>
      <w:r w:rsidR="007851AC">
        <w:rPr>
          <w:rFonts w:ascii="Times New Roman" w:eastAsia="Calibri" w:hAnsi="Times New Roman" w:cs="Times New Roman"/>
          <w:noProof/>
          <w:kern w:val="0"/>
          <w:sz w:val="24"/>
          <w:lang w:eastAsia="en-IE"/>
          <w14:ligatures w14:val="none"/>
        </w:rPr>
        <w:t>with</w:t>
      </w:r>
      <w:r w:rsidR="00B53C03">
        <w:rPr>
          <w:rFonts w:ascii="Times New Roman" w:eastAsia="Calibri" w:hAnsi="Times New Roman" w:cs="Times New Roman"/>
          <w:noProof/>
          <w:kern w:val="0"/>
          <w:sz w:val="24"/>
          <w:lang w:eastAsia="en-IE"/>
          <w14:ligatures w14:val="none"/>
        </w:rPr>
        <w:t>in multilateral export control regimes</w:t>
      </w:r>
      <w:r w:rsidR="00727C53">
        <w:rPr>
          <w:rFonts w:ascii="Times New Roman" w:eastAsia="Calibri" w:hAnsi="Times New Roman" w:cs="Times New Roman"/>
          <w:noProof/>
          <w:kern w:val="0"/>
          <w:sz w:val="24"/>
          <w:lang w:eastAsia="en-IE"/>
          <w14:ligatures w14:val="none"/>
        </w:rPr>
        <w:t xml:space="preserve">, </w:t>
      </w:r>
      <w:r w:rsidR="004D0010">
        <w:rPr>
          <w:rFonts w:ascii="Times New Roman" w:eastAsia="Calibri" w:hAnsi="Times New Roman" w:cs="Times New Roman"/>
          <w:noProof/>
          <w:kern w:val="0"/>
          <w:sz w:val="24"/>
          <w:lang w:eastAsia="en-IE"/>
          <w14:ligatures w14:val="none"/>
        </w:rPr>
        <w:t>and with</w:t>
      </w:r>
      <w:r w:rsidR="00727C53">
        <w:rPr>
          <w:rFonts w:ascii="Times New Roman" w:eastAsia="Calibri" w:hAnsi="Times New Roman" w:cs="Times New Roman"/>
          <w:noProof/>
          <w:kern w:val="0"/>
          <w:sz w:val="24"/>
          <w:lang w:eastAsia="en-IE"/>
          <w14:ligatures w14:val="none"/>
        </w:rPr>
        <w:t xml:space="preserve"> commitments</w:t>
      </w:r>
      <w:r w:rsidR="00554BD0">
        <w:rPr>
          <w:rFonts w:ascii="Times New Roman" w:eastAsia="Calibri" w:hAnsi="Times New Roman" w:cs="Times New Roman"/>
          <w:noProof/>
          <w:kern w:val="0"/>
          <w:sz w:val="24"/>
          <w:lang w:eastAsia="en-IE"/>
          <w14:ligatures w14:val="none"/>
        </w:rPr>
        <w:t xml:space="preserve"> undertaken by</w:t>
      </w:r>
      <w:r w:rsidR="00727C53">
        <w:rPr>
          <w:rFonts w:ascii="Times New Roman" w:eastAsia="Calibri" w:hAnsi="Times New Roman" w:cs="Times New Roman"/>
          <w:noProof/>
          <w:kern w:val="0"/>
          <w:sz w:val="24"/>
          <w:lang w:eastAsia="en-IE"/>
          <w14:ligatures w14:val="none"/>
        </w:rPr>
        <w:t xml:space="preserve"> Member States, as members of the Wassenaar Arrangement, to control additional items uniformly</w:t>
      </w:r>
      <w:r w:rsidR="00CE0F5C">
        <w:rPr>
          <w:rFonts w:ascii="Times New Roman" w:eastAsia="Calibri" w:hAnsi="Times New Roman" w:cs="Times New Roman"/>
          <w:noProof/>
          <w:kern w:val="0"/>
          <w:sz w:val="24"/>
          <w:lang w:eastAsia="en-IE"/>
          <w14:ligatures w14:val="none"/>
        </w:rPr>
        <w:t>.</w:t>
      </w:r>
      <w:r w:rsidR="00615818">
        <w:rPr>
          <w:rFonts w:ascii="Times New Roman" w:eastAsia="Calibri" w:hAnsi="Times New Roman" w:cs="Times New Roman"/>
          <w:noProof/>
          <w:kern w:val="0"/>
          <w:sz w:val="24"/>
          <w:lang w:eastAsia="en-IE"/>
          <w14:ligatures w14:val="none"/>
        </w:rPr>
        <w:t xml:space="preserve"> </w:t>
      </w:r>
    </w:p>
    <w:p w14:paraId="2B7E5FF9" w14:textId="6D4CF09D" w:rsidR="00727C53" w:rsidRDefault="00D20AF1" w:rsidP="0046736D">
      <w:pPr>
        <w:jc w:val="both"/>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Additionally, in response to the Russian Federation’s illegal war of aggression against Ukraine, the Commission adopted a delegated act to exclude the Russian Federation from the scope of Union general export authorisations.</w:t>
      </w:r>
    </w:p>
    <w:p w14:paraId="576CD9DD" w14:textId="42BF57B1" w:rsidR="005F16F3" w:rsidRDefault="00EB73F2" w:rsidP="0046736D">
      <w:pPr>
        <w:jc w:val="both"/>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 xml:space="preserve">In </w:t>
      </w:r>
      <w:r w:rsidR="0091400F">
        <w:rPr>
          <w:rFonts w:ascii="Times New Roman" w:eastAsia="Calibri" w:hAnsi="Times New Roman" w:cs="Times New Roman"/>
          <w:noProof/>
          <w:kern w:val="0"/>
          <w:sz w:val="24"/>
          <w:lang w:eastAsia="en-IE"/>
          <w14:ligatures w14:val="none"/>
        </w:rPr>
        <w:t xml:space="preserve">accordance with Article 18(4) of the Dual-Use Regulation, </w:t>
      </w:r>
      <w:r w:rsidR="005B745F">
        <w:rPr>
          <w:rFonts w:ascii="Times New Roman" w:eastAsia="Calibri" w:hAnsi="Times New Roman" w:cs="Times New Roman"/>
          <w:noProof/>
          <w:kern w:val="0"/>
          <w:sz w:val="24"/>
          <w:lang w:eastAsia="en-IE"/>
          <w14:ligatures w14:val="none"/>
        </w:rPr>
        <w:t xml:space="preserve">the Commission consulted experts designated by each Member State in accordance with the principles laid down in the Interinstitutional Agreement of 13 April 2016 on Better Law-Making </w:t>
      </w:r>
      <w:r w:rsidR="00731D74">
        <w:rPr>
          <w:rFonts w:ascii="Times New Roman" w:eastAsia="Calibri" w:hAnsi="Times New Roman" w:cs="Times New Roman"/>
          <w:noProof/>
          <w:kern w:val="0"/>
          <w:sz w:val="24"/>
          <w:lang w:eastAsia="en-IE"/>
          <w14:ligatures w14:val="none"/>
        </w:rPr>
        <w:t>before adopting the delegated acts</w:t>
      </w:r>
      <w:r w:rsidR="005B745F">
        <w:rPr>
          <w:rFonts w:ascii="Times New Roman" w:eastAsia="Calibri" w:hAnsi="Times New Roman" w:cs="Times New Roman"/>
          <w:noProof/>
          <w:kern w:val="0"/>
          <w:sz w:val="24"/>
          <w:lang w:eastAsia="en-IE"/>
          <w14:ligatures w14:val="none"/>
        </w:rPr>
        <w:t>.</w:t>
      </w:r>
      <w:r w:rsidR="00731D74">
        <w:rPr>
          <w:rFonts w:ascii="Times New Roman" w:eastAsia="Calibri" w:hAnsi="Times New Roman" w:cs="Times New Roman"/>
          <w:noProof/>
          <w:kern w:val="0"/>
          <w:sz w:val="24"/>
          <w:lang w:eastAsia="en-IE"/>
          <w14:ligatures w14:val="none"/>
        </w:rPr>
        <w:t xml:space="preserve"> </w:t>
      </w:r>
    </w:p>
    <w:p w14:paraId="23DEF4DC" w14:textId="11CC633C" w:rsidR="00391060" w:rsidRDefault="00391060" w:rsidP="007460E3">
      <w:pPr>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 xml:space="preserve">The Commission adopted the following </w:t>
      </w:r>
      <w:r w:rsidR="00F24001">
        <w:rPr>
          <w:rFonts w:ascii="Times New Roman" w:eastAsia="Calibri" w:hAnsi="Times New Roman" w:cs="Times New Roman"/>
          <w:noProof/>
          <w:kern w:val="0"/>
          <w:sz w:val="24"/>
          <w:lang w:eastAsia="en-IE"/>
          <w14:ligatures w14:val="none"/>
        </w:rPr>
        <w:t xml:space="preserve">seven </w:t>
      </w:r>
      <w:r>
        <w:rPr>
          <w:rFonts w:ascii="Times New Roman" w:eastAsia="Calibri" w:hAnsi="Times New Roman" w:cs="Times New Roman"/>
          <w:noProof/>
          <w:kern w:val="0"/>
          <w:sz w:val="24"/>
          <w:lang w:eastAsia="en-IE"/>
          <w14:ligatures w14:val="none"/>
        </w:rPr>
        <w:t>delegated acts:</w:t>
      </w:r>
    </w:p>
    <w:p w14:paraId="4BD7E97B" w14:textId="7D33AE97" w:rsidR="00D15BFD" w:rsidRDefault="003405AF" w:rsidP="005B745F">
      <w:pPr>
        <w:pStyle w:val="ListParagraph"/>
        <w:numPr>
          <w:ilvl w:val="0"/>
          <w:numId w:val="2"/>
        </w:numPr>
        <w:contextualSpacing w:val="0"/>
        <w:jc w:val="both"/>
        <w:rPr>
          <w:rFonts w:ascii="Times New Roman" w:eastAsia="Calibri" w:hAnsi="Times New Roman" w:cs="Times New Roman"/>
          <w:noProof/>
          <w:kern w:val="0"/>
          <w:sz w:val="24"/>
          <w:lang w:eastAsia="en-IE"/>
          <w14:ligatures w14:val="none"/>
        </w:rPr>
      </w:pPr>
      <w:r w:rsidRPr="003405AF">
        <w:rPr>
          <w:rFonts w:ascii="Times New Roman" w:eastAsia="Calibri" w:hAnsi="Times New Roman" w:cs="Times New Roman"/>
          <w:noProof/>
          <w:kern w:val="0"/>
          <w:sz w:val="24"/>
          <w:lang w:eastAsia="en-IE"/>
          <w14:ligatures w14:val="none"/>
        </w:rPr>
        <w:t>Commission Delegated Regulation (EU) 2025/2003 of 8 September 2025 amending Regulation (EU) 2021/821 of the European Parliament and of the Council as regards the list of dual-use items</w:t>
      </w:r>
      <w:r>
        <w:rPr>
          <w:rStyle w:val="FootnoteReference"/>
          <w:rFonts w:ascii="Times New Roman" w:eastAsia="Calibri" w:hAnsi="Times New Roman" w:cs="Times New Roman"/>
          <w:noProof/>
          <w:kern w:val="0"/>
          <w:sz w:val="24"/>
          <w:lang w:eastAsia="en-IE"/>
          <w14:ligatures w14:val="none"/>
        </w:rPr>
        <w:footnoteReference w:id="4"/>
      </w:r>
    </w:p>
    <w:p w14:paraId="1E556A23" w14:textId="32ED11FD" w:rsidR="00CC5D6A" w:rsidRDefault="00CC5D6A" w:rsidP="005B745F">
      <w:pPr>
        <w:pStyle w:val="ListParagraph"/>
        <w:numPr>
          <w:ilvl w:val="0"/>
          <w:numId w:val="2"/>
        </w:numPr>
        <w:contextualSpacing w:val="0"/>
        <w:jc w:val="both"/>
        <w:rPr>
          <w:rFonts w:ascii="Times New Roman" w:eastAsia="Calibri" w:hAnsi="Times New Roman" w:cs="Times New Roman"/>
          <w:noProof/>
          <w:kern w:val="0"/>
          <w:sz w:val="24"/>
          <w:lang w:eastAsia="en-IE"/>
          <w14:ligatures w14:val="none"/>
        </w:rPr>
      </w:pPr>
      <w:r>
        <w:rPr>
          <w:rFonts w:ascii="Times New Roman" w:eastAsia="Calibri" w:hAnsi="Times New Roman" w:cs="Times New Roman"/>
          <w:noProof/>
          <w:kern w:val="0"/>
          <w:sz w:val="24"/>
          <w:lang w:eastAsia="en-IE"/>
          <w14:ligatures w14:val="none"/>
        </w:rPr>
        <w:t>C</w:t>
      </w:r>
      <w:r w:rsidR="006F3AC7">
        <w:rPr>
          <w:rFonts w:ascii="Times New Roman" w:eastAsia="Calibri" w:hAnsi="Times New Roman" w:cs="Times New Roman"/>
          <w:noProof/>
          <w:kern w:val="0"/>
          <w:sz w:val="24"/>
          <w:lang w:eastAsia="en-IE"/>
          <w14:ligatures w14:val="none"/>
        </w:rPr>
        <w:t xml:space="preserve">ommission Delegated Regulation (EU) </w:t>
      </w:r>
      <w:r w:rsidR="006F3AC7" w:rsidRPr="006F3AC7">
        <w:rPr>
          <w:rFonts w:ascii="Times New Roman" w:eastAsia="Calibri" w:hAnsi="Times New Roman" w:cs="Times New Roman"/>
          <w:noProof/>
          <w:kern w:val="0"/>
          <w:sz w:val="24"/>
          <w:lang w:eastAsia="en-IE"/>
          <w14:ligatures w14:val="none"/>
        </w:rPr>
        <w:t>2024/2547 of 5 September 2024 amending Regulation (EU) 2021/821 of the European Parliament and of the Council as regards the list of dual-use items</w:t>
      </w:r>
      <w:r w:rsidR="006F3AC7">
        <w:rPr>
          <w:rStyle w:val="FootnoteReference"/>
          <w:rFonts w:ascii="Times New Roman" w:eastAsia="Calibri" w:hAnsi="Times New Roman" w:cs="Times New Roman"/>
          <w:noProof/>
          <w:kern w:val="0"/>
          <w:sz w:val="24"/>
          <w:lang w:eastAsia="en-IE"/>
          <w14:ligatures w14:val="none"/>
        </w:rPr>
        <w:footnoteReference w:id="5"/>
      </w:r>
      <w:r w:rsidR="00D15BFD">
        <w:rPr>
          <w:rFonts w:ascii="Times New Roman" w:eastAsia="Calibri" w:hAnsi="Times New Roman" w:cs="Times New Roman"/>
          <w:noProof/>
          <w:kern w:val="0"/>
          <w:sz w:val="24"/>
          <w:lang w:eastAsia="en-IE"/>
          <w14:ligatures w14:val="none"/>
        </w:rPr>
        <w:t>,</w:t>
      </w:r>
    </w:p>
    <w:p w14:paraId="2953E8FB" w14:textId="64835B60" w:rsidR="00EC3E11" w:rsidRPr="00EC3E11" w:rsidRDefault="00EC3E11" w:rsidP="005B745F">
      <w:pPr>
        <w:pStyle w:val="ListParagraph"/>
        <w:numPr>
          <w:ilvl w:val="0"/>
          <w:numId w:val="2"/>
        </w:numPr>
        <w:contextualSpacing w:val="0"/>
        <w:jc w:val="both"/>
        <w:rPr>
          <w:rFonts w:ascii="Times New Roman" w:eastAsia="Calibri" w:hAnsi="Times New Roman" w:cs="Times New Roman"/>
          <w:noProof/>
          <w:kern w:val="0"/>
          <w:sz w:val="24"/>
          <w:lang w:eastAsia="en-IE"/>
          <w14:ligatures w14:val="none"/>
        </w:rPr>
      </w:pPr>
      <w:r w:rsidRPr="00EC3E11">
        <w:rPr>
          <w:rFonts w:ascii="Times New Roman" w:eastAsia="Calibri" w:hAnsi="Times New Roman" w:cs="Times New Roman"/>
          <w:noProof/>
          <w:kern w:val="0"/>
          <w:sz w:val="24"/>
          <w:lang w:eastAsia="en-IE"/>
          <w14:ligatures w14:val="none"/>
        </w:rPr>
        <w:t xml:space="preserve">Commission </w:t>
      </w:r>
      <w:r>
        <w:rPr>
          <w:rFonts w:ascii="Times New Roman" w:eastAsia="Calibri" w:hAnsi="Times New Roman" w:cs="Times New Roman"/>
          <w:noProof/>
          <w:kern w:val="0"/>
          <w:sz w:val="24"/>
          <w:lang w:eastAsia="en-IE"/>
          <w14:ligatures w14:val="none"/>
        </w:rPr>
        <w:t xml:space="preserve">Delegated Regulation (EU) 2023/2616 of 15 September 2023 </w:t>
      </w:r>
      <w:r w:rsidR="00506D23" w:rsidRPr="00506D23">
        <w:rPr>
          <w:rFonts w:ascii="Times New Roman" w:eastAsia="Calibri" w:hAnsi="Times New Roman" w:cs="Times New Roman"/>
          <w:noProof/>
          <w:kern w:val="0"/>
          <w:sz w:val="24"/>
          <w:lang w:eastAsia="en-IE"/>
          <w14:ligatures w14:val="none"/>
        </w:rPr>
        <w:t>amending Regulation (EU) 2021/821 of the European Parliament and of the Council as regards the list of dual-use items</w:t>
      </w:r>
      <w:r w:rsidR="00256D45">
        <w:rPr>
          <w:rStyle w:val="FootnoteReference"/>
          <w:rFonts w:ascii="Times New Roman" w:eastAsia="Calibri" w:hAnsi="Times New Roman" w:cs="Times New Roman"/>
          <w:noProof/>
          <w:kern w:val="0"/>
          <w:sz w:val="24"/>
          <w:lang w:eastAsia="en-IE"/>
          <w14:ligatures w14:val="none"/>
        </w:rPr>
        <w:footnoteReference w:id="6"/>
      </w:r>
      <w:r w:rsidR="00CC5D6A">
        <w:rPr>
          <w:rFonts w:ascii="Times New Roman" w:eastAsia="Calibri" w:hAnsi="Times New Roman" w:cs="Times New Roman"/>
          <w:noProof/>
          <w:kern w:val="0"/>
          <w:sz w:val="24"/>
          <w:lang w:eastAsia="en-IE"/>
          <w14:ligatures w14:val="none"/>
        </w:rPr>
        <w:t>,</w:t>
      </w:r>
    </w:p>
    <w:p w14:paraId="330A9356" w14:textId="5DCD5572" w:rsidR="00190FB0" w:rsidRPr="00EC3E11" w:rsidRDefault="00892AC0" w:rsidP="005B745F">
      <w:pPr>
        <w:pStyle w:val="ListParagraph"/>
        <w:numPr>
          <w:ilvl w:val="0"/>
          <w:numId w:val="2"/>
        </w:numPr>
        <w:contextualSpacing w:val="0"/>
        <w:jc w:val="both"/>
        <w:rPr>
          <w:rFonts w:ascii="Times New Roman" w:eastAsia="Calibri" w:hAnsi="Times New Roman" w:cs="Times New Roman"/>
          <w:noProof/>
          <w:kern w:val="0"/>
          <w:sz w:val="24"/>
          <w:lang w:eastAsia="en-IE"/>
          <w14:ligatures w14:val="none"/>
        </w:rPr>
      </w:pPr>
      <w:r w:rsidRPr="00EC3E11">
        <w:rPr>
          <w:rFonts w:ascii="Times New Roman" w:eastAsia="Calibri" w:hAnsi="Times New Roman" w:cs="Times New Roman"/>
          <w:noProof/>
          <w:kern w:val="0"/>
          <w:sz w:val="24"/>
          <w:lang w:eastAsia="en-IE"/>
          <w14:ligatures w14:val="none"/>
        </w:rPr>
        <w:t xml:space="preserve">Commission Delegated Regulation (EU) </w:t>
      </w:r>
      <w:r w:rsidR="002865F4" w:rsidRPr="00EC3E11">
        <w:rPr>
          <w:rFonts w:ascii="Times New Roman" w:eastAsia="Calibri" w:hAnsi="Times New Roman" w:cs="Times New Roman"/>
          <w:noProof/>
          <w:kern w:val="0"/>
          <w:sz w:val="24"/>
          <w:lang w:eastAsia="en-IE"/>
          <w14:ligatures w14:val="none"/>
        </w:rPr>
        <w:t>2023/996 of 23 February 2023 amending Regulation (EU) 2021/821 of the European Parliament and of the Council as regards the list of dual-use items</w:t>
      </w:r>
      <w:r w:rsidR="002865F4" w:rsidRPr="00EC3E11">
        <w:rPr>
          <w:rStyle w:val="FootnoteReference"/>
          <w:rFonts w:ascii="Times New Roman" w:eastAsia="Calibri" w:hAnsi="Times New Roman" w:cs="Times New Roman"/>
          <w:noProof/>
          <w:kern w:val="0"/>
          <w:sz w:val="24"/>
          <w:lang w:eastAsia="en-IE"/>
          <w14:ligatures w14:val="none"/>
        </w:rPr>
        <w:footnoteReference w:id="7"/>
      </w:r>
    </w:p>
    <w:p w14:paraId="5B08CA55" w14:textId="1A185892" w:rsidR="00F36228" w:rsidRPr="00EC3E11" w:rsidRDefault="00C8463A" w:rsidP="005B745F">
      <w:pPr>
        <w:pStyle w:val="ListParagraph"/>
        <w:numPr>
          <w:ilvl w:val="0"/>
          <w:numId w:val="2"/>
        </w:numPr>
        <w:contextualSpacing w:val="0"/>
        <w:jc w:val="both"/>
        <w:rPr>
          <w:rFonts w:ascii="Times New Roman" w:eastAsia="Calibri" w:hAnsi="Times New Roman" w:cs="Times New Roman"/>
          <w:noProof/>
          <w:kern w:val="0"/>
          <w:sz w:val="24"/>
          <w:lang w:eastAsia="en-IE"/>
          <w14:ligatures w14:val="none"/>
        </w:rPr>
      </w:pPr>
      <w:r w:rsidRPr="00EC3E11">
        <w:rPr>
          <w:rFonts w:ascii="Times New Roman" w:eastAsia="Calibri" w:hAnsi="Times New Roman" w:cs="Times New Roman"/>
          <w:noProof/>
          <w:kern w:val="0"/>
          <w:sz w:val="24"/>
          <w:lang w:eastAsia="en-IE"/>
          <w14:ligatures w14:val="none"/>
        </w:rPr>
        <w:t xml:space="preserve">Commission Delegated Regulation (EU) </w:t>
      </w:r>
      <w:r w:rsidR="00B41219" w:rsidRPr="00EC3E11">
        <w:rPr>
          <w:rFonts w:ascii="Times New Roman" w:eastAsia="Calibri" w:hAnsi="Times New Roman" w:cs="Times New Roman"/>
          <w:noProof/>
          <w:kern w:val="0"/>
          <w:sz w:val="24"/>
          <w:lang w:eastAsia="en-IE"/>
          <w14:ligatures w14:val="none"/>
        </w:rPr>
        <w:t>2023/</w:t>
      </w:r>
      <w:r w:rsidR="00E41428" w:rsidRPr="00EC3E11">
        <w:rPr>
          <w:rFonts w:ascii="Times New Roman" w:eastAsia="Calibri" w:hAnsi="Times New Roman" w:cs="Times New Roman"/>
          <w:noProof/>
          <w:kern w:val="0"/>
          <w:sz w:val="24"/>
          <w:lang w:eastAsia="en-IE"/>
          <w14:ligatures w14:val="none"/>
        </w:rPr>
        <w:t>66 of 21 October 2022 amending Regulation (EU) 2021/821 of the European Parliament and of the Council as regards the list of dual-use items</w:t>
      </w:r>
      <w:r w:rsidR="00E41428" w:rsidRPr="00EC3E11">
        <w:rPr>
          <w:rStyle w:val="FootnoteReference"/>
          <w:rFonts w:ascii="Times New Roman" w:eastAsia="Calibri" w:hAnsi="Times New Roman" w:cs="Times New Roman"/>
          <w:noProof/>
          <w:kern w:val="0"/>
          <w:sz w:val="24"/>
          <w:lang w:eastAsia="en-IE"/>
          <w14:ligatures w14:val="none"/>
        </w:rPr>
        <w:footnoteReference w:id="8"/>
      </w:r>
      <w:r w:rsidR="00190FB0" w:rsidRPr="00EC3E11">
        <w:rPr>
          <w:rFonts w:ascii="Times New Roman" w:eastAsia="Calibri" w:hAnsi="Times New Roman" w:cs="Times New Roman"/>
          <w:noProof/>
          <w:kern w:val="0"/>
          <w:sz w:val="24"/>
          <w:lang w:eastAsia="en-IE"/>
          <w14:ligatures w14:val="none"/>
        </w:rPr>
        <w:t>,</w:t>
      </w:r>
    </w:p>
    <w:p w14:paraId="5757A6C6" w14:textId="065ED627" w:rsidR="00B614A5" w:rsidRPr="00EC3E11" w:rsidRDefault="004E713A" w:rsidP="005B745F">
      <w:pPr>
        <w:pStyle w:val="ListParagraph"/>
        <w:numPr>
          <w:ilvl w:val="0"/>
          <w:numId w:val="2"/>
        </w:numPr>
        <w:contextualSpacing w:val="0"/>
        <w:jc w:val="both"/>
        <w:rPr>
          <w:rFonts w:ascii="Times New Roman" w:eastAsia="Calibri" w:hAnsi="Times New Roman" w:cs="Times New Roman"/>
          <w:noProof/>
          <w:kern w:val="0"/>
          <w:sz w:val="24"/>
          <w:lang w:eastAsia="en-IE"/>
          <w14:ligatures w14:val="none"/>
        </w:rPr>
      </w:pPr>
      <w:r w:rsidRPr="00EC3E11">
        <w:rPr>
          <w:rFonts w:ascii="Times New Roman" w:eastAsia="Calibri" w:hAnsi="Times New Roman" w:cs="Times New Roman"/>
          <w:noProof/>
          <w:kern w:val="0"/>
          <w:sz w:val="24"/>
          <w:lang w:eastAsia="en-IE"/>
          <w14:ligatures w14:val="none"/>
        </w:rPr>
        <w:t xml:space="preserve">Commission Delegated Regulation (EU) 2022/699 of 3 May 2022 </w:t>
      </w:r>
      <w:r w:rsidR="00D94327" w:rsidRPr="00EC3E11">
        <w:rPr>
          <w:rFonts w:ascii="Times New Roman" w:eastAsia="Calibri" w:hAnsi="Times New Roman" w:cs="Times New Roman"/>
          <w:noProof/>
          <w:kern w:val="0"/>
          <w:sz w:val="24"/>
          <w:lang w:eastAsia="en-IE"/>
          <w14:ligatures w14:val="none"/>
        </w:rPr>
        <w:t>amending Regulation (EU) 2021/821 of the European Parliament and of the Council by removing Russia as a destination from the scope of Union general export authorisations</w:t>
      </w:r>
      <w:r w:rsidR="00D94327" w:rsidRPr="00EC3E11">
        <w:rPr>
          <w:rStyle w:val="FootnoteReference"/>
          <w:rFonts w:ascii="Times New Roman" w:eastAsia="Calibri" w:hAnsi="Times New Roman" w:cs="Times New Roman"/>
          <w:noProof/>
          <w:kern w:val="0"/>
          <w:sz w:val="24"/>
          <w:lang w:eastAsia="en-IE"/>
          <w14:ligatures w14:val="none"/>
        </w:rPr>
        <w:footnoteReference w:id="9"/>
      </w:r>
      <w:r w:rsidR="00E41428" w:rsidRPr="00EC3E11">
        <w:rPr>
          <w:rFonts w:ascii="Times New Roman" w:eastAsia="Calibri" w:hAnsi="Times New Roman" w:cs="Times New Roman"/>
          <w:noProof/>
          <w:kern w:val="0"/>
          <w:sz w:val="24"/>
          <w:lang w:eastAsia="en-IE"/>
          <w14:ligatures w14:val="none"/>
        </w:rPr>
        <w:t>,</w:t>
      </w:r>
    </w:p>
    <w:p w14:paraId="64C4E954" w14:textId="1BE157F5" w:rsidR="00391060" w:rsidRPr="00EC3E11" w:rsidRDefault="00144E34" w:rsidP="005B745F">
      <w:pPr>
        <w:pStyle w:val="ListParagraph"/>
        <w:numPr>
          <w:ilvl w:val="0"/>
          <w:numId w:val="2"/>
        </w:numPr>
        <w:contextualSpacing w:val="0"/>
        <w:jc w:val="both"/>
        <w:rPr>
          <w:rFonts w:ascii="Times New Roman" w:eastAsia="Calibri" w:hAnsi="Times New Roman" w:cs="Times New Roman"/>
          <w:noProof/>
          <w:kern w:val="0"/>
          <w:sz w:val="24"/>
          <w:lang w:eastAsia="en-IE"/>
          <w14:ligatures w14:val="none"/>
        </w:rPr>
      </w:pPr>
      <w:r w:rsidRPr="00EC3E11">
        <w:rPr>
          <w:rFonts w:ascii="Times New Roman" w:eastAsia="Calibri" w:hAnsi="Times New Roman" w:cs="Times New Roman"/>
          <w:noProof/>
          <w:kern w:val="0"/>
          <w:sz w:val="24"/>
          <w:lang w:eastAsia="en-IE"/>
          <w14:ligatures w14:val="none"/>
        </w:rPr>
        <w:t xml:space="preserve">Commission Delegated </w:t>
      </w:r>
      <w:r w:rsidR="00E675BF" w:rsidRPr="00EC3E11">
        <w:rPr>
          <w:rFonts w:ascii="Times New Roman" w:eastAsia="Calibri" w:hAnsi="Times New Roman" w:cs="Times New Roman"/>
          <w:noProof/>
          <w:kern w:val="0"/>
          <w:sz w:val="24"/>
          <w:lang w:eastAsia="en-IE"/>
          <w14:ligatures w14:val="none"/>
        </w:rPr>
        <w:t xml:space="preserve">Regulation </w:t>
      </w:r>
      <w:r w:rsidR="00EF7B6A" w:rsidRPr="00EC3E11">
        <w:rPr>
          <w:rFonts w:ascii="Times New Roman" w:eastAsia="Calibri" w:hAnsi="Times New Roman" w:cs="Times New Roman"/>
          <w:noProof/>
          <w:kern w:val="0"/>
          <w:sz w:val="24"/>
          <w:lang w:eastAsia="en-IE"/>
          <w14:ligatures w14:val="none"/>
        </w:rPr>
        <w:t xml:space="preserve">(EU) </w:t>
      </w:r>
      <w:r w:rsidR="00515CD8" w:rsidRPr="00EC3E11">
        <w:rPr>
          <w:rFonts w:ascii="Times New Roman" w:eastAsia="Calibri" w:hAnsi="Times New Roman" w:cs="Times New Roman"/>
          <w:noProof/>
          <w:kern w:val="0"/>
          <w:sz w:val="24"/>
          <w:lang w:eastAsia="en-IE"/>
          <w14:ligatures w14:val="none"/>
        </w:rPr>
        <w:t xml:space="preserve">2022/1 of 20 October 2021 amending Regulation (EU) 2021/821 of the European Parliament </w:t>
      </w:r>
      <w:r w:rsidR="00C52805" w:rsidRPr="00EC3E11">
        <w:rPr>
          <w:rFonts w:ascii="Times New Roman" w:eastAsia="Calibri" w:hAnsi="Times New Roman" w:cs="Times New Roman"/>
          <w:noProof/>
          <w:kern w:val="0"/>
          <w:sz w:val="24"/>
          <w:lang w:eastAsia="en-IE"/>
          <w14:ligatures w14:val="none"/>
        </w:rPr>
        <w:t>and of the Council as regards the list of dual-use items</w:t>
      </w:r>
      <w:r w:rsidR="00C52805" w:rsidRPr="00EC3E11">
        <w:rPr>
          <w:rStyle w:val="FootnoteReference"/>
          <w:rFonts w:ascii="Times New Roman" w:eastAsia="Calibri" w:hAnsi="Times New Roman" w:cs="Times New Roman"/>
          <w:noProof/>
          <w:kern w:val="0"/>
          <w:sz w:val="24"/>
          <w:lang w:eastAsia="en-IE"/>
          <w14:ligatures w14:val="none"/>
        </w:rPr>
        <w:footnoteReference w:id="10"/>
      </w:r>
      <w:r w:rsidR="00B614A5" w:rsidRPr="00EC3E11">
        <w:rPr>
          <w:rFonts w:ascii="Times New Roman" w:eastAsia="Calibri" w:hAnsi="Times New Roman" w:cs="Times New Roman"/>
          <w:noProof/>
          <w:kern w:val="0"/>
          <w:sz w:val="24"/>
          <w:lang w:eastAsia="en-IE"/>
          <w14:ligatures w14:val="none"/>
        </w:rPr>
        <w:t>.</w:t>
      </w:r>
    </w:p>
    <w:p w14:paraId="4C0CC965" w14:textId="022AF8CE" w:rsidR="001D683F" w:rsidRDefault="00A421D2" w:rsidP="000E1A99">
      <w:pPr>
        <w:pStyle w:val="Heading1"/>
        <w:keepLines w:val="0"/>
        <w:numPr>
          <w:ilvl w:val="0"/>
          <w:numId w:val="1"/>
        </w:numPr>
        <w:tabs>
          <w:tab w:val="num" w:pos="482"/>
        </w:tabs>
        <w:spacing w:before="240" w:after="240" w:line="240" w:lineRule="auto"/>
        <w:ind w:left="482" w:hanging="482"/>
        <w:jc w:val="both"/>
        <w:rPr>
          <w:rFonts w:ascii="Times New Roman" w:eastAsia="Times New Roman" w:hAnsi="Times New Roman" w:cs="Times New Roman"/>
          <w:b/>
          <w:smallCaps/>
          <w:noProof/>
          <w:color w:val="auto"/>
          <w:kern w:val="0"/>
          <w:sz w:val="24"/>
          <w:szCs w:val="20"/>
          <w:lang w:eastAsia="en-IE"/>
          <w14:ligatures w14:val="none"/>
        </w:rPr>
      </w:pPr>
      <w:r w:rsidRPr="000E1A99">
        <w:rPr>
          <w:rFonts w:ascii="Times New Roman" w:eastAsia="Times New Roman" w:hAnsi="Times New Roman" w:cs="Times New Roman"/>
          <w:b/>
          <w:smallCaps/>
          <w:noProof/>
          <w:color w:val="auto"/>
          <w:kern w:val="0"/>
          <w:sz w:val="24"/>
          <w:szCs w:val="20"/>
          <w:lang w:eastAsia="en-IE"/>
          <w14:ligatures w14:val="none"/>
        </w:rPr>
        <w:t xml:space="preserve"> </w:t>
      </w:r>
      <w:r w:rsidR="000E1A99" w:rsidRPr="000E1A99">
        <w:rPr>
          <w:rFonts w:ascii="Times New Roman" w:eastAsia="Times New Roman" w:hAnsi="Times New Roman" w:cs="Times New Roman"/>
          <w:b/>
          <w:smallCaps/>
          <w:noProof/>
          <w:color w:val="auto"/>
          <w:kern w:val="0"/>
          <w:sz w:val="24"/>
          <w:szCs w:val="20"/>
          <w:lang w:eastAsia="en-IE"/>
          <w14:ligatures w14:val="none"/>
        </w:rPr>
        <w:t>Conclusion</w:t>
      </w:r>
    </w:p>
    <w:p w14:paraId="2E4852F5" w14:textId="34A24917" w:rsidR="0086315E" w:rsidRDefault="0086315E" w:rsidP="000E1A99">
      <w:pPr>
        <w:rPr>
          <w:rFonts w:ascii="Times New Roman" w:eastAsia="Calibri" w:hAnsi="Times New Roman" w:cs="Times New Roman"/>
          <w:noProof/>
          <w:kern w:val="0"/>
          <w:sz w:val="24"/>
          <w:lang w:val="en-IE" w:eastAsia="en-IE"/>
          <w14:ligatures w14:val="none"/>
        </w:rPr>
      </w:pPr>
      <w:r>
        <w:rPr>
          <w:rFonts w:ascii="Times New Roman" w:eastAsia="Calibri" w:hAnsi="Times New Roman" w:cs="Times New Roman"/>
          <w:noProof/>
          <w:kern w:val="0"/>
          <w:sz w:val="24"/>
          <w:lang w:val="en-IE" w:eastAsia="en-IE"/>
          <w14:ligatures w14:val="none"/>
        </w:rPr>
        <w:t>Given the explanation provided in Section 3, the Commission considers that there is a clear need for a ta</w:t>
      </w:r>
      <w:r w:rsidR="004D0010">
        <w:rPr>
          <w:rFonts w:ascii="Times New Roman" w:eastAsia="Calibri" w:hAnsi="Times New Roman" w:cs="Times New Roman"/>
          <w:noProof/>
          <w:kern w:val="0"/>
          <w:sz w:val="24"/>
          <w:lang w:val="en-IE" w:eastAsia="en-IE"/>
          <w14:ligatures w14:val="none"/>
        </w:rPr>
        <w:t>c</w:t>
      </w:r>
      <w:r>
        <w:rPr>
          <w:rFonts w:ascii="Times New Roman" w:eastAsia="Calibri" w:hAnsi="Times New Roman" w:cs="Times New Roman"/>
          <w:noProof/>
          <w:kern w:val="0"/>
          <w:sz w:val="24"/>
          <w:lang w:val="en-IE" w:eastAsia="en-IE"/>
          <w14:ligatures w14:val="none"/>
        </w:rPr>
        <w:t>it extension of the delegation of power provided for in Article 17 of the Dual-Use Regulation for a further period of five years.</w:t>
      </w:r>
    </w:p>
    <w:p w14:paraId="587FB591" w14:textId="18AFE09B" w:rsidR="000E1A99" w:rsidRPr="007460E3" w:rsidRDefault="007460E3" w:rsidP="000E1A99">
      <w:pPr>
        <w:rPr>
          <w:rFonts w:ascii="Times New Roman" w:eastAsia="Calibri" w:hAnsi="Times New Roman" w:cs="Times New Roman"/>
          <w:noProof/>
          <w:kern w:val="0"/>
          <w:sz w:val="24"/>
          <w:lang w:val="en-IE" w:eastAsia="en-IE"/>
          <w14:ligatures w14:val="none"/>
        </w:rPr>
      </w:pPr>
      <w:r w:rsidRPr="007460E3">
        <w:rPr>
          <w:rFonts w:ascii="Times New Roman" w:eastAsia="Calibri" w:hAnsi="Times New Roman" w:cs="Times New Roman"/>
          <w:noProof/>
          <w:kern w:val="0"/>
          <w:sz w:val="24"/>
          <w:lang w:val="en-IE" w:eastAsia="en-IE"/>
          <w14:ligatures w14:val="none"/>
        </w:rPr>
        <w:t>The Commission invites the European Parliament and the Council to take note of this report.</w:t>
      </w:r>
    </w:p>
    <w:sectPr w:rsidR="000E1A99" w:rsidRPr="007460E3" w:rsidSect="009B07A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EBF0B" w14:textId="77777777" w:rsidR="00FC215C" w:rsidRDefault="00FC215C" w:rsidP="00E825A7">
      <w:pPr>
        <w:spacing w:after="0" w:line="240" w:lineRule="auto"/>
      </w:pPr>
      <w:r>
        <w:separator/>
      </w:r>
    </w:p>
  </w:endnote>
  <w:endnote w:type="continuationSeparator" w:id="0">
    <w:p w14:paraId="676EC685" w14:textId="77777777" w:rsidR="00FC215C" w:rsidRDefault="00FC215C" w:rsidP="00E82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E5A9A" w14:textId="0586F347" w:rsidR="002846F0" w:rsidRPr="002846F0" w:rsidRDefault="002846F0" w:rsidP="002846F0">
    <w:pPr>
      <w:pStyle w:val="FooterCoverPage"/>
      <w:rPr>
        <w:rFonts w:ascii="Arial" w:hAnsi="Arial" w:cs="Arial"/>
        <w:b/>
        <w:sz w:val="48"/>
      </w:rPr>
    </w:pPr>
    <w:r w:rsidRPr="002846F0">
      <w:rPr>
        <w:rFonts w:ascii="Arial" w:hAnsi="Arial" w:cs="Arial"/>
        <w:b/>
        <w:sz w:val="48"/>
      </w:rPr>
      <w:t>EN</w:t>
    </w:r>
    <w:r w:rsidRPr="002846F0">
      <w:rPr>
        <w:rFonts w:ascii="Arial" w:hAnsi="Arial" w:cs="Arial"/>
        <w:b/>
        <w:sz w:val="48"/>
      </w:rPr>
      <w:tab/>
    </w:r>
    <w:r w:rsidRPr="002846F0">
      <w:rPr>
        <w:rFonts w:ascii="Arial" w:hAnsi="Arial" w:cs="Arial"/>
        <w:b/>
        <w:sz w:val="48"/>
      </w:rPr>
      <w:tab/>
    </w:r>
    <w:r w:rsidRPr="002846F0">
      <w:tab/>
    </w:r>
    <w:r w:rsidRPr="002846F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F5DA6" w14:textId="5A92A30B" w:rsidR="002846F0" w:rsidRPr="002846F0" w:rsidRDefault="002846F0" w:rsidP="002846F0">
    <w:pPr>
      <w:pStyle w:val="FooterCoverPage"/>
      <w:rPr>
        <w:rFonts w:ascii="Arial" w:hAnsi="Arial" w:cs="Arial"/>
        <w:b/>
        <w:sz w:val="48"/>
      </w:rPr>
    </w:pPr>
    <w:r w:rsidRPr="002846F0">
      <w:rPr>
        <w:rFonts w:ascii="Arial" w:hAnsi="Arial" w:cs="Arial"/>
        <w:b/>
        <w:sz w:val="48"/>
      </w:rPr>
      <w:t>EN</w:t>
    </w:r>
    <w:r w:rsidRPr="002846F0">
      <w:rPr>
        <w:rFonts w:ascii="Arial" w:hAnsi="Arial" w:cs="Arial"/>
        <w:b/>
        <w:sz w:val="48"/>
      </w:rPr>
      <w:tab/>
    </w:r>
    <w:r w:rsidRPr="002846F0">
      <w:rPr>
        <w:rFonts w:ascii="Arial" w:hAnsi="Arial" w:cs="Arial"/>
        <w:b/>
        <w:sz w:val="48"/>
      </w:rPr>
      <w:tab/>
    </w:r>
    <w:r w:rsidRPr="002846F0">
      <w:tab/>
    </w:r>
    <w:r w:rsidRPr="002846F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15E70" w14:textId="77777777" w:rsidR="002846F0" w:rsidRPr="002846F0" w:rsidRDefault="002846F0" w:rsidP="002846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68BDB" w14:textId="77777777" w:rsidR="00E825A7" w:rsidRDefault="00E825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479222"/>
      <w:docPartObj>
        <w:docPartGallery w:val="Page Numbers (Bottom of Page)"/>
        <w:docPartUnique/>
      </w:docPartObj>
    </w:sdtPr>
    <w:sdtEndPr>
      <w:rPr>
        <w:rFonts w:ascii="Times New Roman" w:hAnsi="Times New Roman" w:cs="Times New Roman"/>
        <w:noProof/>
      </w:rPr>
    </w:sdtEndPr>
    <w:sdtContent>
      <w:p w14:paraId="60A00721" w14:textId="6A302098" w:rsidR="00A02281" w:rsidRPr="00A02281" w:rsidRDefault="00A02281">
        <w:pPr>
          <w:pStyle w:val="Footer"/>
          <w:jc w:val="center"/>
          <w:rPr>
            <w:rFonts w:ascii="Times New Roman" w:hAnsi="Times New Roman" w:cs="Times New Roman"/>
          </w:rPr>
        </w:pPr>
        <w:r w:rsidRPr="00A02281">
          <w:rPr>
            <w:rFonts w:ascii="Times New Roman" w:hAnsi="Times New Roman" w:cs="Times New Roman"/>
          </w:rPr>
          <w:fldChar w:fldCharType="begin"/>
        </w:r>
        <w:r w:rsidRPr="00A02281">
          <w:rPr>
            <w:rFonts w:ascii="Times New Roman" w:hAnsi="Times New Roman" w:cs="Times New Roman"/>
          </w:rPr>
          <w:instrText xml:space="preserve"> PAGE   \* MERGEFORMAT </w:instrText>
        </w:r>
        <w:r w:rsidRPr="00A02281">
          <w:rPr>
            <w:rFonts w:ascii="Times New Roman" w:hAnsi="Times New Roman" w:cs="Times New Roman"/>
          </w:rPr>
          <w:fldChar w:fldCharType="separate"/>
        </w:r>
        <w:r w:rsidR="002846F0">
          <w:rPr>
            <w:rFonts w:ascii="Times New Roman" w:hAnsi="Times New Roman" w:cs="Times New Roman"/>
            <w:noProof/>
          </w:rPr>
          <w:t>1</w:t>
        </w:r>
        <w:r w:rsidRPr="00A02281">
          <w:rPr>
            <w:rFonts w:ascii="Times New Roman" w:hAnsi="Times New Roman" w:cs="Times New Roman"/>
            <w:noProof/>
          </w:rPr>
          <w:fldChar w:fldCharType="end"/>
        </w:r>
      </w:p>
    </w:sdtContent>
  </w:sdt>
  <w:p w14:paraId="10D6F0C4" w14:textId="77777777" w:rsidR="00E825A7" w:rsidRDefault="00E825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78C83" w14:textId="77777777" w:rsidR="00E825A7" w:rsidRDefault="00E82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AB13F" w14:textId="77777777" w:rsidR="00FC215C" w:rsidRDefault="00FC215C" w:rsidP="00E825A7">
      <w:pPr>
        <w:spacing w:after="0" w:line="240" w:lineRule="auto"/>
      </w:pPr>
      <w:r>
        <w:separator/>
      </w:r>
    </w:p>
  </w:footnote>
  <w:footnote w:type="continuationSeparator" w:id="0">
    <w:p w14:paraId="1CCACFAA" w14:textId="77777777" w:rsidR="00FC215C" w:rsidRDefault="00FC215C" w:rsidP="00E825A7">
      <w:pPr>
        <w:spacing w:after="0" w:line="240" w:lineRule="auto"/>
      </w:pPr>
      <w:r>
        <w:continuationSeparator/>
      </w:r>
    </w:p>
  </w:footnote>
  <w:footnote w:id="1">
    <w:p w14:paraId="7DB325D1" w14:textId="14575869" w:rsidR="001A034F" w:rsidRPr="001F450B" w:rsidRDefault="001A034F" w:rsidP="00FD756F">
      <w:pPr>
        <w:pStyle w:val="FootnoteText"/>
        <w:rPr>
          <w:rFonts w:ascii="Times New Roman" w:hAnsi="Times New Roman" w:cs="Times New Roman"/>
          <w:lang w:val="en-IE"/>
        </w:rPr>
      </w:pPr>
      <w:r w:rsidRPr="001F450B">
        <w:rPr>
          <w:rStyle w:val="FootnoteReference"/>
          <w:rFonts w:ascii="Times New Roman" w:hAnsi="Times New Roman" w:cs="Times New Roman"/>
        </w:rPr>
        <w:footnoteRef/>
      </w:r>
      <w:r w:rsidR="00FD756F" w:rsidRPr="001F450B">
        <w:rPr>
          <w:rFonts w:ascii="Times New Roman" w:hAnsi="Times New Roman" w:cs="Times New Roman"/>
        </w:rPr>
        <w:t xml:space="preserve"> </w:t>
      </w:r>
      <w:r w:rsidR="001F450B">
        <w:rPr>
          <w:rFonts w:ascii="Times New Roman" w:hAnsi="Times New Roman" w:cs="Times New Roman"/>
        </w:rPr>
        <w:tab/>
      </w:r>
      <w:r w:rsidRPr="001F450B">
        <w:rPr>
          <w:rFonts w:ascii="Times New Roman" w:eastAsia="Times New Roman" w:hAnsi="Times New Roman" w:cs="Times New Roman"/>
          <w:kern w:val="0"/>
          <w:lang w:eastAsia="en-IE"/>
          <w14:ligatures w14:val="none"/>
        </w:rPr>
        <w:t>Regulation (EU) 2021/821 of the European Parliament and of the Council of 20 May 2021 setting up a</w:t>
      </w:r>
      <w:r w:rsidR="00FD756F" w:rsidRPr="001F450B">
        <w:rPr>
          <w:rFonts w:ascii="Times New Roman" w:eastAsia="Times New Roman" w:hAnsi="Times New Roman" w:cs="Times New Roman"/>
          <w:kern w:val="0"/>
          <w:lang w:eastAsia="en-IE"/>
          <w14:ligatures w14:val="none"/>
        </w:rPr>
        <w:t xml:space="preserve"> </w:t>
      </w:r>
      <w:r w:rsidRPr="001F450B">
        <w:rPr>
          <w:rFonts w:ascii="Times New Roman" w:eastAsia="Times New Roman" w:hAnsi="Times New Roman" w:cs="Times New Roman"/>
          <w:kern w:val="0"/>
          <w:lang w:eastAsia="en-IE"/>
          <w14:ligatures w14:val="none"/>
        </w:rPr>
        <w:t>Union regime for the control of exports, brokering, technical assistance, transit and transfer of dual-use items (recast), OJ L 206 11.6.2021, p.1</w:t>
      </w:r>
      <w:r w:rsidR="000D289D">
        <w:rPr>
          <w:rFonts w:ascii="Times New Roman" w:eastAsia="Times New Roman" w:hAnsi="Times New Roman" w:cs="Times New Roman"/>
          <w:kern w:val="0"/>
          <w:lang w:eastAsia="en-IE"/>
          <w14:ligatures w14:val="none"/>
        </w:rPr>
        <w:t>.</w:t>
      </w:r>
    </w:p>
  </w:footnote>
  <w:footnote w:id="2">
    <w:p w14:paraId="47CE612B" w14:textId="75E76C56" w:rsidR="00FD756F" w:rsidRPr="001F450B" w:rsidRDefault="00FD756F">
      <w:pPr>
        <w:pStyle w:val="FootnoteText"/>
        <w:rPr>
          <w:rFonts w:ascii="Times New Roman" w:hAnsi="Times New Roman" w:cs="Times New Roman"/>
          <w:lang w:val="en-IE"/>
        </w:rPr>
      </w:pPr>
      <w:r w:rsidRPr="001F450B">
        <w:rPr>
          <w:rStyle w:val="FootnoteReference"/>
          <w:rFonts w:ascii="Times New Roman" w:hAnsi="Times New Roman" w:cs="Times New Roman"/>
        </w:rPr>
        <w:footnoteRef/>
      </w:r>
      <w:r w:rsidRPr="001F450B">
        <w:rPr>
          <w:rFonts w:ascii="Times New Roman" w:hAnsi="Times New Roman" w:cs="Times New Roman"/>
        </w:rPr>
        <w:t xml:space="preserve"> </w:t>
      </w:r>
      <w:r w:rsidR="001F450B">
        <w:rPr>
          <w:rFonts w:ascii="Times New Roman" w:hAnsi="Times New Roman" w:cs="Times New Roman"/>
        </w:rPr>
        <w:tab/>
      </w:r>
      <w:r w:rsidRPr="001F450B">
        <w:rPr>
          <w:rFonts w:ascii="Times New Roman" w:eastAsia="Times New Roman" w:hAnsi="Times New Roman" w:cs="Times New Roman"/>
          <w:kern w:val="0"/>
          <w:lang w:eastAsia="en-IE"/>
          <w14:ligatures w14:val="none"/>
        </w:rPr>
        <w:t>Council Regulation (EC) No 428/2009 of 5 May 2009 setting up a Community regime for the control of exports, transfer, brokering and transit of dual-use items, OJ L 134, 29.5.2009, p.1</w:t>
      </w:r>
      <w:r w:rsidR="000D289D">
        <w:rPr>
          <w:rFonts w:ascii="Times New Roman" w:eastAsia="Times New Roman" w:hAnsi="Times New Roman" w:cs="Times New Roman"/>
          <w:kern w:val="0"/>
          <w:lang w:eastAsia="en-IE"/>
          <w14:ligatures w14:val="none"/>
        </w:rPr>
        <w:t>.</w:t>
      </w:r>
    </w:p>
  </w:footnote>
  <w:footnote w:id="3">
    <w:p w14:paraId="134BFCD7" w14:textId="78E86CAC" w:rsidR="001F450B" w:rsidRPr="001F450B" w:rsidRDefault="001F450B">
      <w:pPr>
        <w:pStyle w:val="FootnoteText"/>
        <w:rPr>
          <w:lang w:val="en-IE"/>
        </w:rPr>
      </w:pPr>
      <w:r w:rsidRPr="001F450B">
        <w:rPr>
          <w:rStyle w:val="FootnoteReference"/>
          <w:rFonts w:ascii="Times New Roman" w:hAnsi="Times New Roman" w:cs="Times New Roman"/>
        </w:rPr>
        <w:footnoteRef/>
      </w:r>
      <w:r w:rsidRPr="001F450B">
        <w:rPr>
          <w:rFonts w:ascii="Times New Roman" w:hAnsi="Times New Roman" w:cs="Times New Roman"/>
        </w:rPr>
        <w:t xml:space="preserve"> </w:t>
      </w:r>
      <w:r>
        <w:rPr>
          <w:rFonts w:ascii="Times New Roman" w:hAnsi="Times New Roman" w:cs="Times New Roman"/>
        </w:rPr>
        <w:tab/>
      </w:r>
      <w:r w:rsidRPr="001F450B">
        <w:rPr>
          <w:rFonts w:ascii="Times New Roman" w:eastAsia="Times New Roman" w:hAnsi="Times New Roman" w:cs="Times New Roman"/>
          <w:kern w:val="0"/>
          <w:lang w:eastAsia="en-IE"/>
          <w14:ligatures w14:val="none"/>
        </w:rPr>
        <w:t>The main multilateral regimes under which most EU export controls are agreed are the Australia Group, the Missile Technology Control Regime, the Nuclear Suppliers Group and the Wassenaar Arrangement. The EU is a member of one of the existing multilateral export control regimes (the Australia Group) and an observer in the Nuclear Suppliers Group.</w:t>
      </w:r>
    </w:p>
  </w:footnote>
  <w:footnote w:id="4">
    <w:p w14:paraId="42BDD692" w14:textId="4A342849" w:rsidR="003405AF" w:rsidRPr="000D289D" w:rsidRDefault="003405AF">
      <w:pPr>
        <w:pStyle w:val="FootnoteText"/>
        <w:rPr>
          <w:lang w:val="fi-FI"/>
        </w:rPr>
      </w:pPr>
      <w:r w:rsidRPr="003405AF">
        <w:rPr>
          <w:rStyle w:val="FootnoteReference"/>
          <w:rFonts w:ascii="Times New Roman" w:hAnsi="Times New Roman" w:cs="Times New Roman"/>
        </w:rPr>
        <w:footnoteRef/>
      </w:r>
      <w:r w:rsidRPr="000D289D">
        <w:rPr>
          <w:rFonts w:ascii="Times New Roman" w:hAnsi="Times New Roman" w:cs="Times New Roman"/>
          <w:lang w:val="fi-FI"/>
        </w:rPr>
        <w:t xml:space="preserve"> </w:t>
      </w:r>
      <w:r w:rsidRPr="000D289D">
        <w:rPr>
          <w:lang w:val="fi-FI"/>
        </w:rPr>
        <w:tab/>
      </w:r>
      <w:r w:rsidRPr="000D289D">
        <w:rPr>
          <w:rFonts w:ascii="Times New Roman" w:hAnsi="Times New Roman" w:cs="Times New Roman"/>
          <w:lang w:val="fi-FI"/>
        </w:rPr>
        <w:t>C/2025/5947, OJ L, 2025/2003, 14.11.2025</w:t>
      </w:r>
      <w:r w:rsidR="000D289D">
        <w:rPr>
          <w:rFonts w:ascii="Times New Roman" w:hAnsi="Times New Roman" w:cs="Times New Roman"/>
          <w:lang w:val="fi-FI"/>
        </w:rPr>
        <w:t>.</w:t>
      </w:r>
    </w:p>
  </w:footnote>
  <w:footnote w:id="5">
    <w:p w14:paraId="6B1436AD" w14:textId="187E165A" w:rsidR="006F3AC7" w:rsidRPr="000D289D" w:rsidRDefault="006F3AC7">
      <w:pPr>
        <w:pStyle w:val="FootnoteText"/>
        <w:rPr>
          <w:lang w:val="fi-FI"/>
        </w:rPr>
      </w:pPr>
      <w:r w:rsidRPr="00D15BFD">
        <w:rPr>
          <w:rStyle w:val="FootnoteReference"/>
          <w:rFonts w:ascii="Times New Roman" w:hAnsi="Times New Roman" w:cs="Times New Roman"/>
        </w:rPr>
        <w:footnoteRef/>
      </w:r>
      <w:r w:rsidRPr="000D289D">
        <w:rPr>
          <w:lang w:val="fi-FI"/>
        </w:rPr>
        <w:t xml:space="preserve"> </w:t>
      </w:r>
      <w:r w:rsidRPr="000D289D">
        <w:rPr>
          <w:lang w:val="fi-FI"/>
        </w:rPr>
        <w:tab/>
      </w:r>
      <w:r w:rsidRPr="000D289D">
        <w:rPr>
          <w:rFonts w:ascii="Times New Roman" w:hAnsi="Times New Roman" w:cs="Times New Roman"/>
          <w:lang w:val="fi-FI"/>
        </w:rPr>
        <w:t>C/2024/6093, OJ L</w:t>
      </w:r>
      <w:r w:rsidR="00D15BFD" w:rsidRPr="000D289D">
        <w:rPr>
          <w:rFonts w:ascii="Times New Roman" w:hAnsi="Times New Roman" w:cs="Times New Roman"/>
          <w:lang w:val="fi-FI"/>
        </w:rPr>
        <w:t>, 2024/2547, 7.11.2024</w:t>
      </w:r>
      <w:r w:rsidR="000D289D">
        <w:rPr>
          <w:lang w:val="fi-FI"/>
        </w:rPr>
        <w:t>.</w:t>
      </w:r>
    </w:p>
  </w:footnote>
  <w:footnote w:id="6">
    <w:p w14:paraId="6E0AB765" w14:textId="382C4AA5" w:rsidR="00256D45" w:rsidRPr="000D289D" w:rsidRDefault="00256D45">
      <w:pPr>
        <w:pStyle w:val="FootnoteText"/>
        <w:rPr>
          <w:lang w:val="fi-FI"/>
        </w:rPr>
      </w:pPr>
      <w:r w:rsidRPr="00CC5D6A">
        <w:rPr>
          <w:rStyle w:val="FootnoteReference"/>
          <w:rFonts w:ascii="Times New Roman" w:hAnsi="Times New Roman" w:cs="Times New Roman"/>
        </w:rPr>
        <w:footnoteRef/>
      </w:r>
      <w:r w:rsidRPr="000D289D">
        <w:rPr>
          <w:rFonts w:ascii="Times New Roman" w:hAnsi="Times New Roman" w:cs="Times New Roman"/>
          <w:lang w:val="fi-FI"/>
        </w:rPr>
        <w:t xml:space="preserve"> </w:t>
      </w:r>
      <w:r w:rsidRPr="000D289D">
        <w:rPr>
          <w:lang w:val="fi-FI"/>
        </w:rPr>
        <w:tab/>
      </w:r>
      <w:r w:rsidRPr="000D289D">
        <w:rPr>
          <w:rFonts w:ascii="Times New Roman" w:eastAsia="Times New Roman" w:hAnsi="Times New Roman" w:cs="Times New Roman"/>
          <w:kern w:val="0"/>
          <w:lang w:val="fi-FI" w:eastAsia="en-IE"/>
          <w14:ligatures w14:val="none"/>
        </w:rPr>
        <w:t>OJ L</w:t>
      </w:r>
      <w:r w:rsidR="00D66F10" w:rsidRPr="000D289D">
        <w:rPr>
          <w:rFonts w:ascii="Times New Roman" w:eastAsia="Times New Roman" w:hAnsi="Times New Roman" w:cs="Times New Roman"/>
          <w:kern w:val="0"/>
          <w:lang w:val="fi-FI" w:eastAsia="en-IE"/>
          <w14:ligatures w14:val="none"/>
        </w:rPr>
        <w:t>, 2023/2616, 15.12.2023</w:t>
      </w:r>
      <w:r w:rsidR="000D289D">
        <w:rPr>
          <w:rFonts w:ascii="Times New Roman" w:eastAsia="Times New Roman" w:hAnsi="Times New Roman" w:cs="Times New Roman"/>
          <w:kern w:val="0"/>
          <w:lang w:val="fi-FI" w:eastAsia="en-IE"/>
          <w14:ligatures w14:val="none"/>
        </w:rPr>
        <w:t>.</w:t>
      </w:r>
    </w:p>
  </w:footnote>
  <w:footnote w:id="7">
    <w:p w14:paraId="630C6FE0" w14:textId="16386E84" w:rsidR="002865F4" w:rsidRPr="000D289D" w:rsidRDefault="002865F4">
      <w:pPr>
        <w:pStyle w:val="FootnoteText"/>
        <w:rPr>
          <w:lang w:val="fi-FI"/>
        </w:rPr>
      </w:pPr>
      <w:r w:rsidRPr="00CC5D6A">
        <w:rPr>
          <w:rStyle w:val="FootnoteReference"/>
          <w:rFonts w:ascii="Times New Roman" w:hAnsi="Times New Roman" w:cs="Times New Roman"/>
        </w:rPr>
        <w:footnoteRef/>
      </w:r>
      <w:r w:rsidRPr="000D289D">
        <w:rPr>
          <w:rFonts w:ascii="Times New Roman" w:hAnsi="Times New Roman" w:cs="Times New Roman"/>
          <w:lang w:val="fi-FI"/>
        </w:rPr>
        <w:t xml:space="preserve"> </w:t>
      </w:r>
      <w:r w:rsidRPr="000D289D">
        <w:rPr>
          <w:lang w:val="fi-FI"/>
        </w:rPr>
        <w:tab/>
      </w:r>
      <w:r w:rsidRPr="000D289D">
        <w:rPr>
          <w:rFonts w:ascii="Times New Roman" w:eastAsia="Times New Roman" w:hAnsi="Times New Roman" w:cs="Times New Roman"/>
          <w:kern w:val="0"/>
          <w:lang w:val="fi-FI" w:eastAsia="en-IE"/>
          <w14:ligatures w14:val="none"/>
        </w:rPr>
        <w:t>C/2023/1164, OJ L 138, 25.5.2023, pp.1-252</w:t>
      </w:r>
      <w:r w:rsidR="000D289D">
        <w:rPr>
          <w:rFonts w:ascii="Times New Roman" w:eastAsia="Times New Roman" w:hAnsi="Times New Roman" w:cs="Times New Roman"/>
          <w:kern w:val="0"/>
          <w:lang w:val="fi-FI" w:eastAsia="en-IE"/>
          <w14:ligatures w14:val="none"/>
        </w:rPr>
        <w:t>.</w:t>
      </w:r>
    </w:p>
  </w:footnote>
  <w:footnote w:id="8">
    <w:p w14:paraId="5E4BC3E2" w14:textId="0DF477E0" w:rsidR="00E41428" w:rsidRPr="000D289D" w:rsidRDefault="00E41428">
      <w:pPr>
        <w:pStyle w:val="FootnoteText"/>
        <w:rPr>
          <w:lang w:val="fi-FI"/>
        </w:rPr>
      </w:pPr>
      <w:r w:rsidRPr="00190FB0">
        <w:rPr>
          <w:rStyle w:val="FootnoteReference"/>
          <w:rFonts w:ascii="Times New Roman" w:hAnsi="Times New Roman" w:cs="Times New Roman"/>
        </w:rPr>
        <w:footnoteRef/>
      </w:r>
      <w:r w:rsidRPr="000D289D">
        <w:rPr>
          <w:rFonts w:ascii="Times New Roman" w:hAnsi="Times New Roman" w:cs="Times New Roman"/>
          <w:lang w:val="fi-FI"/>
        </w:rPr>
        <w:t xml:space="preserve"> </w:t>
      </w:r>
      <w:r w:rsidRPr="000D289D">
        <w:rPr>
          <w:lang w:val="fi-FI"/>
        </w:rPr>
        <w:tab/>
      </w:r>
      <w:r w:rsidRPr="000D289D">
        <w:rPr>
          <w:rFonts w:ascii="Times New Roman" w:eastAsia="Times New Roman" w:hAnsi="Times New Roman" w:cs="Times New Roman"/>
          <w:kern w:val="0"/>
          <w:lang w:val="fi-FI" w:eastAsia="en-IE"/>
          <w14:ligatures w14:val="none"/>
        </w:rPr>
        <w:t>C/2022</w:t>
      </w:r>
      <w:r w:rsidR="00190FB0" w:rsidRPr="000D289D">
        <w:rPr>
          <w:rFonts w:ascii="Times New Roman" w:eastAsia="Times New Roman" w:hAnsi="Times New Roman" w:cs="Times New Roman"/>
          <w:kern w:val="0"/>
          <w:lang w:val="fi-FI" w:eastAsia="en-IE"/>
          <w14:ligatures w14:val="none"/>
        </w:rPr>
        <w:t>/7424, OJ L 9, 11.1.2023, pp. 1-252</w:t>
      </w:r>
      <w:r w:rsidR="000D289D">
        <w:rPr>
          <w:rFonts w:ascii="Times New Roman" w:eastAsia="Times New Roman" w:hAnsi="Times New Roman" w:cs="Times New Roman"/>
          <w:kern w:val="0"/>
          <w:lang w:val="fi-FI" w:eastAsia="en-IE"/>
          <w14:ligatures w14:val="none"/>
        </w:rPr>
        <w:t>.</w:t>
      </w:r>
    </w:p>
  </w:footnote>
  <w:footnote w:id="9">
    <w:p w14:paraId="7EA61271" w14:textId="76A78F82" w:rsidR="00D94327" w:rsidRPr="000D289D" w:rsidRDefault="00D94327">
      <w:pPr>
        <w:pStyle w:val="FootnoteText"/>
        <w:rPr>
          <w:rFonts w:ascii="Times New Roman" w:hAnsi="Times New Roman" w:cs="Times New Roman"/>
          <w:lang w:val="fi-FI"/>
        </w:rPr>
      </w:pPr>
      <w:r w:rsidRPr="00017864">
        <w:rPr>
          <w:rStyle w:val="FootnoteReference"/>
          <w:rFonts w:ascii="Times New Roman" w:hAnsi="Times New Roman" w:cs="Times New Roman"/>
        </w:rPr>
        <w:footnoteRef/>
      </w:r>
      <w:r w:rsidRPr="000D289D">
        <w:rPr>
          <w:rFonts w:ascii="Times New Roman" w:hAnsi="Times New Roman" w:cs="Times New Roman"/>
          <w:lang w:val="fi-FI"/>
        </w:rPr>
        <w:t xml:space="preserve"> </w:t>
      </w:r>
      <w:r w:rsidRPr="000D289D">
        <w:rPr>
          <w:rFonts w:ascii="Times New Roman" w:hAnsi="Times New Roman" w:cs="Times New Roman"/>
          <w:lang w:val="fi-FI"/>
        </w:rPr>
        <w:tab/>
      </w:r>
      <w:r w:rsidRPr="000D289D">
        <w:rPr>
          <w:rFonts w:ascii="Times New Roman" w:eastAsia="Times New Roman" w:hAnsi="Times New Roman" w:cs="Times New Roman"/>
          <w:kern w:val="0"/>
          <w:lang w:val="fi-FI" w:eastAsia="en-IE"/>
          <w14:ligatures w14:val="none"/>
        </w:rPr>
        <w:t>C/2022/</w:t>
      </w:r>
      <w:r w:rsidR="00017864" w:rsidRPr="000D289D">
        <w:rPr>
          <w:rFonts w:ascii="Times New Roman" w:eastAsia="Times New Roman" w:hAnsi="Times New Roman" w:cs="Times New Roman"/>
          <w:kern w:val="0"/>
          <w:lang w:val="fi-FI" w:eastAsia="en-IE"/>
          <w14:ligatures w14:val="none"/>
        </w:rPr>
        <w:t>2885, OJ L 130l, 4.5.2022, pp. 1-3</w:t>
      </w:r>
      <w:r w:rsidR="000D289D">
        <w:rPr>
          <w:rFonts w:ascii="Times New Roman" w:eastAsia="Times New Roman" w:hAnsi="Times New Roman" w:cs="Times New Roman"/>
          <w:kern w:val="0"/>
          <w:lang w:val="fi-FI" w:eastAsia="en-IE"/>
          <w14:ligatures w14:val="none"/>
        </w:rPr>
        <w:t>.</w:t>
      </w:r>
    </w:p>
  </w:footnote>
  <w:footnote w:id="10">
    <w:p w14:paraId="0F9D72E1" w14:textId="153964D7" w:rsidR="00C52805" w:rsidRPr="000D289D" w:rsidRDefault="00C52805">
      <w:pPr>
        <w:pStyle w:val="FootnoteText"/>
        <w:rPr>
          <w:rFonts w:ascii="Times New Roman" w:hAnsi="Times New Roman" w:cs="Times New Roman"/>
          <w:lang w:val="fi-FI"/>
        </w:rPr>
      </w:pPr>
      <w:r w:rsidRPr="00017864">
        <w:rPr>
          <w:rStyle w:val="FootnoteReference"/>
          <w:rFonts w:ascii="Times New Roman" w:hAnsi="Times New Roman" w:cs="Times New Roman"/>
        </w:rPr>
        <w:footnoteRef/>
      </w:r>
      <w:r w:rsidRPr="000D289D">
        <w:rPr>
          <w:rFonts w:ascii="Times New Roman" w:hAnsi="Times New Roman" w:cs="Times New Roman"/>
          <w:lang w:val="fi-FI"/>
        </w:rPr>
        <w:t xml:space="preserve"> </w:t>
      </w:r>
      <w:r w:rsidRPr="000D289D">
        <w:rPr>
          <w:rFonts w:ascii="Times New Roman" w:hAnsi="Times New Roman" w:cs="Times New Roman"/>
          <w:lang w:val="fi-FI"/>
        </w:rPr>
        <w:tab/>
      </w:r>
      <w:r w:rsidRPr="000D289D">
        <w:rPr>
          <w:rFonts w:ascii="Times New Roman" w:eastAsia="Times New Roman" w:hAnsi="Times New Roman" w:cs="Times New Roman"/>
          <w:kern w:val="0"/>
          <w:lang w:val="fi-FI" w:eastAsia="en-IE"/>
          <w14:ligatures w14:val="none"/>
        </w:rPr>
        <w:t>C/2021/7424, OJ L 3, 6.1.2022, pp. 1-260</w:t>
      </w:r>
      <w:r w:rsidR="000D289D">
        <w:rPr>
          <w:rFonts w:ascii="Times New Roman" w:eastAsia="Times New Roman" w:hAnsi="Times New Roman" w:cs="Times New Roman"/>
          <w:kern w:val="0"/>
          <w:lang w:val="fi-FI" w:eastAsia="en-IE"/>
          <w14:ligatures w14: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C1157" w14:textId="77777777" w:rsidR="002846F0" w:rsidRPr="002846F0" w:rsidRDefault="002846F0" w:rsidP="002846F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2CEF0" w14:textId="77777777" w:rsidR="002846F0" w:rsidRPr="002846F0" w:rsidRDefault="002846F0" w:rsidP="002846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A42E9" w14:textId="77777777" w:rsidR="002846F0" w:rsidRPr="002846F0" w:rsidRDefault="002846F0" w:rsidP="002846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D9692" w14:textId="77777777" w:rsidR="00E825A7" w:rsidRDefault="00E825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F6232" w14:textId="77777777" w:rsidR="00E825A7" w:rsidRDefault="00E825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2A791" w14:textId="77777777" w:rsidR="00E825A7" w:rsidRDefault="00E82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E568F"/>
    <w:multiLevelType w:val="hybridMultilevel"/>
    <w:tmpl w:val="F19A3B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12832BC"/>
    <w:multiLevelType w:val="hybridMultilevel"/>
    <w:tmpl w:val="5B1A603E"/>
    <w:lvl w:ilvl="0" w:tplc="0680B788">
      <w:start w:val="1"/>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CA95479-2714-448D-AE75-840C5105BB43"/>
    <w:docVar w:name="LW_COVERPAGE_TYPE" w:val="1"/>
    <w:docVar w:name="LW_CROSSREFERENCE" w:val="&lt;UNUSED&gt;"/>
    <w:docVar w:name="LW_DocType" w:val="NORMAL"/>
    <w:docVar w:name="LW_EMISSION" w:val="24.7.2026"/>
    <w:docVar w:name="LW_EMISSION_ISODATE" w:val="2026-07-24"/>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delegation of power to adopt delegated acts conferred on the Commission pursuant to Regulation (EU) 2021/821 of the European Parliament and of the Council of 20 May 2021 setting up a Union regime for the control of exports, brokering, technical assistance, transit and transfer of dual-use items (recast) "/>
    <w:docVar w:name="LW_TYPE.DOC.CP" w:val="REPORT FROM THE COMMISSION TO THE EUROPEAN PARLIAMENT AND THE COUNCIL"/>
    <w:docVar w:name="LwApiVersions" w:val="LW4CoDe 1.24.5.0; LW 9.2, Build 20251112"/>
  </w:docVars>
  <w:rsids>
    <w:rsidRoot w:val="00E825A7"/>
    <w:rsid w:val="00017864"/>
    <w:rsid w:val="00021060"/>
    <w:rsid w:val="00041402"/>
    <w:rsid w:val="000531B7"/>
    <w:rsid w:val="00074D1A"/>
    <w:rsid w:val="00096370"/>
    <w:rsid w:val="000B2217"/>
    <w:rsid w:val="000D289D"/>
    <w:rsid w:val="000E1A99"/>
    <w:rsid w:val="000E675C"/>
    <w:rsid w:val="000F11FD"/>
    <w:rsid w:val="00122606"/>
    <w:rsid w:val="001417FC"/>
    <w:rsid w:val="00144E34"/>
    <w:rsid w:val="00153E6E"/>
    <w:rsid w:val="00186739"/>
    <w:rsid w:val="00190FB0"/>
    <w:rsid w:val="001A034F"/>
    <w:rsid w:val="001C6CDE"/>
    <w:rsid w:val="001D683F"/>
    <w:rsid w:val="001F2E4C"/>
    <w:rsid w:val="001F450B"/>
    <w:rsid w:val="001F50E8"/>
    <w:rsid w:val="00211CBF"/>
    <w:rsid w:val="002262E3"/>
    <w:rsid w:val="002444CE"/>
    <w:rsid w:val="00256D45"/>
    <w:rsid w:val="002846F0"/>
    <w:rsid w:val="002865F4"/>
    <w:rsid w:val="002A1663"/>
    <w:rsid w:val="002C2DE1"/>
    <w:rsid w:val="002C39F2"/>
    <w:rsid w:val="002D7C35"/>
    <w:rsid w:val="002F1C43"/>
    <w:rsid w:val="00314AE4"/>
    <w:rsid w:val="0032370C"/>
    <w:rsid w:val="003405AF"/>
    <w:rsid w:val="00391060"/>
    <w:rsid w:val="003C156E"/>
    <w:rsid w:val="003E016C"/>
    <w:rsid w:val="00401946"/>
    <w:rsid w:val="004226D4"/>
    <w:rsid w:val="004278DA"/>
    <w:rsid w:val="00427DFC"/>
    <w:rsid w:val="004607FB"/>
    <w:rsid w:val="0046736D"/>
    <w:rsid w:val="00491CA6"/>
    <w:rsid w:val="004B3BCF"/>
    <w:rsid w:val="004D0010"/>
    <w:rsid w:val="004E713A"/>
    <w:rsid w:val="00506D23"/>
    <w:rsid w:val="00515CD8"/>
    <w:rsid w:val="00526B19"/>
    <w:rsid w:val="00534E04"/>
    <w:rsid w:val="005418F8"/>
    <w:rsid w:val="00554BD0"/>
    <w:rsid w:val="0057083A"/>
    <w:rsid w:val="0057510F"/>
    <w:rsid w:val="00597854"/>
    <w:rsid w:val="005B3E5D"/>
    <w:rsid w:val="005B745F"/>
    <w:rsid w:val="005D4D56"/>
    <w:rsid w:val="005F16F3"/>
    <w:rsid w:val="00606ABD"/>
    <w:rsid w:val="00611A1B"/>
    <w:rsid w:val="00612572"/>
    <w:rsid w:val="00615818"/>
    <w:rsid w:val="006245A0"/>
    <w:rsid w:val="00645EF0"/>
    <w:rsid w:val="006645E5"/>
    <w:rsid w:val="006646E7"/>
    <w:rsid w:val="006879C7"/>
    <w:rsid w:val="006904F1"/>
    <w:rsid w:val="006A0BEA"/>
    <w:rsid w:val="006B39B8"/>
    <w:rsid w:val="006D67A2"/>
    <w:rsid w:val="006E1C78"/>
    <w:rsid w:val="006E539D"/>
    <w:rsid w:val="006F3AC7"/>
    <w:rsid w:val="006F62B4"/>
    <w:rsid w:val="00715DFE"/>
    <w:rsid w:val="00716B26"/>
    <w:rsid w:val="00717B57"/>
    <w:rsid w:val="00727C53"/>
    <w:rsid w:val="00731D74"/>
    <w:rsid w:val="00745F9E"/>
    <w:rsid w:val="007460E3"/>
    <w:rsid w:val="007851AC"/>
    <w:rsid w:val="007A25A3"/>
    <w:rsid w:val="007A5FE7"/>
    <w:rsid w:val="00802D9B"/>
    <w:rsid w:val="008079FA"/>
    <w:rsid w:val="00825976"/>
    <w:rsid w:val="00861B81"/>
    <w:rsid w:val="0086315E"/>
    <w:rsid w:val="00892AC0"/>
    <w:rsid w:val="008B0CA6"/>
    <w:rsid w:val="008F59B2"/>
    <w:rsid w:val="0091290E"/>
    <w:rsid w:val="0091400F"/>
    <w:rsid w:val="009249FA"/>
    <w:rsid w:val="009405DB"/>
    <w:rsid w:val="00977008"/>
    <w:rsid w:val="009865F0"/>
    <w:rsid w:val="00991029"/>
    <w:rsid w:val="00997E9C"/>
    <w:rsid w:val="009B07A9"/>
    <w:rsid w:val="009C3D26"/>
    <w:rsid w:val="00A02281"/>
    <w:rsid w:val="00A027A5"/>
    <w:rsid w:val="00A421D2"/>
    <w:rsid w:val="00A6508B"/>
    <w:rsid w:val="00A650DF"/>
    <w:rsid w:val="00A77D05"/>
    <w:rsid w:val="00A87884"/>
    <w:rsid w:val="00AC1141"/>
    <w:rsid w:val="00AC1491"/>
    <w:rsid w:val="00AD287B"/>
    <w:rsid w:val="00B41219"/>
    <w:rsid w:val="00B53C03"/>
    <w:rsid w:val="00B614A5"/>
    <w:rsid w:val="00BB3847"/>
    <w:rsid w:val="00BD3A07"/>
    <w:rsid w:val="00BF3843"/>
    <w:rsid w:val="00C203E3"/>
    <w:rsid w:val="00C20ADE"/>
    <w:rsid w:val="00C23618"/>
    <w:rsid w:val="00C52805"/>
    <w:rsid w:val="00C6224A"/>
    <w:rsid w:val="00C842B1"/>
    <w:rsid w:val="00C8463A"/>
    <w:rsid w:val="00C97651"/>
    <w:rsid w:val="00CC31A5"/>
    <w:rsid w:val="00CC5275"/>
    <w:rsid w:val="00CC5D6A"/>
    <w:rsid w:val="00CE0F5C"/>
    <w:rsid w:val="00D15BFD"/>
    <w:rsid w:val="00D20AF1"/>
    <w:rsid w:val="00D66F10"/>
    <w:rsid w:val="00D84C46"/>
    <w:rsid w:val="00D87A43"/>
    <w:rsid w:val="00D94327"/>
    <w:rsid w:val="00DA209D"/>
    <w:rsid w:val="00DC55A5"/>
    <w:rsid w:val="00DE45AE"/>
    <w:rsid w:val="00DF7E83"/>
    <w:rsid w:val="00E21D14"/>
    <w:rsid w:val="00E41428"/>
    <w:rsid w:val="00E675BF"/>
    <w:rsid w:val="00E718C3"/>
    <w:rsid w:val="00E825A7"/>
    <w:rsid w:val="00EA5689"/>
    <w:rsid w:val="00EB53E3"/>
    <w:rsid w:val="00EB73F2"/>
    <w:rsid w:val="00EB7EC2"/>
    <w:rsid w:val="00EC3E11"/>
    <w:rsid w:val="00EF7B6A"/>
    <w:rsid w:val="00F24001"/>
    <w:rsid w:val="00F2430E"/>
    <w:rsid w:val="00F36228"/>
    <w:rsid w:val="00F40074"/>
    <w:rsid w:val="00F727C7"/>
    <w:rsid w:val="00FC215C"/>
    <w:rsid w:val="00FD1462"/>
    <w:rsid w:val="00FD7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F51711"/>
  <w15:chartTrackingRefBased/>
  <w15:docId w15:val="{7144BAE0-30A5-4B7C-8189-2541DB8D5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E82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2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2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5A7"/>
    <w:rPr>
      <w:rFonts w:eastAsiaTheme="majorEastAsia" w:cstheme="majorBidi"/>
      <w:color w:val="272727" w:themeColor="text1" w:themeTint="D8"/>
    </w:rPr>
  </w:style>
  <w:style w:type="paragraph" w:styleId="Title">
    <w:name w:val="Title"/>
    <w:basedOn w:val="Normal"/>
    <w:next w:val="Normal"/>
    <w:link w:val="TitleChar"/>
    <w:uiPriority w:val="10"/>
    <w:qFormat/>
    <w:rsid w:val="00E82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5A7"/>
    <w:pPr>
      <w:spacing w:before="160"/>
      <w:jc w:val="center"/>
    </w:pPr>
    <w:rPr>
      <w:i/>
      <w:iCs/>
      <w:color w:val="404040" w:themeColor="text1" w:themeTint="BF"/>
    </w:rPr>
  </w:style>
  <w:style w:type="character" w:customStyle="1" w:styleId="QuoteChar">
    <w:name w:val="Quote Char"/>
    <w:basedOn w:val="DefaultParagraphFont"/>
    <w:link w:val="Quote"/>
    <w:uiPriority w:val="29"/>
    <w:rsid w:val="00E825A7"/>
    <w:rPr>
      <w:i/>
      <w:iCs/>
      <w:color w:val="404040" w:themeColor="text1" w:themeTint="BF"/>
    </w:rPr>
  </w:style>
  <w:style w:type="paragraph" w:styleId="ListParagraph">
    <w:name w:val="List Paragraph"/>
    <w:basedOn w:val="Normal"/>
    <w:uiPriority w:val="34"/>
    <w:qFormat/>
    <w:rsid w:val="00E825A7"/>
    <w:pPr>
      <w:ind w:left="720"/>
      <w:contextualSpacing/>
    </w:pPr>
  </w:style>
  <w:style w:type="character" w:styleId="IntenseEmphasis">
    <w:name w:val="Intense Emphasis"/>
    <w:basedOn w:val="DefaultParagraphFont"/>
    <w:uiPriority w:val="21"/>
    <w:qFormat/>
    <w:rsid w:val="00E825A7"/>
    <w:rPr>
      <w:i/>
      <w:iCs/>
      <w:color w:val="0F4761" w:themeColor="accent1" w:themeShade="BF"/>
    </w:rPr>
  </w:style>
  <w:style w:type="paragraph" w:styleId="IntenseQuote">
    <w:name w:val="Intense Quote"/>
    <w:basedOn w:val="Normal"/>
    <w:next w:val="Normal"/>
    <w:link w:val="IntenseQuoteChar"/>
    <w:uiPriority w:val="30"/>
    <w:qFormat/>
    <w:rsid w:val="00E82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5A7"/>
    <w:rPr>
      <w:i/>
      <w:iCs/>
      <w:color w:val="0F4761" w:themeColor="accent1" w:themeShade="BF"/>
    </w:rPr>
  </w:style>
  <w:style w:type="character" w:styleId="IntenseReference">
    <w:name w:val="Intense Reference"/>
    <w:basedOn w:val="DefaultParagraphFont"/>
    <w:uiPriority w:val="32"/>
    <w:qFormat/>
    <w:rsid w:val="00E825A7"/>
    <w:rPr>
      <w:b/>
      <w:bCs/>
      <w:smallCaps/>
      <w:color w:val="0F4761" w:themeColor="accent1" w:themeShade="BF"/>
      <w:spacing w:val="5"/>
    </w:rPr>
  </w:style>
  <w:style w:type="character" w:customStyle="1" w:styleId="Marker">
    <w:name w:val="Marker"/>
    <w:basedOn w:val="DefaultParagraphFont"/>
    <w:rsid w:val="00E825A7"/>
    <w:rPr>
      <w:color w:val="0000FF"/>
      <w:shd w:val="clear" w:color="auto" w:fill="auto"/>
    </w:rPr>
  </w:style>
  <w:style w:type="paragraph" w:styleId="Header">
    <w:name w:val="header"/>
    <w:basedOn w:val="Normal"/>
    <w:link w:val="HeaderChar"/>
    <w:uiPriority w:val="99"/>
    <w:unhideWhenUsed/>
    <w:rsid w:val="00E82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5A7"/>
  </w:style>
  <w:style w:type="paragraph" w:styleId="Footer">
    <w:name w:val="footer"/>
    <w:basedOn w:val="Normal"/>
    <w:link w:val="FooterChar"/>
    <w:uiPriority w:val="99"/>
    <w:unhideWhenUsed/>
    <w:rsid w:val="00E82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5A7"/>
  </w:style>
  <w:style w:type="paragraph" w:customStyle="1" w:styleId="Pagedecouverture">
    <w:name w:val="Page de couverture"/>
    <w:basedOn w:val="Normal"/>
    <w:next w:val="Normal"/>
    <w:rsid w:val="00E825A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825A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825A7"/>
    <w:rPr>
      <w:rFonts w:ascii="Times New Roman" w:hAnsi="Times New Roman" w:cs="Times New Roman"/>
      <w:sz w:val="24"/>
    </w:rPr>
  </w:style>
  <w:style w:type="paragraph" w:customStyle="1" w:styleId="FooterSensitivity">
    <w:name w:val="Footer Sensitivity"/>
    <w:basedOn w:val="Normal"/>
    <w:link w:val="FooterSensitivityChar"/>
    <w:rsid w:val="00E825A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825A7"/>
    <w:rPr>
      <w:rFonts w:ascii="Times New Roman" w:hAnsi="Times New Roman" w:cs="Times New Roman"/>
      <w:b/>
      <w:sz w:val="32"/>
    </w:rPr>
  </w:style>
  <w:style w:type="paragraph" w:customStyle="1" w:styleId="HeaderCoverPage">
    <w:name w:val="Header Cover Page"/>
    <w:basedOn w:val="Normal"/>
    <w:link w:val="HeaderCoverPageChar"/>
    <w:rsid w:val="00E825A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825A7"/>
    <w:rPr>
      <w:rFonts w:ascii="Times New Roman" w:hAnsi="Times New Roman" w:cs="Times New Roman"/>
      <w:sz w:val="24"/>
    </w:rPr>
  </w:style>
  <w:style w:type="paragraph" w:customStyle="1" w:styleId="HeaderSensitivity">
    <w:name w:val="Header Sensitivity"/>
    <w:basedOn w:val="Normal"/>
    <w:link w:val="HeaderSensitivityChar"/>
    <w:rsid w:val="00E825A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825A7"/>
    <w:rPr>
      <w:rFonts w:ascii="Times New Roman" w:hAnsi="Times New Roman" w:cs="Times New Roman"/>
      <w:b/>
      <w:sz w:val="32"/>
    </w:rPr>
  </w:style>
  <w:style w:type="paragraph" w:customStyle="1" w:styleId="HeaderSensitivityRight">
    <w:name w:val="Header Sensitivity Right"/>
    <w:basedOn w:val="Normal"/>
    <w:link w:val="HeaderSensitivityRightChar"/>
    <w:rsid w:val="00E825A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825A7"/>
    <w:rPr>
      <w:rFonts w:ascii="Times New Roman" w:hAnsi="Times New Roman" w:cs="Times New Roman"/>
      <w:sz w:val="28"/>
    </w:rPr>
  </w:style>
  <w:style w:type="paragraph" w:styleId="FootnoteText">
    <w:name w:val="footnote text"/>
    <w:basedOn w:val="Normal"/>
    <w:link w:val="FootnoteTextChar"/>
    <w:uiPriority w:val="99"/>
    <w:semiHidden/>
    <w:unhideWhenUsed/>
    <w:rsid w:val="001A03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034F"/>
    <w:rPr>
      <w:sz w:val="20"/>
      <w:szCs w:val="20"/>
    </w:rPr>
  </w:style>
  <w:style w:type="character" w:styleId="FootnoteReference">
    <w:name w:val="footnote reference"/>
    <w:basedOn w:val="DefaultParagraphFont"/>
    <w:uiPriority w:val="99"/>
    <w:semiHidden/>
    <w:unhideWhenUsed/>
    <w:rsid w:val="001A03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8BCFF-3562-4704-858A-B2B45C920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2026-06-18T06:05:00Z</dcterms:created>
  <dcterms:modified xsi:type="dcterms:W3CDTF">2026-07-16T05:55:00Z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2026-06-02T07:03:09Z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e6cffa7b-61f6-4858-bf6b-5d536f4fa850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