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0941DC" w14:textId="69DE993F" w:rsidR="00E825A7" w:rsidRPr="00D84C46" w:rsidRDefault="00A50B68" w:rsidP="00A50B68">
      <w:pPr>
        <w:pStyle w:val="Pagedecouverture"/>
        <w:rPr>
          <w:noProof/>
        </w:rPr>
      </w:pPr>
      <w:bookmarkStart w:id="0" w:name="LW_BM_COVERPAGE"/>
      <w:r>
        <w:rPr>
          <w:noProof/>
        </w:rPr>
        <w:pict w14:anchorId="3B36A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28C0C8C-652E-4DBF-B5EA-B70C96660756" style="width:455.25pt;height:327.75pt">
            <v:imagedata r:id="rId8" o:title=""/>
          </v:shape>
        </w:pict>
      </w:r>
    </w:p>
    <w:bookmarkEnd w:id="0"/>
    <w:p w14:paraId="6956B7E8" w14:textId="77777777" w:rsidR="00E825A7" w:rsidRPr="00D84C46" w:rsidRDefault="00E825A7" w:rsidP="00E825A7">
      <w:pPr>
        <w:rPr>
          <w:rFonts w:ascii="Times New Roman" w:hAnsi="Times New Roman" w:cs="Times New Roman"/>
          <w:noProof/>
        </w:rPr>
        <w:sectPr w:rsidR="00E825A7" w:rsidRPr="00D84C46" w:rsidSect="00A50B6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75E5491F" w14:textId="76AE269B" w:rsidR="00FD1462" w:rsidRDefault="00E825A7" w:rsidP="00E825A7">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bookmarkStart w:id="1" w:name="_GoBack"/>
      <w:bookmarkEnd w:id="1"/>
      <w:r>
        <w:rPr>
          <w:rFonts w:ascii="Times New Roman" w:hAnsi="Times New Roman"/>
          <w:b/>
          <w:smallCaps/>
          <w:noProof/>
          <w:color w:val="auto"/>
          <w:sz w:val="24"/>
        </w:rPr>
        <w:lastRenderedPageBreak/>
        <w:t>Introduction</w:t>
      </w:r>
    </w:p>
    <w:p w14:paraId="215E2A2E" w14:textId="7D648E36" w:rsidR="00E825A7" w:rsidRDefault="00E825A7" w:rsidP="00021060">
      <w:pPr>
        <w:jc w:val="both"/>
        <w:rPr>
          <w:rFonts w:ascii="Times New Roman" w:eastAsia="Calibri" w:hAnsi="Times New Roman" w:cs="Times New Roman"/>
          <w:noProof/>
          <w:kern w:val="0"/>
          <w:sz w:val="24"/>
          <w14:ligatures w14:val="none"/>
        </w:rPr>
      </w:pPr>
      <w:r>
        <w:rPr>
          <w:rFonts w:ascii="Times New Roman" w:hAnsi="Times New Roman"/>
          <w:noProof/>
          <w:sz w:val="24"/>
        </w:rPr>
        <w:t>Le règlement (UE) 2021/821</w:t>
      </w:r>
      <w:r>
        <w:rPr>
          <w:rStyle w:val="FootnoteReference"/>
          <w:rFonts w:ascii="Times New Roman" w:eastAsia="Calibri" w:hAnsi="Times New Roman" w:cs="Times New Roman"/>
          <w:noProof/>
          <w:kern w:val="0"/>
          <w:sz w:val="24"/>
          <w:lang w:eastAsia="en-IE"/>
        </w:rPr>
        <w:footnoteReference w:id="1"/>
      </w:r>
      <w:r>
        <w:rPr>
          <w:rFonts w:ascii="Times New Roman" w:hAnsi="Times New Roman"/>
          <w:noProof/>
          <w:sz w:val="24"/>
        </w:rPr>
        <w:t xml:space="preserve"> (ci-après le «règlement sur les biens à double usage» ou le «règlement») a été adopté le 20 mai 2021. Il abroge le règlement (CE) nº 428/2009</w:t>
      </w:r>
      <w:r>
        <w:rPr>
          <w:rStyle w:val="FootnoteReference"/>
          <w:rFonts w:ascii="Times New Roman" w:eastAsia="Calibri" w:hAnsi="Times New Roman" w:cs="Times New Roman"/>
          <w:noProof/>
          <w:kern w:val="0"/>
          <w:sz w:val="24"/>
          <w:lang w:eastAsia="en-IE"/>
        </w:rPr>
        <w:footnoteReference w:id="2"/>
      </w:r>
      <w:r>
        <w:rPr>
          <w:rFonts w:ascii="Times New Roman" w:hAnsi="Times New Roman"/>
          <w:noProof/>
          <w:sz w:val="24"/>
        </w:rPr>
        <w:t xml:space="preserve"> du Conseil et améliore le cadre de l’UE sur les contrôles des exportations de biens à double usage afin de tenir compte des progrès technologiques, de renforcer les aspects liés au respect des droits de l’homme et à la sécurité, et de garantir une approche davantage unifiée dans l’ensemble des États membres de l’UE dans le but de réagir à l’évolution du paysage géopolitique.</w:t>
      </w:r>
    </w:p>
    <w:p w14:paraId="76F37F5F" w14:textId="2AC7DEC9" w:rsidR="00021060" w:rsidRDefault="00021060" w:rsidP="00021060">
      <w:pPr>
        <w:jc w:val="both"/>
        <w:rPr>
          <w:rFonts w:ascii="Times New Roman" w:eastAsia="Calibri" w:hAnsi="Times New Roman" w:cs="Times New Roman"/>
          <w:noProof/>
          <w:kern w:val="0"/>
          <w:sz w:val="24"/>
          <w14:ligatures w14:val="none"/>
        </w:rPr>
      </w:pPr>
      <w:r>
        <w:rPr>
          <w:rFonts w:ascii="Times New Roman" w:hAnsi="Times New Roman"/>
          <w:noProof/>
          <w:sz w:val="24"/>
        </w:rPr>
        <w:t>L’annexe I du règlement sur les biens à double usage énumère les biens à double usage que les États membres doivent soumettre à un contrôle des exportations, alignant ainsi le règlement sur les décisions prises dans le cadre des régimes multilatéraux de contrôle des exportations</w:t>
      </w:r>
      <w:r>
        <w:rPr>
          <w:rStyle w:val="FootnoteReference"/>
          <w:rFonts w:ascii="Times New Roman" w:eastAsia="Calibri" w:hAnsi="Times New Roman" w:cs="Times New Roman"/>
          <w:noProof/>
          <w:kern w:val="0"/>
          <w:sz w:val="24"/>
          <w:lang w:eastAsia="en-IE"/>
        </w:rPr>
        <w:footnoteReference w:id="3"/>
      </w:r>
      <w:r>
        <w:rPr>
          <w:rFonts w:ascii="Times New Roman" w:hAnsi="Times New Roman"/>
          <w:noProof/>
          <w:sz w:val="24"/>
        </w:rPr>
        <w:t xml:space="preserve">. Certains biens, considérés comme particulièrement sensibles, figurent à l’annexe IV et nécessitent une autorisation pour les transferts intra-UE. L’annexe II expose les autorisations générales d’exportation de l’Union pour l’exportation de certains biens vers certaines destinations. </w:t>
      </w:r>
    </w:p>
    <w:p w14:paraId="3E7974EC" w14:textId="169F2C5D" w:rsidR="00C20ADE" w:rsidRDefault="00C20ADE" w:rsidP="00021060">
      <w:pPr>
        <w:jc w:val="both"/>
        <w:rPr>
          <w:rFonts w:ascii="Times New Roman" w:eastAsia="Calibri" w:hAnsi="Times New Roman" w:cs="Times New Roman"/>
          <w:noProof/>
          <w:kern w:val="0"/>
          <w:sz w:val="24"/>
          <w14:ligatures w14:val="none"/>
        </w:rPr>
      </w:pPr>
      <w:r>
        <w:rPr>
          <w:rFonts w:ascii="Times New Roman" w:hAnsi="Times New Roman"/>
          <w:noProof/>
          <w:sz w:val="24"/>
        </w:rPr>
        <w:t xml:space="preserve">En vertu de l’article 17 du règlement sur les biens à double usage, la Commission est habilitée à adopter des actes délégués conformément à l’article 18 afin de modifier les listes des biens à double usage figurant aux annexes I et IV et de modifier l’annexe II pour retirer des biens et pour ajouter ou retirer des destinations du champ d’application des autorisations générales d’exportation de l’Union. </w:t>
      </w:r>
    </w:p>
    <w:p w14:paraId="5F5D6ED2" w14:textId="750D3271" w:rsidR="004607FB" w:rsidRDefault="004607FB" w:rsidP="00021060">
      <w:pPr>
        <w:jc w:val="both"/>
        <w:rPr>
          <w:rFonts w:ascii="Times New Roman" w:eastAsia="Calibri" w:hAnsi="Times New Roman" w:cs="Times New Roman"/>
          <w:noProof/>
          <w:kern w:val="0"/>
          <w:sz w:val="24"/>
          <w14:ligatures w14:val="none"/>
        </w:rPr>
      </w:pPr>
      <w:r>
        <w:rPr>
          <w:rFonts w:ascii="Times New Roman" w:hAnsi="Times New Roman"/>
          <w:noProof/>
          <w:sz w:val="24"/>
        </w:rPr>
        <w:t>Le pouvoir d’adopter des actes délégués est conféré à la Commission pour une période de cinq ans à compter du 9 septembre 2021.</w:t>
      </w:r>
    </w:p>
    <w:p w14:paraId="074A654E" w14:textId="438D823F" w:rsidR="00A87884" w:rsidRDefault="001417FC" w:rsidP="001417FC">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r>
        <w:rPr>
          <w:rFonts w:ascii="Times New Roman" w:hAnsi="Times New Roman"/>
          <w:b/>
          <w:smallCaps/>
          <w:noProof/>
          <w:color w:val="auto"/>
          <w:sz w:val="24"/>
        </w:rPr>
        <w:t>Base juridique</w:t>
      </w:r>
    </w:p>
    <w:p w14:paraId="27C67ECF" w14:textId="77777777" w:rsidR="00802D9B" w:rsidRDefault="000E675C" w:rsidP="00825976">
      <w:pPr>
        <w:jc w:val="both"/>
        <w:rPr>
          <w:rFonts w:ascii="Times New Roman" w:eastAsia="Calibri" w:hAnsi="Times New Roman" w:cs="Times New Roman"/>
          <w:noProof/>
          <w:kern w:val="0"/>
          <w:sz w:val="24"/>
          <w14:ligatures w14:val="none"/>
        </w:rPr>
      </w:pPr>
      <w:r>
        <w:rPr>
          <w:rFonts w:ascii="Times New Roman" w:hAnsi="Times New Roman"/>
          <w:noProof/>
          <w:sz w:val="24"/>
        </w:rPr>
        <w:t xml:space="preserve">En application de l’article 18, paragraphe 2, du règlement sur les biens à double usage, la Commission est tenue d’élaborer un rapport relatif à la délégation de pouvoir au plus tard neuf mois avant la fin de la période de cinq ans. </w:t>
      </w:r>
    </w:p>
    <w:p w14:paraId="28E9AC85" w14:textId="40DD2C7A" w:rsidR="000E675C" w:rsidRDefault="00802D9B" w:rsidP="00612572">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r>
        <w:rPr>
          <w:rFonts w:ascii="Times New Roman" w:hAnsi="Times New Roman"/>
          <w:b/>
          <w:smallCaps/>
          <w:noProof/>
          <w:color w:val="auto"/>
          <w:sz w:val="24"/>
        </w:rPr>
        <w:t xml:space="preserve">Exercice de la délégation du pouvoir d’adopter des actes délégués    </w:t>
      </w:r>
    </w:p>
    <w:p w14:paraId="3BB7B6DD" w14:textId="1DAF5B1E" w:rsidR="00716B26" w:rsidRDefault="00C6224A" w:rsidP="0046736D">
      <w:pPr>
        <w:jc w:val="both"/>
        <w:rPr>
          <w:rFonts w:ascii="Times New Roman" w:eastAsia="Calibri" w:hAnsi="Times New Roman" w:cs="Times New Roman"/>
          <w:noProof/>
          <w:kern w:val="0"/>
          <w:sz w:val="24"/>
          <w14:ligatures w14:val="none"/>
        </w:rPr>
      </w:pPr>
      <w:r>
        <w:rPr>
          <w:rFonts w:ascii="Times New Roman" w:hAnsi="Times New Roman"/>
          <w:noProof/>
          <w:sz w:val="24"/>
        </w:rPr>
        <w:t xml:space="preserve">Entre le 9 septembre 2021 et le 9 décembre 2025, la Commission a exercé son pouvoir d’adopter des actes délégués à sept reprises pour veiller à ce que la liste de l’UE des biens à double usage reste alignée sur les décisions prises dans le cadre des régimes multilatéraux de contrôle des exportations et sur les engagements pris par les États membres, en tant que membres de l’arrangement de Wassenaar, visant à procéder à des contrôles uniformes de biens supplémentaires. </w:t>
      </w:r>
    </w:p>
    <w:p w14:paraId="2B7E5FF9" w14:textId="6D4CF09D" w:rsidR="00727C53" w:rsidRDefault="00D20AF1" w:rsidP="0046736D">
      <w:pPr>
        <w:jc w:val="both"/>
        <w:rPr>
          <w:rFonts w:ascii="Times New Roman" w:eastAsia="Calibri" w:hAnsi="Times New Roman" w:cs="Times New Roman"/>
          <w:noProof/>
          <w:kern w:val="0"/>
          <w:sz w:val="24"/>
          <w14:ligatures w14:val="none"/>
        </w:rPr>
      </w:pPr>
      <w:r>
        <w:rPr>
          <w:rFonts w:ascii="Times New Roman" w:hAnsi="Times New Roman"/>
          <w:noProof/>
          <w:sz w:val="24"/>
        </w:rPr>
        <w:t>En outre, en réponse à la guerre d’agression illégale menée par la Fédération de Russie contre l’Ukraine, la Commission a adopté un acte délégué visant à exclure la Fédération de Russie du champ d’application des autorisations générales d’exportation de l’Union.</w:t>
      </w:r>
    </w:p>
    <w:p w14:paraId="576CD9DD" w14:textId="42BF57B1" w:rsidR="005F16F3" w:rsidRDefault="00EB73F2" w:rsidP="0046736D">
      <w:pPr>
        <w:jc w:val="both"/>
        <w:rPr>
          <w:rFonts w:ascii="Times New Roman" w:eastAsia="Calibri" w:hAnsi="Times New Roman" w:cs="Times New Roman"/>
          <w:noProof/>
          <w:kern w:val="0"/>
          <w:sz w:val="24"/>
          <w14:ligatures w14:val="none"/>
        </w:rPr>
      </w:pPr>
      <w:r>
        <w:rPr>
          <w:rFonts w:ascii="Times New Roman" w:hAnsi="Times New Roman"/>
          <w:noProof/>
          <w:sz w:val="24"/>
        </w:rPr>
        <w:t xml:space="preserve">Conformément à l’article 18, paragraphe 4, du règlement sur les biens à double usage, avant l’adoption des actes délégués, la Commission a consulté les experts désignés par chaque État membre, conformément aux principes définis dans l’accord interinstitutionnel du 13 avril 2016 «Mieux légiférer». </w:t>
      </w:r>
    </w:p>
    <w:p w14:paraId="23DEF4DC" w14:textId="11CC633C" w:rsidR="00391060" w:rsidRDefault="00391060" w:rsidP="007460E3">
      <w:pPr>
        <w:rPr>
          <w:rFonts w:ascii="Times New Roman" w:eastAsia="Calibri" w:hAnsi="Times New Roman" w:cs="Times New Roman"/>
          <w:noProof/>
          <w:kern w:val="0"/>
          <w:sz w:val="24"/>
          <w14:ligatures w14:val="none"/>
        </w:rPr>
      </w:pPr>
      <w:r>
        <w:rPr>
          <w:rFonts w:ascii="Times New Roman" w:hAnsi="Times New Roman"/>
          <w:noProof/>
          <w:sz w:val="24"/>
        </w:rPr>
        <w:t>La Commission a adopté les sept actes délégués suivants:</w:t>
      </w:r>
    </w:p>
    <w:p w14:paraId="4BD7E97B" w14:textId="7D33AE97" w:rsidR="00D15BFD" w:rsidRDefault="003405AF"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Pr>
          <w:rFonts w:ascii="Times New Roman" w:hAnsi="Times New Roman"/>
          <w:noProof/>
          <w:sz w:val="24"/>
        </w:rPr>
        <w:t>le règlement délégué (UE) 2025/2003 de la Commission du 8 septembre 2025 modifiant le règlement (UE) 2021/821 du Parlement européen et du Conseil en ce qui concerne la liste des biens à double usage</w:t>
      </w:r>
      <w:r>
        <w:rPr>
          <w:rStyle w:val="FootnoteReference"/>
          <w:rFonts w:ascii="Times New Roman" w:eastAsia="Calibri" w:hAnsi="Times New Roman" w:cs="Times New Roman"/>
          <w:noProof/>
          <w:kern w:val="0"/>
          <w:sz w:val="24"/>
          <w:lang w:eastAsia="en-IE"/>
        </w:rPr>
        <w:footnoteReference w:id="4"/>
      </w:r>
      <w:r>
        <w:rPr>
          <w:rFonts w:ascii="Times New Roman" w:hAnsi="Times New Roman"/>
          <w:noProof/>
          <w:sz w:val="24"/>
        </w:rPr>
        <w:t>;</w:t>
      </w:r>
    </w:p>
    <w:p w14:paraId="1E556A23" w14:textId="32ED11FD" w:rsidR="00CC5D6A" w:rsidRDefault="00CC5D6A"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Pr>
          <w:rFonts w:ascii="Times New Roman" w:hAnsi="Times New Roman"/>
          <w:noProof/>
          <w:sz w:val="24"/>
        </w:rPr>
        <w:t>le règlement délégué (UE) 2024/2547 de la Commission du 5 septembre 2024 modifiant le règlement (UE) 2021/821 du Parlement européen et du Conseil en ce qui concerne la liste des biens à double usage</w:t>
      </w:r>
      <w:r>
        <w:rPr>
          <w:rStyle w:val="FootnoteReference"/>
          <w:rFonts w:ascii="Times New Roman" w:eastAsia="Calibri" w:hAnsi="Times New Roman" w:cs="Times New Roman"/>
          <w:noProof/>
          <w:kern w:val="0"/>
          <w:sz w:val="24"/>
          <w:lang w:eastAsia="en-IE"/>
        </w:rPr>
        <w:footnoteReference w:id="5"/>
      </w:r>
      <w:r>
        <w:rPr>
          <w:rFonts w:ascii="Times New Roman" w:hAnsi="Times New Roman"/>
          <w:noProof/>
          <w:sz w:val="24"/>
        </w:rPr>
        <w:t>;</w:t>
      </w:r>
    </w:p>
    <w:p w14:paraId="2953E8FB" w14:textId="64835B60" w:rsidR="00EC3E11" w:rsidRPr="00EC3E11" w:rsidRDefault="00EC3E11"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Pr>
          <w:rFonts w:ascii="Times New Roman" w:hAnsi="Times New Roman"/>
          <w:noProof/>
          <w:sz w:val="24"/>
        </w:rPr>
        <w:t>le règlement délégué (UE) 2023/2616 de la Commission du 15 septembre 2023 modifiant le règlement (UE) 2021/821 du Parlement européen et du Conseil en ce qui concerne la liste des biens à double usage</w:t>
      </w:r>
      <w:r>
        <w:rPr>
          <w:rStyle w:val="FootnoteReference"/>
          <w:rFonts w:ascii="Times New Roman" w:eastAsia="Calibri" w:hAnsi="Times New Roman" w:cs="Times New Roman"/>
          <w:noProof/>
          <w:kern w:val="0"/>
          <w:sz w:val="24"/>
          <w:lang w:eastAsia="en-IE"/>
        </w:rPr>
        <w:footnoteReference w:id="6"/>
      </w:r>
      <w:r>
        <w:rPr>
          <w:rFonts w:ascii="Times New Roman" w:hAnsi="Times New Roman"/>
          <w:noProof/>
          <w:sz w:val="24"/>
        </w:rPr>
        <w:t>;</w:t>
      </w:r>
    </w:p>
    <w:p w14:paraId="330A9356" w14:textId="5DCD5572" w:rsidR="00190FB0" w:rsidRPr="00EC3E11" w:rsidRDefault="00892AC0"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Pr>
          <w:rFonts w:ascii="Times New Roman" w:hAnsi="Times New Roman"/>
          <w:noProof/>
          <w:sz w:val="24"/>
        </w:rPr>
        <w:t>le règlement délégué (UE) 2023/996 de la Commission du 23 février 2023 modifiant le règlement (UE) 2021/821 du Parlement européen et du Conseil en ce qui concerne la liste des biens à double usage</w:t>
      </w:r>
      <w:r>
        <w:rPr>
          <w:rStyle w:val="FootnoteReference"/>
          <w:rFonts w:ascii="Times New Roman" w:eastAsia="Calibri" w:hAnsi="Times New Roman" w:cs="Times New Roman"/>
          <w:noProof/>
          <w:kern w:val="0"/>
          <w:sz w:val="24"/>
          <w:lang w:eastAsia="en-IE"/>
        </w:rPr>
        <w:footnoteReference w:id="7"/>
      </w:r>
      <w:r>
        <w:rPr>
          <w:rFonts w:ascii="Times New Roman" w:hAnsi="Times New Roman"/>
          <w:noProof/>
          <w:sz w:val="24"/>
        </w:rPr>
        <w:t>;</w:t>
      </w:r>
    </w:p>
    <w:p w14:paraId="5B08CA55" w14:textId="1A185892" w:rsidR="00F36228" w:rsidRPr="00EC3E11" w:rsidRDefault="00C8463A"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Pr>
          <w:rFonts w:ascii="Times New Roman" w:hAnsi="Times New Roman"/>
          <w:noProof/>
          <w:sz w:val="24"/>
        </w:rPr>
        <w:t>le règlement délégué (UE) 2023/66 de la Commission du 21 octobre 2022 modifiant le règlement (UE) 2021/821 du Parlement européen et du Conseil en ce qui concerne la liste des biens à double usage</w:t>
      </w:r>
      <w:r>
        <w:rPr>
          <w:rStyle w:val="FootnoteReference"/>
          <w:rFonts w:ascii="Times New Roman" w:eastAsia="Calibri" w:hAnsi="Times New Roman" w:cs="Times New Roman"/>
          <w:noProof/>
          <w:kern w:val="0"/>
          <w:sz w:val="24"/>
          <w:lang w:eastAsia="en-IE"/>
        </w:rPr>
        <w:footnoteReference w:id="8"/>
      </w:r>
      <w:r>
        <w:rPr>
          <w:rFonts w:ascii="Times New Roman" w:hAnsi="Times New Roman"/>
          <w:noProof/>
          <w:sz w:val="24"/>
        </w:rPr>
        <w:t>;</w:t>
      </w:r>
    </w:p>
    <w:p w14:paraId="5757A6C6" w14:textId="065ED627" w:rsidR="00B614A5" w:rsidRPr="00EC3E11" w:rsidRDefault="004E713A"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Pr>
          <w:rFonts w:ascii="Times New Roman" w:hAnsi="Times New Roman"/>
          <w:noProof/>
          <w:sz w:val="24"/>
        </w:rPr>
        <w:t>le règlement délégué (UE) 2022/699 de la Commission du 3 mai 2022 modifiant le règlement (UE) 2021/821 du Parlement européen et du Conseil afin de retirer la destination «Russie» du champ d’application des autorisations générales d’exportation de l’Union</w:t>
      </w:r>
      <w:r>
        <w:rPr>
          <w:rStyle w:val="FootnoteReference"/>
          <w:rFonts w:ascii="Times New Roman" w:eastAsia="Calibri" w:hAnsi="Times New Roman" w:cs="Times New Roman"/>
          <w:noProof/>
          <w:kern w:val="0"/>
          <w:sz w:val="24"/>
          <w:lang w:eastAsia="en-IE"/>
        </w:rPr>
        <w:footnoteReference w:id="9"/>
      </w:r>
      <w:r>
        <w:rPr>
          <w:rFonts w:ascii="Times New Roman" w:hAnsi="Times New Roman"/>
          <w:noProof/>
          <w:sz w:val="24"/>
        </w:rPr>
        <w:t>;</w:t>
      </w:r>
    </w:p>
    <w:p w14:paraId="64C4E954" w14:textId="1BE157F5" w:rsidR="00391060" w:rsidRPr="00EC3E11" w:rsidRDefault="00144E34"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Pr>
          <w:rFonts w:ascii="Times New Roman" w:hAnsi="Times New Roman"/>
          <w:noProof/>
          <w:sz w:val="24"/>
        </w:rPr>
        <w:t>le règlement délégué (UE) 2022/1 de la Commission du 20 octobre 2021 modifiant le règlement (UE) 2021/821 du Parlement européen et du Conseil en ce qui concerne la liste des biens à double usage</w:t>
      </w:r>
      <w:r>
        <w:rPr>
          <w:rStyle w:val="FootnoteReference"/>
          <w:rFonts w:ascii="Times New Roman" w:eastAsia="Calibri" w:hAnsi="Times New Roman" w:cs="Times New Roman"/>
          <w:noProof/>
          <w:kern w:val="0"/>
          <w:sz w:val="24"/>
          <w:lang w:eastAsia="en-IE"/>
        </w:rPr>
        <w:footnoteReference w:id="10"/>
      </w:r>
      <w:r>
        <w:rPr>
          <w:rFonts w:ascii="Times New Roman" w:hAnsi="Times New Roman"/>
          <w:noProof/>
          <w:sz w:val="24"/>
        </w:rPr>
        <w:t>.</w:t>
      </w:r>
    </w:p>
    <w:p w14:paraId="4C0CC965" w14:textId="022AF8CE" w:rsidR="001D683F" w:rsidRDefault="00A421D2" w:rsidP="000E1A99">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r>
        <w:rPr>
          <w:rFonts w:ascii="Times New Roman" w:hAnsi="Times New Roman"/>
          <w:b/>
          <w:smallCaps/>
          <w:noProof/>
          <w:color w:val="auto"/>
          <w:sz w:val="24"/>
        </w:rPr>
        <w:t xml:space="preserve"> Conclusion</w:t>
      </w:r>
    </w:p>
    <w:p w14:paraId="2E4852F5" w14:textId="34A24917" w:rsidR="0086315E" w:rsidRDefault="0086315E" w:rsidP="000E1A99">
      <w:pPr>
        <w:rPr>
          <w:rFonts w:ascii="Times New Roman" w:eastAsia="Calibri" w:hAnsi="Times New Roman" w:cs="Times New Roman"/>
          <w:noProof/>
          <w:kern w:val="0"/>
          <w:sz w:val="24"/>
          <w14:ligatures w14:val="none"/>
        </w:rPr>
      </w:pPr>
      <w:r>
        <w:rPr>
          <w:rFonts w:ascii="Times New Roman" w:hAnsi="Times New Roman"/>
          <w:noProof/>
          <w:sz w:val="24"/>
        </w:rPr>
        <w:t>Compte tenu de l’explication fournie à la section 3, la Commission estime qu’il est manifestement nécessaire de proroger tacitement la délégation de pouvoir prévue à l’article  17 du règlement sur les biens à double usage pour une nouvelle période de cinq ans.</w:t>
      </w:r>
    </w:p>
    <w:p w14:paraId="587FB591" w14:textId="18AFE09B" w:rsidR="000E1A99" w:rsidRPr="007460E3" w:rsidRDefault="007460E3" w:rsidP="000E1A99">
      <w:pPr>
        <w:rPr>
          <w:rFonts w:ascii="Times New Roman" w:eastAsia="Calibri" w:hAnsi="Times New Roman" w:cs="Times New Roman"/>
          <w:noProof/>
          <w:kern w:val="0"/>
          <w:sz w:val="24"/>
          <w14:ligatures w14:val="none"/>
        </w:rPr>
      </w:pPr>
      <w:r>
        <w:rPr>
          <w:rFonts w:ascii="Times New Roman" w:hAnsi="Times New Roman"/>
          <w:noProof/>
          <w:sz w:val="24"/>
        </w:rPr>
        <w:t>La Commission invite le Parlement européen et le Conseil à prendre acte du présent rapport.</w:t>
      </w:r>
    </w:p>
    <w:sectPr w:rsidR="000E1A99" w:rsidRPr="007460E3" w:rsidSect="009B07A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EBF0B" w14:textId="77777777" w:rsidR="00FC215C" w:rsidRDefault="00FC215C" w:rsidP="00E825A7">
      <w:pPr>
        <w:spacing w:after="0" w:line="240" w:lineRule="auto"/>
      </w:pPr>
      <w:r>
        <w:separator/>
      </w:r>
    </w:p>
  </w:endnote>
  <w:endnote w:type="continuationSeparator" w:id="0">
    <w:p w14:paraId="676EC685" w14:textId="77777777" w:rsidR="00FC215C" w:rsidRDefault="00FC215C" w:rsidP="00E82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FDC62" w14:textId="44E65E49" w:rsidR="00A50B68" w:rsidRPr="00A50B68" w:rsidRDefault="00A50B68" w:rsidP="00A50B68">
    <w:pPr>
      <w:pStyle w:val="FooterCoverPage"/>
      <w:rPr>
        <w:rFonts w:ascii="Arial" w:hAnsi="Arial" w:cs="Arial"/>
        <w:b/>
        <w:sz w:val="48"/>
      </w:rPr>
    </w:pPr>
    <w:r w:rsidRPr="00A50B68">
      <w:rPr>
        <w:rFonts w:ascii="Arial" w:hAnsi="Arial" w:cs="Arial"/>
        <w:b/>
        <w:sz w:val="48"/>
      </w:rPr>
      <w:t>FR</w:t>
    </w:r>
    <w:r w:rsidRPr="00A50B68">
      <w:rPr>
        <w:rFonts w:ascii="Arial" w:hAnsi="Arial" w:cs="Arial"/>
        <w:b/>
        <w:sz w:val="48"/>
      </w:rPr>
      <w:tab/>
    </w:r>
    <w:r w:rsidRPr="00A50B68">
      <w:rPr>
        <w:rFonts w:ascii="Arial" w:hAnsi="Arial" w:cs="Arial"/>
        <w:b/>
        <w:sz w:val="48"/>
      </w:rPr>
      <w:tab/>
    </w:r>
    <w:r w:rsidRPr="00A50B68">
      <w:tab/>
    </w:r>
    <w:r w:rsidRPr="00A50B6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E7BD5" w14:textId="09E8B2DA" w:rsidR="00A50B68" w:rsidRPr="00A50B68" w:rsidRDefault="00A50B68" w:rsidP="00A50B68">
    <w:pPr>
      <w:pStyle w:val="FooterCoverPage"/>
      <w:rPr>
        <w:rFonts w:ascii="Arial" w:hAnsi="Arial" w:cs="Arial"/>
        <w:b/>
        <w:sz w:val="48"/>
      </w:rPr>
    </w:pPr>
    <w:r w:rsidRPr="00A50B68">
      <w:rPr>
        <w:rFonts w:ascii="Arial" w:hAnsi="Arial" w:cs="Arial"/>
        <w:b/>
        <w:sz w:val="48"/>
      </w:rPr>
      <w:t>FR</w:t>
    </w:r>
    <w:r w:rsidRPr="00A50B68">
      <w:rPr>
        <w:rFonts w:ascii="Arial" w:hAnsi="Arial" w:cs="Arial"/>
        <w:b/>
        <w:sz w:val="48"/>
      </w:rPr>
      <w:tab/>
    </w:r>
    <w:r w:rsidRPr="00A50B68">
      <w:rPr>
        <w:rFonts w:ascii="Arial" w:hAnsi="Arial" w:cs="Arial"/>
        <w:b/>
        <w:sz w:val="48"/>
      </w:rPr>
      <w:tab/>
    </w:r>
    <w:r w:rsidRPr="00A50B68">
      <w:tab/>
    </w:r>
    <w:r w:rsidRPr="00A50B6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E3E34" w14:textId="77777777" w:rsidR="00A50B68" w:rsidRPr="00A50B68" w:rsidRDefault="00A50B68" w:rsidP="00A50B6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68BDB" w14:textId="77777777" w:rsidR="00E825A7" w:rsidRDefault="00E825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479222"/>
      <w:docPartObj>
        <w:docPartGallery w:val="Page Numbers (Bottom of Page)"/>
        <w:docPartUnique/>
      </w:docPartObj>
    </w:sdtPr>
    <w:sdtEndPr>
      <w:rPr>
        <w:rFonts w:ascii="Times New Roman" w:hAnsi="Times New Roman" w:cs="Times New Roman"/>
        <w:noProof/>
      </w:rPr>
    </w:sdtEndPr>
    <w:sdtContent>
      <w:p w14:paraId="60A00721" w14:textId="74469924" w:rsidR="00A02281" w:rsidRPr="00A02281" w:rsidRDefault="00A02281">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A50B68">
          <w:rPr>
            <w:rFonts w:ascii="Times New Roman" w:hAnsi="Times New Roman" w:cs="Times New Roman"/>
            <w:noProof/>
          </w:rPr>
          <w:t>1</w:t>
        </w:r>
        <w:r>
          <w:rPr>
            <w:rFonts w:ascii="Times New Roman" w:hAnsi="Times New Roman" w:cs="Times New Roman"/>
          </w:rPr>
          <w:fldChar w:fldCharType="end"/>
        </w:r>
      </w:p>
    </w:sdtContent>
  </w:sdt>
  <w:p w14:paraId="10D6F0C4" w14:textId="77777777" w:rsidR="00E825A7" w:rsidRDefault="00E825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78C83" w14:textId="77777777" w:rsidR="00E825A7" w:rsidRDefault="00E82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AB13F" w14:textId="77777777" w:rsidR="00FC215C" w:rsidRDefault="00FC215C" w:rsidP="00E825A7">
      <w:pPr>
        <w:spacing w:after="0" w:line="240" w:lineRule="auto"/>
      </w:pPr>
      <w:r>
        <w:separator/>
      </w:r>
    </w:p>
  </w:footnote>
  <w:footnote w:type="continuationSeparator" w:id="0">
    <w:p w14:paraId="1CCACFAA" w14:textId="77777777" w:rsidR="00FC215C" w:rsidRDefault="00FC215C" w:rsidP="00E825A7">
      <w:pPr>
        <w:spacing w:after="0" w:line="240" w:lineRule="auto"/>
      </w:pPr>
      <w:r>
        <w:continuationSeparator/>
      </w:r>
    </w:p>
  </w:footnote>
  <w:footnote w:id="1">
    <w:p w14:paraId="7DB325D1" w14:textId="14575869" w:rsidR="001A034F" w:rsidRPr="001F450B" w:rsidRDefault="001A034F" w:rsidP="00FD756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Règlement (UE) 2021/821 du Parlement européen et du Conseil du 20 mai 2021 instituant un régime de l’Union de contrôle des exportations, du courtage, de l’assistance technique, du transit et des transferts en ce qui concerne les biens à double usage (refonte) (JO L 206 du 11.6.2021, p. 1).</w:t>
      </w:r>
    </w:p>
  </w:footnote>
  <w:footnote w:id="2">
    <w:p w14:paraId="47CE612B" w14:textId="75E76C56" w:rsidR="00FD756F" w:rsidRPr="001F450B" w:rsidRDefault="00FD756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Règlement (CE) nº 428/2009 du Conseil du 5 mai 2009 instituant un régime communautaire de contrôle des exportations, des transferts, du courtage et du transit de biens à double usage (JO L 134 du 29.5.2009, p. 1).</w:t>
      </w:r>
    </w:p>
  </w:footnote>
  <w:footnote w:id="3">
    <w:p w14:paraId="134BFCD7" w14:textId="78E86CAC" w:rsidR="001F450B" w:rsidRPr="001F450B" w:rsidRDefault="001F450B">
      <w:pPr>
        <w:pStyle w:val="FootnoteText"/>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Les principaux régimes multilatéraux en vertu desquels la plupart des contrôles des exportations de l’UE sont convenus sont le groupe d’Australie, le régime de contrôle de la technologie des missiles, le groupe des fournisseurs nucléaires et l’arrangement de Wassenaar. L’UE est membre de l’un des régimes multilatéraux de contrôle des exportations existants (le groupe d’Australie) et a le statut d’observateur au sein du groupe des fournisseurs nucléaires.</w:t>
      </w:r>
    </w:p>
  </w:footnote>
  <w:footnote w:id="4">
    <w:p w14:paraId="42BDD692" w14:textId="4A342849" w:rsidR="003405AF" w:rsidRPr="007D0D92" w:rsidRDefault="003405AF">
      <w:pPr>
        <w:pStyle w:val="FootnoteText"/>
        <w:rPr>
          <w:lang w:val="en-IE"/>
        </w:rPr>
      </w:pPr>
      <w:r>
        <w:rPr>
          <w:rStyle w:val="FootnoteReference"/>
          <w:rFonts w:ascii="Times New Roman" w:hAnsi="Times New Roman" w:cs="Times New Roman"/>
        </w:rPr>
        <w:footnoteRef/>
      </w:r>
      <w:r w:rsidRPr="007D0D92">
        <w:rPr>
          <w:rFonts w:ascii="Times New Roman" w:hAnsi="Times New Roman"/>
          <w:lang w:val="en-IE"/>
        </w:rPr>
        <w:t xml:space="preserve"> </w:t>
      </w:r>
      <w:r w:rsidRPr="007D0D92">
        <w:rPr>
          <w:lang w:val="en-IE"/>
        </w:rPr>
        <w:tab/>
      </w:r>
      <w:r w:rsidRPr="007D0D92">
        <w:rPr>
          <w:rFonts w:ascii="Times New Roman" w:hAnsi="Times New Roman"/>
          <w:lang w:val="en-IE"/>
        </w:rPr>
        <w:t>C/2025/5947 (JO L, 2025/2003, 14.11.2025).</w:t>
      </w:r>
    </w:p>
  </w:footnote>
  <w:footnote w:id="5">
    <w:p w14:paraId="6B1436AD" w14:textId="187E165A" w:rsidR="006F3AC7" w:rsidRPr="007D0D92" w:rsidRDefault="006F3AC7">
      <w:pPr>
        <w:pStyle w:val="FootnoteText"/>
        <w:rPr>
          <w:lang w:val="en-IE"/>
        </w:rPr>
      </w:pPr>
      <w:r>
        <w:rPr>
          <w:rStyle w:val="FootnoteReference"/>
          <w:rFonts w:ascii="Times New Roman" w:hAnsi="Times New Roman" w:cs="Times New Roman"/>
        </w:rPr>
        <w:footnoteRef/>
      </w:r>
      <w:r w:rsidRPr="007D0D92">
        <w:rPr>
          <w:lang w:val="en-IE"/>
        </w:rPr>
        <w:t xml:space="preserve"> </w:t>
      </w:r>
      <w:r w:rsidRPr="007D0D92">
        <w:rPr>
          <w:lang w:val="en-IE"/>
        </w:rPr>
        <w:tab/>
      </w:r>
      <w:r w:rsidRPr="007D0D92">
        <w:rPr>
          <w:rFonts w:ascii="Times New Roman" w:hAnsi="Times New Roman"/>
          <w:lang w:val="en-IE"/>
        </w:rPr>
        <w:t>C/2024/6093 (JO L, 2024/2547, 7.11.2024)</w:t>
      </w:r>
      <w:r w:rsidRPr="007D0D92">
        <w:rPr>
          <w:lang w:val="en-IE"/>
        </w:rPr>
        <w:t>.</w:t>
      </w:r>
    </w:p>
  </w:footnote>
  <w:footnote w:id="6">
    <w:p w14:paraId="6E0AB765" w14:textId="382C4AA5" w:rsidR="00256D45" w:rsidRPr="007D0D92" w:rsidRDefault="00256D45">
      <w:pPr>
        <w:pStyle w:val="FootnoteText"/>
        <w:rPr>
          <w:lang w:val="en-IE"/>
        </w:rPr>
      </w:pPr>
      <w:r>
        <w:rPr>
          <w:rStyle w:val="FootnoteReference"/>
          <w:rFonts w:ascii="Times New Roman" w:hAnsi="Times New Roman" w:cs="Times New Roman"/>
        </w:rPr>
        <w:footnoteRef/>
      </w:r>
      <w:r w:rsidRPr="007D0D92">
        <w:rPr>
          <w:rFonts w:ascii="Times New Roman" w:hAnsi="Times New Roman"/>
          <w:lang w:val="en-IE"/>
        </w:rPr>
        <w:t xml:space="preserve"> </w:t>
      </w:r>
      <w:r w:rsidRPr="007D0D92">
        <w:rPr>
          <w:lang w:val="en-IE"/>
        </w:rPr>
        <w:tab/>
      </w:r>
      <w:r w:rsidRPr="007D0D92">
        <w:rPr>
          <w:rFonts w:ascii="Times New Roman" w:hAnsi="Times New Roman"/>
          <w:lang w:val="en-IE"/>
        </w:rPr>
        <w:t>JO L, 2023/2616, 15.12.2023.</w:t>
      </w:r>
    </w:p>
  </w:footnote>
  <w:footnote w:id="7">
    <w:p w14:paraId="630C6FE0" w14:textId="16386E84" w:rsidR="002865F4" w:rsidRPr="000D289D" w:rsidRDefault="002865F4">
      <w:pPr>
        <w:pStyle w:val="FootnoteText"/>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C/2023/1164 (JO L 138 du 25.5.2023, p. 1).</w:t>
      </w:r>
    </w:p>
  </w:footnote>
  <w:footnote w:id="8">
    <w:p w14:paraId="5E4BC3E2" w14:textId="0DF477E0" w:rsidR="00E41428" w:rsidRPr="000D289D" w:rsidRDefault="00E41428">
      <w:pPr>
        <w:pStyle w:val="FootnoteText"/>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C/2022/7424 (JO L 9 du 11.1.2023, p. 1).</w:t>
      </w:r>
    </w:p>
  </w:footnote>
  <w:footnote w:id="9">
    <w:p w14:paraId="7EA61271" w14:textId="76A78F82" w:rsidR="00D94327" w:rsidRPr="000D289D" w:rsidRDefault="00D9432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C/2022/2885 (JO L 130I du 4.5.2022, p. 1).</w:t>
      </w:r>
    </w:p>
  </w:footnote>
  <w:footnote w:id="10">
    <w:p w14:paraId="0F9D72E1" w14:textId="153964D7" w:rsidR="00C52805" w:rsidRPr="000D289D" w:rsidRDefault="00C5280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C/2021/7424 (JO L 3 du 6.1.2022,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9964B" w14:textId="77777777" w:rsidR="00A50B68" w:rsidRPr="00A50B68" w:rsidRDefault="00A50B68" w:rsidP="00A50B6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FFB5B" w14:textId="77777777" w:rsidR="00A50B68" w:rsidRPr="00A50B68" w:rsidRDefault="00A50B68" w:rsidP="00A50B6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89A37" w14:textId="77777777" w:rsidR="00A50B68" w:rsidRPr="00A50B68" w:rsidRDefault="00A50B68" w:rsidP="00A50B6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D9692" w14:textId="77777777" w:rsidR="00E825A7" w:rsidRDefault="00E825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F6232" w14:textId="77777777" w:rsidR="00E825A7" w:rsidRDefault="00E825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2A791" w14:textId="77777777" w:rsidR="00E825A7" w:rsidRDefault="00E825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E568F"/>
    <w:multiLevelType w:val="hybridMultilevel"/>
    <w:tmpl w:val="F19A3B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12832BC"/>
    <w:multiLevelType w:val="hybridMultilevel"/>
    <w:tmpl w:val="5B1A603E"/>
    <w:lvl w:ilvl="0" w:tplc="0680B788">
      <w:start w:val="1"/>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28C0C8C-652E-4DBF-B5EA-B70C96660756"/>
    <w:docVar w:name="LW_COVERPAGE_TYPE" w:val="1"/>
    <w:docVar w:name="LW_CROSSREFERENCE" w:val="&lt;UNUSED&gt;"/>
    <w:docVar w:name="LW_DocType" w:val="NORMAL"/>
    <w:docVar w:name="LW_EMISSION" w:val="24.7.2026"/>
    <w:docVar w:name="LW_EMISSION_ISODATE" w:val="2026-07-24"/>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f à la délégation du pouvoir d\u8217?adopter des actes délégués conféré à la Commission en vertu du règlement (UE) 2021/821 du Parlement européen et du Conseil du 20 mai 2021 instituant un régime de l\u8217?Union de contrôle des exportations, du courtage, de l\u8217?assistance technique, du transit et des transferts en ce qui concerne les biens à double usage (refonte)"/>
    <w:docVar w:name="LW_TYPE.DOC.CP" w:val="RAPPORT DE LA COMMISSION AU PARLEMENT EUROPÉEN ET AU CONSEIL"/>
    <w:docVar w:name="LwApiVersions" w:val="LW4CoDe 1.24.5.0; LW 9.2, Build 20251112"/>
  </w:docVars>
  <w:rsids>
    <w:rsidRoot w:val="00E825A7"/>
    <w:rsid w:val="00017864"/>
    <w:rsid w:val="00021060"/>
    <w:rsid w:val="00041402"/>
    <w:rsid w:val="000531B7"/>
    <w:rsid w:val="00074D1A"/>
    <w:rsid w:val="00096370"/>
    <w:rsid w:val="000B2217"/>
    <w:rsid w:val="000D289D"/>
    <w:rsid w:val="000E078A"/>
    <w:rsid w:val="000E1A99"/>
    <w:rsid w:val="000E675C"/>
    <w:rsid w:val="000F11FD"/>
    <w:rsid w:val="00122606"/>
    <w:rsid w:val="001417FC"/>
    <w:rsid w:val="00144E34"/>
    <w:rsid w:val="00153E6E"/>
    <w:rsid w:val="00186739"/>
    <w:rsid w:val="00190FB0"/>
    <w:rsid w:val="001A034F"/>
    <w:rsid w:val="001C6CDE"/>
    <w:rsid w:val="001D683F"/>
    <w:rsid w:val="001F2E4C"/>
    <w:rsid w:val="001F450B"/>
    <w:rsid w:val="001F50E8"/>
    <w:rsid w:val="00211CBF"/>
    <w:rsid w:val="002262E3"/>
    <w:rsid w:val="002444CE"/>
    <w:rsid w:val="00256D45"/>
    <w:rsid w:val="002865F4"/>
    <w:rsid w:val="002A1663"/>
    <w:rsid w:val="002C2DE1"/>
    <w:rsid w:val="002C39F2"/>
    <w:rsid w:val="002D7C35"/>
    <w:rsid w:val="002F1C43"/>
    <w:rsid w:val="00314AE4"/>
    <w:rsid w:val="0032370C"/>
    <w:rsid w:val="003405AF"/>
    <w:rsid w:val="00391060"/>
    <w:rsid w:val="003C156E"/>
    <w:rsid w:val="003E016C"/>
    <w:rsid w:val="00401946"/>
    <w:rsid w:val="004226D4"/>
    <w:rsid w:val="004278DA"/>
    <w:rsid w:val="00427DFC"/>
    <w:rsid w:val="004607FB"/>
    <w:rsid w:val="0046736D"/>
    <w:rsid w:val="00491CA6"/>
    <w:rsid w:val="004B3BCF"/>
    <w:rsid w:val="004D0010"/>
    <w:rsid w:val="004E713A"/>
    <w:rsid w:val="00506D23"/>
    <w:rsid w:val="00515CD8"/>
    <w:rsid w:val="00526B19"/>
    <w:rsid w:val="00534E04"/>
    <w:rsid w:val="005418F8"/>
    <w:rsid w:val="00554BD0"/>
    <w:rsid w:val="0057083A"/>
    <w:rsid w:val="0057510F"/>
    <w:rsid w:val="00597854"/>
    <w:rsid w:val="005B3E5D"/>
    <w:rsid w:val="005B745F"/>
    <w:rsid w:val="005D4D56"/>
    <w:rsid w:val="005F16F3"/>
    <w:rsid w:val="00606ABD"/>
    <w:rsid w:val="00611A1B"/>
    <w:rsid w:val="00612572"/>
    <w:rsid w:val="00615818"/>
    <w:rsid w:val="006245A0"/>
    <w:rsid w:val="00645EF0"/>
    <w:rsid w:val="006645E5"/>
    <w:rsid w:val="006646E7"/>
    <w:rsid w:val="006879C7"/>
    <w:rsid w:val="006904F1"/>
    <w:rsid w:val="0069350C"/>
    <w:rsid w:val="006A0BEA"/>
    <w:rsid w:val="006A3CC1"/>
    <w:rsid w:val="006B39B8"/>
    <w:rsid w:val="006D67A2"/>
    <w:rsid w:val="006E1C78"/>
    <w:rsid w:val="006E539D"/>
    <w:rsid w:val="006F3AC7"/>
    <w:rsid w:val="006F62B4"/>
    <w:rsid w:val="00715DFE"/>
    <w:rsid w:val="00716B26"/>
    <w:rsid w:val="00717B57"/>
    <w:rsid w:val="00727C53"/>
    <w:rsid w:val="00731D74"/>
    <w:rsid w:val="00745F9E"/>
    <w:rsid w:val="007460E3"/>
    <w:rsid w:val="007851AC"/>
    <w:rsid w:val="007A25A3"/>
    <w:rsid w:val="007A5FE7"/>
    <w:rsid w:val="007D0D92"/>
    <w:rsid w:val="00802D9B"/>
    <w:rsid w:val="008079FA"/>
    <w:rsid w:val="00825976"/>
    <w:rsid w:val="00861B81"/>
    <w:rsid w:val="0086315E"/>
    <w:rsid w:val="00892AC0"/>
    <w:rsid w:val="008B0CA6"/>
    <w:rsid w:val="008F59B2"/>
    <w:rsid w:val="0091290E"/>
    <w:rsid w:val="0091400F"/>
    <w:rsid w:val="009249FA"/>
    <w:rsid w:val="009405DB"/>
    <w:rsid w:val="00977008"/>
    <w:rsid w:val="009865F0"/>
    <w:rsid w:val="00991029"/>
    <w:rsid w:val="00997E9C"/>
    <w:rsid w:val="009B07A9"/>
    <w:rsid w:val="009C3D26"/>
    <w:rsid w:val="00A02281"/>
    <w:rsid w:val="00A027A5"/>
    <w:rsid w:val="00A421D2"/>
    <w:rsid w:val="00A50B68"/>
    <w:rsid w:val="00A6508B"/>
    <w:rsid w:val="00A650DF"/>
    <w:rsid w:val="00A77D05"/>
    <w:rsid w:val="00A87884"/>
    <w:rsid w:val="00AC1141"/>
    <w:rsid w:val="00AC1491"/>
    <w:rsid w:val="00AD287B"/>
    <w:rsid w:val="00B41219"/>
    <w:rsid w:val="00B53C03"/>
    <w:rsid w:val="00B614A5"/>
    <w:rsid w:val="00BB3847"/>
    <w:rsid w:val="00BD3A07"/>
    <w:rsid w:val="00BF3843"/>
    <w:rsid w:val="00C203E3"/>
    <w:rsid w:val="00C20ADE"/>
    <w:rsid w:val="00C23618"/>
    <w:rsid w:val="00C52805"/>
    <w:rsid w:val="00C6224A"/>
    <w:rsid w:val="00C842B1"/>
    <w:rsid w:val="00C8463A"/>
    <w:rsid w:val="00C97651"/>
    <w:rsid w:val="00CC31A5"/>
    <w:rsid w:val="00CC5275"/>
    <w:rsid w:val="00CC5D6A"/>
    <w:rsid w:val="00CE0F5C"/>
    <w:rsid w:val="00D15BFD"/>
    <w:rsid w:val="00D20AF1"/>
    <w:rsid w:val="00D66F10"/>
    <w:rsid w:val="00D84C46"/>
    <w:rsid w:val="00D87A43"/>
    <w:rsid w:val="00D94327"/>
    <w:rsid w:val="00D9519A"/>
    <w:rsid w:val="00DA209D"/>
    <w:rsid w:val="00DE45AE"/>
    <w:rsid w:val="00DF7E83"/>
    <w:rsid w:val="00E17C86"/>
    <w:rsid w:val="00E21D14"/>
    <w:rsid w:val="00E41428"/>
    <w:rsid w:val="00E4572D"/>
    <w:rsid w:val="00E675BF"/>
    <w:rsid w:val="00E718C3"/>
    <w:rsid w:val="00E825A7"/>
    <w:rsid w:val="00EA5689"/>
    <w:rsid w:val="00EB53E3"/>
    <w:rsid w:val="00EB73F2"/>
    <w:rsid w:val="00EB7EC2"/>
    <w:rsid w:val="00EC3E11"/>
    <w:rsid w:val="00EF7B6A"/>
    <w:rsid w:val="00F24001"/>
    <w:rsid w:val="00F2430E"/>
    <w:rsid w:val="00F36228"/>
    <w:rsid w:val="00F40074"/>
    <w:rsid w:val="00F727C7"/>
    <w:rsid w:val="00FC215C"/>
    <w:rsid w:val="00FD1462"/>
    <w:rsid w:val="00FD7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F51711"/>
  <w15:chartTrackingRefBased/>
  <w15:docId w15:val="{7144BAE0-30A5-4B7C-8189-2541DB8D5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E82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2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25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25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5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5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5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5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5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2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2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2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5A7"/>
    <w:rPr>
      <w:rFonts w:eastAsiaTheme="majorEastAsia" w:cstheme="majorBidi"/>
      <w:color w:val="272727" w:themeColor="text1" w:themeTint="D8"/>
    </w:rPr>
  </w:style>
  <w:style w:type="paragraph" w:styleId="Title">
    <w:name w:val="Title"/>
    <w:basedOn w:val="Normal"/>
    <w:next w:val="Normal"/>
    <w:link w:val="TitleChar"/>
    <w:uiPriority w:val="10"/>
    <w:qFormat/>
    <w:rsid w:val="00E82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5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5A7"/>
    <w:pPr>
      <w:spacing w:before="160"/>
      <w:jc w:val="center"/>
    </w:pPr>
    <w:rPr>
      <w:i/>
      <w:iCs/>
      <w:color w:val="404040" w:themeColor="text1" w:themeTint="BF"/>
    </w:rPr>
  </w:style>
  <w:style w:type="character" w:customStyle="1" w:styleId="QuoteChar">
    <w:name w:val="Quote Char"/>
    <w:basedOn w:val="DefaultParagraphFont"/>
    <w:link w:val="Quote"/>
    <w:uiPriority w:val="29"/>
    <w:rsid w:val="00E825A7"/>
    <w:rPr>
      <w:i/>
      <w:iCs/>
      <w:color w:val="404040" w:themeColor="text1" w:themeTint="BF"/>
    </w:rPr>
  </w:style>
  <w:style w:type="paragraph" w:styleId="ListParagraph">
    <w:name w:val="List Paragraph"/>
    <w:basedOn w:val="Normal"/>
    <w:uiPriority w:val="34"/>
    <w:qFormat/>
    <w:rsid w:val="00E825A7"/>
    <w:pPr>
      <w:ind w:left="720"/>
      <w:contextualSpacing/>
    </w:pPr>
  </w:style>
  <w:style w:type="character" w:styleId="IntenseEmphasis">
    <w:name w:val="Intense Emphasis"/>
    <w:basedOn w:val="DefaultParagraphFont"/>
    <w:uiPriority w:val="21"/>
    <w:qFormat/>
    <w:rsid w:val="00E825A7"/>
    <w:rPr>
      <w:i/>
      <w:iCs/>
      <w:color w:val="0F4761" w:themeColor="accent1" w:themeShade="BF"/>
    </w:rPr>
  </w:style>
  <w:style w:type="paragraph" w:styleId="IntenseQuote">
    <w:name w:val="Intense Quote"/>
    <w:basedOn w:val="Normal"/>
    <w:next w:val="Normal"/>
    <w:link w:val="IntenseQuoteChar"/>
    <w:uiPriority w:val="30"/>
    <w:qFormat/>
    <w:rsid w:val="00E82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5A7"/>
    <w:rPr>
      <w:i/>
      <w:iCs/>
      <w:color w:val="0F4761" w:themeColor="accent1" w:themeShade="BF"/>
    </w:rPr>
  </w:style>
  <w:style w:type="character" w:styleId="IntenseReference">
    <w:name w:val="Intense Reference"/>
    <w:basedOn w:val="DefaultParagraphFont"/>
    <w:uiPriority w:val="32"/>
    <w:qFormat/>
    <w:rsid w:val="00E825A7"/>
    <w:rPr>
      <w:b/>
      <w:bCs/>
      <w:smallCaps/>
      <w:color w:val="0F4761" w:themeColor="accent1" w:themeShade="BF"/>
      <w:spacing w:val="5"/>
    </w:rPr>
  </w:style>
  <w:style w:type="character" w:customStyle="1" w:styleId="Marker">
    <w:name w:val="Marker"/>
    <w:basedOn w:val="DefaultParagraphFont"/>
    <w:rsid w:val="00E825A7"/>
    <w:rPr>
      <w:color w:val="0000FF"/>
      <w:shd w:val="clear" w:color="auto" w:fill="auto"/>
    </w:rPr>
  </w:style>
  <w:style w:type="paragraph" w:styleId="Header">
    <w:name w:val="header"/>
    <w:basedOn w:val="Normal"/>
    <w:link w:val="HeaderChar"/>
    <w:uiPriority w:val="99"/>
    <w:unhideWhenUsed/>
    <w:rsid w:val="00E82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25A7"/>
  </w:style>
  <w:style w:type="paragraph" w:styleId="Footer">
    <w:name w:val="footer"/>
    <w:basedOn w:val="Normal"/>
    <w:link w:val="FooterChar"/>
    <w:uiPriority w:val="99"/>
    <w:unhideWhenUsed/>
    <w:rsid w:val="00E82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25A7"/>
  </w:style>
  <w:style w:type="paragraph" w:customStyle="1" w:styleId="Pagedecouverture">
    <w:name w:val="Page de couverture"/>
    <w:basedOn w:val="Normal"/>
    <w:next w:val="Normal"/>
    <w:rsid w:val="00E825A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825A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825A7"/>
    <w:rPr>
      <w:rFonts w:ascii="Times New Roman" w:hAnsi="Times New Roman" w:cs="Times New Roman"/>
      <w:sz w:val="24"/>
    </w:rPr>
  </w:style>
  <w:style w:type="paragraph" w:customStyle="1" w:styleId="FooterSensitivity">
    <w:name w:val="Footer Sensitivity"/>
    <w:basedOn w:val="Normal"/>
    <w:link w:val="FooterSensitivityChar"/>
    <w:rsid w:val="00E825A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825A7"/>
    <w:rPr>
      <w:rFonts w:ascii="Times New Roman" w:hAnsi="Times New Roman" w:cs="Times New Roman"/>
      <w:b/>
      <w:sz w:val="32"/>
    </w:rPr>
  </w:style>
  <w:style w:type="paragraph" w:customStyle="1" w:styleId="HeaderCoverPage">
    <w:name w:val="Header Cover Page"/>
    <w:basedOn w:val="Normal"/>
    <w:link w:val="HeaderCoverPageChar"/>
    <w:rsid w:val="00E825A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825A7"/>
    <w:rPr>
      <w:rFonts w:ascii="Times New Roman" w:hAnsi="Times New Roman" w:cs="Times New Roman"/>
      <w:sz w:val="24"/>
    </w:rPr>
  </w:style>
  <w:style w:type="paragraph" w:customStyle="1" w:styleId="HeaderSensitivity">
    <w:name w:val="Header Sensitivity"/>
    <w:basedOn w:val="Normal"/>
    <w:link w:val="HeaderSensitivityChar"/>
    <w:rsid w:val="00E825A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825A7"/>
    <w:rPr>
      <w:rFonts w:ascii="Times New Roman" w:hAnsi="Times New Roman" w:cs="Times New Roman"/>
      <w:b/>
      <w:sz w:val="32"/>
    </w:rPr>
  </w:style>
  <w:style w:type="paragraph" w:customStyle="1" w:styleId="HeaderSensitivityRight">
    <w:name w:val="Header Sensitivity Right"/>
    <w:basedOn w:val="Normal"/>
    <w:link w:val="HeaderSensitivityRightChar"/>
    <w:rsid w:val="00E825A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825A7"/>
    <w:rPr>
      <w:rFonts w:ascii="Times New Roman" w:hAnsi="Times New Roman" w:cs="Times New Roman"/>
      <w:sz w:val="28"/>
    </w:rPr>
  </w:style>
  <w:style w:type="paragraph" w:styleId="FootnoteText">
    <w:name w:val="footnote text"/>
    <w:basedOn w:val="Normal"/>
    <w:link w:val="FootnoteTextChar"/>
    <w:uiPriority w:val="99"/>
    <w:semiHidden/>
    <w:unhideWhenUsed/>
    <w:rsid w:val="001A03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034F"/>
    <w:rPr>
      <w:sz w:val="20"/>
      <w:szCs w:val="20"/>
    </w:rPr>
  </w:style>
  <w:style w:type="character" w:styleId="FootnoteReference">
    <w:name w:val="footnote reference"/>
    <w:basedOn w:val="DefaultParagraphFont"/>
    <w:uiPriority w:val="99"/>
    <w:semiHidden/>
    <w:unhideWhenUsed/>
    <w:rsid w:val="001A03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5D535-34F9-429B-BCA2-20ED106C6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2026-06-18T06:05:00Z</dcterms:created>
  <dcterms:modified xsi:type="dcterms:W3CDTF">2026-07-16T05:55:00Z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2026-06-02T07:03:09Z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e6cffa7b-61f6-4858-bf6b-5d536f4fa850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