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941DC" w14:textId="3D7293AE" w:rsidR="00E825A7" w:rsidRPr="00C53FFE" w:rsidRDefault="00D250A2" w:rsidP="00D250A2">
      <w:pPr>
        <w:pStyle w:val="Pagedecouverture"/>
        <w:rPr>
          <w:noProof/>
        </w:rPr>
      </w:pPr>
      <w:bookmarkStart w:id="0" w:name="LW_BM_COVERPAGE"/>
      <w:r>
        <w:rPr>
          <w:noProof/>
        </w:rPr>
        <w:pict w14:anchorId="27909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94D644-0DA8-4FEC-AE7E-A0B4BBC17B95" style="width:455.25pt;height:327.75pt">
            <v:imagedata r:id="rId8" o:title=""/>
          </v:shape>
        </w:pict>
      </w:r>
    </w:p>
    <w:bookmarkEnd w:id="0"/>
    <w:p w14:paraId="6956B7E8" w14:textId="77777777" w:rsidR="00E825A7" w:rsidRPr="00C53FFE" w:rsidRDefault="00E825A7" w:rsidP="00E825A7">
      <w:pPr>
        <w:rPr>
          <w:rFonts w:ascii="Times New Roman" w:hAnsi="Times New Roman" w:cs="Times New Roman"/>
          <w:noProof/>
        </w:rPr>
        <w:sectPr w:rsidR="00E825A7" w:rsidRPr="00C53FFE" w:rsidSect="00D250A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75E5491F" w14:textId="76AE269B" w:rsidR="00FD1462" w:rsidRPr="00C53FFE" w:rsidRDefault="00E825A7" w:rsidP="00E825A7">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1" w:name="_GoBack"/>
      <w:bookmarkEnd w:id="1"/>
      <w:r w:rsidRPr="00C53FFE">
        <w:rPr>
          <w:rFonts w:ascii="Times New Roman" w:hAnsi="Times New Roman"/>
          <w:b/>
          <w:smallCaps/>
          <w:noProof/>
          <w:color w:val="auto"/>
          <w:sz w:val="24"/>
        </w:rPr>
        <w:lastRenderedPageBreak/>
        <w:t>Introducere</w:t>
      </w:r>
    </w:p>
    <w:p w14:paraId="215E2A2E" w14:textId="7D648E36" w:rsidR="00E825A7" w:rsidRPr="00C53FFE" w:rsidRDefault="00E825A7" w:rsidP="00021060">
      <w:pPr>
        <w:jc w:val="both"/>
        <w:rPr>
          <w:rFonts w:ascii="Times New Roman" w:eastAsia="Calibri" w:hAnsi="Times New Roman" w:cs="Times New Roman"/>
          <w:noProof/>
          <w:kern w:val="0"/>
          <w:sz w:val="24"/>
          <w14:ligatures w14:val="none"/>
        </w:rPr>
      </w:pPr>
      <w:r w:rsidRPr="00C53FFE">
        <w:rPr>
          <w:rFonts w:ascii="Times New Roman" w:hAnsi="Times New Roman"/>
          <w:noProof/>
          <w:sz w:val="24"/>
        </w:rPr>
        <w:t>Regulamentul (UE) 2021/821</w:t>
      </w:r>
      <w:r w:rsidR="001A034F" w:rsidRPr="00C53FFE">
        <w:rPr>
          <w:rStyle w:val="FootnoteReference"/>
          <w:rFonts w:ascii="Times New Roman" w:eastAsia="Calibri" w:hAnsi="Times New Roman" w:cs="Times New Roman"/>
          <w:noProof/>
          <w:kern w:val="0"/>
          <w:sz w:val="24"/>
          <w:lang w:eastAsia="en-IE"/>
        </w:rPr>
        <w:footnoteReference w:id="1"/>
      </w:r>
      <w:r w:rsidRPr="00C53FFE">
        <w:rPr>
          <w:rFonts w:ascii="Times New Roman" w:hAnsi="Times New Roman"/>
          <w:noProof/>
          <w:sz w:val="24"/>
        </w:rPr>
        <w:t xml:space="preserve"> (denumit în continuare „Regulamentul privind produsele cu dublă utilizare” sau „regulamentul”) a fost adoptat la 20 mai 2021. Acesta abrogă Regulamentul (CE) nr. 428/2009 al Consiliului</w:t>
      </w:r>
      <w:r w:rsidR="00FD756F" w:rsidRPr="00C53FFE">
        <w:rPr>
          <w:rStyle w:val="FootnoteReference"/>
          <w:rFonts w:ascii="Times New Roman" w:eastAsia="Calibri" w:hAnsi="Times New Roman" w:cs="Times New Roman"/>
          <w:noProof/>
          <w:kern w:val="0"/>
          <w:sz w:val="24"/>
          <w:lang w:eastAsia="en-IE"/>
        </w:rPr>
        <w:footnoteReference w:id="2"/>
      </w:r>
      <w:r w:rsidRPr="00C53FFE">
        <w:rPr>
          <w:rFonts w:ascii="Times New Roman" w:hAnsi="Times New Roman"/>
          <w:noProof/>
          <w:sz w:val="24"/>
        </w:rPr>
        <w:t xml:space="preserve"> și actualizează cadrul UE de control al exporturilor de produse cu dublă utilizare pentru a aborda progresele tehnologice, pentru a consolida dimensiunile drepturilor omului și securității și pentru a asigura o abordare mai unificată în toate statele membre ale UE, cu scopul de a răspunde unui peisaj geopolitic în continuă evoluție.</w:t>
      </w:r>
    </w:p>
    <w:p w14:paraId="76F37F5F" w14:textId="2AC7DEC9" w:rsidR="00021060" w:rsidRPr="00C53FFE" w:rsidRDefault="00021060" w:rsidP="00021060">
      <w:pPr>
        <w:jc w:val="both"/>
        <w:rPr>
          <w:rFonts w:ascii="Times New Roman" w:eastAsia="Calibri" w:hAnsi="Times New Roman" w:cs="Times New Roman"/>
          <w:noProof/>
          <w:kern w:val="0"/>
          <w:sz w:val="24"/>
          <w14:ligatures w14:val="none"/>
        </w:rPr>
      </w:pPr>
      <w:r w:rsidRPr="00C53FFE">
        <w:rPr>
          <w:rFonts w:ascii="Times New Roman" w:hAnsi="Times New Roman"/>
          <w:noProof/>
          <w:sz w:val="24"/>
        </w:rPr>
        <w:t>Anexa I la Regulamentul privind produsele cu dublă utilizare enumeră produsele cu dublă utilizare pe care statele membre trebuie să le supună controlului exporturilor, aliniind regulamentul la deciziile luate în cadrul regimurilor multilaterale de control al exporturilor</w:t>
      </w:r>
      <w:r w:rsidR="001F450B" w:rsidRPr="00C53FFE">
        <w:rPr>
          <w:rStyle w:val="FootnoteReference"/>
          <w:rFonts w:ascii="Times New Roman" w:eastAsia="Calibri" w:hAnsi="Times New Roman" w:cs="Times New Roman"/>
          <w:noProof/>
          <w:kern w:val="0"/>
          <w:sz w:val="24"/>
          <w:lang w:eastAsia="en-IE"/>
        </w:rPr>
        <w:footnoteReference w:id="3"/>
      </w:r>
      <w:r w:rsidRPr="00C53FFE">
        <w:rPr>
          <w:rFonts w:ascii="Times New Roman" w:hAnsi="Times New Roman"/>
          <w:noProof/>
          <w:sz w:val="24"/>
        </w:rPr>
        <w:t xml:space="preserve">. Anumite produse, considerate deosebit de sensibile, sunt incluse în anexa IV care necesită autorizare pentru transferurile în interiorul UE. Anexa II stabilește autorizațiile generale de export ale Uniunii pentru exportul anumitor produse către anumite destinații. </w:t>
      </w:r>
    </w:p>
    <w:p w14:paraId="3E7974EC" w14:textId="169F2C5D" w:rsidR="00C20ADE" w:rsidRPr="00C53FFE" w:rsidRDefault="00C20ADE" w:rsidP="00021060">
      <w:pPr>
        <w:jc w:val="both"/>
        <w:rPr>
          <w:rFonts w:ascii="Times New Roman" w:eastAsia="Calibri" w:hAnsi="Times New Roman" w:cs="Times New Roman"/>
          <w:noProof/>
          <w:kern w:val="0"/>
          <w:sz w:val="24"/>
          <w14:ligatures w14:val="none"/>
        </w:rPr>
      </w:pPr>
      <w:r w:rsidRPr="00C53FFE">
        <w:rPr>
          <w:rFonts w:ascii="Times New Roman" w:hAnsi="Times New Roman"/>
          <w:noProof/>
          <w:sz w:val="24"/>
        </w:rPr>
        <w:t xml:space="preserve">În temeiul articolului 17 din Regulamentul privind produsele cu dublă utilizare, Comisia este împuternicită să adopte acte delegate în conformitate cu condițiile prevăzute la articolul 18 pentru a modifica lista produselor cu dublă utilizare prevăzută în anexele I și IV și pentru a modifica anexa II prin eliminarea produselor și prin adăugarea sau eliminarea unor destinații din domeniul de aplicare al autorizațiilor generale de export ale Uniunii. </w:t>
      </w:r>
    </w:p>
    <w:p w14:paraId="5F5D6ED2" w14:textId="750D3271" w:rsidR="004607FB" w:rsidRPr="00C53FFE" w:rsidRDefault="004607FB" w:rsidP="00021060">
      <w:pPr>
        <w:jc w:val="both"/>
        <w:rPr>
          <w:rFonts w:ascii="Times New Roman" w:eastAsia="Calibri" w:hAnsi="Times New Roman" w:cs="Times New Roman"/>
          <w:noProof/>
          <w:kern w:val="0"/>
          <w:sz w:val="24"/>
          <w14:ligatures w14:val="none"/>
        </w:rPr>
      </w:pPr>
      <w:r w:rsidRPr="00C53FFE">
        <w:rPr>
          <w:rFonts w:ascii="Times New Roman" w:hAnsi="Times New Roman"/>
          <w:noProof/>
          <w:sz w:val="24"/>
        </w:rPr>
        <w:t>Competența de a adopta acte delegate este conferită Comisiei pentru o perioadă de cinci ani, de la 9 septembrie 2021.</w:t>
      </w:r>
    </w:p>
    <w:p w14:paraId="074A654E" w14:textId="438D823F" w:rsidR="00A87884" w:rsidRPr="00C53FFE" w:rsidRDefault="001417FC" w:rsidP="001417FC">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r w:rsidRPr="00C53FFE">
        <w:rPr>
          <w:rFonts w:ascii="Times New Roman" w:hAnsi="Times New Roman"/>
          <w:b/>
          <w:smallCaps/>
          <w:noProof/>
          <w:color w:val="auto"/>
          <w:sz w:val="24"/>
        </w:rPr>
        <w:t>Temei juridic</w:t>
      </w:r>
    </w:p>
    <w:p w14:paraId="27C67ECF" w14:textId="77777777" w:rsidR="00802D9B" w:rsidRPr="00C53FFE" w:rsidRDefault="000E675C" w:rsidP="00825976">
      <w:pPr>
        <w:jc w:val="both"/>
        <w:rPr>
          <w:rFonts w:ascii="Times New Roman" w:eastAsia="Calibri" w:hAnsi="Times New Roman" w:cs="Times New Roman"/>
          <w:noProof/>
          <w:kern w:val="0"/>
          <w:sz w:val="24"/>
          <w14:ligatures w14:val="none"/>
        </w:rPr>
      </w:pPr>
      <w:r w:rsidRPr="00C53FFE">
        <w:rPr>
          <w:rFonts w:ascii="Times New Roman" w:hAnsi="Times New Roman"/>
          <w:noProof/>
          <w:sz w:val="24"/>
        </w:rPr>
        <w:t xml:space="preserve">Articolul 18 alineatul (2) din Regulamentul privind produsele cu dublă utilizare impune Comisiei să prezinte un raport privind delegarea de competențe cu cel puțin nouă luni înainte de încheierea perioadei de cinci ani. </w:t>
      </w:r>
    </w:p>
    <w:p w14:paraId="28E9AC85" w14:textId="20B43237" w:rsidR="000E675C" w:rsidRPr="00C53FFE" w:rsidRDefault="00802D9B" w:rsidP="00612572">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r w:rsidRPr="00C53FFE">
        <w:rPr>
          <w:rFonts w:ascii="Times New Roman" w:hAnsi="Times New Roman"/>
          <w:b/>
          <w:smallCaps/>
          <w:noProof/>
          <w:color w:val="auto"/>
          <w:sz w:val="24"/>
        </w:rPr>
        <w:t>Exercitarea delegării competenței de a adopta acte delegate</w:t>
      </w:r>
      <w:r w:rsidR="00B8557E" w:rsidRPr="00C53FFE">
        <w:rPr>
          <w:rFonts w:ascii="Times New Roman" w:hAnsi="Times New Roman"/>
          <w:b/>
          <w:smallCaps/>
          <w:noProof/>
          <w:color w:val="auto"/>
          <w:sz w:val="24"/>
        </w:rPr>
        <w:t xml:space="preserve"> </w:t>
      </w:r>
    </w:p>
    <w:p w14:paraId="3BB7B6DD" w14:textId="1DAF5B1E" w:rsidR="00716B26" w:rsidRPr="00C53FFE" w:rsidRDefault="00C6224A" w:rsidP="0046736D">
      <w:pPr>
        <w:jc w:val="both"/>
        <w:rPr>
          <w:rFonts w:ascii="Times New Roman" w:eastAsia="Calibri" w:hAnsi="Times New Roman" w:cs="Times New Roman"/>
          <w:noProof/>
          <w:kern w:val="0"/>
          <w:sz w:val="24"/>
          <w14:ligatures w14:val="none"/>
        </w:rPr>
      </w:pPr>
      <w:r w:rsidRPr="00C53FFE">
        <w:rPr>
          <w:rFonts w:ascii="Times New Roman" w:hAnsi="Times New Roman"/>
          <w:noProof/>
          <w:sz w:val="24"/>
        </w:rPr>
        <w:t xml:space="preserve">În perioada 9 septembrie 2021-9 decembrie 2025, Comisia și-a exercitat autoritatea de a adopta acte delegate în șapte rânduri pentru a se asigura că lista UE de produse cu dublă utilizare rămâne aliniată la deciziile luate în cadrul regimurilor multilaterale de control al exporturilor și la angajamentele asumate de statele membre, în calitate de membre ale Aranjamentului de la Wassenaar, de a controla în mod uniform alte produse. </w:t>
      </w:r>
    </w:p>
    <w:p w14:paraId="2B7E5FF9" w14:textId="6D4CF09D" w:rsidR="00727C53" w:rsidRPr="00C53FFE" w:rsidRDefault="00D20AF1" w:rsidP="0046736D">
      <w:pPr>
        <w:jc w:val="both"/>
        <w:rPr>
          <w:rFonts w:ascii="Times New Roman" w:eastAsia="Calibri" w:hAnsi="Times New Roman" w:cs="Times New Roman"/>
          <w:noProof/>
          <w:kern w:val="0"/>
          <w:sz w:val="24"/>
          <w14:ligatures w14:val="none"/>
        </w:rPr>
      </w:pPr>
      <w:r w:rsidRPr="00C53FFE">
        <w:rPr>
          <w:rFonts w:ascii="Times New Roman" w:hAnsi="Times New Roman"/>
          <w:noProof/>
          <w:sz w:val="24"/>
        </w:rPr>
        <w:t>În plus, ca răspuns la războiul ilegal de agresiune al Federației Ruse împotriva Ucrainei, Comisia a adoptat un act delegat pentru a exclude Federația Rusă din domeniul de aplicare al autorizațiilor generale de export ale Uniunii.</w:t>
      </w:r>
    </w:p>
    <w:p w14:paraId="576CD9DD" w14:textId="42BF57B1" w:rsidR="005F16F3" w:rsidRPr="00C53FFE" w:rsidRDefault="00EB73F2" w:rsidP="0046736D">
      <w:pPr>
        <w:jc w:val="both"/>
        <w:rPr>
          <w:rFonts w:ascii="Times New Roman" w:eastAsia="Calibri" w:hAnsi="Times New Roman" w:cs="Times New Roman"/>
          <w:noProof/>
          <w:kern w:val="0"/>
          <w:sz w:val="24"/>
          <w14:ligatures w14:val="none"/>
        </w:rPr>
      </w:pPr>
      <w:r w:rsidRPr="00C53FFE">
        <w:rPr>
          <w:rFonts w:ascii="Times New Roman" w:hAnsi="Times New Roman"/>
          <w:noProof/>
          <w:sz w:val="24"/>
        </w:rPr>
        <w:t xml:space="preserve">În conformitate cu articolul 18 alineatul (4) din Regulamentul privind produsele cu dublă utilizare, Comisia a consultat, înainte de adoptarea unui act delegat, experții desemnați de fiecare stat membru în conformitate cu principiile prevăzute în Acordul interinstituțional din 13 aprilie 2016 privind o mai bună legiferare. </w:t>
      </w:r>
    </w:p>
    <w:p w14:paraId="23DEF4DC" w14:textId="11CC633C" w:rsidR="00391060" w:rsidRPr="00C53FFE" w:rsidRDefault="00391060" w:rsidP="007460E3">
      <w:pPr>
        <w:rPr>
          <w:rFonts w:ascii="Times New Roman" w:eastAsia="Calibri" w:hAnsi="Times New Roman" w:cs="Times New Roman"/>
          <w:noProof/>
          <w:kern w:val="0"/>
          <w:sz w:val="24"/>
          <w14:ligatures w14:val="none"/>
        </w:rPr>
      </w:pPr>
      <w:r w:rsidRPr="00C53FFE">
        <w:rPr>
          <w:rFonts w:ascii="Times New Roman" w:hAnsi="Times New Roman"/>
          <w:noProof/>
          <w:sz w:val="24"/>
        </w:rPr>
        <w:t>Comisia a adoptat următoarele șapte acte delegate:</w:t>
      </w:r>
    </w:p>
    <w:p w14:paraId="4BD7E97B" w14:textId="7D33AE97" w:rsidR="00D15BFD" w:rsidRPr="00C53FFE" w:rsidRDefault="003405AF"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sidRPr="00C53FFE">
        <w:rPr>
          <w:rFonts w:ascii="Times New Roman" w:hAnsi="Times New Roman"/>
          <w:noProof/>
          <w:sz w:val="24"/>
        </w:rPr>
        <w:t>Regulamentul delegat (UE) 2025/2003 al Comisiei din 8 septembrie 2025 de modificare a Regulamentului (UE) 2021/821 al Parlamentului European și al Consiliului în ceea ce privește lista produselor cu dublă utilizare</w:t>
      </w:r>
      <w:r w:rsidRPr="00C53FFE">
        <w:rPr>
          <w:rStyle w:val="FootnoteReference"/>
          <w:rFonts w:ascii="Times New Roman" w:eastAsia="Calibri" w:hAnsi="Times New Roman" w:cs="Times New Roman"/>
          <w:noProof/>
          <w:kern w:val="0"/>
          <w:sz w:val="24"/>
          <w:lang w:eastAsia="en-IE"/>
        </w:rPr>
        <w:footnoteReference w:id="4"/>
      </w:r>
      <w:r w:rsidRPr="00C53FFE">
        <w:rPr>
          <w:rFonts w:ascii="Times New Roman" w:hAnsi="Times New Roman"/>
          <w:noProof/>
          <w:sz w:val="24"/>
        </w:rPr>
        <w:t>,</w:t>
      </w:r>
    </w:p>
    <w:p w14:paraId="1E556A23" w14:textId="32ED11FD" w:rsidR="00CC5D6A" w:rsidRPr="00C53FFE" w:rsidRDefault="00CC5D6A"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sidRPr="00C53FFE">
        <w:rPr>
          <w:rFonts w:ascii="Times New Roman" w:hAnsi="Times New Roman"/>
          <w:noProof/>
          <w:sz w:val="24"/>
        </w:rPr>
        <w:t>Regulamentul delegat (UE) 2024/2547 al Comisiei din 5 septembrie 2024 de modificare a Regulamentului (UE) 2021/821 al Parlamentului European și al Consiliului în ceea ce privește lista produselor cu dublă utilizare</w:t>
      </w:r>
      <w:r w:rsidR="006F3AC7" w:rsidRPr="00C53FFE">
        <w:rPr>
          <w:rStyle w:val="FootnoteReference"/>
          <w:rFonts w:ascii="Times New Roman" w:eastAsia="Calibri" w:hAnsi="Times New Roman" w:cs="Times New Roman"/>
          <w:noProof/>
          <w:kern w:val="0"/>
          <w:sz w:val="24"/>
          <w:lang w:eastAsia="en-IE"/>
        </w:rPr>
        <w:footnoteReference w:id="5"/>
      </w:r>
      <w:r w:rsidRPr="00C53FFE">
        <w:rPr>
          <w:rFonts w:ascii="Times New Roman" w:hAnsi="Times New Roman"/>
          <w:noProof/>
          <w:sz w:val="24"/>
        </w:rPr>
        <w:t>,</w:t>
      </w:r>
    </w:p>
    <w:p w14:paraId="2953E8FB" w14:textId="64835B60" w:rsidR="00EC3E11" w:rsidRPr="00C53FFE" w:rsidRDefault="00EC3E11"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sidRPr="00C53FFE">
        <w:rPr>
          <w:rFonts w:ascii="Times New Roman" w:hAnsi="Times New Roman"/>
          <w:noProof/>
          <w:sz w:val="24"/>
        </w:rPr>
        <w:t>Regulamentul delegat (UE) 2023/2616 al Comisiei din 15 septembrie 2023 de modificare a Regulamentului (UE) 2021/821 al Parlamentului European și al Consiliului în ceea ce privește lista produselor cu dublă utilizare</w:t>
      </w:r>
      <w:r w:rsidR="00256D45" w:rsidRPr="00C53FFE">
        <w:rPr>
          <w:rStyle w:val="FootnoteReference"/>
          <w:rFonts w:ascii="Times New Roman" w:eastAsia="Calibri" w:hAnsi="Times New Roman" w:cs="Times New Roman"/>
          <w:noProof/>
          <w:kern w:val="0"/>
          <w:sz w:val="24"/>
          <w:lang w:eastAsia="en-IE"/>
        </w:rPr>
        <w:footnoteReference w:id="6"/>
      </w:r>
      <w:r w:rsidRPr="00C53FFE">
        <w:rPr>
          <w:rFonts w:ascii="Times New Roman" w:hAnsi="Times New Roman"/>
          <w:noProof/>
          <w:sz w:val="24"/>
        </w:rPr>
        <w:t>,</w:t>
      </w:r>
    </w:p>
    <w:p w14:paraId="330A9356" w14:textId="49A91EAF" w:rsidR="00190FB0" w:rsidRPr="00C53FFE" w:rsidRDefault="00892AC0"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sidRPr="00C53FFE">
        <w:rPr>
          <w:rFonts w:ascii="Times New Roman" w:hAnsi="Times New Roman"/>
          <w:noProof/>
          <w:sz w:val="24"/>
        </w:rPr>
        <w:t>Regulamentul delegat (UE) 2023/996 al Comisiei din 23 februarie 2023 de modificare a Regulamentului (UE) 2021/821 al Parlamentului European și al Consiliului în ceea ce privește lista produselor cu dublă utilizare</w:t>
      </w:r>
      <w:r w:rsidR="002865F4" w:rsidRPr="00C53FFE">
        <w:rPr>
          <w:rStyle w:val="FootnoteReference"/>
          <w:rFonts w:ascii="Times New Roman" w:eastAsia="Calibri" w:hAnsi="Times New Roman" w:cs="Times New Roman"/>
          <w:noProof/>
          <w:kern w:val="0"/>
          <w:sz w:val="24"/>
          <w:lang w:eastAsia="en-IE"/>
        </w:rPr>
        <w:footnoteReference w:id="7"/>
      </w:r>
      <w:r w:rsidR="00C53FFE" w:rsidRPr="00C53FFE">
        <w:rPr>
          <w:rFonts w:ascii="Times New Roman" w:hAnsi="Times New Roman"/>
          <w:noProof/>
          <w:sz w:val="24"/>
        </w:rPr>
        <w:t>,</w:t>
      </w:r>
    </w:p>
    <w:p w14:paraId="5B08CA55" w14:textId="1A185892" w:rsidR="00F36228" w:rsidRPr="00C53FFE" w:rsidRDefault="00C8463A"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sidRPr="00C53FFE">
        <w:rPr>
          <w:rFonts w:ascii="Times New Roman" w:hAnsi="Times New Roman"/>
          <w:noProof/>
          <w:sz w:val="24"/>
        </w:rPr>
        <w:t>Regulamentul delegat (UE) 2023/66 al Comisiei din 21 octombrie 2022 de modificare a Regulamentului (UE) 2021/821 al Parlamentului European și al Consiliului în ceea ce privește lista produselor cu dublă utilizare</w:t>
      </w:r>
      <w:r w:rsidR="00E41428" w:rsidRPr="00C53FFE">
        <w:rPr>
          <w:rStyle w:val="FootnoteReference"/>
          <w:rFonts w:ascii="Times New Roman" w:eastAsia="Calibri" w:hAnsi="Times New Roman" w:cs="Times New Roman"/>
          <w:noProof/>
          <w:kern w:val="0"/>
          <w:sz w:val="24"/>
          <w:lang w:eastAsia="en-IE"/>
        </w:rPr>
        <w:footnoteReference w:id="8"/>
      </w:r>
      <w:r w:rsidRPr="00C53FFE">
        <w:rPr>
          <w:rFonts w:ascii="Times New Roman" w:hAnsi="Times New Roman"/>
          <w:noProof/>
          <w:sz w:val="24"/>
        </w:rPr>
        <w:t>,</w:t>
      </w:r>
    </w:p>
    <w:p w14:paraId="5757A6C6" w14:textId="065ED627" w:rsidR="00B614A5" w:rsidRPr="00C53FFE" w:rsidRDefault="004E713A"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sidRPr="00C53FFE">
        <w:rPr>
          <w:rFonts w:ascii="Times New Roman" w:hAnsi="Times New Roman"/>
          <w:noProof/>
          <w:sz w:val="24"/>
        </w:rPr>
        <w:t>Regulamentul delegat (UE) 2022/699 al Comisiei din 3 mai 2022 de modificare a Regulamentului (UE) 2021/821 al Parlamentului European și al Consiliului prin eliminarea Rusiei ca destinație din domeniul de aplicare al autorizațiilor generale de export ale Uniunii</w:t>
      </w:r>
      <w:r w:rsidR="00D94327" w:rsidRPr="00C53FFE">
        <w:rPr>
          <w:rStyle w:val="FootnoteReference"/>
          <w:rFonts w:ascii="Times New Roman" w:eastAsia="Calibri" w:hAnsi="Times New Roman" w:cs="Times New Roman"/>
          <w:noProof/>
          <w:kern w:val="0"/>
          <w:sz w:val="24"/>
          <w:lang w:eastAsia="en-IE"/>
        </w:rPr>
        <w:footnoteReference w:id="9"/>
      </w:r>
      <w:r w:rsidRPr="00C53FFE">
        <w:rPr>
          <w:rFonts w:ascii="Times New Roman" w:hAnsi="Times New Roman"/>
          <w:noProof/>
          <w:sz w:val="24"/>
        </w:rPr>
        <w:t>,</w:t>
      </w:r>
    </w:p>
    <w:p w14:paraId="64C4E954" w14:textId="1BE157F5" w:rsidR="00391060" w:rsidRPr="00C53FFE" w:rsidRDefault="00144E34" w:rsidP="005B745F">
      <w:pPr>
        <w:pStyle w:val="ListParagraph"/>
        <w:numPr>
          <w:ilvl w:val="0"/>
          <w:numId w:val="2"/>
        </w:numPr>
        <w:contextualSpacing w:val="0"/>
        <w:jc w:val="both"/>
        <w:rPr>
          <w:rFonts w:ascii="Times New Roman" w:eastAsia="Calibri" w:hAnsi="Times New Roman" w:cs="Times New Roman"/>
          <w:noProof/>
          <w:kern w:val="0"/>
          <w:sz w:val="24"/>
          <w14:ligatures w14:val="none"/>
        </w:rPr>
      </w:pPr>
      <w:r w:rsidRPr="00C53FFE">
        <w:rPr>
          <w:rFonts w:ascii="Times New Roman" w:hAnsi="Times New Roman"/>
          <w:noProof/>
          <w:sz w:val="24"/>
        </w:rPr>
        <w:t>Regulamentul delegat (UE) 2022/1 al Comisiei din 20 octombrie 2021 de modificare a Regulamentului (UE) 2021/821 al Parlamentului European și al Consiliului în ceea ce privește lista produselor cu dublă utilizare</w:t>
      </w:r>
      <w:r w:rsidR="00C52805" w:rsidRPr="00C53FFE">
        <w:rPr>
          <w:rStyle w:val="FootnoteReference"/>
          <w:rFonts w:ascii="Times New Roman" w:eastAsia="Calibri" w:hAnsi="Times New Roman" w:cs="Times New Roman"/>
          <w:noProof/>
          <w:kern w:val="0"/>
          <w:sz w:val="24"/>
          <w:lang w:eastAsia="en-IE"/>
        </w:rPr>
        <w:footnoteReference w:id="10"/>
      </w:r>
      <w:r w:rsidRPr="00C53FFE">
        <w:rPr>
          <w:rFonts w:ascii="Times New Roman" w:hAnsi="Times New Roman"/>
          <w:noProof/>
          <w:sz w:val="24"/>
        </w:rPr>
        <w:t>.</w:t>
      </w:r>
    </w:p>
    <w:p w14:paraId="4C0CC965" w14:textId="323DD85F" w:rsidR="001D683F" w:rsidRPr="00C53FFE" w:rsidRDefault="00A421D2" w:rsidP="000E1A99">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r w:rsidRPr="00C53FFE">
        <w:rPr>
          <w:rFonts w:ascii="Times New Roman" w:hAnsi="Times New Roman"/>
          <w:b/>
          <w:smallCaps/>
          <w:noProof/>
          <w:color w:val="auto"/>
          <w:sz w:val="24"/>
        </w:rPr>
        <w:t>Concluzie</w:t>
      </w:r>
    </w:p>
    <w:p w14:paraId="2E4852F5" w14:textId="34A24917" w:rsidR="0086315E" w:rsidRPr="00C53FFE" w:rsidRDefault="0086315E" w:rsidP="000E1A99">
      <w:pPr>
        <w:rPr>
          <w:rFonts w:ascii="Times New Roman" w:eastAsia="Calibri" w:hAnsi="Times New Roman" w:cs="Times New Roman"/>
          <w:noProof/>
          <w:kern w:val="0"/>
          <w:sz w:val="24"/>
          <w14:ligatures w14:val="none"/>
        </w:rPr>
      </w:pPr>
      <w:r w:rsidRPr="00C53FFE">
        <w:rPr>
          <w:rFonts w:ascii="Times New Roman" w:hAnsi="Times New Roman"/>
          <w:noProof/>
          <w:sz w:val="24"/>
        </w:rPr>
        <w:t>Având în vedere explicația oferită în secțiunea 3, Comisia consideră că este în mod clar necesară o prelungire tacită, pentru o nouă perioadă de cinci ani, a delegării de competențe prevăzută la articolul 17 din Regulamentul privind produsele cu dublă utilizare.</w:t>
      </w:r>
    </w:p>
    <w:p w14:paraId="587FB591" w14:textId="18AFE09B" w:rsidR="000E1A99" w:rsidRPr="007460E3" w:rsidRDefault="007460E3" w:rsidP="000E1A99">
      <w:pPr>
        <w:rPr>
          <w:rFonts w:ascii="Times New Roman" w:eastAsia="Calibri" w:hAnsi="Times New Roman" w:cs="Times New Roman"/>
          <w:noProof/>
          <w:kern w:val="0"/>
          <w:sz w:val="24"/>
          <w14:ligatures w14:val="none"/>
        </w:rPr>
      </w:pPr>
      <w:r w:rsidRPr="00C53FFE">
        <w:rPr>
          <w:rFonts w:ascii="Times New Roman" w:hAnsi="Times New Roman"/>
          <w:noProof/>
          <w:sz w:val="24"/>
        </w:rPr>
        <w:t>Comisia invită Parlamentul European și Consiliul să ia act de prezentul raport.</w:t>
      </w:r>
    </w:p>
    <w:sectPr w:rsidR="000E1A99" w:rsidRPr="007460E3" w:rsidSect="009B07A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EBF0B" w14:textId="77777777" w:rsidR="00FC215C" w:rsidRPr="00C53FFE" w:rsidRDefault="00FC215C" w:rsidP="00E825A7">
      <w:pPr>
        <w:spacing w:after="0" w:line="240" w:lineRule="auto"/>
      </w:pPr>
      <w:r w:rsidRPr="00C53FFE">
        <w:separator/>
      </w:r>
    </w:p>
  </w:endnote>
  <w:endnote w:type="continuationSeparator" w:id="0">
    <w:p w14:paraId="676EC685" w14:textId="77777777" w:rsidR="00FC215C" w:rsidRPr="00C53FFE" w:rsidRDefault="00FC215C" w:rsidP="00E825A7">
      <w:pPr>
        <w:spacing w:after="0" w:line="240" w:lineRule="auto"/>
      </w:pPr>
      <w:r w:rsidRPr="00C53F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B9289" w14:textId="6166676B" w:rsidR="00D250A2" w:rsidRPr="00D250A2" w:rsidRDefault="00D250A2" w:rsidP="00D250A2">
    <w:pPr>
      <w:pStyle w:val="FooterCoverPage"/>
      <w:rPr>
        <w:rFonts w:ascii="Arial" w:hAnsi="Arial" w:cs="Arial"/>
        <w:b/>
        <w:sz w:val="48"/>
      </w:rPr>
    </w:pPr>
    <w:r w:rsidRPr="00D250A2">
      <w:rPr>
        <w:rFonts w:ascii="Arial" w:hAnsi="Arial" w:cs="Arial"/>
        <w:b/>
        <w:sz w:val="48"/>
      </w:rPr>
      <w:t>RO</w:t>
    </w:r>
    <w:r w:rsidRPr="00D250A2">
      <w:rPr>
        <w:rFonts w:ascii="Arial" w:hAnsi="Arial" w:cs="Arial"/>
        <w:b/>
        <w:sz w:val="48"/>
      </w:rPr>
      <w:tab/>
    </w:r>
    <w:r w:rsidRPr="00D250A2">
      <w:rPr>
        <w:rFonts w:ascii="Arial" w:hAnsi="Arial" w:cs="Arial"/>
        <w:b/>
        <w:sz w:val="48"/>
      </w:rPr>
      <w:tab/>
    </w:r>
    <w:r w:rsidRPr="00D250A2">
      <w:tab/>
    </w:r>
    <w:r w:rsidRPr="00D250A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18CB0" w14:textId="231659C3" w:rsidR="00D250A2" w:rsidRPr="00D250A2" w:rsidRDefault="00D250A2" w:rsidP="00D250A2">
    <w:pPr>
      <w:pStyle w:val="FooterCoverPage"/>
      <w:rPr>
        <w:rFonts w:ascii="Arial" w:hAnsi="Arial" w:cs="Arial"/>
        <w:b/>
        <w:sz w:val="48"/>
      </w:rPr>
    </w:pPr>
    <w:r w:rsidRPr="00D250A2">
      <w:rPr>
        <w:rFonts w:ascii="Arial" w:hAnsi="Arial" w:cs="Arial"/>
        <w:b/>
        <w:sz w:val="48"/>
      </w:rPr>
      <w:t>RO</w:t>
    </w:r>
    <w:r w:rsidRPr="00D250A2">
      <w:rPr>
        <w:rFonts w:ascii="Arial" w:hAnsi="Arial" w:cs="Arial"/>
        <w:b/>
        <w:sz w:val="48"/>
      </w:rPr>
      <w:tab/>
    </w:r>
    <w:r w:rsidRPr="00D250A2">
      <w:rPr>
        <w:rFonts w:ascii="Arial" w:hAnsi="Arial" w:cs="Arial"/>
        <w:b/>
        <w:sz w:val="48"/>
      </w:rPr>
      <w:tab/>
    </w:r>
    <w:r w:rsidRPr="00D250A2">
      <w:tab/>
    </w:r>
    <w:r w:rsidRPr="00D250A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C8D22" w14:textId="77777777" w:rsidR="00D250A2" w:rsidRPr="00D250A2" w:rsidRDefault="00D250A2" w:rsidP="00D250A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68BDB" w14:textId="77777777" w:rsidR="00E825A7" w:rsidRPr="00C53FFE" w:rsidRDefault="00E825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479222"/>
      <w:docPartObj>
        <w:docPartGallery w:val="Page Numbers (Bottom of Page)"/>
        <w:docPartUnique/>
      </w:docPartObj>
    </w:sdtPr>
    <w:sdtEndPr>
      <w:rPr>
        <w:rFonts w:ascii="Times New Roman" w:hAnsi="Times New Roman" w:cs="Times New Roman"/>
      </w:rPr>
    </w:sdtEndPr>
    <w:sdtContent>
      <w:p w14:paraId="60A00721" w14:textId="4A4DE053" w:rsidR="00A02281" w:rsidRPr="00C53FFE" w:rsidRDefault="00A02281">
        <w:pPr>
          <w:pStyle w:val="Footer"/>
          <w:jc w:val="center"/>
          <w:rPr>
            <w:rFonts w:ascii="Times New Roman" w:hAnsi="Times New Roman" w:cs="Times New Roman"/>
          </w:rPr>
        </w:pPr>
        <w:r w:rsidRPr="00C53FFE">
          <w:rPr>
            <w:rFonts w:ascii="Times New Roman" w:hAnsi="Times New Roman" w:cs="Times New Roman"/>
          </w:rPr>
          <w:fldChar w:fldCharType="begin"/>
        </w:r>
        <w:r w:rsidRPr="00C53FFE">
          <w:rPr>
            <w:rFonts w:ascii="Times New Roman" w:hAnsi="Times New Roman" w:cs="Times New Roman"/>
          </w:rPr>
          <w:instrText xml:space="preserve"> PAGE   \* MERGEFORMAT </w:instrText>
        </w:r>
        <w:r w:rsidRPr="00C53FFE">
          <w:rPr>
            <w:rFonts w:ascii="Times New Roman" w:hAnsi="Times New Roman" w:cs="Times New Roman"/>
          </w:rPr>
          <w:fldChar w:fldCharType="separate"/>
        </w:r>
        <w:r w:rsidR="00D250A2">
          <w:rPr>
            <w:rFonts w:ascii="Times New Roman" w:hAnsi="Times New Roman" w:cs="Times New Roman"/>
            <w:noProof/>
          </w:rPr>
          <w:t>1</w:t>
        </w:r>
        <w:r w:rsidRPr="00C53FFE">
          <w:rPr>
            <w:rFonts w:ascii="Times New Roman" w:hAnsi="Times New Roman" w:cs="Times New Roman"/>
          </w:rPr>
          <w:fldChar w:fldCharType="end"/>
        </w:r>
      </w:p>
    </w:sdtContent>
  </w:sdt>
  <w:p w14:paraId="10D6F0C4" w14:textId="77777777" w:rsidR="00E825A7" w:rsidRPr="00C53FFE" w:rsidRDefault="00E825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78C83" w14:textId="77777777" w:rsidR="00E825A7" w:rsidRPr="00C53FFE" w:rsidRDefault="00E82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AB13F" w14:textId="77777777" w:rsidR="00FC215C" w:rsidRPr="00C53FFE" w:rsidRDefault="00FC215C" w:rsidP="00E825A7">
      <w:pPr>
        <w:spacing w:after="0" w:line="240" w:lineRule="auto"/>
      </w:pPr>
      <w:r w:rsidRPr="00C53FFE">
        <w:separator/>
      </w:r>
    </w:p>
  </w:footnote>
  <w:footnote w:type="continuationSeparator" w:id="0">
    <w:p w14:paraId="1CCACFAA" w14:textId="77777777" w:rsidR="00FC215C" w:rsidRPr="00C53FFE" w:rsidRDefault="00FC215C" w:rsidP="00E825A7">
      <w:pPr>
        <w:spacing w:after="0" w:line="240" w:lineRule="auto"/>
      </w:pPr>
      <w:r w:rsidRPr="00C53FFE">
        <w:continuationSeparator/>
      </w:r>
    </w:p>
  </w:footnote>
  <w:footnote w:id="1">
    <w:p w14:paraId="7DB325D1" w14:textId="3E1FADBE" w:rsidR="001A034F" w:rsidRPr="00C53FFE" w:rsidRDefault="001A034F" w:rsidP="00FD756F">
      <w:pPr>
        <w:pStyle w:val="FootnoteText"/>
        <w:rPr>
          <w:rFonts w:ascii="Times New Roman" w:hAnsi="Times New Roman" w:cs="Times New Roman"/>
        </w:rPr>
      </w:pPr>
      <w:r w:rsidRPr="00C53FFE">
        <w:rPr>
          <w:rStyle w:val="FootnoteReference"/>
          <w:rFonts w:ascii="Times New Roman" w:hAnsi="Times New Roman" w:cs="Times New Roman"/>
        </w:rPr>
        <w:footnoteRef/>
      </w:r>
      <w:r w:rsidRPr="00C53FFE">
        <w:rPr>
          <w:rFonts w:ascii="Times New Roman" w:hAnsi="Times New Roman"/>
        </w:rPr>
        <w:tab/>
        <w:t>Regulamentul (UE) 2021/821 al Parlamentului European și al Consiliului din 20 mai 2021 de instituire a unui regim al Uniunii pentru controlul exporturilor, serviciilor de intermediere, asistenței tehnice, tranzitului și transferului de produse cu dublă utilizare</w:t>
      </w:r>
      <w:r w:rsidR="00E4506C">
        <w:rPr>
          <w:rFonts w:ascii="Times New Roman" w:hAnsi="Times New Roman"/>
        </w:rPr>
        <w:t xml:space="preserve"> (reformare)</w:t>
      </w:r>
      <w:r w:rsidRPr="00C53FFE">
        <w:rPr>
          <w:rFonts w:ascii="Times New Roman" w:hAnsi="Times New Roman"/>
        </w:rPr>
        <w:t>, JO L 206, 11.6.2021, p. 1.</w:t>
      </w:r>
    </w:p>
  </w:footnote>
  <w:footnote w:id="2">
    <w:p w14:paraId="47CE612B" w14:textId="0E5AC962" w:rsidR="00FD756F" w:rsidRPr="00C53FFE" w:rsidRDefault="00FD756F">
      <w:pPr>
        <w:pStyle w:val="FootnoteText"/>
        <w:rPr>
          <w:rFonts w:ascii="Times New Roman" w:hAnsi="Times New Roman" w:cs="Times New Roman"/>
        </w:rPr>
      </w:pPr>
      <w:r w:rsidRPr="00C53FFE">
        <w:rPr>
          <w:rStyle w:val="FootnoteReference"/>
          <w:rFonts w:ascii="Times New Roman" w:hAnsi="Times New Roman" w:cs="Times New Roman"/>
        </w:rPr>
        <w:footnoteRef/>
      </w:r>
      <w:r w:rsidRPr="00C53FFE">
        <w:rPr>
          <w:rFonts w:ascii="Times New Roman" w:hAnsi="Times New Roman"/>
        </w:rPr>
        <w:tab/>
        <w:t>Regulamentul (CE) nr. 428/2009 al Consiliului din 5 mai 2009 de instituire a unui regim comunitar pentru controlul exporturilor, transferului, serviciilor de intermediere și tranzitului de produse cu dublă utilizare, JO L 134, 29.5.2009, p. 1.</w:t>
      </w:r>
    </w:p>
  </w:footnote>
  <w:footnote w:id="3">
    <w:p w14:paraId="134BFCD7" w14:textId="4BEC774A" w:rsidR="001F450B" w:rsidRPr="00C53FFE" w:rsidRDefault="001F450B">
      <w:pPr>
        <w:pStyle w:val="FootnoteText"/>
      </w:pPr>
      <w:r w:rsidRPr="00C53FFE">
        <w:rPr>
          <w:rStyle w:val="FootnoteReference"/>
          <w:rFonts w:ascii="Times New Roman" w:hAnsi="Times New Roman" w:cs="Times New Roman"/>
        </w:rPr>
        <w:footnoteRef/>
      </w:r>
      <w:r w:rsidRPr="00C53FFE">
        <w:rPr>
          <w:rFonts w:ascii="Times New Roman" w:hAnsi="Times New Roman"/>
        </w:rPr>
        <w:tab/>
        <w:t>Principalele regimuri multilaterale în temeiul cărora sunt convenite majoritatea controalelor exporturilor UE sunt Grupul Australia, regimul de control al tehnologiilor pentru rachete, Grupul furnizorilor nucleari și Aranjamentul de la Wassenaar. UE este membră a unuia dintre regimurile multilaterale de control existente (Grupul Australia) și observator în cadrul Grupului furnizorilor nucleari.</w:t>
      </w:r>
    </w:p>
  </w:footnote>
  <w:footnote w:id="4">
    <w:p w14:paraId="42BDD692" w14:textId="6A9C652C" w:rsidR="003405AF" w:rsidRPr="00C53FFE" w:rsidRDefault="003405AF">
      <w:pPr>
        <w:pStyle w:val="FootnoteText"/>
      </w:pPr>
      <w:r w:rsidRPr="00C53FFE">
        <w:rPr>
          <w:rStyle w:val="FootnoteReference"/>
          <w:rFonts w:ascii="Times New Roman" w:hAnsi="Times New Roman" w:cs="Times New Roman"/>
        </w:rPr>
        <w:footnoteRef/>
      </w:r>
      <w:r w:rsidRPr="00C53FFE">
        <w:tab/>
      </w:r>
      <w:r w:rsidRPr="00C53FFE">
        <w:rPr>
          <w:rFonts w:ascii="Times New Roman" w:hAnsi="Times New Roman"/>
        </w:rPr>
        <w:t>C/2025/5947, J</w:t>
      </w:r>
      <w:r w:rsidR="00C53FFE">
        <w:rPr>
          <w:rFonts w:ascii="Times New Roman" w:hAnsi="Times New Roman"/>
        </w:rPr>
        <w:t>O</w:t>
      </w:r>
      <w:r w:rsidRPr="00C53FFE">
        <w:rPr>
          <w:rFonts w:ascii="Times New Roman" w:hAnsi="Times New Roman"/>
        </w:rPr>
        <w:t xml:space="preserve"> L, 2025/2003, 14.11.2025.</w:t>
      </w:r>
    </w:p>
  </w:footnote>
  <w:footnote w:id="5">
    <w:p w14:paraId="6B1436AD" w14:textId="591A7D27" w:rsidR="006F3AC7" w:rsidRPr="00C53FFE" w:rsidRDefault="006F3AC7">
      <w:pPr>
        <w:pStyle w:val="FootnoteText"/>
      </w:pPr>
      <w:r w:rsidRPr="00C53FFE">
        <w:rPr>
          <w:rStyle w:val="FootnoteReference"/>
          <w:rFonts w:ascii="Times New Roman" w:hAnsi="Times New Roman" w:cs="Times New Roman"/>
        </w:rPr>
        <w:footnoteRef/>
      </w:r>
      <w:r w:rsidRPr="00C53FFE">
        <w:tab/>
      </w:r>
      <w:r w:rsidRPr="00C53FFE">
        <w:rPr>
          <w:rFonts w:ascii="Times New Roman" w:hAnsi="Times New Roman"/>
        </w:rPr>
        <w:t>C/2024/6093, JO L, 2024/2547, 7.11.2024</w:t>
      </w:r>
      <w:r w:rsidRPr="00C53FFE">
        <w:t>.</w:t>
      </w:r>
    </w:p>
  </w:footnote>
  <w:footnote w:id="6">
    <w:p w14:paraId="6E0AB765" w14:textId="68401B01" w:rsidR="00256D45" w:rsidRPr="00C53FFE" w:rsidRDefault="00256D45">
      <w:pPr>
        <w:pStyle w:val="FootnoteText"/>
      </w:pPr>
      <w:r w:rsidRPr="00C53FFE">
        <w:rPr>
          <w:rStyle w:val="FootnoteReference"/>
          <w:rFonts w:ascii="Times New Roman" w:hAnsi="Times New Roman" w:cs="Times New Roman"/>
        </w:rPr>
        <w:footnoteRef/>
      </w:r>
      <w:r w:rsidRPr="00C53FFE">
        <w:tab/>
      </w:r>
      <w:r w:rsidRPr="00C53FFE">
        <w:rPr>
          <w:rFonts w:ascii="Times New Roman" w:hAnsi="Times New Roman"/>
        </w:rPr>
        <w:t>JO L, 2023/2616, 15.12.2023.</w:t>
      </w:r>
    </w:p>
  </w:footnote>
  <w:footnote w:id="7">
    <w:p w14:paraId="630C6FE0" w14:textId="0CE22F44" w:rsidR="002865F4" w:rsidRPr="00C53FFE" w:rsidRDefault="002865F4">
      <w:pPr>
        <w:pStyle w:val="FootnoteText"/>
      </w:pPr>
      <w:r w:rsidRPr="00C53FFE">
        <w:rPr>
          <w:rStyle w:val="FootnoteReference"/>
          <w:rFonts w:ascii="Times New Roman" w:hAnsi="Times New Roman" w:cs="Times New Roman"/>
        </w:rPr>
        <w:footnoteRef/>
      </w:r>
      <w:r w:rsidRPr="00C53FFE">
        <w:tab/>
      </w:r>
      <w:r w:rsidRPr="00C53FFE">
        <w:rPr>
          <w:rFonts w:ascii="Times New Roman" w:hAnsi="Times New Roman"/>
        </w:rPr>
        <w:t>C/2023/1164, JO L 138, 25.5.2023, p.</w:t>
      </w:r>
      <w:r w:rsidR="00C53FFE">
        <w:rPr>
          <w:rFonts w:ascii="Times New Roman" w:hAnsi="Times New Roman"/>
        </w:rPr>
        <w:t xml:space="preserve"> </w:t>
      </w:r>
      <w:r w:rsidRPr="00C53FFE">
        <w:rPr>
          <w:rFonts w:ascii="Times New Roman" w:hAnsi="Times New Roman"/>
        </w:rPr>
        <w:t>1.</w:t>
      </w:r>
    </w:p>
  </w:footnote>
  <w:footnote w:id="8">
    <w:p w14:paraId="5E4BC3E2" w14:textId="59D73AF6" w:rsidR="00E41428" w:rsidRPr="00C53FFE" w:rsidRDefault="00E41428">
      <w:pPr>
        <w:pStyle w:val="FootnoteText"/>
      </w:pPr>
      <w:r w:rsidRPr="00C53FFE">
        <w:rPr>
          <w:rStyle w:val="FootnoteReference"/>
          <w:rFonts w:ascii="Times New Roman" w:hAnsi="Times New Roman" w:cs="Times New Roman"/>
        </w:rPr>
        <w:footnoteRef/>
      </w:r>
      <w:r w:rsidRPr="00C53FFE">
        <w:tab/>
      </w:r>
      <w:r w:rsidRPr="00C53FFE">
        <w:rPr>
          <w:rFonts w:ascii="Times New Roman" w:hAnsi="Times New Roman"/>
        </w:rPr>
        <w:t>C/2022/7424, JO L 9, 11.1.2023, p. 1.</w:t>
      </w:r>
    </w:p>
  </w:footnote>
  <w:footnote w:id="9">
    <w:p w14:paraId="7EA61271" w14:textId="14FFB234" w:rsidR="00D94327" w:rsidRPr="00C53FFE" w:rsidRDefault="00D94327">
      <w:pPr>
        <w:pStyle w:val="FootnoteText"/>
        <w:rPr>
          <w:rFonts w:ascii="Times New Roman" w:hAnsi="Times New Roman" w:cs="Times New Roman"/>
        </w:rPr>
      </w:pPr>
      <w:r w:rsidRPr="00C53FFE">
        <w:rPr>
          <w:rStyle w:val="FootnoteReference"/>
          <w:rFonts w:ascii="Times New Roman" w:hAnsi="Times New Roman" w:cs="Times New Roman"/>
        </w:rPr>
        <w:footnoteRef/>
      </w:r>
      <w:r w:rsidRPr="00C53FFE">
        <w:rPr>
          <w:rFonts w:ascii="Times New Roman" w:hAnsi="Times New Roman"/>
        </w:rPr>
        <w:tab/>
        <w:t>C/2022/2885, JO L 130l, 4.5.2022, p. 1.</w:t>
      </w:r>
    </w:p>
  </w:footnote>
  <w:footnote w:id="10">
    <w:p w14:paraId="0F9D72E1" w14:textId="52340F5A" w:rsidR="00C52805" w:rsidRPr="000D289D" w:rsidRDefault="00C52805">
      <w:pPr>
        <w:pStyle w:val="FootnoteText"/>
        <w:rPr>
          <w:rFonts w:ascii="Times New Roman" w:hAnsi="Times New Roman" w:cs="Times New Roman"/>
        </w:rPr>
      </w:pPr>
      <w:r w:rsidRPr="00C53FFE">
        <w:rPr>
          <w:rStyle w:val="FootnoteReference"/>
          <w:rFonts w:ascii="Times New Roman" w:hAnsi="Times New Roman" w:cs="Times New Roman"/>
        </w:rPr>
        <w:footnoteRef/>
      </w:r>
      <w:r w:rsidRPr="00C53FFE">
        <w:rPr>
          <w:rFonts w:ascii="Times New Roman" w:hAnsi="Times New Roman"/>
        </w:rPr>
        <w:tab/>
        <w:t>C/2021/7424, JO L 3, 6.1.2022,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CA081" w14:textId="77777777" w:rsidR="00D250A2" w:rsidRPr="00D250A2" w:rsidRDefault="00D250A2" w:rsidP="00D250A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A0418" w14:textId="77777777" w:rsidR="00D250A2" w:rsidRPr="00D250A2" w:rsidRDefault="00D250A2" w:rsidP="00D250A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57CF1" w14:textId="77777777" w:rsidR="00D250A2" w:rsidRPr="00D250A2" w:rsidRDefault="00D250A2" w:rsidP="00D250A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D9692" w14:textId="77777777" w:rsidR="00E825A7" w:rsidRPr="00C53FFE" w:rsidRDefault="00E825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F6232" w14:textId="77777777" w:rsidR="00E825A7" w:rsidRPr="00C53FFE" w:rsidRDefault="00E825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2A791" w14:textId="77777777" w:rsidR="00E825A7" w:rsidRPr="00C53FFE" w:rsidRDefault="00E82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E568F"/>
    <w:multiLevelType w:val="hybridMultilevel"/>
    <w:tmpl w:val="F19A3B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12832BC"/>
    <w:multiLevelType w:val="hybridMultilevel"/>
    <w:tmpl w:val="5B1A603E"/>
    <w:lvl w:ilvl="0" w:tplc="0680B788">
      <w:start w:val="1"/>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794D644-0DA8-4FEC-AE7E-A0B4BBC17B95"/>
    <w:docVar w:name="LW_COVERPAGE_TYPE" w:val="1"/>
    <w:docVar w:name="LW_CROSSREFERENCE" w:val="&lt;UNUSED&gt;"/>
    <w:docVar w:name="LW_DocType" w:val="NORMAL"/>
    <w:docVar w:name="LW_EMISSION" w:val="24.7.2026"/>
    <w:docVar w:name="LW_EMISSION_ISODATE" w:val="2026-07-24"/>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delegarea competen\u539?ei de a adopta acte delegate conferit\u259? Comisiei în temeiul Regulamentului (UE) 2021/821 al Parlamentului European \u537?i al Consiliului din 20 mai 2021 de instituire a unui regim al Uniunii pentru controlul exporturilor, serviciilor de intermediere, asisten\u539?ei tehnice, tranzitului \u537?i transferului de produse cu dubl\u259? utilizare (reformare)"/>
    <w:docVar w:name="LW_TYPE.DOC.CP" w:val="RAPORT AL COMISIEI C\u258?TRE PARLAMENTUL EUROPEAN \u536?I CONSILIU"/>
    <w:docVar w:name="LwApiVersions" w:val="LW4CoDe 1.24.5.0; LW 9.2, Build 20251112"/>
  </w:docVars>
  <w:rsids>
    <w:rsidRoot w:val="00E825A7"/>
    <w:rsid w:val="00017864"/>
    <w:rsid w:val="00021060"/>
    <w:rsid w:val="0003260A"/>
    <w:rsid w:val="00041402"/>
    <w:rsid w:val="000531B7"/>
    <w:rsid w:val="00074D1A"/>
    <w:rsid w:val="00096370"/>
    <w:rsid w:val="000B2217"/>
    <w:rsid w:val="000D289D"/>
    <w:rsid w:val="000E1A99"/>
    <w:rsid w:val="000E675C"/>
    <w:rsid w:val="000F11FD"/>
    <w:rsid w:val="00122606"/>
    <w:rsid w:val="001417FC"/>
    <w:rsid w:val="00144E34"/>
    <w:rsid w:val="00153E6E"/>
    <w:rsid w:val="00186739"/>
    <w:rsid w:val="00190FB0"/>
    <w:rsid w:val="001A034F"/>
    <w:rsid w:val="001C6CDE"/>
    <w:rsid w:val="001D683F"/>
    <w:rsid w:val="001F2E4C"/>
    <w:rsid w:val="001F450B"/>
    <w:rsid w:val="001F50E8"/>
    <w:rsid w:val="00211CBF"/>
    <w:rsid w:val="002262E3"/>
    <w:rsid w:val="002444CE"/>
    <w:rsid w:val="00256D45"/>
    <w:rsid w:val="002865F4"/>
    <w:rsid w:val="002A1663"/>
    <w:rsid w:val="002C2DE1"/>
    <w:rsid w:val="002C39F2"/>
    <w:rsid w:val="002D7C35"/>
    <w:rsid w:val="002F1C43"/>
    <w:rsid w:val="00314AE4"/>
    <w:rsid w:val="0032370C"/>
    <w:rsid w:val="003405AF"/>
    <w:rsid w:val="00391060"/>
    <w:rsid w:val="003C156E"/>
    <w:rsid w:val="003E016C"/>
    <w:rsid w:val="00401946"/>
    <w:rsid w:val="004226D4"/>
    <w:rsid w:val="004278DA"/>
    <w:rsid w:val="00427DFC"/>
    <w:rsid w:val="004607FB"/>
    <w:rsid w:val="0046736D"/>
    <w:rsid w:val="00491CA6"/>
    <w:rsid w:val="004B3BCF"/>
    <w:rsid w:val="004D0010"/>
    <w:rsid w:val="004E713A"/>
    <w:rsid w:val="00506D23"/>
    <w:rsid w:val="00515CD8"/>
    <w:rsid w:val="00526B19"/>
    <w:rsid w:val="00534E04"/>
    <w:rsid w:val="005418F8"/>
    <w:rsid w:val="00554BD0"/>
    <w:rsid w:val="0057083A"/>
    <w:rsid w:val="0057510F"/>
    <w:rsid w:val="00597854"/>
    <w:rsid w:val="005B3E5D"/>
    <w:rsid w:val="005B745F"/>
    <w:rsid w:val="005D4D56"/>
    <w:rsid w:val="005F16F3"/>
    <w:rsid w:val="00606ABD"/>
    <w:rsid w:val="00611A1B"/>
    <w:rsid w:val="00612572"/>
    <w:rsid w:val="00615818"/>
    <w:rsid w:val="006245A0"/>
    <w:rsid w:val="00645EF0"/>
    <w:rsid w:val="006645E5"/>
    <w:rsid w:val="006646E7"/>
    <w:rsid w:val="006879C7"/>
    <w:rsid w:val="006904F1"/>
    <w:rsid w:val="006A0BEA"/>
    <w:rsid w:val="006B39B8"/>
    <w:rsid w:val="006D67A2"/>
    <w:rsid w:val="006E1C78"/>
    <w:rsid w:val="006E539D"/>
    <w:rsid w:val="006F3AC7"/>
    <w:rsid w:val="006F62B4"/>
    <w:rsid w:val="00715DFE"/>
    <w:rsid w:val="00716B26"/>
    <w:rsid w:val="00717B57"/>
    <w:rsid w:val="00727C53"/>
    <w:rsid w:val="00731D74"/>
    <w:rsid w:val="00745F9E"/>
    <w:rsid w:val="007460E3"/>
    <w:rsid w:val="007851AC"/>
    <w:rsid w:val="00793744"/>
    <w:rsid w:val="007A25A3"/>
    <w:rsid w:val="007A5FE7"/>
    <w:rsid w:val="00802D9B"/>
    <w:rsid w:val="008079FA"/>
    <w:rsid w:val="00825976"/>
    <w:rsid w:val="00861B81"/>
    <w:rsid w:val="0086315E"/>
    <w:rsid w:val="00892AC0"/>
    <w:rsid w:val="008B0CA6"/>
    <w:rsid w:val="008B773D"/>
    <w:rsid w:val="008F59B2"/>
    <w:rsid w:val="0091290E"/>
    <w:rsid w:val="0091400F"/>
    <w:rsid w:val="009249FA"/>
    <w:rsid w:val="009405DB"/>
    <w:rsid w:val="009736B0"/>
    <w:rsid w:val="00977008"/>
    <w:rsid w:val="009865F0"/>
    <w:rsid w:val="00991029"/>
    <w:rsid w:val="00997E9C"/>
    <w:rsid w:val="009B07A9"/>
    <w:rsid w:val="009C3D26"/>
    <w:rsid w:val="00A02281"/>
    <w:rsid w:val="00A027A5"/>
    <w:rsid w:val="00A421D2"/>
    <w:rsid w:val="00A6508B"/>
    <w:rsid w:val="00A650DF"/>
    <w:rsid w:val="00A77D05"/>
    <w:rsid w:val="00A87884"/>
    <w:rsid w:val="00AC1141"/>
    <w:rsid w:val="00AC1491"/>
    <w:rsid w:val="00AD287B"/>
    <w:rsid w:val="00B41219"/>
    <w:rsid w:val="00B53C03"/>
    <w:rsid w:val="00B614A5"/>
    <w:rsid w:val="00B8557E"/>
    <w:rsid w:val="00BB3847"/>
    <w:rsid w:val="00BD3A07"/>
    <w:rsid w:val="00BF161D"/>
    <w:rsid w:val="00BF3843"/>
    <w:rsid w:val="00C203E3"/>
    <w:rsid w:val="00C20ADE"/>
    <w:rsid w:val="00C23618"/>
    <w:rsid w:val="00C52805"/>
    <w:rsid w:val="00C53FFE"/>
    <w:rsid w:val="00C6224A"/>
    <w:rsid w:val="00C842B1"/>
    <w:rsid w:val="00C8463A"/>
    <w:rsid w:val="00C97651"/>
    <w:rsid w:val="00CC31A5"/>
    <w:rsid w:val="00CC5275"/>
    <w:rsid w:val="00CC5D6A"/>
    <w:rsid w:val="00CE0F5C"/>
    <w:rsid w:val="00D15BFD"/>
    <w:rsid w:val="00D20AF1"/>
    <w:rsid w:val="00D250A2"/>
    <w:rsid w:val="00D66F10"/>
    <w:rsid w:val="00D84C46"/>
    <w:rsid w:val="00D87A43"/>
    <w:rsid w:val="00D94327"/>
    <w:rsid w:val="00DA209D"/>
    <w:rsid w:val="00DE45AE"/>
    <w:rsid w:val="00DF7E83"/>
    <w:rsid w:val="00E21D14"/>
    <w:rsid w:val="00E41428"/>
    <w:rsid w:val="00E4506C"/>
    <w:rsid w:val="00E675BF"/>
    <w:rsid w:val="00E718C3"/>
    <w:rsid w:val="00E825A7"/>
    <w:rsid w:val="00EA5689"/>
    <w:rsid w:val="00EB53E3"/>
    <w:rsid w:val="00EB73F2"/>
    <w:rsid w:val="00EB7EC2"/>
    <w:rsid w:val="00EC3E11"/>
    <w:rsid w:val="00EF7B6A"/>
    <w:rsid w:val="00F24001"/>
    <w:rsid w:val="00F2430E"/>
    <w:rsid w:val="00F36228"/>
    <w:rsid w:val="00F40074"/>
    <w:rsid w:val="00F727C7"/>
    <w:rsid w:val="00FC215C"/>
    <w:rsid w:val="00FD1462"/>
    <w:rsid w:val="00FD75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F51711"/>
  <w15:chartTrackingRefBased/>
  <w15:docId w15:val="{7144BAE0-30A5-4B7C-8189-2541DB8D5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E82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2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2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5A7"/>
    <w:rPr>
      <w:rFonts w:eastAsiaTheme="majorEastAsia" w:cstheme="majorBidi"/>
      <w:color w:val="272727" w:themeColor="text1" w:themeTint="D8"/>
    </w:rPr>
  </w:style>
  <w:style w:type="paragraph" w:styleId="Title">
    <w:name w:val="Title"/>
    <w:basedOn w:val="Normal"/>
    <w:next w:val="Normal"/>
    <w:link w:val="TitleChar"/>
    <w:uiPriority w:val="10"/>
    <w:qFormat/>
    <w:rsid w:val="00E82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5A7"/>
    <w:pPr>
      <w:spacing w:before="160"/>
      <w:jc w:val="center"/>
    </w:pPr>
    <w:rPr>
      <w:i/>
      <w:iCs/>
      <w:color w:val="404040" w:themeColor="text1" w:themeTint="BF"/>
    </w:rPr>
  </w:style>
  <w:style w:type="character" w:customStyle="1" w:styleId="QuoteChar">
    <w:name w:val="Quote Char"/>
    <w:basedOn w:val="DefaultParagraphFont"/>
    <w:link w:val="Quote"/>
    <w:uiPriority w:val="29"/>
    <w:rsid w:val="00E825A7"/>
    <w:rPr>
      <w:i/>
      <w:iCs/>
      <w:color w:val="404040" w:themeColor="text1" w:themeTint="BF"/>
    </w:rPr>
  </w:style>
  <w:style w:type="paragraph" w:styleId="ListParagraph">
    <w:name w:val="List Paragraph"/>
    <w:basedOn w:val="Normal"/>
    <w:uiPriority w:val="34"/>
    <w:qFormat/>
    <w:rsid w:val="00E825A7"/>
    <w:pPr>
      <w:ind w:left="720"/>
      <w:contextualSpacing/>
    </w:pPr>
  </w:style>
  <w:style w:type="character" w:styleId="IntenseEmphasis">
    <w:name w:val="Intense Emphasis"/>
    <w:basedOn w:val="DefaultParagraphFont"/>
    <w:uiPriority w:val="21"/>
    <w:qFormat/>
    <w:rsid w:val="00E825A7"/>
    <w:rPr>
      <w:i/>
      <w:iCs/>
      <w:color w:val="0F4761" w:themeColor="accent1" w:themeShade="BF"/>
    </w:rPr>
  </w:style>
  <w:style w:type="paragraph" w:styleId="IntenseQuote">
    <w:name w:val="Intense Quote"/>
    <w:basedOn w:val="Normal"/>
    <w:next w:val="Normal"/>
    <w:link w:val="IntenseQuoteChar"/>
    <w:uiPriority w:val="30"/>
    <w:qFormat/>
    <w:rsid w:val="00E82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5A7"/>
    <w:rPr>
      <w:i/>
      <w:iCs/>
      <w:color w:val="0F4761" w:themeColor="accent1" w:themeShade="BF"/>
    </w:rPr>
  </w:style>
  <w:style w:type="character" w:styleId="IntenseReference">
    <w:name w:val="Intense Reference"/>
    <w:basedOn w:val="DefaultParagraphFont"/>
    <w:uiPriority w:val="32"/>
    <w:qFormat/>
    <w:rsid w:val="00E825A7"/>
    <w:rPr>
      <w:b/>
      <w:bCs/>
      <w:smallCaps/>
      <w:color w:val="0F4761" w:themeColor="accent1" w:themeShade="BF"/>
      <w:spacing w:val="5"/>
    </w:rPr>
  </w:style>
  <w:style w:type="character" w:customStyle="1" w:styleId="Marker">
    <w:name w:val="Marker"/>
    <w:basedOn w:val="DefaultParagraphFont"/>
    <w:rsid w:val="00E825A7"/>
    <w:rPr>
      <w:color w:val="0000FF"/>
      <w:shd w:val="clear" w:color="auto" w:fill="auto"/>
    </w:rPr>
  </w:style>
  <w:style w:type="paragraph" w:styleId="Header">
    <w:name w:val="header"/>
    <w:basedOn w:val="Normal"/>
    <w:link w:val="HeaderChar"/>
    <w:uiPriority w:val="99"/>
    <w:unhideWhenUsed/>
    <w:rsid w:val="00E82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5A7"/>
  </w:style>
  <w:style w:type="paragraph" w:styleId="Footer">
    <w:name w:val="footer"/>
    <w:basedOn w:val="Normal"/>
    <w:link w:val="FooterChar"/>
    <w:uiPriority w:val="99"/>
    <w:unhideWhenUsed/>
    <w:rsid w:val="00E82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5A7"/>
  </w:style>
  <w:style w:type="paragraph" w:customStyle="1" w:styleId="Pagedecouverture">
    <w:name w:val="Page de couverture"/>
    <w:basedOn w:val="Normal"/>
    <w:next w:val="Normal"/>
    <w:rsid w:val="00E825A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825A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825A7"/>
    <w:rPr>
      <w:rFonts w:ascii="Times New Roman" w:hAnsi="Times New Roman" w:cs="Times New Roman"/>
      <w:sz w:val="24"/>
    </w:rPr>
  </w:style>
  <w:style w:type="paragraph" w:customStyle="1" w:styleId="FooterSensitivity">
    <w:name w:val="Footer Sensitivity"/>
    <w:basedOn w:val="Normal"/>
    <w:link w:val="FooterSensitivityChar"/>
    <w:rsid w:val="00E825A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825A7"/>
    <w:rPr>
      <w:rFonts w:ascii="Times New Roman" w:hAnsi="Times New Roman" w:cs="Times New Roman"/>
      <w:b/>
      <w:sz w:val="32"/>
    </w:rPr>
  </w:style>
  <w:style w:type="paragraph" w:customStyle="1" w:styleId="HeaderCoverPage">
    <w:name w:val="Header Cover Page"/>
    <w:basedOn w:val="Normal"/>
    <w:link w:val="HeaderCoverPageChar"/>
    <w:rsid w:val="00E825A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825A7"/>
    <w:rPr>
      <w:rFonts w:ascii="Times New Roman" w:hAnsi="Times New Roman" w:cs="Times New Roman"/>
      <w:sz w:val="24"/>
    </w:rPr>
  </w:style>
  <w:style w:type="paragraph" w:customStyle="1" w:styleId="HeaderSensitivity">
    <w:name w:val="Header Sensitivity"/>
    <w:basedOn w:val="Normal"/>
    <w:link w:val="HeaderSensitivityChar"/>
    <w:rsid w:val="00E825A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825A7"/>
    <w:rPr>
      <w:rFonts w:ascii="Times New Roman" w:hAnsi="Times New Roman" w:cs="Times New Roman"/>
      <w:b/>
      <w:sz w:val="32"/>
    </w:rPr>
  </w:style>
  <w:style w:type="paragraph" w:customStyle="1" w:styleId="HeaderSensitivityRight">
    <w:name w:val="Header Sensitivity Right"/>
    <w:basedOn w:val="Normal"/>
    <w:link w:val="HeaderSensitivityRightChar"/>
    <w:rsid w:val="00E825A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825A7"/>
    <w:rPr>
      <w:rFonts w:ascii="Times New Roman" w:hAnsi="Times New Roman" w:cs="Times New Roman"/>
      <w:sz w:val="28"/>
    </w:rPr>
  </w:style>
  <w:style w:type="paragraph" w:styleId="FootnoteText">
    <w:name w:val="footnote text"/>
    <w:basedOn w:val="Normal"/>
    <w:link w:val="FootnoteTextChar"/>
    <w:uiPriority w:val="99"/>
    <w:semiHidden/>
    <w:unhideWhenUsed/>
    <w:rsid w:val="001A03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034F"/>
    <w:rPr>
      <w:sz w:val="20"/>
      <w:szCs w:val="20"/>
    </w:rPr>
  </w:style>
  <w:style w:type="character" w:styleId="FootnoteReference">
    <w:name w:val="footnote reference"/>
    <w:basedOn w:val="DefaultParagraphFont"/>
    <w:uiPriority w:val="99"/>
    <w:semiHidden/>
    <w:unhideWhenUsed/>
    <w:rsid w:val="001A03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0B682-AD98-4D1F-8585-56C52BB72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2026-06-18T06:05:00Z</dcterms:created>
  <dcterms:modified xsi:type="dcterms:W3CDTF">2026-07-16T05:55:00Z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2026-06-02T07:03:09Z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e6cffa7b-61f6-4858-bf6b-5d536f4fa850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