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E01F06" w14:textId="226AFCD6" w:rsidR="00C458C9" w:rsidRPr="00FE6FC5" w:rsidRDefault="00E1225A" w:rsidP="00E1225A">
      <w:pPr>
        <w:pStyle w:val="Pagedecouverture"/>
        <w:rPr>
          <w:noProof/>
        </w:rPr>
      </w:pPr>
      <w:r>
        <w:rPr>
          <w:noProof/>
        </w:rPr>
        <w:pict w14:anchorId="387D7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87CB494-96A2-4C7A-B969-6787EB7D263B" style="width:455.25pt;height:396pt">
            <v:imagedata r:id="rId7" o:title=""/>
          </v:shape>
        </w:pict>
      </w:r>
    </w:p>
    <w:p w14:paraId="4412ED84" w14:textId="77777777" w:rsidR="00951C4B" w:rsidRPr="00FE6FC5" w:rsidRDefault="00951C4B" w:rsidP="00951C4B">
      <w:pPr>
        <w:pStyle w:val="Pagedecouverture"/>
        <w:rPr>
          <w:noProof/>
        </w:rPr>
        <w:sectPr w:rsidR="00951C4B" w:rsidRPr="00FE6FC5" w:rsidSect="00E1225A">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0AC6E62F" w14:textId="77777777" w:rsidR="00FA3CB2" w:rsidRPr="00FE6FC5" w:rsidRDefault="00FA3CB2" w:rsidP="007154BA">
      <w:pPr>
        <w:pStyle w:val="Annexetitre"/>
        <w:rPr>
          <w:noProof/>
        </w:rPr>
      </w:pPr>
      <w:bookmarkStart w:id="0" w:name="_GoBack"/>
      <w:bookmarkEnd w:id="0"/>
      <w:r w:rsidRPr="00FE6FC5">
        <w:rPr>
          <w:noProof/>
        </w:rPr>
        <w:lastRenderedPageBreak/>
        <w:t>ANNEXE</w:t>
      </w:r>
    </w:p>
    <w:p w14:paraId="0B794882" w14:textId="77777777" w:rsidR="00FA3CB2" w:rsidRPr="00FE6FC5" w:rsidRDefault="00B22D38" w:rsidP="00FA3CB2">
      <w:pPr>
        <w:jc w:val="center"/>
        <w:rPr>
          <w:b/>
          <w:noProof/>
        </w:rPr>
      </w:pPr>
      <w:r w:rsidRPr="00FE6FC5">
        <w:rPr>
          <w:b/>
          <w:noProof/>
        </w:rPr>
        <w:t xml:space="preserve">PROJET DE DÉCISION N° .../2026 </w:t>
      </w:r>
    </w:p>
    <w:p w14:paraId="46DF55E1" w14:textId="77777777" w:rsidR="00FA3CB2" w:rsidRPr="00FE6FC5" w:rsidRDefault="00FA3CB2" w:rsidP="00FA3CB2">
      <w:pPr>
        <w:jc w:val="center"/>
        <w:rPr>
          <w:b/>
          <w:noProof/>
        </w:rPr>
      </w:pPr>
      <w:r w:rsidRPr="00FE6FC5">
        <w:rPr>
          <w:b/>
          <w:noProof/>
        </w:rPr>
        <w:t>DU COMITÉ «COMMERCE ET DÉVELOPPEMENT»,</w:t>
      </w:r>
    </w:p>
    <w:p w14:paraId="00EE6A7D" w14:textId="77777777" w:rsidR="00FA3CB2" w:rsidRPr="00FE6FC5" w:rsidRDefault="00FA3CB2" w:rsidP="00FA3CB2">
      <w:pPr>
        <w:jc w:val="center"/>
        <w:rPr>
          <w:b/>
          <w:noProof/>
        </w:rPr>
      </w:pPr>
      <w:r w:rsidRPr="00FE6FC5">
        <w:rPr>
          <w:b/>
          <w:noProof/>
        </w:rPr>
        <w:t xml:space="preserve">ÉTABLI PAR L’ACCORD </w:t>
      </w:r>
    </w:p>
    <w:p w14:paraId="5577F767" w14:textId="77777777" w:rsidR="00FA3CB2" w:rsidRPr="00FE6FC5" w:rsidRDefault="00FA3CB2" w:rsidP="00FA3CB2">
      <w:pPr>
        <w:jc w:val="center"/>
        <w:rPr>
          <w:b/>
          <w:noProof/>
        </w:rPr>
      </w:pPr>
      <w:r w:rsidRPr="00FE6FC5">
        <w:rPr>
          <w:b/>
          <w:noProof/>
        </w:rPr>
        <w:t>DE PARTENARIAT ÉCONOMIQUE ENTRE</w:t>
      </w:r>
    </w:p>
    <w:p w14:paraId="765B1AE2" w14:textId="77777777" w:rsidR="00FA3CB2" w:rsidRPr="00FE6FC5" w:rsidRDefault="00FA3CB2" w:rsidP="00FA3CB2">
      <w:pPr>
        <w:jc w:val="center"/>
        <w:rPr>
          <w:b/>
          <w:noProof/>
        </w:rPr>
      </w:pPr>
      <w:r w:rsidRPr="00FE6FC5">
        <w:rPr>
          <w:b/>
          <w:noProof/>
        </w:rPr>
        <w:t>L’UNION EUROPÉENNE ET SES ÉTATS MEMBRES, D’UNE PART,</w:t>
      </w:r>
    </w:p>
    <w:p w14:paraId="20234E0F" w14:textId="727B60E7" w:rsidR="00FA3CB2" w:rsidRPr="00FE6FC5" w:rsidRDefault="00FA3CB2" w:rsidP="00FA3CB2">
      <w:pPr>
        <w:jc w:val="center"/>
        <w:rPr>
          <w:b/>
          <w:noProof/>
        </w:rPr>
      </w:pPr>
      <w:r w:rsidRPr="00FE6FC5">
        <w:rPr>
          <w:b/>
          <w:noProof/>
        </w:rPr>
        <w:t>ET LES ÉTATS DE L’APE CDAA, D’AUTRE PART</w:t>
      </w:r>
    </w:p>
    <w:p w14:paraId="057655F7" w14:textId="77777777" w:rsidR="00FA3CB2" w:rsidRPr="00FE6FC5" w:rsidRDefault="00FA3CB2" w:rsidP="00FA3CB2">
      <w:pPr>
        <w:jc w:val="center"/>
        <w:rPr>
          <w:b/>
          <w:noProof/>
        </w:rPr>
      </w:pPr>
    </w:p>
    <w:p w14:paraId="27CCA745" w14:textId="77777777" w:rsidR="00FA3CB2" w:rsidRPr="00FE6FC5" w:rsidRDefault="00FA3CB2" w:rsidP="00FA3CB2">
      <w:pPr>
        <w:jc w:val="center"/>
        <w:rPr>
          <w:b/>
          <w:noProof/>
        </w:rPr>
      </w:pPr>
      <w:r w:rsidRPr="00FE6FC5">
        <w:rPr>
          <w:b/>
          <w:noProof/>
        </w:rPr>
        <w:t>du … 2026</w:t>
      </w:r>
    </w:p>
    <w:p w14:paraId="7139C0EE" w14:textId="77777777" w:rsidR="00FA3CB2" w:rsidRPr="00FE6FC5" w:rsidRDefault="00FA3CB2" w:rsidP="00FA3CB2">
      <w:pPr>
        <w:jc w:val="center"/>
        <w:rPr>
          <w:b/>
          <w:noProof/>
        </w:rPr>
      </w:pPr>
    </w:p>
    <w:p w14:paraId="4FAB5383" w14:textId="77777777" w:rsidR="00FA3CB2" w:rsidRPr="00FE6FC5" w:rsidRDefault="00FA3CB2" w:rsidP="00FA3CB2">
      <w:pPr>
        <w:jc w:val="center"/>
        <w:rPr>
          <w:b/>
          <w:noProof/>
        </w:rPr>
      </w:pPr>
      <w:r w:rsidRPr="00FE6FC5">
        <w:rPr>
          <w:b/>
          <w:noProof/>
        </w:rPr>
        <w:t xml:space="preserve">relative au remplacement de la liste de personnes </w:t>
      </w:r>
    </w:p>
    <w:p w14:paraId="7AAF958A" w14:textId="77777777" w:rsidR="00FA3CB2" w:rsidRPr="00FE6FC5" w:rsidRDefault="00FA3CB2" w:rsidP="00FA3CB2">
      <w:pPr>
        <w:spacing w:after="360"/>
        <w:jc w:val="center"/>
        <w:rPr>
          <w:b/>
          <w:noProof/>
        </w:rPr>
      </w:pPr>
      <w:r w:rsidRPr="00FE6FC5">
        <w:rPr>
          <w:b/>
          <w:noProof/>
        </w:rPr>
        <w:t>prêtes et aptes à faire office d’arbitre</w:t>
      </w:r>
    </w:p>
    <w:p w14:paraId="3D08BDE1" w14:textId="77777777" w:rsidR="00FA3CB2" w:rsidRPr="00FE6FC5" w:rsidRDefault="00FA3CB2" w:rsidP="00FA3CB2">
      <w:pPr>
        <w:pStyle w:val="Institutionquiagit"/>
        <w:spacing w:after="360"/>
        <w:rPr>
          <w:noProof/>
        </w:rPr>
      </w:pPr>
      <w:r w:rsidRPr="00FE6FC5">
        <w:rPr>
          <w:noProof/>
        </w:rPr>
        <w:t>LE COMITÉ «COMMERCE ET DÉVELOPPEMENT»,</w:t>
      </w:r>
    </w:p>
    <w:p w14:paraId="13692633" w14:textId="77777777" w:rsidR="00FA3CB2" w:rsidRPr="00FE6FC5" w:rsidRDefault="00FA3CB2" w:rsidP="00FA3CB2">
      <w:pPr>
        <w:spacing w:after="240" w:line="360" w:lineRule="auto"/>
        <w:rPr>
          <w:noProof/>
        </w:rPr>
      </w:pPr>
      <w:r w:rsidRPr="00FE6FC5">
        <w:rPr>
          <w:noProof/>
        </w:rPr>
        <w:t>vu l’</w:t>
      </w:r>
      <w:r w:rsidRPr="00FE6FC5">
        <w:rPr>
          <w:noProof/>
          <w:color w:val="000000"/>
        </w:rPr>
        <w:t>accord de partenariat économique entre l’Union européenne et ses États membres</w:t>
      </w:r>
      <w:r w:rsidRPr="00FE6FC5">
        <w:rPr>
          <w:noProof/>
        </w:rPr>
        <w:t>, d’une part, et les États de l’APE CDAA, d’autre part (ci-après l’«accord»), et en particulier son article 94,</w:t>
      </w:r>
    </w:p>
    <w:p w14:paraId="43EB349D" w14:textId="77777777" w:rsidR="00FA3CB2" w:rsidRPr="00FE6FC5" w:rsidRDefault="00FA3CB2" w:rsidP="00FA3CB2">
      <w:pPr>
        <w:spacing w:line="360" w:lineRule="auto"/>
        <w:rPr>
          <w:noProof/>
        </w:rPr>
      </w:pPr>
      <w:r w:rsidRPr="00FE6FC5">
        <w:rPr>
          <w:noProof/>
        </w:rPr>
        <w:t>considérant ce qui suit:</w:t>
      </w:r>
    </w:p>
    <w:p w14:paraId="314E4CD1" w14:textId="5851CF5E" w:rsidR="00FA3CB2" w:rsidRPr="00FE6FC5" w:rsidRDefault="00FA3CB2" w:rsidP="00FA3CB2">
      <w:pPr>
        <w:pStyle w:val="ManualConsidrant"/>
        <w:spacing w:line="360" w:lineRule="auto"/>
        <w:rPr>
          <w:noProof/>
        </w:rPr>
      </w:pPr>
      <w:r w:rsidRPr="00FE6FC5">
        <w:rPr>
          <w:noProof/>
        </w:rPr>
        <w:t>1)</w:t>
      </w:r>
      <w:r w:rsidRPr="00FE6FC5">
        <w:rPr>
          <w:noProof/>
        </w:rPr>
        <w:tab/>
        <w:t>L’accord est appliqué à titre provisoire depuis le 10 octobre 2016 pour toutes les parties à l’accord, à l’exception du Mozambique. L’accord est appliqué à titre provisoire entre le Mozambique et l’Union européenne depuis le 4 février 2018.</w:t>
      </w:r>
    </w:p>
    <w:p w14:paraId="23E5C957" w14:textId="77777777" w:rsidR="00FA3CB2" w:rsidRPr="00FE6FC5" w:rsidRDefault="00FA3CB2" w:rsidP="00FA3CB2">
      <w:pPr>
        <w:pStyle w:val="ManualConsidrant"/>
        <w:spacing w:line="360" w:lineRule="auto"/>
        <w:rPr>
          <w:noProof/>
        </w:rPr>
      </w:pPr>
      <w:r w:rsidRPr="00FE6FC5">
        <w:rPr>
          <w:noProof/>
        </w:rPr>
        <w:t>2)</w:t>
      </w:r>
      <w:r w:rsidRPr="00FE6FC5">
        <w:rPr>
          <w:noProof/>
        </w:rPr>
        <w:tab/>
        <w:t>L’article 103 de l’accord institue le comité «Commerce et développement», qui se réunit selon une configuration spécifique pour discuter du commerce et des questions liées au commerce, relevant de la partie II de l’accord.</w:t>
      </w:r>
    </w:p>
    <w:p w14:paraId="4169D929" w14:textId="77777777" w:rsidR="00FA3CB2" w:rsidRPr="00FE6FC5" w:rsidRDefault="00FA3CB2" w:rsidP="00FA3CB2">
      <w:pPr>
        <w:pStyle w:val="ManualConsidrant"/>
        <w:spacing w:line="360" w:lineRule="auto"/>
        <w:rPr>
          <w:noProof/>
        </w:rPr>
      </w:pPr>
      <w:r w:rsidRPr="00FE6FC5">
        <w:rPr>
          <w:noProof/>
        </w:rPr>
        <w:t>3)</w:t>
      </w:r>
      <w:r w:rsidRPr="00FE6FC5">
        <w:rPr>
          <w:noProof/>
        </w:rPr>
        <w:tab/>
      </w:r>
      <w:bookmarkStart w:id="1" w:name="_Hlk227682731"/>
      <w:r w:rsidRPr="00FE6FC5">
        <w:rPr>
          <w:noProof/>
        </w:rPr>
        <w:t xml:space="preserve">Conformément à l’article 94, paragraphe 1, de l’accord, le comité «Commerce et développement» a adopté le 18 février 2019, par la décision nº 1/2019, la </w:t>
      </w:r>
      <w:bookmarkStart w:id="2" w:name="_Hlk191378356"/>
      <w:r w:rsidRPr="00FE6FC5">
        <w:rPr>
          <w:noProof/>
        </w:rPr>
        <w:t>liste des 21 personnes prêtes et aptes à faire office d’arbitres</w:t>
      </w:r>
      <w:bookmarkEnd w:id="2"/>
      <w:r w:rsidRPr="00FE6FC5">
        <w:rPr>
          <w:noProof/>
        </w:rPr>
        <w:t xml:space="preserve">. </w:t>
      </w:r>
      <w:bookmarkEnd w:id="1"/>
      <w:r w:rsidRPr="00FE6FC5">
        <w:rPr>
          <w:noProof/>
        </w:rPr>
        <w:t>Une révision de cette liste est apparue nécessaire pour maintenir le nombre minimal d’arbitres disponibles.</w:t>
      </w:r>
    </w:p>
    <w:p w14:paraId="14BCC979" w14:textId="77777777" w:rsidR="00FA3CB2" w:rsidRPr="00FE6FC5" w:rsidRDefault="00FA3CB2" w:rsidP="00FA3CB2">
      <w:pPr>
        <w:pStyle w:val="ManualConsidrant"/>
        <w:spacing w:line="360" w:lineRule="auto"/>
        <w:rPr>
          <w:noProof/>
        </w:rPr>
      </w:pPr>
      <w:r w:rsidRPr="00FE6FC5">
        <w:rPr>
          <w:noProof/>
        </w:rPr>
        <w:t>4)</w:t>
      </w:r>
      <w:r w:rsidRPr="00FE6FC5">
        <w:rPr>
          <w:noProof/>
        </w:rPr>
        <w:tab/>
        <w:t xml:space="preserve">La liste de personnes prêtes et aptes à faire office d’arbitres est composée de trois sous-listes: une sous-liste pour chaque partie, comprenant huit personnes appelées à faire office d’arbitres et une sous-liste de cinq personnes qui ne sont pas des ressortissants de l’une ou de l’autre d’entre elles et qui pourraient être appelées à </w:t>
      </w:r>
      <w:r w:rsidRPr="00FE6FC5">
        <w:rPr>
          <w:noProof/>
        </w:rPr>
        <w:lastRenderedPageBreak/>
        <w:t xml:space="preserve">présider le groupe spécial d’arbitrage, et qui satisfont aux exigences énoncées à l’article 94, paragraphe 1, de l’accord. </w:t>
      </w:r>
    </w:p>
    <w:p w14:paraId="2989D6B0" w14:textId="77777777" w:rsidR="00FA3CB2" w:rsidRPr="00FE6FC5" w:rsidRDefault="00FA3CB2" w:rsidP="00FA3CB2">
      <w:pPr>
        <w:pStyle w:val="ManualConsidrant"/>
        <w:spacing w:line="360" w:lineRule="auto"/>
        <w:rPr>
          <w:noProof/>
        </w:rPr>
      </w:pPr>
      <w:r w:rsidRPr="00FE6FC5">
        <w:rPr>
          <w:noProof/>
        </w:rPr>
        <w:t>6)</w:t>
      </w:r>
      <w:r w:rsidRPr="00FE6FC5">
        <w:rPr>
          <w:noProof/>
        </w:rPr>
        <w:tab/>
        <w:t>Il n’est pas nécessaire d’adopter la décision dans toutes les langues faisant foi de l’accord, étant donné que la décision ne modifie pas les dispositions de l’accord et n’est pertinente que pour le fonctionnement interne du mécanisme de règlement des différends entre les parties.</w:t>
      </w:r>
    </w:p>
    <w:p w14:paraId="27FDEC77" w14:textId="7A8E4015" w:rsidR="00FA3CB2" w:rsidRPr="00FE6FC5" w:rsidRDefault="00FA3CB2" w:rsidP="00FA3CB2">
      <w:pPr>
        <w:pStyle w:val="ManualConsidrant"/>
        <w:spacing w:after="240" w:line="360" w:lineRule="auto"/>
        <w:rPr>
          <w:noProof/>
        </w:rPr>
      </w:pPr>
      <w:r w:rsidRPr="00FE6FC5">
        <w:rPr>
          <w:noProof/>
        </w:rPr>
        <w:t>7)</w:t>
      </w:r>
      <w:r w:rsidRPr="00FE6FC5">
        <w:rPr>
          <w:noProof/>
        </w:rPr>
        <w:tab/>
        <w:t>Afin d’assurer le bon fonctionnement de l’accord, et notamment de sa partie III, il convient que le comité «Commerce et développement» remplace la liste de personnes prêtes et aptes à faire office d’arbitres par une nouvelle liste,</w:t>
      </w:r>
    </w:p>
    <w:p w14:paraId="5365527E" w14:textId="77777777" w:rsidR="00FA3CB2" w:rsidRPr="00FE6FC5" w:rsidRDefault="00FA3CB2" w:rsidP="00951C4B">
      <w:pPr>
        <w:pStyle w:val="Formuledadoption"/>
        <w:rPr>
          <w:noProof/>
        </w:rPr>
      </w:pPr>
      <w:r w:rsidRPr="00FE6FC5">
        <w:rPr>
          <w:noProof/>
        </w:rPr>
        <w:t>A ADOPTÉ LA PRÉSENTE DÉCISION:</w:t>
      </w:r>
    </w:p>
    <w:p w14:paraId="711A8DA1" w14:textId="77777777" w:rsidR="00FA3CB2" w:rsidRPr="00FE6FC5" w:rsidRDefault="00FA3CB2" w:rsidP="00FA3CB2">
      <w:pPr>
        <w:pStyle w:val="Titrearticle"/>
        <w:spacing w:after="240"/>
        <w:rPr>
          <w:noProof/>
        </w:rPr>
      </w:pPr>
      <w:r w:rsidRPr="00FE6FC5">
        <w:rPr>
          <w:noProof/>
        </w:rPr>
        <w:t>Article premier</w:t>
      </w:r>
    </w:p>
    <w:p w14:paraId="22B83BDF" w14:textId="52E4CFE2" w:rsidR="00FA3CB2" w:rsidRPr="00FE6FC5" w:rsidRDefault="00FA3CB2" w:rsidP="00F94BE5">
      <w:pPr>
        <w:pStyle w:val="NumPar1"/>
        <w:numPr>
          <w:ilvl w:val="0"/>
          <w:numId w:val="2"/>
        </w:numPr>
        <w:rPr>
          <w:noProof/>
        </w:rPr>
      </w:pPr>
      <w:r w:rsidRPr="00FE6FC5">
        <w:rPr>
          <w:noProof/>
        </w:rPr>
        <w:t xml:space="preserve">La </w:t>
      </w:r>
      <w:bookmarkStart w:id="3" w:name="_Hlk191369556"/>
      <w:r w:rsidRPr="00FE6FC5">
        <w:rPr>
          <w:noProof/>
        </w:rPr>
        <w:t>liste de personnes prêtes et aptes à faire office d’arbitres</w:t>
      </w:r>
      <w:bookmarkEnd w:id="3"/>
      <w:r w:rsidRPr="00FE6FC5">
        <w:rPr>
          <w:noProof/>
        </w:rPr>
        <w:t>, figurant à l’annexe de la décision nº 1/2019 du 18 février 2019 du comité «Commerce et développement», est remplacée par la liste figurant à l’annexe de la présente décision.</w:t>
      </w:r>
    </w:p>
    <w:p w14:paraId="10DDA086" w14:textId="77777777" w:rsidR="00FA3CB2" w:rsidRPr="00FE6FC5" w:rsidRDefault="00FA3CB2" w:rsidP="00FA3CB2">
      <w:pPr>
        <w:pStyle w:val="NumPar1"/>
        <w:rPr>
          <w:noProof/>
        </w:rPr>
      </w:pPr>
      <w:r w:rsidRPr="00FE6FC5">
        <w:rPr>
          <w:noProof/>
        </w:rPr>
        <w:t>L’annexe fait partie intégrante de la présente décision.</w:t>
      </w:r>
    </w:p>
    <w:p w14:paraId="2163E53C" w14:textId="77777777" w:rsidR="009F04CF" w:rsidRPr="00FE6FC5" w:rsidRDefault="009F04CF" w:rsidP="00FA3CB2">
      <w:pPr>
        <w:spacing w:after="240"/>
        <w:jc w:val="center"/>
        <w:rPr>
          <w:i/>
          <w:iCs/>
          <w:noProof/>
        </w:rPr>
      </w:pPr>
    </w:p>
    <w:p w14:paraId="105DFD40" w14:textId="77777777" w:rsidR="00FA3CB2" w:rsidRPr="00FE6FC5" w:rsidRDefault="00FA3CB2" w:rsidP="00FA3CB2">
      <w:pPr>
        <w:spacing w:after="240"/>
        <w:jc w:val="center"/>
        <w:rPr>
          <w:i/>
          <w:iCs/>
          <w:noProof/>
        </w:rPr>
      </w:pPr>
      <w:r w:rsidRPr="00FE6FC5">
        <w:rPr>
          <w:i/>
          <w:noProof/>
        </w:rPr>
        <w:t>Article 2</w:t>
      </w:r>
    </w:p>
    <w:p w14:paraId="00C93A8C" w14:textId="77777777" w:rsidR="00FA3CB2" w:rsidRPr="00FE6FC5" w:rsidRDefault="00FA3CB2" w:rsidP="00F94BE5">
      <w:pPr>
        <w:pStyle w:val="NumPar1"/>
        <w:numPr>
          <w:ilvl w:val="0"/>
          <w:numId w:val="1"/>
        </w:numPr>
        <w:rPr>
          <w:noProof/>
        </w:rPr>
      </w:pPr>
      <w:bookmarkStart w:id="4" w:name="_Hlk147496537"/>
      <w:r w:rsidRPr="00FE6FC5">
        <w:rPr>
          <w:noProof/>
        </w:rPr>
        <w:t>La présente décision a été adoptée en langue anglaise et rédigée en double exemplaire.</w:t>
      </w:r>
      <w:bookmarkEnd w:id="4"/>
      <w:r w:rsidRPr="00FE6FC5">
        <w:rPr>
          <w:noProof/>
        </w:rPr>
        <w:t xml:space="preserve"> Chaque partie peut traduire le texte de la présente décision dans les langues nécessaires à ses procédures internes et à l’information du public.</w:t>
      </w:r>
    </w:p>
    <w:p w14:paraId="42D7CC79" w14:textId="77777777" w:rsidR="00FA3CB2" w:rsidRPr="00FE6FC5" w:rsidRDefault="00FA3CB2" w:rsidP="00FA3CB2">
      <w:pPr>
        <w:pStyle w:val="NumPar1"/>
        <w:spacing w:after="360"/>
        <w:rPr>
          <w:noProof/>
        </w:rPr>
      </w:pPr>
      <w:r w:rsidRPr="00FE6FC5">
        <w:rPr>
          <w:noProof/>
        </w:rPr>
        <w:t>La présente décision entre en vigueur le jour de son adoption.</w:t>
      </w:r>
    </w:p>
    <w:p w14:paraId="6BCC1FF6" w14:textId="77777777" w:rsidR="00FA3CB2" w:rsidRPr="00FE6FC5" w:rsidRDefault="00FA3CB2" w:rsidP="00FA3CB2">
      <w:pPr>
        <w:spacing w:line="360" w:lineRule="auto"/>
        <w:rPr>
          <w:noProof/>
        </w:rPr>
      </w:pPr>
      <w:r w:rsidRPr="00FE6FC5">
        <w:rPr>
          <w:noProof/>
        </w:rPr>
        <w:t>Fait à Bruxelles, le ...</w:t>
      </w:r>
    </w:p>
    <w:p w14:paraId="10F31C27" w14:textId="77777777" w:rsidR="00FA3CB2" w:rsidRPr="00FE6FC5" w:rsidRDefault="00FA3CB2" w:rsidP="00091949">
      <w:pPr>
        <w:spacing w:line="360" w:lineRule="auto"/>
        <w:jc w:val="center"/>
        <w:rPr>
          <w:i/>
          <w:iCs/>
          <w:noProof/>
        </w:rPr>
      </w:pPr>
      <w:r w:rsidRPr="00FE6FC5">
        <w:rPr>
          <w:i/>
          <w:noProof/>
        </w:rPr>
        <w:t>Pour le comité «Commerce et développement»</w:t>
      </w:r>
    </w:p>
    <w:p w14:paraId="598BBA57" w14:textId="77777777" w:rsidR="00091949" w:rsidRPr="00FE6FC5" w:rsidRDefault="00091949" w:rsidP="00FA3CB2">
      <w:pPr>
        <w:spacing w:line="360" w:lineRule="auto"/>
        <w:rPr>
          <w:i/>
          <w:iCs/>
          <w:noProof/>
        </w:rPr>
      </w:pPr>
      <w:r w:rsidRPr="00FE6FC5">
        <w:rPr>
          <w:i/>
          <w:noProof/>
        </w:rPr>
        <w:t>Pour les États de l’APE CDAA</w:t>
      </w:r>
      <w:r w:rsidRPr="00FE6FC5">
        <w:rPr>
          <w:noProof/>
        </w:rPr>
        <w:tab/>
      </w:r>
      <w:r w:rsidRPr="00FE6FC5">
        <w:rPr>
          <w:noProof/>
        </w:rPr>
        <w:tab/>
      </w:r>
      <w:r w:rsidRPr="00FE6FC5">
        <w:rPr>
          <w:noProof/>
        </w:rPr>
        <w:tab/>
      </w:r>
      <w:r w:rsidRPr="00FE6FC5">
        <w:rPr>
          <w:noProof/>
        </w:rPr>
        <w:tab/>
      </w:r>
      <w:r w:rsidRPr="00FE6FC5">
        <w:rPr>
          <w:noProof/>
        </w:rPr>
        <w:tab/>
      </w:r>
      <w:r w:rsidRPr="00FE6FC5">
        <w:rPr>
          <w:i/>
          <w:noProof/>
        </w:rPr>
        <w:t>Pour la partie UE</w:t>
      </w:r>
    </w:p>
    <w:p w14:paraId="607881F5" w14:textId="77777777" w:rsidR="00FA3CB2" w:rsidRPr="00FE6FC5" w:rsidRDefault="00FA3CB2" w:rsidP="00FA3CB2">
      <w:pPr>
        <w:spacing w:before="0" w:after="160" w:line="259" w:lineRule="auto"/>
        <w:jc w:val="right"/>
        <w:rPr>
          <w:noProof/>
        </w:rPr>
      </w:pPr>
      <w:r w:rsidRPr="00FE6FC5">
        <w:rPr>
          <w:noProof/>
        </w:rPr>
        <w:br w:type="page"/>
        <w:t>ANNEXE</w:t>
      </w:r>
    </w:p>
    <w:p w14:paraId="0A1E727E" w14:textId="77777777" w:rsidR="00FA3CB2" w:rsidRPr="00FE6FC5" w:rsidRDefault="00FA3CB2" w:rsidP="00FA3CB2">
      <w:pPr>
        <w:jc w:val="center"/>
        <w:rPr>
          <w:noProof/>
        </w:rPr>
      </w:pPr>
    </w:p>
    <w:p w14:paraId="4D1B011F" w14:textId="77777777" w:rsidR="00FA3CB2" w:rsidRPr="00FE6FC5" w:rsidRDefault="00FA3CB2" w:rsidP="00FA3CB2">
      <w:pPr>
        <w:jc w:val="center"/>
        <w:rPr>
          <w:noProof/>
        </w:rPr>
      </w:pPr>
      <w:r w:rsidRPr="00FE6FC5">
        <w:rPr>
          <w:noProof/>
        </w:rPr>
        <w:t>LISTE DES ARBITRES VISÉS À L’ARTICLE 94</w:t>
      </w:r>
    </w:p>
    <w:p w14:paraId="2006E8B1" w14:textId="77777777" w:rsidR="00FA3CB2" w:rsidRPr="00FE6FC5" w:rsidRDefault="00FA3CB2" w:rsidP="00FA3CB2">
      <w:pPr>
        <w:jc w:val="center"/>
        <w:rPr>
          <w:noProof/>
        </w:rPr>
      </w:pPr>
      <w:r w:rsidRPr="00FE6FC5">
        <w:rPr>
          <w:noProof/>
        </w:rPr>
        <w:t>DE L’ACCORD DE PARTENARIAT ÉCONOMIQUE</w:t>
      </w:r>
    </w:p>
    <w:p w14:paraId="44198D64" w14:textId="77777777" w:rsidR="00FA3CB2" w:rsidRPr="00FE6FC5" w:rsidRDefault="00FA3CB2" w:rsidP="00FA3CB2">
      <w:pPr>
        <w:jc w:val="center"/>
        <w:rPr>
          <w:noProof/>
        </w:rPr>
      </w:pPr>
      <w:r w:rsidRPr="00FE6FC5">
        <w:rPr>
          <w:noProof/>
        </w:rPr>
        <w:t xml:space="preserve">ENTRE </w:t>
      </w:r>
    </w:p>
    <w:p w14:paraId="23520CEC" w14:textId="77777777" w:rsidR="00FA3CB2" w:rsidRPr="00FE6FC5" w:rsidRDefault="00FA3CB2" w:rsidP="00FA3CB2">
      <w:pPr>
        <w:jc w:val="center"/>
        <w:rPr>
          <w:noProof/>
        </w:rPr>
      </w:pPr>
      <w:r w:rsidRPr="00FE6FC5">
        <w:rPr>
          <w:noProof/>
        </w:rPr>
        <w:t xml:space="preserve">L’UNION EUROPÉENNE </w:t>
      </w:r>
    </w:p>
    <w:p w14:paraId="1DC67A2D" w14:textId="77777777" w:rsidR="00FA3CB2" w:rsidRPr="00FE6FC5" w:rsidRDefault="00FA3CB2" w:rsidP="00FA3CB2">
      <w:pPr>
        <w:jc w:val="center"/>
        <w:rPr>
          <w:noProof/>
        </w:rPr>
      </w:pPr>
      <w:r w:rsidRPr="00FE6FC5">
        <w:rPr>
          <w:noProof/>
        </w:rPr>
        <w:t>ET SES ÉTATS MEMBRES, D’UNE PART,</w:t>
      </w:r>
    </w:p>
    <w:p w14:paraId="6249CBEA" w14:textId="77777777" w:rsidR="00FA3CB2" w:rsidRPr="00FE6FC5" w:rsidRDefault="00FA3CB2" w:rsidP="00FA3CB2">
      <w:pPr>
        <w:jc w:val="center"/>
        <w:rPr>
          <w:noProof/>
        </w:rPr>
      </w:pPr>
      <w:r w:rsidRPr="00FE6FC5">
        <w:rPr>
          <w:noProof/>
        </w:rPr>
        <w:t>ET LES ÉTATS DE L’APE CDAA, D’AUTRE PART</w:t>
      </w:r>
    </w:p>
    <w:p w14:paraId="4420B95B" w14:textId="77777777" w:rsidR="00FA3CB2" w:rsidRPr="00FE6FC5" w:rsidRDefault="00FA3CB2" w:rsidP="00FA3CB2">
      <w:pPr>
        <w:jc w:val="center"/>
        <w:rPr>
          <w:noProof/>
        </w:rPr>
      </w:pPr>
    </w:p>
    <w:p w14:paraId="3673C0BC" w14:textId="77777777" w:rsidR="00FA3CB2" w:rsidRPr="00FE6FC5" w:rsidRDefault="00FA3CB2" w:rsidP="005F7F13">
      <w:pPr>
        <w:spacing w:before="240" w:after="0"/>
        <w:jc w:val="left"/>
        <w:rPr>
          <w:noProof/>
        </w:rPr>
      </w:pPr>
      <w:r w:rsidRPr="00FE6FC5">
        <w:rPr>
          <w:noProof/>
        </w:rPr>
        <w:t>Arbitres proposés par les États de l’APE CDAA</w:t>
      </w:r>
    </w:p>
    <w:p w14:paraId="11B5BCA0" w14:textId="725A08D4" w:rsidR="002F4195" w:rsidRPr="00FE6FC5" w:rsidRDefault="0001596A" w:rsidP="0001596A">
      <w:pPr>
        <w:pStyle w:val="Point0"/>
        <w:rPr>
          <w:noProof/>
        </w:rPr>
      </w:pPr>
      <w:r w:rsidRPr="00FE6FC5">
        <w:rPr>
          <w:noProof/>
        </w:rPr>
        <w:t>1.</w:t>
      </w:r>
      <w:r w:rsidRPr="00FE6FC5">
        <w:rPr>
          <w:noProof/>
        </w:rPr>
        <w:tab/>
        <w:t>Sakeus AKWEENDA</w:t>
      </w:r>
    </w:p>
    <w:p w14:paraId="0411EED1" w14:textId="5749196F" w:rsidR="002F4195" w:rsidRPr="00FE6FC5" w:rsidRDefault="0001596A" w:rsidP="0001596A">
      <w:pPr>
        <w:pStyle w:val="Point0"/>
        <w:rPr>
          <w:noProof/>
        </w:rPr>
      </w:pPr>
      <w:r w:rsidRPr="00FE6FC5">
        <w:rPr>
          <w:noProof/>
        </w:rPr>
        <w:t>2.</w:t>
      </w:r>
      <w:r w:rsidRPr="00FE6FC5">
        <w:rPr>
          <w:noProof/>
        </w:rPr>
        <w:tab/>
        <w:t>Nkululeko J. HLOPHE</w:t>
      </w:r>
    </w:p>
    <w:p w14:paraId="3F036D3E" w14:textId="006ECE5F" w:rsidR="002F4195" w:rsidRPr="00FE6FC5" w:rsidRDefault="0001596A" w:rsidP="0001596A">
      <w:pPr>
        <w:pStyle w:val="Point0"/>
        <w:rPr>
          <w:noProof/>
        </w:rPr>
      </w:pPr>
      <w:r w:rsidRPr="00FE6FC5">
        <w:rPr>
          <w:noProof/>
        </w:rPr>
        <w:t>3.</w:t>
      </w:r>
      <w:r w:rsidRPr="00FE6FC5">
        <w:rPr>
          <w:noProof/>
        </w:rPr>
        <w:tab/>
        <w:t>Faizel ISMAIL</w:t>
      </w:r>
    </w:p>
    <w:p w14:paraId="0182A889" w14:textId="491B5D23" w:rsidR="002F4195" w:rsidRPr="00FE6FC5" w:rsidRDefault="0001596A" w:rsidP="0001596A">
      <w:pPr>
        <w:pStyle w:val="Point0"/>
        <w:rPr>
          <w:noProof/>
        </w:rPr>
      </w:pPr>
      <w:r w:rsidRPr="00FE6FC5">
        <w:rPr>
          <w:noProof/>
        </w:rPr>
        <w:t>4.</w:t>
      </w:r>
      <w:r w:rsidRPr="00FE6FC5">
        <w:rPr>
          <w:noProof/>
        </w:rPr>
        <w:tab/>
        <w:t>Kholofelo Ngokoane KUGLER</w:t>
      </w:r>
    </w:p>
    <w:p w14:paraId="0C884E6A" w14:textId="1DA073CE" w:rsidR="002F4195" w:rsidRPr="00FE6FC5" w:rsidRDefault="0001596A" w:rsidP="0001596A">
      <w:pPr>
        <w:pStyle w:val="Point0"/>
        <w:rPr>
          <w:noProof/>
        </w:rPr>
      </w:pPr>
      <w:r w:rsidRPr="00FE6FC5">
        <w:rPr>
          <w:noProof/>
        </w:rPr>
        <w:t>5.</w:t>
      </w:r>
      <w:r w:rsidRPr="00FE6FC5">
        <w:rPr>
          <w:noProof/>
        </w:rPr>
        <w:tab/>
        <w:t>Tsotetsi MAKONG</w:t>
      </w:r>
    </w:p>
    <w:p w14:paraId="6434E64A" w14:textId="762C8739" w:rsidR="002F4195" w:rsidRPr="00FE6FC5" w:rsidRDefault="0001596A" w:rsidP="0001596A">
      <w:pPr>
        <w:pStyle w:val="Point0"/>
        <w:rPr>
          <w:noProof/>
        </w:rPr>
      </w:pPr>
      <w:r w:rsidRPr="00FE6FC5">
        <w:rPr>
          <w:noProof/>
        </w:rPr>
        <w:t>6.</w:t>
      </w:r>
      <w:r w:rsidRPr="00FE6FC5">
        <w:rPr>
          <w:noProof/>
        </w:rPr>
        <w:tab/>
        <w:t>Carlos Joaquim Nogueira MARTINS</w:t>
      </w:r>
    </w:p>
    <w:p w14:paraId="5C73898C" w14:textId="057C04D7" w:rsidR="002F4195" w:rsidRPr="00FE6FC5" w:rsidRDefault="0001596A" w:rsidP="0001596A">
      <w:pPr>
        <w:pStyle w:val="Point0"/>
        <w:rPr>
          <w:noProof/>
        </w:rPr>
      </w:pPr>
      <w:r w:rsidRPr="00FE6FC5">
        <w:rPr>
          <w:noProof/>
        </w:rPr>
        <w:t>7.</w:t>
      </w:r>
      <w:r w:rsidRPr="00FE6FC5">
        <w:rPr>
          <w:noProof/>
        </w:rPr>
        <w:tab/>
        <w:t>Leonard Moses PHUTI</w:t>
      </w:r>
    </w:p>
    <w:p w14:paraId="5770AE27" w14:textId="1945B12A" w:rsidR="00D00469" w:rsidRPr="00FE6FC5" w:rsidRDefault="0001596A" w:rsidP="0001596A">
      <w:pPr>
        <w:pStyle w:val="Point0"/>
        <w:rPr>
          <w:noProof/>
        </w:rPr>
      </w:pPr>
      <w:r w:rsidRPr="00FE6FC5">
        <w:rPr>
          <w:noProof/>
        </w:rPr>
        <w:t>8.</w:t>
      </w:r>
      <w:r w:rsidRPr="00FE6FC5">
        <w:rPr>
          <w:noProof/>
        </w:rPr>
        <w:tab/>
        <w:t>Sidney PILANE</w:t>
      </w:r>
    </w:p>
    <w:p w14:paraId="18D5F665" w14:textId="77777777" w:rsidR="00FA3CB2" w:rsidRPr="00FE6FC5" w:rsidRDefault="00FA3CB2" w:rsidP="005F7F13">
      <w:pPr>
        <w:spacing w:before="240" w:after="0"/>
        <w:jc w:val="left"/>
        <w:rPr>
          <w:noProof/>
        </w:rPr>
      </w:pPr>
      <w:r w:rsidRPr="00FE6FC5">
        <w:rPr>
          <w:noProof/>
        </w:rPr>
        <w:t>Arbitres proposés par l’UE:</w:t>
      </w:r>
    </w:p>
    <w:p w14:paraId="635A4D91" w14:textId="420FF581" w:rsidR="002F4195" w:rsidRPr="00FE6FC5" w:rsidRDefault="0001596A" w:rsidP="0001596A">
      <w:pPr>
        <w:pStyle w:val="Point0"/>
        <w:rPr>
          <w:noProof/>
        </w:rPr>
      </w:pPr>
      <w:r w:rsidRPr="00FE6FC5">
        <w:rPr>
          <w:noProof/>
        </w:rPr>
        <w:t>9.</w:t>
      </w:r>
      <w:r w:rsidRPr="00FE6FC5">
        <w:rPr>
          <w:noProof/>
        </w:rPr>
        <w:tab/>
        <w:t>Danae AZARIA</w:t>
      </w:r>
    </w:p>
    <w:p w14:paraId="1A5E9B74" w14:textId="2DCFE12B" w:rsidR="002F4195" w:rsidRPr="00FE6FC5" w:rsidRDefault="0001596A" w:rsidP="0001596A">
      <w:pPr>
        <w:pStyle w:val="Point0"/>
        <w:rPr>
          <w:noProof/>
        </w:rPr>
      </w:pPr>
      <w:r w:rsidRPr="00FE6FC5">
        <w:rPr>
          <w:noProof/>
        </w:rPr>
        <w:t>10.</w:t>
      </w:r>
      <w:r w:rsidRPr="00FE6FC5">
        <w:rPr>
          <w:noProof/>
        </w:rPr>
        <w:tab/>
        <w:t>Laurence BOISSON DE CHAZOURNES</w:t>
      </w:r>
    </w:p>
    <w:p w14:paraId="3A7E7A92" w14:textId="1C1F04FE" w:rsidR="002F4195" w:rsidRPr="00FE6FC5" w:rsidRDefault="0001596A" w:rsidP="0001596A">
      <w:pPr>
        <w:pStyle w:val="Point0"/>
        <w:rPr>
          <w:noProof/>
        </w:rPr>
      </w:pPr>
      <w:r w:rsidRPr="00FE6FC5">
        <w:rPr>
          <w:noProof/>
        </w:rPr>
        <w:t>11.</w:t>
      </w:r>
      <w:r w:rsidRPr="00FE6FC5">
        <w:rPr>
          <w:noProof/>
        </w:rPr>
        <w:tab/>
        <w:t>Irina BUGA</w:t>
      </w:r>
    </w:p>
    <w:p w14:paraId="21310D2E" w14:textId="7F6CA94B" w:rsidR="002F4195" w:rsidRPr="00FE6FC5" w:rsidRDefault="0001596A" w:rsidP="0001596A">
      <w:pPr>
        <w:pStyle w:val="Point0"/>
        <w:rPr>
          <w:noProof/>
        </w:rPr>
      </w:pPr>
      <w:r w:rsidRPr="00FE6FC5">
        <w:rPr>
          <w:noProof/>
        </w:rPr>
        <w:t>12.</w:t>
      </w:r>
      <w:r w:rsidRPr="00FE6FC5">
        <w:rPr>
          <w:noProof/>
        </w:rPr>
        <w:tab/>
        <w:t>Mary FOOTER</w:t>
      </w:r>
    </w:p>
    <w:p w14:paraId="71D364E4" w14:textId="6712F2E7" w:rsidR="002F4195" w:rsidRPr="00FE6FC5" w:rsidRDefault="0001596A" w:rsidP="0001596A">
      <w:pPr>
        <w:pStyle w:val="Point0"/>
        <w:rPr>
          <w:noProof/>
        </w:rPr>
      </w:pPr>
      <w:r w:rsidRPr="00FE6FC5">
        <w:rPr>
          <w:noProof/>
        </w:rPr>
        <w:t>13.</w:t>
      </w:r>
      <w:r w:rsidRPr="00FE6FC5">
        <w:rPr>
          <w:noProof/>
        </w:rPr>
        <w:tab/>
        <w:t>Michael Johannes HAHN</w:t>
      </w:r>
    </w:p>
    <w:p w14:paraId="55D26E18" w14:textId="033117E6" w:rsidR="002F4195" w:rsidRPr="00FE6FC5" w:rsidRDefault="0001596A" w:rsidP="0001596A">
      <w:pPr>
        <w:pStyle w:val="Point0"/>
        <w:rPr>
          <w:noProof/>
        </w:rPr>
      </w:pPr>
      <w:r w:rsidRPr="00FE6FC5">
        <w:rPr>
          <w:noProof/>
        </w:rPr>
        <w:t>14.</w:t>
      </w:r>
      <w:r w:rsidRPr="00FE6FC5">
        <w:rPr>
          <w:noProof/>
        </w:rPr>
        <w:tab/>
        <w:t>Federico ORTINO</w:t>
      </w:r>
    </w:p>
    <w:p w14:paraId="04D684E2" w14:textId="627DA512" w:rsidR="002F4195" w:rsidRPr="00FE6FC5" w:rsidRDefault="0001596A" w:rsidP="0001596A">
      <w:pPr>
        <w:pStyle w:val="Point0"/>
        <w:rPr>
          <w:noProof/>
        </w:rPr>
      </w:pPr>
      <w:r w:rsidRPr="00FE6FC5">
        <w:rPr>
          <w:noProof/>
        </w:rPr>
        <w:t>15.</w:t>
      </w:r>
      <w:r w:rsidRPr="00FE6FC5">
        <w:rPr>
          <w:noProof/>
        </w:rPr>
        <w:tab/>
        <w:t xml:space="preserve">Joost PAUWELYN </w:t>
      </w:r>
    </w:p>
    <w:p w14:paraId="34B496BD" w14:textId="7675C50E" w:rsidR="002F4195" w:rsidRPr="00FE6FC5" w:rsidRDefault="0001596A" w:rsidP="0001596A">
      <w:pPr>
        <w:pStyle w:val="Point0"/>
        <w:rPr>
          <w:noProof/>
        </w:rPr>
      </w:pPr>
      <w:r w:rsidRPr="00FE6FC5">
        <w:rPr>
          <w:noProof/>
        </w:rPr>
        <w:t>16.</w:t>
      </w:r>
      <w:r w:rsidRPr="00FE6FC5">
        <w:rPr>
          <w:noProof/>
        </w:rPr>
        <w:tab/>
        <w:t>Hélène RUIZ FABRI</w:t>
      </w:r>
    </w:p>
    <w:p w14:paraId="0F0792D3" w14:textId="77777777" w:rsidR="00D519C6" w:rsidRPr="00FE6FC5" w:rsidRDefault="00282F4C" w:rsidP="00D519C6">
      <w:pPr>
        <w:spacing w:before="240" w:after="0"/>
        <w:jc w:val="left"/>
        <w:rPr>
          <w:noProof/>
        </w:rPr>
      </w:pPr>
      <w:r w:rsidRPr="00FE6FC5">
        <w:rPr>
          <w:noProof/>
        </w:rPr>
        <w:t>Arbitres sélectionnés conjointement par les parties (non ressortissants d’un État partie qui peuvent faire office de président):</w:t>
      </w:r>
    </w:p>
    <w:p w14:paraId="30986B0A" w14:textId="2A2C82DA" w:rsidR="002F4195" w:rsidRPr="00FE6FC5" w:rsidRDefault="0001596A" w:rsidP="0001596A">
      <w:pPr>
        <w:pStyle w:val="Point0"/>
        <w:rPr>
          <w:noProof/>
        </w:rPr>
      </w:pPr>
      <w:r w:rsidRPr="00FE6FC5">
        <w:rPr>
          <w:noProof/>
        </w:rPr>
        <w:t>17.</w:t>
      </w:r>
      <w:r w:rsidRPr="00FE6FC5">
        <w:rPr>
          <w:noProof/>
        </w:rPr>
        <w:tab/>
        <w:t>Ichiro ARAKI</w:t>
      </w:r>
    </w:p>
    <w:p w14:paraId="624F35EC" w14:textId="2FFD1394" w:rsidR="002F4195" w:rsidRPr="00FE6FC5" w:rsidRDefault="0001596A" w:rsidP="0001596A">
      <w:pPr>
        <w:pStyle w:val="Point0"/>
        <w:rPr>
          <w:noProof/>
        </w:rPr>
      </w:pPr>
      <w:r w:rsidRPr="00FE6FC5">
        <w:rPr>
          <w:noProof/>
        </w:rPr>
        <w:t>18.</w:t>
      </w:r>
      <w:r w:rsidRPr="00FE6FC5">
        <w:rPr>
          <w:noProof/>
        </w:rPr>
        <w:tab/>
        <w:t>Christian HӒBERLI</w:t>
      </w:r>
    </w:p>
    <w:p w14:paraId="13D49007" w14:textId="574FD3C5" w:rsidR="002F4195" w:rsidRPr="00FE6FC5" w:rsidRDefault="0001596A" w:rsidP="0001596A">
      <w:pPr>
        <w:pStyle w:val="Point0"/>
        <w:rPr>
          <w:noProof/>
        </w:rPr>
      </w:pPr>
      <w:r w:rsidRPr="00FE6FC5">
        <w:rPr>
          <w:noProof/>
        </w:rPr>
        <w:t>19.</w:t>
      </w:r>
      <w:r w:rsidRPr="00FE6FC5">
        <w:rPr>
          <w:noProof/>
        </w:rPr>
        <w:tab/>
        <w:t>Merit JANOW</w:t>
      </w:r>
    </w:p>
    <w:p w14:paraId="5CA62898" w14:textId="2F0B5E90" w:rsidR="00282F4C" w:rsidRPr="00FE6FC5" w:rsidRDefault="0001596A" w:rsidP="0001596A">
      <w:pPr>
        <w:pStyle w:val="Point0"/>
        <w:rPr>
          <w:noProof/>
        </w:rPr>
      </w:pPr>
      <w:r w:rsidRPr="00FE6FC5">
        <w:rPr>
          <w:noProof/>
        </w:rPr>
        <w:t>20.</w:t>
      </w:r>
      <w:r w:rsidRPr="00FE6FC5">
        <w:rPr>
          <w:noProof/>
        </w:rPr>
        <w:tab/>
        <w:t>Makane Moïse MBENGUE</w:t>
      </w:r>
    </w:p>
    <w:p w14:paraId="6D703711" w14:textId="09160F86" w:rsidR="00F45F14" w:rsidRPr="00FE6FC5" w:rsidRDefault="0001596A" w:rsidP="0001596A">
      <w:pPr>
        <w:pStyle w:val="Point0"/>
        <w:rPr>
          <w:noProof/>
        </w:rPr>
      </w:pPr>
      <w:r w:rsidRPr="00FE6FC5">
        <w:rPr>
          <w:noProof/>
        </w:rPr>
        <w:t>21.</w:t>
      </w:r>
      <w:r w:rsidRPr="00FE6FC5">
        <w:rPr>
          <w:noProof/>
        </w:rPr>
        <w:tab/>
        <w:t>Claus VON WOBESER</w:t>
      </w:r>
    </w:p>
    <w:sectPr w:rsidR="00F45F14" w:rsidRPr="00FE6FC5" w:rsidSect="00E1225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9F0879" w14:textId="77777777" w:rsidR="0080504A" w:rsidRDefault="0080504A" w:rsidP="00FA3CB2">
      <w:pPr>
        <w:spacing w:before="0" w:after="0"/>
      </w:pPr>
      <w:r>
        <w:separator/>
      </w:r>
    </w:p>
  </w:endnote>
  <w:endnote w:type="continuationSeparator" w:id="0">
    <w:p w14:paraId="754A3B98" w14:textId="77777777" w:rsidR="0080504A" w:rsidRDefault="0080504A" w:rsidP="00FA3CB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97CB0" w14:textId="6D31F3F6" w:rsidR="00E1225A" w:rsidRPr="00E1225A" w:rsidRDefault="00E1225A" w:rsidP="00E1225A">
    <w:pPr>
      <w:pStyle w:val="Footer"/>
      <w:rPr>
        <w:rFonts w:ascii="Arial" w:hAnsi="Arial" w:cs="Arial"/>
        <w:b/>
        <w:sz w:val="48"/>
      </w:rPr>
    </w:pPr>
    <w:r w:rsidRPr="00E1225A">
      <w:rPr>
        <w:rFonts w:ascii="Arial" w:hAnsi="Arial" w:cs="Arial"/>
        <w:b/>
        <w:sz w:val="48"/>
      </w:rPr>
      <w:t>FR</w:t>
    </w:r>
    <w:r w:rsidRPr="00E1225A">
      <w:rPr>
        <w:rFonts w:ascii="Arial" w:hAnsi="Arial" w:cs="Arial"/>
        <w:b/>
        <w:sz w:val="48"/>
      </w:rPr>
      <w:tab/>
    </w:r>
    <w:r w:rsidRPr="00E1225A">
      <w:rPr>
        <w:rFonts w:ascii="Arial" w:hAnsi="Arial" w:cs="Arial"/>
        <w:b/>
        <w:sz w:val="48"/>
      </w:rPr>
      <w:tab/>
    </w:r>
    <w:r w:rsidRPr="00E1225A">
      <w:tab/>
    </w:r>
    <w:r w:rsidRPr="00E1225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71884" w14:textId="6632A45C" w:rsidR="00E1225A" w:rsidRPr="00E1225A" w:rsidRDefault="00E1225A" w:rsidP="00E1225A">
    <w:pPr>
      <w:pStyle w:val="Footer"/>
      <w:rPr>
        <w:rFonts w:ascii="Arial" w:hAnsi="Arial" w:cs="Arial"/>
        <w:b/>
        <w:sz w:val="48"/>
      </w:rPr>
    </w:pPr>
    <w:r w:rsidRPr="00E1225A">
      <w:rPr>
        <w:rFonts w:ascii="Arial" w:hAnsi="Arial" w:cs="Arial"/>
        <w:b/>
        <w:sz w:val="48"/>
      </w:rPr>
      <w:t>FR</w:t>
    </w:r>
    <w:r w:rsidRPr="00E1225A">
      <w:rPr>
        <w:rFonts w:ascii="Arial" w:hAnsi="Arial" w:cs="Arial"/>
        <w:b/>
        <w:sz w:val="48"/>
      </w:rPr>
      <w:tab/>
    </w:r>
    <w:r w:rsidRPr="00E1225A">
      <w:rPr>
        <w:rFonts w:ascii="Arial" w:hAnsi="Arial" w:cs="Arial"/>
        <w:b/>
        <w:sz w:val="48"/>
      </w:rPr>
      <w:tab/>
    </w:r>
    <w:r w:rsidRPr="00E1225A">
      <w:tab/>
    </w:r>
    <w:r w:rsidRPr="00E1225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31A7" w14:textId="77777777" w:rsidR="00E1225A" w:rsidRPr="00E1225A" w:rsidRDefault="00E1225A" w:rsidP="00E122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A79E2" w14:textId="77777777" w:rsidR="00E1225A" w:rsidRDefault="00E122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8C51B" w14:textId="74D24D86" w:rsidR="00E1225A" w:rsidRPr="00E1225A" w:rsidRDefault="00E1225A" w:rsidP="00E1225A">
    <w:pPr>
      <w:pStyle w:val="Footer"/>
      <w:rPr>
        <w:rFonts w:ascii="Arial" w:hAnsi="Arial" w:cs="Arial"/>
        <w:b/>
        <w:sz w:val="48"/>
      </w:rPr>
    </w:pPr>
    <w:r w:rsidRPr="00E1225A">
      <w:rPr>
        <w:rFonts w:ascii="Arial" w:hAnsi="Arial" w:cs="Arial"/>
        <w:b/>
        <w:sz w:val="48"/>
      </w:rPr>
      <w:t>FR</w:t>
    </w:r>
    <w:r w:rsidRPr="00E1225A">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E1225A">
      <w:tab/>
    </w:r>
    <w:r w:rsidRPr="00E1225A">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8446D" w14:textId="77777777" w:rsidR="00E1225A" w:rsidRDefault="00E1225A" w:rsidP="00E12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CE724" w14:textId="77777777" w:rsidR="0080504A" w:rsidRDefault="0080504A" w:rsidP="00FA3CB2">
      <w:pPr>
        <w:spacing w:before="0" w:after="0"/>
      </w:pPr>
      <w:r>
        <w:separator/>
      </w:r>
    </w:p>
  </w:footnote>
  <w:footnote w:type="continuationSeparator" w:id="0">
    <w:p w14:paraId="024AD149" w14:textId="77777777" w:rsidR="0080504A" w:rsidRDefault="0080504A" w:rsidP="00FA3CB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EFA26" w14:textId="77777777" w:rsidR="00E1225A" w:rsidRPr="00E1225A" w:rsidRDefault="00E1225A" w:rsidP="00E122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D5183" w14:textId="77777777" w:rsidR="00E1225A" w:rsidRPr="00E1225A" w:rsidRDefault="00E1225A" w:rsidP="00E122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0FD19" w14:textId="77777777" w:rsidR="00E1225A" w:rsidRPr="00E1225A" w:rsidRDefault="00E1225A" w:rsidP="00E122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1DBFE" w14:textId="77777777" w:rsidR="00E1225A" w:rsidRDefault="00E122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9A4EC" w14:textId="77777777" w:rsidR="00E1225A" w:rsidRDefault="00E122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08C316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FA8B91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13EF97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05E53D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708FA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DBABA4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99226C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0E60D17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7 23:31: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187CB494-96A2-4C7A-B969-6787EB7D263B"/>
    <w:docVar w:name="LW_COVERPAGE_TYPE" w:val="1"/>
    <w:docVar w:name="LW_CreatedUtc" w:val="2025-02-28T16:27:12.6175892Z"/>
    <w:docVar w:name="LW_CROSSREFERENCE" w:val="&lt;UNUSED&gt;"/>
    <w:docVar w:name="LW_DocType" w:val="ANNEX"/>
    <w:docVar w:name="LW_EMISSION" w:val="27.7.2026"/>
    <w:docVar w:name="LW_EMISSION_ISODATE" w:val="2026-07-2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mité «Commerce et développement» établi par l\u8217?accord de partenariat économique entre l\u8217?Union européenne et ses États membres, d\u8217?une part, et les États de l\u8217?APE CDAA, d\u8217?autre part, pour ce qui est du remplacement de la liste de personnes prêtes et aptes à faire office d\u8217?arbitres"/>
    <w:docVar w:name="LW_OBJETACTEPRINCIPAL.CP" w:val="relative à la position à prendre, au nom de l\u8217?Union européenne, au sein du comité «Commerce et développement» établi par l\u8217?accord de partenariat économique entre l\u8217?Union européenne et ses États membres, d\u8217?une part, et les États de l\u8217?APE CDAA, d\u8217?autre part, pour ce qui est du remplacement de la liste de personnes prêtes et aptes à faire office d\u8217?arbitres"/>
    <w:docVar w:name="LW_PART_NBR" w:val="1"/>
    <w:docVar w:name="LW_PART_NBR_TOTAL" w:val="1"/>
    <w:docVar w:name="LW_REF.INST.NEW" w:val="COM"/>
    <w:docVar w:name="LW_REF.INST.NEW_ADOPTED" w:val="final"/>
    <w:docVar w:name="LW_REF.INST.NEW_TEXT" w:val="(2026) 3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FA3CB2"/>
    <w:rsid w:val="00003F24"/>
    <w:rsid w:val="0001596A"/>
    <w:rsid w:val="00022643"/>
    <w:rsid w:val="0004180F"/>
    <w:rsid w:val="00080880"/>
    <w:rsid w:val="00087123"/>
    <w:rsid w:val="00091949"/>
    <w:rsid w:val="000A7731"/>
    <w:rsid w:val="000B0DCC"/>
    <w:rsid w:val="000B5DBD"/>
    <w:rsid w:val="000C0D08"/>
    <w:rsid w:val="000C79C5"/>
    <w:rsid w:val="000D03CF"/>
    <w:rsid w:val="000D1D9A"/>
    <w:rsid w:val="000E0749"/>
    <w:rsid w:val="000E219C"/>
    <w:rsid w:val="001005CE"/>
    <w:rsid w:val="00101A37"/>
    <w:rsid w:val="0011422F"/>
    <w:rsid w:val="00143E22"/>
    <w:rsid w:val="00160BCF"/>
    <w:rsid w:val="00165C4F"/>
    <w:rsid w:val="00166F65"/>
    <w:rsid w:val="00173659"/>
    <w:rsid w:val="00193EB2"/>
    <w:rsid w:val="001B5471"/>
    <w:rsid w:val="001C0F17"/>
    <w:rsid w:val="001C3F4E"/>
    <w:rsid w:val="001E099C"/>
    <w:rsid w:val="001F2055"/>
    <w:rsid w:val="001F343E"/>
    <w:rsid w:val="002525EC"/>
    <w:rsid w:val="002651E2"/>
    <w:rsid w:val="00282F4C"/>
    <w:rsid w:val="00297B4F"/>
    <w:rsid w:val="002B74C9"/>
    <w:rsid w:val="002C54EC"/>
    <w:rsid w:val="002F4195"/>
    <w:rsid w:val="002F75FF"/>
    <w:rsid w:val="00366947"/>
    <w:rsid w:val="00384CC1"/>
    <w:rsid w:val="003936EA"/>
    <w:rsid w:val="003956AB"/>
    <w:rsid w:val="003976CF"/>
    <w:rsid w:val="003B5AE6"/>
    <w:rsid w:val="003B5D51"/>
    <w:rsid w:val="003C31CB"/>
    <w:rsid w:val="003D4872"/>
    <w:rsid w:val="003F0AD8"/>
    <w:rsid w:val="003F5B49"/>
    <w:rsid w:val="004235B0"/>
    <w:rsid w:val="00441590"/>
    <w:rsid w:val="00473BAB"/>
    <w:rsid w:val="00492EB7"/>
    <w:rsid w:val="004B5298"/>
    <w:rsid w:val="004D4290"/>
    <w:rsid w:val="004F35E8"/>
    <w:rsid w:val="00563153"/>
    <w:rsid w:val="00585F83"/>
    <w:rsid w:val="00593165"/>
    <w:rsid w:val="005A2588"/>
    <w:rsid w:val="005E6DF9"/>
    <w:rsid w:val="005F0B99"/>
    <w:rsid w:val="005F2C08"/>
    <w:rsid w:val="005F7F13"/>
    <w:rsid w:val="00616103"/>
    <w:rsid w:val="006163BE"/>
    <w:rsid w:val="00626E37"/>
    <w:rsid w:val="00666FB7"/>
    <w:rsid w:val="00667843"/>
    <w:rsid w:val="006736F8"/>
    <w:rsid w:val="006A6BCB"/>
    <w:rsid w:val="006B6F63"/>
    <w:rsid w:val="006C7804"/>
    <w:rsid w:val="006D6680"/>
    <w:rsid w:val="006E01DE"/>
    <w:rsid w:val="006E6AC6"/>
    <w:rsid w:val="007051D6"/>
    <w:rsid w:val="00706DA6"/>
    <w:rsid w:val="007154BA"/>
    <w:rsid w:val="00725E9B"/>
    <w:rsid w:val="00740EBC"/>
    <w:rsid w:val="0075119A"/>
    <w:rsid w:val="00754CBC"/>
    <w:rsid w:val="00794FFA"/>
    <w:rsid w:val="007B3BD7"/>
    <w:rsid w:val="007B40CF"/>
    <w:rsid w:val="007E518E"/>
    <w:rsid w:val="007E7B7A"/>
    <w:rsid w:val="0080504A"/>
    <w:rsid w:val="00822198"/>
    <w:rsid w:val="00822641"/>
    <w:rsid w:val="008C10D5"/>
    <w:rsid w:val="008D6398"/>
    <w:rsid w:val="00900276"/>
    <w:rsid w:val="00900D99"/>
    <w:rsid w:val="00905D22"/>
    <w:rsid w:val="0092299F"/>
    <w:rsid w:val="00951C4B"/>
    <w:rsid w:val="00966033"/>
    <w:rsid w:val="00987AD4"/>
    <w:rsid w:val="00994FCC"/>
    <w:rsid w:val="009B20C5"/>
    <w:rsid w:val="009B7C9B"/>
    <w:rsid w:val="009C209D"/>
    <w:rsid w:val="009F04CF"/>
    <w:rsid w:val="009F6E99"/>
    <w:rsid w:val="00A316A4"/>
    <w:rsid w:val="00A50953"/>
    <w:rsid w:val="00A6243B"/>
    <w:rsid w:val="00A71F6D"/>
    <w:rsid w:val="00A846C5"/>
    <w:rsid w:val="00AB3836"/>
    <w:rsid w:val="00B22D38"/>
    <w:rsid w:val="00B26F19"/>
    <w:rsid w:val="00B57BA1"/>
    <w:rsid w:val="00B70048"/>
    <w:rsid w:val="00B75AED"/>
    <w:rsid w:val="00BA4F3C"/>
    <w:rsid w:val="00BB30BC"/>
    <w:rsid w:val="00BB41D2"/>
    <w:rsid w:val="00BD4B40"/>
    <w:rsid w:val="00BD5EBA"/>
    <w:rsid w:val="00BF0D6A"/>
    <w:rsid w:val="00C07F08"/>
    <w:rsid w:val="00C26BC0"/>
    <w:rsid w:val="00C440B9"/>
    <w:rsid w:val="00C458C9"/>
    <w:rsid w:val="00C60605"/>
    <w:rsid w:val="00C7426E"/>
    <w:rsid w:val="00C75057"/>
    <w:rsid w:val="00C953CA"/>
    <w:rsid w:val="00CB25C2"/>
    <w:rsid w:val="00CC6470"/>
    <w:rsid w:val="00CD1308"/>
    <w:rsid w:val="00D00469"/>
    <w:rsid w:val="00D072D1"/>
    <w:rsid w:val="00D10517"/>
    <w:rsid w:val="00D20CAC"/>
    <w:rsid w:val="00D328C4"/>
    <w:rsid w:val="00D33986"/>
    <w:rsid w:val="00D35FA9"/>
    <w:rsid w:val="00D519C6"/>
    <w:rsid w:val="00D61FF7"/>
    <w:rsid w:val="00DE5CA1"/>
    <w:rsid w:val="00E01736"/>
    <w:rsid w:val="00E04E4C"/>
    <w:rsid w:val="00E1225A"/>
    <w:rsid w:val="00E14013"/>
    <w:rsid w:val="00E17227"/>
    <w:rsid w:val="00E37459"/>
    <w:rsid w:val="00E557CA"/>
    <w:rsid w:val="00E70052"/>
    <w:rsid w:val="00E7716B"/>
    <w:rsid w:val="00ED2751"/>
    <w:rsid w:val="00F01E5E"/>
    <w:rsid w:val="00F26B4E"/>
    <w:rsid w:val="00F302D4"/>
    <w:rsid w:val="00F3191C"/>
    <w:rsid w:val="00F379FF"/>
    <w:rsid w:val="00F459C9"/>
    <w:rsid w:val="00F45F14"/>
    <w:rsid w:val="00F555A4"/>
    <w:rsid w:val="00F7024E"/>
    <w:rsid w:val="00F74ACD"/>
    <w:rsid w:val="00F82260"/>
    <w:rsid w:val="00F86AA2"/>
    <w:rsid w:val="00F94BE5"/>
    <w:rsid w:val="00FA3CB2"/>
    <w:rsid w:val="00FB2FDC"/>
    <w:rsid w:val="00FB5F26"/>
    <w:rsid w:val="00FC6C2A"/>
    <w:rsid w:val="00FD081A"/>
    <w:rsid w:val="00FE6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5D2B06"/>
  <w15:docId w15:val="{607933F7-5196-4C70-8295-B8149BCB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CB2"/>
    <w:pPr>
      <w:ind w:left="720"/>
      <w:contextualSpacing/>
    </w:pPr>
    <w:rPr>
      <w:rFonts w:eastAsia="Times New Roman"/>
      <w:lang w:eastAsia="en-GB"/>
    </w:rPr>
  </w:style>
  <w:style w:type="character" w:styleId="Hyperlink">
    <w:name w:val="Hyperlink"/>
    <w:basedOn w:val="DefaultParagraphFont"/>
    <w:uiPriority w:val="99"/>
    <w:unhideWhenUsed/>
    <w:rsid w:val="00143E22"/>
    <w:rPr>
      <w:color w:val="0000FF" w:themeColor="hyperlink"/>
      <w:u w:val="single"/>
    </w:rPr>
  </w:style>
  <w:style w:type="character" w:styleId="CommentReference">
    <w:name w:val="annotation reference"/>
    <w:basedOn w:val="DefaultParagraphFont"/>
    <w:uiPriority w:val="99"/>
    <w:semiHidden/>
    <w:unhideWhenUsed/>
    <w:rsid w:val="00143E22"/>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ListBullet">
    <w:name w:val="List Bullet"/>
    <w:basedOn w:val="Normal"/>
    <w:uiPriority w:val="99"/>
    <w:semiHidden/>
    <w:unhideWhenUsed/>
    <w:rsid w:val="00822198"/>
    <w:pPr>
      <w:numPr>
        <w:numId w:val="3"/>
      </w:numPr>
      <w:contextualSpacing/>
    </w:pPr>
  </w:style>
  <w:style w:type="paragraph" w:styleId="ListBullet2">
    <w:name w:val="List Bullet 2"/>
    <w:basedOn w:val="Normal"/>
    <w:uiPriority w:val="99"/>
    <w:semiHidden/>
    <w:unhideWhenUsed/>
    <w:rsid w:val="00822198"/>
    <w:pPr>
      <w:numPr>
        <w:numId w:val="4"/>
      </w:numPr>
      <w:contextualSpacing/>
    </w:pPr>
  </w:style>
  <w:style w:type="paragraph" w:styleId="ListBullet3">
    <w:name w:val="List Bullet 3"/>
    <w:basedOn w:val="Normal"/>
    <w:uiPriority w:val="99"/>
    <w:semiHidden/>
    <w:unhideWhenUsed/>
    <w:rsid w:val="00822198"/>
    <w:pPr>
      <w:numPr>
        <w:numId w:val="5"/>
      </w:numPr>
      <w:contextualSpacing/>
    </w:pPr>
  </w:style>
  <w:style w:type="paragraph" w:styleId="ListBullet4">
    <w:name w:val="List Bullet 4"/>
    <w:basedOn w:val="Normal"/>
    <w:uiPriority w:val="99"/>
    <w:semiHidden/>
    <w:unhideWhenUsed/>
    <w:rsid w:val="00822198"/>
    <w:pPr>
      <w:numPr>
        <w:numId w:val="6"/>
      </w:numPr>
      <w:contextualSpacing/>
    </w:pPr>
  </w:style>
  <w:style w:type="paragraph" w:styleId="CommentSubject">
    <w:name w:val="annotation subject"/>
    <w:basedOn w:val="CommentText"/>
    <w:next w:val="CommentText"/>
    <w:link w:val="CommentSubjectChar"/>
    <w:uiPriority w:val="99"/>
    <w:semiHidden/>
    <w:unhideWhenUsed/>
    <w:rsid w:val="00366947"/>
    <w:rPr>
      <w:b/>
      <w:bCs/>
    </w:rPr>
  </w:style>
  <w:style w:type="character" w:customStyle="1" w:styleId="CommentSubjectChar">
    <w:name w:val="Comment Subject Char"/>
    <w:basedOn w:val="CommentTextChar"/>
    <w:link w:val="CommentSubject"/>
    <w:uiPriority w:val="99"/>
    <w:semiHidden/>
    <w:rsid w:val="00366947"/>
    <w:rPr>
      <w:rFonts w:ascii="Times New Roman" w:hAnsi="Times New Roman" w:cs="Times New Roman"/>
      <w:b/>
      <w:bCs/>
      <w:sz w:val="20"/>
      <w:szCs w:val="20"/>
      <w:lang w:val="fr-FR"/>
    </w:rPr>
  </w:style>
  <w:style w:type="paragraph" w:styleId="Revision">
    <w:name w:val="Revision"/>
    <w:hidden/>
    <w:uiPriority w:val="99"/>
    <w:semiHidden/>
    <w:rsid w:val="00366947"/>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C440B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C440B9"/>
    <w:pPr>
      <w:spacing w:after="0"/>
    </w:pPr>
  </w:style>
  <w:style w:type="paragraph" w:styleId="ListNumber">
    <w:name w:val="List Number"/>
    <w:basedOn w:val="Normal"/>
    <w:uiPriority w:val="99"/>
    <w:semiHidden/>
    <w:unhideWhenUsed/>
    <w:rsid w:val="00C440B9"/>
    <w:pPr>
      <w:numPr>
        <w:numId w:val="7"/>
      </w:numPr>
      <w:contextualSpacing/>
    </w:pPr>
  </w:style>
  <w:style w:type="paragraph" w:styleId="ListNumber2">
    <w:name w:val="List Number 2"/>
    <w:basedOn w:val="Normal"/>
    <w:uiPriority w:val="99"/>
    <w:semiHidden/>
    <w:unhideWhenUsed/>
    <w:rsid w:val="00C440B9"/>
    <w:pPr>
      <w:numPr>
        <w:numId w:val="8"/>
      </w:numPr>
      <w:contextualSpacing/>
    </w:pPr>
  </w:style>
  <w:style w:type="paragraph" w:styleId="ListNumber3">
    <w:name w:val="List Number 3"/>
    <w:basedOn w:val="Normal"/>
    <w:uiPriority w:val="99"/>
    <w:semiHidden/>
    <w:unhideWhenUsed/>
    <w:rsid w:val="00C440B9"/>
    <w:pPr>
      <w:numPr>
        <w:numId w:val="9"/>
      </w:numPr>
      <w:contextualSpacing/>
    </w:pPr>
  </w:style>
  <w:style w:type="paragraph" w:styleId="ListNumber4">
    <w:name w:val="List Number 4"/>
    <w:basedOn w:val="Normal"/>
    <w:uiPriority w:val="99"/>
    <w:semiHidden/>
    <w:unhideWhenUsed/>
    <w:rsid w:val="00C440B9"/>
    <w:pPr>
      <w:numPr>
        <w:numId w:val="10"/>
      </w:numPr>
      <w:contextualSpacing/>
    </w:pPr>
  </w:style>
  <w:style w:type="character" w:customStyle="1" w:styleId="UnresolvedMention">
    <w:name w:val="Unresolved Mention"/>
    <w:basedOn w:val="DefaultParagraphFont"/>
    <w:uiPriority w:val="99"/>
    <w:semiHidden/>
    <w:unhideWhenUsed/>
    <w:rsid w:val="00593165"/>
    <w:rPr>
      <w:color w:val="605E5C"/>
      <w:shd w:val="clear" w:color="auto" w:fill="E1DFDD"/>
    </w:rPr>
  </w:style>
  <w:style w:type="character" w:customStyle="1" w:styleId="HeaderChar">
    <w:name w:val="Header Char"/>
    <w:basedOn w:val="DefaultParagraphFont"/>
    <w:link w:val="Header"/>
    <w:uiPriority w:val="99"/>
    <w:rsid w:val="00E1225A"/>
    <w:rPr>
      <w:rFonts w:ascii="Times New Roman" w:hAnsi="Times New Roman" w:cs="Times New Roman"/>
      <w:sz w:val="24"/>
      <w:lang w:val="fr-FR"/>
    </w:rPr>
  </w:style>
  <w:style w:type="character" w:customStyle="1" w:styleId="FooterChar">
    <w:name w:val="Footer Char"/>
    <w:basedOn w:val="DefaultParagraphFont"/>
    <w:link w:val="Footer"/>
    <w:uiPriority w:val="99"/>
    <w:rsid w:val="00E1225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1225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1225A"/>
    <w:pPr>
      <w:spacing w:before="0"/>
      <w:jc w:val="right"/>
    </w:pPr>
    <w:rPr>
      <w:sz w:val="28"/>
    </w:rPr>
  </w:style>
  <w:style w:type="paragraph" w:customStyle="1" w:styleId="FooterSensitivity">
    <w:name w:val="Footer Sensitivity"/>
    <w:basedOn w:val="Normal"/>
    <w:rsid w:val="00E1225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1225A"/>
    <w:pPr>
      <w:tabs>
        <w:tab w:val="center" w:pos="4535"/>
        <w:tab w:val="right" w:pos="9071"/>
      </w:tabs>
      <w:spacing w:before="0"/>
    </w:pPr>
  </w:style>
  <w:style w:type="paragraph" w:customStyle="1" w:styleId="HeaderLandscape">
    <w:name w:val="HeaderLandscape"/>
    <w:basedOn w:val="Normal"/>
    <w:rsid w:val="00E1225A"/>
    <w:pPr>
      <w:tabs>
        <w:tab w:val="center" w:pos="7285"/>
        <w:tab w:val="right" w:pos="14003"/>
      </w:tabs>
      <w:spacing w:before="0"/>
    </w:pPr>
  </w:style>
  <w:style w:type="paragraph" w:styleId="Footer">
    <w:name w:val="footer"/>
    <w:basedOn w:val="Normal"/>
    <w:link w:val="FooterChar"/>
    <w:uiPriority w:val="99"/>
    <w:unhideWhenUsed/>
    <w:rsid w:val="00E1225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1225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8</TotalTime>
  <Pages>4</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2026-06-23T16:01:00Z</dcterms:created>
  <dcterms:modified xsi:type="dcterms:W3CDTF">2026-07-17T21:31:00Z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2025-02-28T16:32:13Z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8ddb84cf-3ecc-4a6f-bc60-76cb2f2ee0a0</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