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F00" w:rsidRPr="005A3E64" w:rsidRDefault="005244AD" w:rsidP="005244A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6E64AC3-D44B-469D-9D48-8BBC2FD6B74B" style="width:455.25pt;height:385.5pt">
            <v:imagedata r:id="rId8" o:title=""/>
          </v:shape>
        </w:pict>
      </w:r>
    </w:p>
    <w:p w:rsidR="00052CDD" w:rsidRPr="005A3E64" w:rsidRDefault="00052CDD" w:rsidP="00052CDD">
      <w:pPr>
        <w:rPr>
          <w:noProof/>
        </w:rPr>
        <w:sectPr w:rsidR="00052CDD" w:rsidRPr="005A3E64" w:rsidSect="005244AD">
          <w:footerReference w:type="even" r:id="rId9"/>
          <w:footerReference w:type="default" r:id="rId10"/>
          <w:pgSz w:w="11907" w:h="16839"/>
          <w:pgMar w:top="1134" w:right="1417" w:bottom="1134" w:left="1417" w:header="709" w:footer="709" w:gutter="0"/>
          <w:pgNumType w:start="0"/>
          <w:cols w:space="720"/>
          <w:docGrid w:linePitch="360"/>
        </w:sectPr>
      </w:pPr>
    </w:p>
    <w:p w:rsidR="00682F00" w:rsidRPr="005A3E64" w:rsidRDefault="00682F00" w:rsidP="00BB6B30">
      <w:pPr>
        <w:pStyle w:val="Exposdesmotifstitre"/>
        <w:rPr>
          <w:noProof/>
        </w:rPr>
      </w:pPr>
      <w:bookmarkStart w:id="0" w:name="_GoBack"/>
      <w:bookmarkEnd w:id="0"/>
      <w:r w:rsidRPr="005A3E64">
        <w:rPr>
          <w:noProof/>
        </w:rPr>
        <w:lastRenderedPageBreak/>
        <w:t>EXPUNERE DE MOTIVE</w:t>
      </w:r>
    </w:p>
    <w:p w:rsidR="00682F00" w:rsidRPr="005A3E64" w:rsidRDefault="00682F00" w:rsidP="001E096E">
      <w:pPr>
        <w:pStyle w:val="ManualHeading1"/>
        <w:rPr>
          <w:rFonts w:eastAsia="Arial Unicode MS"/>
          <w:noProof/>
        </w:rPr>
      </w:pPr>
      <w:r>
        <w:rPr>
          <w:noProof/>
        </w:rPr>
        <w:t>1.</w:t>
      </w:r>
      <w:r>
        <w:rPr>
          <w:noProof/>
        </w:rPr>
        <w:tab/>
      </w:r>
      <w:r w:rsidRPr="005A3E64">
        <w:rPr>
          <w:noProof/>
        </w:rPr>
        <w:t>Obiectul propunerii</w:t>
      </w:r>
    </w:p>
    <w:p w:rsidR="00682F00" w:rsidRPr="005A3E64" w:rsidRDefault="00682F00" w:rsidP="00736AA9">
      <w:pPr>
        <w:rPr>
          <w:rFonts w:eastAsia="Arial Unicode MS"/>
          <w:noProof/>
        </w:rPr>
      </w:pPr>
      <w:r w:rsidRPr="005A3E64">
        <w:rPr>
          <w:noProof/>
        </w:rPr>
        <w:t>Prezenta propunere se referă la poziția care urmează să fie adoptată de Uniune în cadrul Comitetului pentru comerț și dezvoltare UE-SADC cu privire la înlocuirea listei persoanelor care doresc și sunt în măsură să fie arbitri pentru soluționarea litigiilor dintre state.</w:t>
      </w:r>
    </w:p>
    <w:p w:rsidR="00682F00" w:rsidRPr="005A3E64" w:rsidRDefault="00682F00" w:rsidP="00736AA9">
      <w:pPr>
        <w:pStyle w:val="ManualHeading1"/>
        <w:rPr>
          <w:noProof/>
        </w:rPr>
      </w:pPr>
      <w:r>
        <w:rPr>
          <w:noProof/>
        </w:rPr>
        <w:t>2.</w:t>
      </w:r>
      <w:r>
        <w:rPr>
          <w:noProof/>
        </w:rPr>
        <w:tab/>
      </w:r>
      <w:r w:rsidRPr="005A3E64">
        <w:rPr>
          <w:noProof/>
        </w:rPr>
        <w:t>Contextul propunerii</w:t>
      </w:r>
    </w:p>
    <w:p w:rsidR="00682F00" w:rsidRPr="005A3E64" w:rsidRDefault="00682F00" w:rsidP="00736AA9">
      <w:pPr>
        <w:pStyle w:val="ManualHeading2"/>
        <w:rPr>
          <w:noProof/>
        </w:rPr>
      </w:pPr>
      <w:r>
        <w:rPr>
          <w:noProof/>
        </w:rPr>
        <w:t>2.1.</w:t>
      </w:r>
      <w:r>
        <w:rPr>
          <w:noProof/>
        </w:rPr>
        <w:tab/>
      </w:r>
      <w:r w:rsidRPr="005A3E64">
        <w:rPr>
          <w:noProof/>
        </w:rPr>
        <w:t>Acordul de parteneriat economic UE-SADC</w:t>
      </w:r>
    </w:p>
    <w:p w:rsidR="00682F00" w:rsidRPr="005A3E64" w:rsidRDefault="00682F00" w:rsidP="00736AA9">
      <w:pPr>
        <w:rPr>
          <w:rFonts w:eastAsia="Arial Unicode MS"/>
          <w:noProof/>
        </w:rPr>
      </w:pPr>
      <w:r w:rsidRPr="005A3E64">
        <w:rPr>
          <w:noProof/>
        </w:rPr>
        <w:t>Acordul de parteneriat economic dintre Uniunea Europeană, pe de o parte, și șase țări din Comunitatea de Dezvoltare a Africii Australe (SADC): Botswana, Eswatini, Lesotho, Mozambic, Namibia și Africa de Sud, pe de altă parte (denumit în continuare „acordul”) se aplică cu titlu provizoriu de la 10 octombrie 2016 între toate părțile la acord, cu excepția Mozambicului. Acordul a fost aplicat cu titlu provizoriu între Mozambic și Uniunea Europeană începând cu 4 februarie 2018</w:t>
      </w:r>
      <w:r w:rsidR="00D149AD" w:rsidRPr="005A3E64">
        <w:rPr>
          <w:rStyle w:val="FootnoteReference"/>
          <w:rFonts w:eastAsia="Arial Unicode MS"/>
          <w:noProof/>
        </w:rPr>
        <w:footnoteReference w:id="1"/>
      </w:r>
      <w:r w:rsidRPr="005A3E64">
        <w:rPr>
          <w:noProof/>
        </w:rPr>
        <w:t>.</w:t>
      </w:r>
    </w:p>
    <w:p w:rsidR="00682F00" w:rsidRPr="005A3E64" w:rsidRDefault="00682F00" w:rsidP="00736AA9">
      <w:pPr>
        <w:pStyle w:val="ManualHeading2"/>
        <w:rPr>
          <w:noProof/>
        </w:rPr>
      </w:pPr>
      <w:r>
        <w:rPr>
          <w:noProof/>
        </w:rPr>
        <w:t>2.2.</w:t>
      </w:r>
      <w:r>
        <w:rPr>
          <w:noProof/>
        </w:rPr>
        <w:tab/>
      </w:r>
      <w:r w:rsidRPr="005A3E64">
        <w:rPr>
          <w:noProof/>
        </w:rPr>
        <w:t>Comitetul pentru comerț și dezvoltare</w:t>
      </w:r>
    </w:p>
    <w:p w:rsidR="00682F00" w:rsidRPr="005A3E64" w:rsidRDefault="00682F00" w:rsidP="00736AA9">
      <w:pPr>
        <w:rPr>
          <w:noProof/>
        </w:rPr>
      </w:pPr>
      <w:bookmarkStart w:id="1" w:name="_Hlk197599419"/>
      <w:r w:rsidRPr="005A3E64">
        <w:rPr>
          <w:noProof/>
        </w:rPr>
        <w:t>Comitetul pentru comerț și dezvoltare</w:t>
      </w:r>
      <w:bookmarkEnd w:id="1"/>
      <w:r w:rsidRPr="005A3E64">
        <w:rPr>
          <w:noProof/>
        </w:rPr>
        <w:t>, instituit prin articolul 103 din acord, este compus din reprezentanți ai părților. În temeiul articolului 103 alineatul (7), Comitetul pentru comerț și dezvoltare se reunește într-o configurație specifică pentru a aborda comerțul și aspectele legate de comerț. Articolul 103 alineatul (6) din acord prevede că deciziile Comitetului pentru comerț și dezvoltare sunt adoptate de comun acord de către părți, respectând în mod corespunzător finalizarea procedurilor lor interne.</w:t>
      </w:r>
    </w:p>
    <w:p w:rsidR="00682F00" w:rsidRPr="005A3E64" w:rsidRDefault="00682F00" w:rsidP="00736AA9">
      <w:pPr>
        <w:pStyle w:val="ManualHeading2"/>
        <w:rPr>
          <w:noProof/>
        </w:rPr>
      </w:pPr>
      <w:r>
        <w:rPr>
          <w:noProof/>
        </w:rPr>
        <w:t>2.3.</w:t>
      </w:r>
      <w:r>
        <w:rPr>
          <w:noProof/>
        </w:rPr>
        <w:tab/>
      </w:r>
      <w:r w:rsidRPr="005A3E64">
        <w:rPr>
          <w:noProof/>
        </w:rPr>
        <w:t>Actul avut în vedere al Comitetului pentru comerț și dezvoltare</w:t>
      </w:r>
    </w:p>
    <w:p w:rsidR="00682F00" w:rsidRPr="005A3E64" w:rsidRDefault="006C3CAF" w:rsidP="00736AA9">
      <w:pPr>
        <w:rPr>
          <w:rFonts w:eastAsia="Arial Unicode MS"/>
          <w:noProof/>
        </w:rPr>
      </w:pPr>
      <w:r w:rsidRPr="005A3E64">
        <w:rPr>
          <w:noProof/>
        </w:rPr>
        <w:t>Se preconizează că, atunci când se va reuni la Bruxelles în 2026, Comitetul pentru comerț și dezvoltare va adopta o decizie privind înlocuirea listei de 21 persoane care doresc și sunt în măsură să fie arbitri în temeiul articolului 94 din acord (denumit în continuare „actul avut în vedere”).</w:t>
      </w:r>
    </w:p>
    <w:p w:rsidR="00182083" w:rsidRPr="005A3E64" w:rsidRDefault="00682F00" w:rsidP="00736AA9">
      <w:pPr>
        <w:rPr>
          <w:noProof/>
        </w:rPr>
      </w:pPr>
      <w:r w:rsidRPr="005A3E64">
        <w:rPr>
          <w:noProof/>
        </w:rPr>
        <w:t xml:space="preserve">Scopul actului avut în vedere este de a asigura menținerea numărului minim de arbitri disponibili. </w:t>
      </w:r>
    </w:p>
    <w:p w:rsidR="005501A3" w:rsidRPr="005A3E64" w:rsidRDefault="00182083" w:rsidP="00736AA9">
      <w:pPr>
        <w:rPr>
          <w:noProof/>
        </w:rPr>
      </w:pPr>
      <w:bookmarkStart w:id="2" w:name="_Hlk191380554"/>
      <w:bookmarkStart w:id="3" w:name="_Hlk197611787"/>
      <w:r w:rsidRPr="005A3E64">
        <w:rPr>
          <w:noProof/>
        </w:rPr>
        <w:t xml:space="preserve">Lista </w:t>
      </w:r>
      <w:bookmarkStart w:id="4" w:name="_Hlk191378876"/>
      <w:bookmarkStart w:id="5" w:name="_Hlk191488894"/>
      <w:r w:rsidRPr="005A3E64">
        <w:rPr>
          <w:noProof/>
        </w:rPr>
        <w:t xml:space="preserve">persoanelor care doresc și sunt în măsură să fie </w:t>
      </w:r>
      <w:bookmarkEnd w:id="4"/>
      <w:r w:rsidRPr="005A3E64">
        <w:rPr>
          <w:noProof/>
        </w:rPr>
        <w:t>arbitri</w:t>
      </w:r>
      <w:bookmarkEnd w:id="2"/>
      <w:bookmarkEnd w:id="5"/>
      <w:r w:rsidRPr="005A3E64">
        <w:rPr>
          <w:noProof/>
        </w:rPr>
        <w:t xml:space="preserve"> este alcătuită din trei subliste: o sublistă pentru fiecare parte, care include opt persoane în calitate de arbitri și o sublistă de cinci persoane care nu sunt resortisanți ai niciuneia dintre părți și care ar putea îndeplini funcția de președinte al comisiei de arbitraj, îndeplinind cerințele prevăzute la articolul 94 alineatul (1) din acord.</w:t>
      </w:r>
    </w:p>
    <w:bookmarkEnd w:id="3"/>
    <w:p w:rsidR="00C12B26" w:rsidRPr="005A3E64" w:rsidRDefault="00C12B26" w:rsidP="00B41EEC">
      <w:pPr>
        <w:rPr>
          <w:rFonts w:eastAsia="Arial Unicode MS"/>
          <w:noProof/>
        </w:rPr>
      </w:pPr>
      <w:r w:rsidRPr="005A3E64">
        <w:rPr>
          <w:noProof/>
        </w:rPr>
        <w:t>Actul avut în vedere nu modifică textul acordului și nu necesită nicio acțiune de punere în aplicare din partea statelor membre. Întrucât actul avut în vedere se referă numai la funcționarea internă a mecanismului de soluționare a litigiilor prevăzut la partea III din acord, care trebuie pus în aplicare de Comisie, este oportun să se adopte actul avut în vedere în limba engleză. Traducerile pot fi furnizate pentru procesul decizional intern al fiecărei părți și pentru informarea publicului.</w:t>
      </w:r>
    </w:p>
    <w:p w:rsidR="00682F00" w:rsidRPr="005A3E64" w:rsidRDefault="00682F00" w:rsidP="00736AA9">
      <w:pPr>
        <w:rPr>
          <w:rFonts w:eastAsia="Arial Unicode MS"/>
          <w:noProof/>
        </w:rPr>
      </w:pPr>
      <w:r w:rsidRPr="005A3E64">
        <w:rPr>
          <w:noProof/>
        </w:rPr>
        <w:t>Actul avut în vedere va deveni obligatoriu pentru părți în conformitate cu articolele 103 alineatul (6) și 94 alineatul (1) din acord. Prezenta decizie intră în vigoare la data adoptării.</w:t>
      </w:r>
    </w:p>
    <w:p w:rsidR="00682F00" w:rsidRPr="005A3E64" w:rsidRDefault="00682F00" w:rsidP="00682F00">
      <w:pPr>
        <w:pStyle w:val="ManualHeading1"/>
        <w:rPr>
          <w:rFonts w:eastAsia="Arial Unicode MS"/>
          <w:noProof/>
        </w:rPr>
      </w:pPr>
      <w:r>
        <w:rPr>
          <w:noProof/>
        </w:rPr>
        <w:lastRenderedPageBreak/>
        <w:t>3.</w:t>
      </w:r>
      <w:r>
        <w:rPr>
          <w:noProof/>
        </w:rPr>
        <w:tab/>
      </w:r>
      <w:r w:rsidRPr="005A3E64">
        <w:rPr>
          <w:noProof/>
        </w:rPr>
        <w:t>Poziția care trebuie să fie adoptată în numele Uniunii</w:t>
      </w:r>
    </w:p>
    <w:p w:rsidR="00682F00" w:rsidRPr="005A3E64" w:rsidRDefault="00182083" w:rsidP="00736AA9">
      <w:pPr>
        <w:rPr>
          <w:rFonts w:eastAsia="Arial Unicode MS"/>
          <w:noProof/>
        </w:rPr>
      </w:pPr>
      <w:r w:rsidRPr="005A3E64">
        <w:rPr>
          <w:noProof/>
        </w:rPr>
        <w:t>Poziția care urmează să fie adoptată în numele Uniunii ar trebui să fie aceea de a sprijini adoptarea actului avut în vedere. Poziția ar trebui să se bazeze pe proiectul de decizie a Comitetului pentru comerț și dezvoltare anexat la prezenta propunere de decizie a Consiliului.</w:t>
      </w:r>
    </w:p>
    <w:p w:rsidR="00682F00" w:rsidRPr="005A3E64" w:rsidRDefault="00682F00" w:rsidP="00736AA9">
      <w:pPr>
        <w:pStyle w:val="ManualHeading1"/>
        <w:rPr>
          <w:noProof/>
        </w:rPr>
      </w:pPr>
      <w:r>
        <w:rPr>
          <w:noProof/>
        </w:rPr>
        <w:t>4.</w:t>
      </w:r>
      <w:r>
        <w:rPr>
          <w:noProof/>
        </w:rPr>
        <w:tab/>
      </w:r>
      <w:r w:rsidRPr="005A3E64">
        <w:rPr>
          <w:noProof/>
        </w:rPr>
        <w:t>Temei juridic</w:t>
      </w:r>
    </w:p>
    <w:p w:rsidR="00682F00" w:rsidRPr="005A3E64" w:rsidRDefault="00682F00" w:rsidP="00736AA9">
      <w:pPr>
        <w:pStyle w:val="ManualHeading2"/>
        <w:rPr>
          <w:noProof/>
        </w:rPr>
      </w:pPr>
      <w:r>
        <w:rPr>
          <w:noProof/>
        </w:rPr>
        <w:t>4.1.</w:t>
      </w:r>
      <w:r>
        <w:rPr>
          <w:noProof/>
        </w:rPr>
        <w:tab/>
      </w:r>
      <w:r w:rsidRPr="005A3E64">
        <w:rPr>
          <w:noProof/>
        </w:rPr>
        <w:t>Temeiul juridic procedural</w:t>
      </w:r>
    </w:p>
    <w:p w:rsidR="00682F00" w:rsidRPr="005A3E64" w:rsidRDefault="00682F00" w:rsidP="003F244C">
      <w:pPr>
        <w:pStyle w:val="ManualHeading3"/>
        <w:rPr>
          <w:noProof/>
        </w:rPr>
      </w:pPr>
      <w:r>
        <w:rPr>
          <w:noProof/>
        </w:rPr>
        <w:t>4.1.1.</w:t>
      </w:r>
      <w:r>
        <w:rPr>
          <w:noProof/>
        </w:rPr>
        <w:tab/>
      </w:r>
      <w:r w:rsidRPr="005A3E64">
        <w:rPr>
          <w:noProof/>
        </w:rPr>
        <w:t>Principii</w:t>
      </w:r>
    </w:p>
    <w:p w:rsidR="00682F00" w:rsidRPr="005A3E64" w:rsidRDefault="00682F00" w:rsidP="00736AA9">
      <w:pPr>
        <w:rPr>
          <w:noProof/>
        </w:rPr>
      </w:pPr>
      <w:r w:rsidRPr="005A3E64">
        <w:rPr>
          <w:noProof/>
        </w:rPr>
        <w:t>Articolul 218 alineatul (9) din Tratatul privind funcționarea Uniunii Europene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007B6688" w:rsidRPr="005A3E64">
        <w:rPr>
          <w:noProof/>
        </w:rPr>
        <w:t>.</w:t>
      </w:r>
    </w:p>
    <w:p w:rsidR="00682F00" w:rsidRPr="005A3E64" w:rsidRDefault="00682F00" w:rsidP="003F244C">
      <w:pPr>
        <w:pStyle w:val="ManualHeading3"/>
        <w:rPr>
          <w:noProof/>
        </w:rPr>
      </w:pPr>
      <w:r>
        <w:rPr>
          <w:noProof/>
        </w:rPr>
        <w:t>4.1.2.</w:t>
      </w:r>
      <w:r>
        <w:rPr>
          <w:noProof/>
        </w:rPr>
        <w:tab/>
      </w:r>
      <w:r w:rsidRPr="005A3E64">
        <w:rPr>
          <w:noProof/>
        </w:rPr>
        <w:t>Aplicarea la cazul în speță</w:t>
      </w:r>
    </w:p>
    <w:p w:rsidR="00C12B26" w:rsidRPr="005A3E64" w:rsidRDefault="00682F00" w:rsidP="00736AA9">
      <w:pPr>
        <w:rPr>
          <w:noProof/>
        </w:rPr>
      </w:pPr>
      <w:r w:rsidRPr="005A3E64">
        <w:rPr>
          <w:noProof/>
        </w:rPr>
        <w:t>Comitetul pentru comerț și dezvoltare este un organism instituit printr-un acord internațional.</w:t>
      </w:r>
    </w:p>
    <w:p w:rsidR="00682F00" w:rsidRPr="005A3E64" w:rsidRDefault="00682F00" w:rsidP="00736AA9">
      <w:pPr>
        <w:rPr>
          <w:noProof/>
        </w:rPr>
      </w:pPr>
      <w:r w:rsidRPr="005A3E64">
        <w:rPr>
          <w:noProof/>
        </w:rPr>
        <w:t>Actul pe care Comitetul pentru comerț și dezvoltare este invitat să îl adopte constituie un act cu efecte juridice. Actul avut în vedere va fi obligatoriu pentru părți în temeiul dreptului internațional, în conformitate cu articolul 103 din acord.</w:t>
      </w:r>
    </w:p>
    <w:p w:rsidR="00682F00" w:rsidRPr="005A3E64" w:rsidRDefault="00682F00" w:rsidP="00736AA9">
      <w:pPr>
        <w:rPr>
          <w:noProof/>
        </w:rPr>
      </w:pPr>
      <w:r w:rsidRPr="005A3E64">
        <w:rPr>
          <w:noProof/>
        </w:rPr>
        <w:t>Actul avut în vedere nu completează și nu aduce modificări cadrului instituțional al acordului.</w:t>
      </w:r>
    </w:p>
    <w:p w:rsidR="00682F00" w:rsidRPr="005A3E64" w:rsidRDefault="00682F00" w:rsidP="00736AA9">
      <w:pPr>
        <w:rPr>
          <w:noProof/>
        </w:rPr>
      </w:pPr>
      <w:r w:rsidRPr="005A3E64">
        <w:rPr>
          <w:noProof/>
        </w:rPr>
        <w:t>Prin urmare, temeiul juridic procedural al propunerii de decizie este articolul 218 alineatul (9) din TFUE.</w:t>
      </w:r>
    </w:p>
    <w:p w:rsidR="00682F00" w:rsidRPr="005A3E64" w:rsidRDefault="00682F00" w:rsidP="00736AA9">
      <w:pPr>
        <w:pStyle w:val="ManualHeading2"/>
        <w:rPr>
          <w:noProof/>
        </w:rPr>
      </w:pPr>
      <w:r>
        <w:rPr>
          <w:noProof/>
        </w:rPr>
        <w:t>4.2.</w:t>
      </w:r>
      <w:r>
        <w:rPr>
          <w:noProof/>
        </w:rPr>
        <w:tab/>
      </w:r>
      <w:r w:rsidRPr="005A3E64">
        <w:rPr>
          <w:noProof/>
        </w:rPr>
        <w:t>Temeiul juridic material</w:t>
      </w:r>
    </w:p>
    <w:p w:rsidR="00682F00" w:rsidRPr="005A3E64" w:rsidRDefault="00682F00" w:rsidP="003F244C">
      <w:pPr>
        <w:pStyle w:val="ManualHeading3"/>
        <w:rPr>
          <w:noProof/>
        </w:rPr>
      </w:pPr>
      <w:r>
        <w:rPr>
          <w:noProof/>
        </w:rPr>
        <w:t>4.2.1.</w:t>
      </w:r>
      <w:r>
        <w:rPr>
          <w:noProof/>
        </w:rPr>
        <w:tab/>
      </w:r>
      <w:r w:rsidRPr="005A3E64">
        <w:rPr>
          <w:noProof/>
        </w:rPr>
        <w:t>Principii</w:t>
      </w:r>
    </w:p>
    <w:p w:rsidR="00682F00" w:rsidRPr="005A3E64" w:rsidRDefault="00682F00" w:rsidP="00736AA9">
      <w:pPr>
        <w:rPr>
          <w:noProof/>
        </w:rPr>
      </w:pPr>
      <w:r w:rsidRPr="005A3E64">
        <w:rPr>
          <w:noProof/>
        </w:rPr>
        <w:t>Temeiul juridic material al unei decizii adoptate în temeiul articolului 218 alineatul (9) din TFUE depinde în primul rând de obiectivul și de conținutul actului avut în vedere, cu privire la care se adoptă o poziție în numele Uniunii.</w:t>
      </w:r>
    </w:p>
    <w:p w:rsidR="00682F00" w:rsidRPr="005A3E64" w:rsidRDefault="00682F00" w:rsidP="003F244C">
      <w:pPr>
        <w:pStyle w:val="ManualHeading3"/>
        <w:rPr>
          <w:noProof/>
        </w:rPr>
      </w:pPr>
      <w:r>
        <w:rPr>
          <w:noProof/>
        </w:rPr>
        <w:t>4.2.2.</w:t>
      </w:r>
      <w:r>
        <w:rPr>
          <w:noProof/>
        </w:rPr>
        <w:tab/>
      </w:r>
      <w:r w:rsidRPr="005A3E64">
        <w:rPr>
          <w:noProof/>
        </w:rPr>
        <w:t>Aplicarea la cazul în speță</w:t>
      </w:r>
    </w:p>
    <w:p w:rsidR="00682F00" w:rsidRPr="005A3E64" w:rsidRDefault="00682F00" w:rsidP="00736AA9">
      <w:pPr>
        <w:rPr>
          <w:noProof/>
        </w:rPr>
      </w:pPr>
      <w:r w:rsidRPr="005A3E64">
        <w:rPr>
          <w:noProof/>
        </w:rPr>
        <w:t>Obiectivul principal și conținutul actului avut în vedere se referă la punerea în aplicare a politicii comerciale comune prin punerea în aplicare a unui acord internațional.</w:t>
      </w:r>
    </w:p>
    <w:p w:rsidR="00682F00" w:rsidRPr="005A3E64" w:rsidRDefault="00682F00" w:rsidP="00736AA9">
      <w:pPr>
        <w:rPr>
          <w:i/>
          <w:noProof/>
        </w:rPr>
      </w:pPr>
      <w:r w:rsidRPr="005A3E64">
        <w:rPr>
          <w:noProof/>
        </w:rPr>
        <w:t>Prin urmare, temeiul juridic material al deciziei propuse este articolul 207 alineatul (4) din TFUE.</w:t>
      </w:r>
    </w:p>
    <w:p w:rsidR="00682F00" w:rsidRPr="005A3E64" w:rsidRDefault="00682F00" w:rsidP="00736AA9">
      <w:pPr>
        <w:pStyle w:val="ManualHeading2"/>
        <w:rPr>
          <w:noProof/>
        </w:rPr>
      </w:pPr>
      <w:r>
        <w:rPr>
          <w:noProof/>
        </w:rPr>
        <w:t>4.3.</w:t>
      </w:r>
      <w:r>
        <w:rPr>
          <w:noProof/>
        </w:rPr>
        <w:tab/>
      </w:r>
      <w:r w:rsidRPr="005A3E64">
        <w:rPr>
          <w:noProof/>
        </w:rPr>
        <w:t>Concluzie</w:t>
      </w:r>
    </w:p>
    <w:p w:rsidR="00682F00" w:rsidRPr="005A3E64" w:rsidRDefault="00682F00" w:rsidP="00736AA9">
      <w:pPr>
        <w:rPr>
          <w:noProof/>
        </w:rPr>
      </w:pPr>
      <w:r w:rsidRPr="005A3E64">
        <w:rPr>
          <w:noProof/>
        </w:rPr>
        <w:t>Temeiul juridic al propunerii de decizie trebuie să fie articolul 207 alineatul (4), coroborat cu articolul 218 alineatul (9) din TFUE.</w:t>
      </w:r>
    </w:p>
    <w:p w:rsidR="00682F00" w:rsidRPr="005A3E64" w:rsidRDefault="00682F00" w:rsidP="00736AA9">
      <w:pPr>
        <w:pStyle w:val="ManualHeading1"/>
        <w:rPr>
          <w:noProof/>
        </w:rPr>
      </w:pPr>
      <w:r>
        <w:rPr>
          <w:noProof/>
        </w:rPr>
        <w:t>5.</w:t>
      </w:r>
      <w:r>
        <w:rPr>
          <w:noProof/>
        </w:rPr>
        <w:tab/>
      </w:r>
      <w:bookmarkStart w:id="6" w:name="_Hlk192760232"/>
      <w:r w:rsidRPr="005A3E64">
        <w:rPr>
          <w:noProof/>
        </w:rPr>
        <w:t>Publicarea actului avut în vedere</w:t>
      </w:r>
    </w:p>
    <w:p w:rsidR="00682F00" w:rsidRPr="005A3E64" w:rsidRDefault="00D25CAB" w:rsidP="00FD40BA">
      <w:pPr>
        <w:rPr>
          <w:noProof/>
        </w:rPr>
      </w:pPr>
      <w:r w:rsidRPr="005A3E64">
        <w:rPr>
          <w:noProof/>
        </w:rPr>
        <w:t xml:space="preserve">Din motive de transparență, Comisia va publica actul avut în vedere al Comitetului pentru comerț și dezvoltare în </w:t>
      </w:r>
      <w:r w:rsidRPr="005A3E64">
        <w:rPr>
          <w:i/>
          <w:noProof/>
        </w:rPr>
        <w:t>Jurnalul Oficial al Uniunii Europene</w:t>
      </w:r>
      <w:r w:rsidRPr="005A3E64">
        <w:rPr>
          <w:noProof/>
        </w:rPr>
        <w:t xml:space="preserve"> după adoptarea acestuia. </w:t>
      </w:r>
      <w:bookmarkEnd w:id="6"/>
      <w:r w:rsidRPr="005A3E64">
        <w:rPr>
          <w:noProof/>
        </w:rPr>
        <w:t>Întrucât publicarea actului avut în vedere nu este impusă prin lege, un act juridic trebuie să prevadă o astfel de publicare.</w:t>
      </w:r>
    </w:p>
    <w:p w:rsidR="00B73CF4" w:rsidRPr="005A3E64" w:rsidRDefault="00B73CF4" w:rsidP="00FD40BA">
      <w:pPr>
        <w:rPr>
          <w:noProof/>
        </w:rPr>
        <w:sectPr w:rsidR="00B73CF4" w:rsidRPr="005A3E64" w:rsidSect="005244A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585FB1" w:rsidRDefault="008924C1">
      <w:pPr>
        <w:pStyle w:val="Rfrenceinterinstitutionnelle"/>
        <w:rPr>
          <w:noProof/>
        </w:rPr>
      </w:pPr>
      <w:r>
        <w:rPr>
          <w:noProof/>
        </w:rPr>
        <w:lastRenderedPageBreak/>
        <w:t>2026/0221 (NLE)</w:t>
      </w:r>
    </w:p>
    <w:p w:rsidR="00682F00" w:rsidRPr="005A3E64" w:rsidRDefault="0057541F" w:rsidP="0057541F">
      <w:pPr>
        <w:pStyle w:val="Statut"/>
        <w:rPr>
          <w:noProof/>
        </w:rPr>
      </w:pPr>
      <w:r w:rsidRPr="005A3E64">
        <w:rPr>
          <w:noProof/>
        </w:rPr>
        <w:t>Propunere de</w:t>
      </w:r>
    </w:p>
    <w:p w:rsidR="00682F00" w:rsidRPr="005A3E64" w:rsidRDefault="0057541F" w:rsidP="0057541F">
      <w:pPr>
        <w:pStyle w:val="Typedudocument"/>
        <w:rPr>
          <w:noProof/>
        </w:rPr>
      </w:pPr>
      <w:r w:rsidRPr="005A3E64">
        <w:rPr>
          <w:noProof/>
        </w:rPr>
        <w:t>DECIZIE A CONSILIULUI</w:t>
      </w:r>
    </w:p>
    <w:p w:rsidR="00682F00" w:rsidRPr="005A3E64" w:rsidRDefault="0057541F" w:rsidP="0057541F">
      <w:pPr>
        <w:pStyle w:val="Titreobjet"/>
        <w:rPr>
          <w:noProof/>
        </w:rPr>
      </w:pPr>
      <w:r w:rsidRPr="005A3E64">
        <w:rPr>
          <w:noProof/>
        </w:rPr>
        <w:t>privind poziția care urmează să fie adoptată în numele Uniunii Europene în cadrul Comitetului pentru comerț și dezvoltare instituit în temeiul Acordului de parteneriat economic dintre Uniunea Europeană și statele membre ale acesteia, pe de o parte, și statele părți la APE din SADC, pe de altă parte, în ceea ce privește adoptarea listei persoanelor care doresc și sunt în măsură să ocupe funcția de arbitru</w:t>
      </w:r>
    </w:p>
    <w:p w:rsidR="00682F00" w:rsidRPr="005A3E64" w:rsidRDefault="00682F00" w:rsidP="00BE7CB9">
      <w:pPr>
        <w:pStyle w:val="Institutionquiagit"/>
        <w:rPr>
          <w:noProof/>
        </w:rPr>
      </w:pPr>
      <w:r w:rsidRPr="005A3E64">
        <w:rPr>
          <w:noProof/>
        </w:rPr>
        <w:t>CONSILIUL UNIUNII EUROPENE,</w:t>
      </w:r>
    </w:p>
    <w:p w:rsidR="00682F00" w:rsidRPr="005A3E64" w:rsidRDefault="00682F00" w:rsidP="00BE7CB9">
      <w:pPr>
        <w:rPr>
          <w:noProof/>
        </w:rPr>
      </w:pPr>
      <w:r w:rsidRPr="005A3E64">
        <w:rPr>
          <w:noProof/>
        </w:rPr>
        <w:t>având în vedere Tratatul privind funcționarea Uniunii Europene, în special articolul 207 alineatul (4) coroborat cu articolul 218 alineatul (9),</w:t>
      </w:r>
    </w:p>
    <w:p w:rsidR="00682F00" w:rsidRPr="005A3E64" w:rsidRDefault="00682F00" w:rsidP="00BE7CB9">
      <w:pPr>
        <w:rPr>
          <w:noProof/>
        </w:rPr>
      </w:pPr>
      <w:r w:rsidRPr="005A3E64">
        <w:rPr>
          <w:noProof/>
        </w:rPr>
        <w:t>având în vedere propunerea Comisiei Europene,</w:t>
      </w:r>
    </w:p>
    <w:p w:rsidR="00682F00" w:rsidRPr="005A3E64" w:rsidRDefault="00682F00" w:rsidP="00BE7CB9">
      <w:pPr>
        <w:rPr>
          <w:noProof/>
        </w:rPr>
      </w:pPr>
      <w:r w:rsidRPr="005A3E64">
        <w:rPr>
          <w:noProof/>
        </w:rPr>
        <w:t>întrucât:</w:t>
      </w:r>
    </w:p>
    <w:p w:rsidR="00682F00" w:rsidRPr="005A3E64" w:rsidRDefault="005D7FA6" w:rsidP="001E096E">
      <w:pPr>
        <w:pStyle w:val="ManualConsidrant"/>
        <w:rPr>
          <w:noProof/>
        </w:rPr>
      </w:pPr>
      <w:r>
        <w:rPr>
          <w:noProof/>
        </w:rPr>
        <w:t>(1)</w:t>
      </w:r>
      <w:r>
        <w:rPr>
          <w:noProof/>
        </w:rPr>
        <w:tab/>
      </w:r>
      <w:r w:rsidRPr="005A3E64">
        <w:rPr>
          <w:noProof/>
        </w:rPr>
        <w:t>Acordul de parteneriat economic dintre Uniunea Europeană și statele sale membre, pe de o parte, și statele APE din SADC, pe de altă parte (denumit în continuare „acordul”) a fost încheiat de Uniune prin Decizia (UE) 2016/1623 a Consiliului din 1 iunie 2016</w:t>
      </w:r>
      <w:r w:rsidR="00682F00" w:rsidRPr="005A3E64">
        <w:rPr>
          <w:rStyle w:val="FootnoteReference"/>
          <w:noProof/>
        </w:rPr>
        <w:footnoteReference w:id="2"/>
      </w:r>
      <w:r w:rsidRPr="005A3E64">
        <w:rPr>
          <w:noProof/>
        </w:rPr>
        <w:t xml:space="preserve"> și aplicat cu titlu provizoriu de la 10 octombrie 2016 între părțile la acord, cu excepția Mozambicului. Acordul a fost aplicat cu titlu provizoriu între Mozambic și Uniunea Europeană începând cu 4 februarie 2018</w:t>
      </w:r>
      <w:r w:rsidR="00D149AD" w:rsidRPr="005A3E64">
        <w:rPr>
          <w:rStyle w:val="FootnoteReference"/>
          <w:rFonts w:eastAsia="Arial Unicode MS"/>
          <w:noProof/>
        </w:rPr>
        <w:footnoteReference w:id="3"/>
      </w:r>
      <w:r w:rsidRPr="005A3E64">
        <w:rPr>
          <w:noProof/>
        </w:rPr>
        <w:t xml:space="preserve">. </w:t>
      </w:r>
    </w:p>
    <w:p w:rsidR="00682F00" w:rsidRPr="005A3E64" w:rsidRDefault="00682F00" w:rsidP="00682F00">
      <w:pPr>
        <w:pStyle w:val="ManualConsidrant"/>
        <w:rPr>
          <w:noProof/>
        </w:rPr>
      </w:pPr>
      <w:r>
        <w:rPr>
          <w:noProof/>
        </w:rPr>
        <w:t>(2)</w:t>
      </w:r>
      <w:r>
        <w:rPr>
          <w:noProof/>
        </w:rPr>
        <w:tab/>
      </w:r>
      <w:r w:rsidRPr="005A3E64">
        <w:rPr>
          <w:noProof/>
        </w:rPr>
        <w:t>Conform articolului 94 alineatul (1) din acord, Comitetul pentru comerț și dezvoltare trebuie să stabilească o listă de 21 de persoane care doresc și care sunt în măsură să fie arbitri.</w:t>
      </w:r>
    </w:p>
    <w:p w:rsidR="00682F00" w:rsidRPr="005A3E64" w:rsidRDefault="00051077" w:rsidP="00682F00">
      <w:pPr>
        <w:pStyle w:val="ManualConsidrant"/>
        <w:rPr>
          <w:noProof/>
        </w:rPr>
      </w:pPr>
      <w:r>
        <w:rPr>
          <w:noProof/>
        </w:rPr>
        <w:t>(3)</w:t>
      </w:r>
      <w:r>
        <w:rPr>
          <w:noProof/>
        </w:rPr>
        <w:tab/>
      </w:r>
      <w:r w:rsidRPr="005A3E64">
        <w:rPr>
          <w:noProof/>
        </w:rPr>
        <w:t>Pentru a asigura buna funcționare a sistemului de soluționare a litigiilor instituit în partea III din acord, Comitetul pentru comerț și dezvoltare trebuie să înlocuiască lista sa de persoane care doresc și sunt în măsură să fie arbitri.</w:t>
      </w:r>
    </w:p>
    <w:p w:rsidR="00682F00" w:rsidRPr="005A3E64" w:rsidRDefault="00682F00" w:rsidP="000063AB">
      <w:pPr>
        <w:pStyle w:val="ManualConsidrant"/>
        <w:spacing w:after="240"/>
        <w:rPr>
          <w:noProof/>
        </w:rPr>
      </w:pPr>
      <w:r>
        <w:rPr>
          <w:noProof/>
        </w:rPr>
        <w:t>(4)</w:t>
      </w:r>
      <w:r>
        <w:rPr>
          <w:noProof/>
        </w:rPr>
        <w:tab/>
      </w:r>
      <w:r w:rsidRPr="005A3E64">
        <w:rPr>
          <w:noProof/>
        </w:rPr>
        <w:t>Este indicat să se stabilească poziția care urmează să fie adoptată, în numele Uniunii, în cadrul Comitetului pentru comerț și dezvoltare, întrucât decizia va fi obligatorie pentru Uniune.</w:t>
      </w:r>
    </w:p>
    <w:p w:rsidR="00D25CAB" w:rsidRPr="005A3E64" w:rsidRDefault="00D25CAB" w:rsidP="000063AB">
      <w:pPr>
        <w:pStyle w:val="ManualConsidrant"/>
        <w:spacing w:after="240"/>
        <w:rPr>
          <w:noProof/>
        </w:rPr>
      </w:pPr>
      <w:r>
        <w:rPr>
          <w:noProof/>
        </w:rPr>
        <w:t>(5)</w:t>
      </w:r>
      <w:r>
        <w:rPr>
          <w:noProof/>
        </w:rPr>
        <w:tab/>
      </w:r>
      <w:r w:rsidRPr="005A3E64">
        <w:rPr>
          <w:noProof/>
        </w:rPr>
        <w:t>Pentru a asigura transparența, este preferabil să se publice decizia Comitetului pentru comerț și dezvoltare, astfel cum a fost adoptată definitiv</w:t>
      </w:r>
      <w:r w:rsidR="007B6688" w:rsidRPr="005A3E64">
        <w:rPr>
          <w:noProof/>
        </w:rPr>
        <w:t>,</w:t>
      </w:r>
    </w:p>
    <w:p w:rsidR="00682F00" w:rsidRPr="005A3E64" w:rsidRDefault="00682F00" w:rsidP="00BE7CB9">
      <w:pPr>
        <w:pStyle w:val="Formuledadoption"/>
        <w:rPr>
          <w:noProof/>
        </w:rPr>
      </w:pPr>
      <w:r w:rsidRPr="005A3E64">
        <w:rPr>
          <w:noProof/>
        </w:rPr>
        <w:t>ADOPTĂ PREZENTA DECIZIE:</w:t>
      </w:r>
    </w:p>
    <w:p w:rsidR="00682F00" w:rsidRPr="005A3E64" w:rsidRDefault="00682F00" w:rsidP="00BE7CB9">
      <w:pPr>
        <w:pStyle w:val="Titrearticle"/>
        <w:rPr>
          <w:noProof/>
        </w:rPr>
      </w:pPr>
      <w:r w:rsidRPr="005A3E64">
        <w:rPr>
          <w:noProof/>
        </w:rPr>
        <w:t>Articolul 1</w:t>
      </w:r>
    </w:p>
    <w:p w:rsidR="00682F00" w:rsidRPr="005A3E64" w:rsidRDefault="00682F00" w:rsidP="00BE7CB9">
      <w:pPr>
        <w:jc w:val="left"/>
        <w:rPr>
          <w:noProof/>
        </w:rPr>
      </w:pPr>
      <w:r w:rsidRPr="005A3E64">
        <w:rPr>
          <w:noProof/>
        </w:rPr>
        <w:t>Poziția care urmează să fie adoptată în numele Uniunii în cadrul primei reuniuni a Comitetului pentru comerț și dezvoltare se întemeiază pe proiectul de decizie a Comitetului pentru comerț și dezvoltare anexat la prezenta decizie.</w:t>
      </w:r>
    </w:p>
    <w:p w:rsidR="00D25CAB" w:rsidRPr="005A3E64" w:rsidRDefault="00D25CAB" w:rsidP="00D25CAB">
      <w:pPr>
        <w:pStyle w:val="Titrearticle"/>
        <w:rPr>
          <w:noProof/>
        </w:rPr>
      </w:pPr>
      <w:r w:rsidRPr="005A3E64">
        <w:rPr>
          <w:noProof/>
        </w:rPr>
        <w:lastRenderedPageBreak/>
        <w:t>Articolul 2</w:t>
      </w:r>
    </w:p>
    <w:p w:rsidR="00D25CAB" w:rsidRPr="005A3E64" w:rsidRDefault="00D25CAB" w:rsidP="00BE7CB9">
      <w:pPr>
        <w:jc w:val="left"/>
        <w:rPr>
          <w:noProof/>
        </w:rPr>
      </w:pPr>
      <w:r w:rsidRPr="005A3E64">
        <w:rPr>
          <w:noProof/>
        </w:rPr>
        <w:t>Decizia Comitetului pentru comerț și dezvoltare se publică după adoptarea sa</w:t>
      </w:r>
      <w:r w:rsidR="005A3E64" w:rsidRPr="005A3E64">
        <w:rPr>
          <w:noProof/>
        </w:rPr>
        <w:t>.</w:t>
      </w:r>
    </w:p>
    <w:p w:rsidR="00682F00" w:rsidRPr="005A3E64" w:rsidRDefault="00682F00" w:rsidP="00510A1D">
      <w:pPr>
        <w:pStyle w:val="Titrearticle"/>
        <w:rPr>
          <w:noProof/>
        </w:rPr>
      </w:pPr>
      <w:r w:rsidRPr="005A3E64">
        <w:rPr>
          <w:noProof/>
        </w:rPr>
        <w:t>Articolul 3</w:t>
      </w:r>
    </w:p>
    <w:p w:rsidR="00682F00" w:rsidRPr="005A3E64" w:rsidRDefault="00682F00" w:rsidP="000063AB">
      <w:pPr>
        <w:spacing w:after="240"/>
        <w:rPr>
          <w:noProof/>
        </w:rPr>
      </w:pPr>
      <w:r w:rsidRPr="005A3E64">
        <w:rPr>
          <w:noProof/>
        </w:rPr>
        <w:t>Prezenta decizie se adresează Comisiei.</w:t>
      </w:r>
    </w:p>
    <w:p w:rsidR="00682F00" w:rsidRPr="005A3E64" w:rsidRDefault="0057541F" w:rsidP="00510A1D">
      <w:pPr>
        <w:pStyle w:val="Fait"/>
        <w:rPr>
          <w:noProof/>
        </w:rPr>
      </w:pPr>
      <w:r>
        <w:rPr>
          <w:noProof/>
        </w:rPr>
        <w:t>Adoptată la Bruxelles,</w:t>
      </w:r>
    </w:p>
    <w:p w:rsidR="00682F00" w:rsidRPr="005A3E64" w:rsidRDefault="00682F00" w:rsidP="00510A1D">
      <w:pPr>
        <w:pStyle w:val="Institutionquisigne"/>
        <w:rPr>
          <w:noProof/>
        </w:rPr>
      </w:pPr>
      <w:r w:rsidRPr="005A3E64">
        <w:rPr>
          <w:noProof/>
        </w:rPr>
        <w:tab/>
        <w:t>Pentru Consiliu</w:t>
      </w:r>
    </w:p>
    <w:p w:rsidR="00682F00" w:rsidRPr="005A3E64" w:rsidRDefault="00682F00" w:rsidP="002B3B84">
      <w:pPr>
        <w:pStyle w:val="Personnequisigne"/>
        <w:rPr>
          <w:noProof/>
          <w:color w:val="008000"/>
        </w:rPr>
      </w:pPr>
      <w:r w:rsidRPr="005A3E64">
        <w:rPr>
          <w:noProof/>
        </w:rPr>
        <w:tab/>
        <w:t>Președintele</w:t>
      </w:r>
    </w:p>
    <w:sectPr w:rsidR="00682F00" w:rsidRPr="005A3E64" w:rsidSect="005244AD">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866" w:rsidRPr="005A3E64" w:rsidRDefault="006E6866" w:rsidP="00682F00">
      <w:pPr>
        <w:spacing w:before="0" w:after="0"/>
      </w:pPr>
      <w:r w:rsidRPr="005A3E64">
        <w:separator/>
      </w:r>
    </w:p>
  </w:endnote>
  <w:endnote w:type="continuationSeparator" w:id="0">
    <w:p w:rsidR="006E6866" w:rsidRPr="005A3E64" w:rsidRDefault="006E6866" w:rsidP="00682F00">
      <w:pPr>
        <w:spacing w:before="0" w:after="0"/>
      </w:pPr>
      <w:r w:rsidRPr="005A3E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4AD" w:rsidRPr="005244AD" w:rsidRDefault="005244AD" w:rsidP="005244AD">
    <w:pPr>
      <w:pStyle w:val="Footer"/>
      <w:rPr>
        <w:rFonts w:ascii="Arial" w:hAnsi="Arial" w:cs="Arial"/>
        <w:b/>
        <w:sz w:val="48"/>
      </w:rPr>
    </w:pPr>
    <w:r w:rsidRPr="005244AD">
      <w:rPr>
        <w:rFonts w:ascii="Arial" w:hAnsi="Arial" w:cs="Arial"/>
        <w:b/>
        <w:sz w:val="48"/>
      </w:rPr>
      <w:t>RO</w:t>
    </w:r>
    <w:r w:rsidRPr="005244AD">
      <w:rPr>
        <w:rFonts w:ascii="Arial" w:hAnsi="Arial" w:cs="Arial"/>
        <w:b/>
        <w:sz w:val="48"/>
      </w:rPr>
      <w:tab/>
    </w:r>
    <w:r w:rsidRPr="005244AD">
      <w:rPr>
        <w:rFonts w:ascii="Arial" w:hAnsi="Arial" w:cs="Arial"/>
        <w:b/>
        <w:sz w:val="48"/>
      </w:rPr>
      <w:tab/>
    </w:r>
    <w:r w:rsidRPr="005244AD">
      <w:tab/>
    </w:r>
    <w:r w:rsidRPr="005244A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4AD" w:rsidRPr="005244AD" w:rsidRDefault="005244AD" w:rsidP="005244AD">
    <w:pPr>
      <w:pStyle w:val="Footer"/>
      <w:rPr>
        <w:rFonts w:ascii="Arial" w:hAnsi="Arial" w:cs="Arial"/>
        <w:b/>
        <w:sz w:val="48"/>
      </w:rPr>
    </w:pPr>
    <w:r w:rsidRPr="005244AD">
      <w:rPr>
        <w:rFonts w:ascii="Arial" w:hAnsi="Arial" w:cs="Arial"/>
        <w:b/>
        <w:sz w:val="48"/>
      </w:rPr>
      <w:t>RO</w:t>
    </w:r>
    <w:r w:rsidRPr="005244AD">
      <w:rPr>
        <w:rFonts w:ascii="Arial" w:hAnsi="Arial" w:cs="Arial"/>
        <w:b/>
        <w:sz w:val="48"/>
      </w:rPr>
      <w:tab/>
    </w:r>
    <w:r w:rsidRPr="005244AD">
      <w:rPr>
        <w:rFonts w:ascii="Arial" w:hAnsi="Arial" w:cs="Arial"/>
        <w:b/>
        <w:sz w:val="48"/>
      </w:rPr>
      <w:tab/>
    </w:r>
    <w:r w:rsidRPr="005244AD">
      <w:tab/>
    </w:r>
    <w:r w:rsidRPr="005244A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4AD" w:rsidRDefault="005244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4AD" w:rsidRPr="005244AD" w:rsidRDefault="005244AD" w:rsidP="005244AD">
    <w:pPr>
      <w:pStyle w:val="Footer"/>
      <w:rPr>
        <w:rFonts w:ascii="Arial" w:hAnsi="Arial" w:cs="Arial"/>
        <w:b/>
        <w:sz w:val="48"/>
      </w:rPr>
    </w:pPr>
    <w:r w:rsidRPr="005244AD">
      <w:rPr>
        <w:rFonts w:ascii="Arial" w:hAnsi="Arial" w:cs="Arial"/>
        <w:b/>
        <w:sz w:val="48"/>
      </w:rPr>
      <w:t>RO</w:t>
    </w:r>
    <w:r w:rsidRPr="005244AD">
      <w:rPr>
        <w:rFonts w:ascii="Arial" w:hAnsi="Arial" w:cs="Arial"/>
        <w:b/>
        <w:sz w:val="48"/>
      </w:rPr>
      <w:tab/>
    </w:r>
    <w:r>
      <w:fldChar w:fldCharType="begin"/>
    </w:r>
    <w:r>
      <w:instrText xml:space="preserve"> PAGE  \* MERGEFORMAT </w:instrText>
    </w:r>
    <w:r>
      <w:fldChar w:fldCharType="separate"/>
    </w:r>
    <w:r w:rsidR="00510A1D">
      <w:rPr>
        <w:noProof/>
      </w:rPr>
      <w:t>4</w:t>
    </w:r>
    <w:r>
      <w:fldChar w:fldCharType="end"/>
    </w:r>
    <w:r>
      <w:tab/>
    </w:r>
    <w:r w:rsidRPr="005244AD">
      <w:tab/>
    </w:r>
    <w:r w:rsidRPr="005244A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4AD" w:rsidRDefault="005244AD" w:rsidP="00524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866" w:rsidRPr="005A3E64" w:rsidRDefault="006E6866" w:rsidP="00682F00">
      <w:pPr>
        <w:spacing w:before="0" w:after="0"/>
      </w:pPr>
      <w:r w:rsidRPr="005A3E64">
        <w:separator/>
      </w:r>
    </w:p>
  </w:footnote>
  <w:footnote w:type="continuationSeparator" w:id="0">
    <w:p w:rsidR="006E6866" w:rsidRPr="005A3E64" w:rsidRDefault="006E6866" w:rsidP="00682F00">
      <w:pPr>
        <w:spacing w:before="0" w:after="0"/>
      </w:pPr>
      <w:r w:rsidRPr="005A3E64">
        <w:continuationSeparator/>
      </w:r>
    </w:p>
  </w:footnote>
  <w:footnote w:id="1">
    <w:p w:rsidR="00D149AD" w:rsidRPr="005A3E64" w:rsidRDefault="00D149AD">
      <w:pPr>
        <w:pStyle w:val="FootnoteText"/>
      </w:pPr>
      <w:r w:rsidRPr="005A3E64">
        <w:rPr>
          <w:rStyle w:val="FootnoteReference"/>
        </w:rPr>
        <w:footnoteRef/>
      </w:r>
      <w:r w:rsidRPr="005A3E64">
        <w:tab/>
        <w:t xml:space="preserve">Aviz privind aplicarea provizorie – 10.2.2018 – </w:t>
      </w:r>
      <w:hyperlink r:id="rId1" w:history="1">
        <w:r w:rsidR="007B6688" w:rsidRPr="005A3E64">
          <w:rPr>
            <w:rStyle w:val="Hyperlink"/>
          </w:rPr>
          <w:t>EUR-Lex - 22018X0210(01) - RO - EUR-Lex</w:t>
        </w:r>
      </w:hyperlink>
      <w:r w:rsidR="007B6688" w:rsidRPr="005A3E64">
        <w:t>.</w:t>
      </w:r>
      <w:r w:rsidRPr="005A3E64">
        <w:t xml:space="preserve"> </w:t>
      </w:r>
    </w:p>
  </w:footnote>
  <w:footnote w:id="2">
    <w:p w:rsidR="00682F00" w:rsidRPr="005A3E64" w:rsidRDefault="00682F00" w:rsidP="00BE7CB9">
      <w:pPr>
        <w:pStyle w:val="FootnoteText"/>
      </w:pPr>
      <w:r w:rsidRPr="005A3E64">
        <w:rPr>
          <w:rStyle w:val="FootnoteReference"/>
        </w:rPr>
        <w:footnoteRef/>
      </w:r>
      <w:r w:rsidRPr="005A3E64">
        <w:tab/>
        <w:t>JO L 250,16.9.2016, p. 1.</w:t>
      </w:r>
    </w:p>
  </w:footnote>
  <w:footnote w:id="3">
    <w:p w:rsidR="00D149AD" w:rsidRPr="00D149AD" w:rsidRDefault="00D149AD">
      <w:pPr>
        <w:pStyle w:val="FootnoteText"/>
      </w:pPr>
      <w:r w:rsidRPr="005A3E64">
        <w:rPr>
          <w:rStyle w:val="FootnoteReference"/>
        </w:rPr>
        <w:footnoteRef/>
      </w:r>
      <w:r w:rsidRPr="005A3E64">
        <w:tab/>
        <w:t>JO L 38, 10.2.2018,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4AD" w:rsidRDefault="00524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4AD" w:rsidRDefault="005244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7 23:31: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6E64AC3-D44B-469D-9D48-8BBC2FD6B74B"/>
    <w:docVar w:name="LW_COVERPAGE_TYPE" w:val="1"/>
    <w:docVar w:name="LW_CreatedUtc" w:val="2025-01-30T11:12:20.8982616Z"/>
    <w:docVar w:name="LW_CROSSREFERENCE" w:val="&lt;UNUSED&gt;"/>
    <w:docVar w:name="LW_DocType" w:val="COM"/>
    <w:docVar w:name="LW_EMISSION" w:val="27.7.2026"/>
    <w:docVar w:name="LW_EMISSION_ISODATE" w:val="2026-07-27"/>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21"/>
    <w:docVar w:name="LW_REF.II.NEW.CP_YEAR" w:val="2026"/>
    <w:docVar w:name="LW_REF.INST.NEW" w:val="COM"/>
    <w:docVar w:name="LW_REF.INST.NEW_ADOPTED" w:val="final"/>
    <w:docVar w:name="LW_REF.INST.NEW_TEXT" w:val="(2026) 3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omitetului pentru comer\u539? \u537?i dezvoltare instituit în temeiul Acordului de parteneriat economic dintre Uniunea European\u259? \u537?i statele membre ale acesteia, pe de o parte, \u537?i statele p\u259?r\u539?i la APE din SADC, pe de alt\u259? parte, în ceea ce prive\u537?te adoptarea listei persoanelor care doresc \u537?i sunt în m\u259?sur\u259? s\u259? ocupe func\u539?ia de arbitru"/>
    <w:docVar w:name="LW_TYPE.DOC.CP" w:val="DECIZIE A CONSILIULUI"/>
    <w:docVar w:name="LwApiVersions" w:val="LW4CoDe 1.24.5.0; LW 9.2, Build 20251112"/>
  </w:docVars>
  <w:rsids>
    <w:rsidRoot w:val="00682F00"/>
    <w:rsid w:val="000063AB"/>
    <w:rsid w:val="00017841"/>
    <w:rsid w:val="00021292"/>
    <w:rsid w:val="00035EC9"/>
    <w:rsid w:val="00046728"/>
    <w:rsid w:val="00050DAF"/>
    <w:rsid w:val="00051077"/>
    <w:rsid w:val="00052CDD"/>
    <w:rsid w:val="000533F8"/>
    <w:rsid w:val="00083749"/>
    <w:rsid w:val="000B5DBD"/>
    <w:rsid w:val="000D4CD5"/>
    <w:rsid w:val="000F1738"/>
    <w:rsid w:val="000F4374"/>
    <w:rsid w:val="000F5170"/>
    <w:rsid w:val="00105788"/>
    <w:rsid w:val="001065F5"/>
    <w:rsid w:val="00106B01"/>
    <w:rsid w:val="0012352E"/>
    <w:rsid w:val="001238EF"/>
    <w:rsid w:val="00163BA7"/>
    <w:rsid w:val="0018174B"/>
    <w:rsid w:val="00182083"/>
    <w:rsid w:val="00184C28"/>
    <w:rsid w:val="00195CAE"/>
    <w:rsid w:val="00195FEF"/>
    <w:rsid w:val="00197613"/>
    <w:rsid w:val="001A5EAE"/>
    <w:rsid w:val="001B22E9"/>
    <w:rsid w:val="001D3F80"/>
    <w:rsid w:val="001E096E"/>
    <w:rsid w:val="001E1C07"/>
    <w:rsid w:val="00200690"/>
    <w:rsid w:val="00233DC7"/>
    <w:rsid w:val="002435BF"/>
    <w:rsid w:val="00246C07"/>
    <w:rsid w:val="00247779"/>
    <w:rsid w:val="002713AA"/>
    <w:rsid w:val="00285BEE"/>
    <w:rsid w:val="0029533F"/>
    <w:rsid w:val="002A5C1D"/>
    <w:rsid w:val="002B10A7"/>
    <w:rsid w:val="002B30AF"/>
    <w:rsid w:val="002B3B84"/>
    <w:rsid w:val="002C13FB"/>
    <w:rsid w:val="002C48F1"/>
    <w:rsid w:val="002D4E7F"/>
    <w:rsid w:val="002E1E4D"/>
    <w:rsid w:val="002E43FD"/>
    <w:rsid w:val="002F5D1A"/>
    <w:rsid w:val="00320E42"/>
    <w:rsid w:val="0033344A"/>
    <w:rsid w:val="00340462"/>
    <w:rsid w:val="00361A91"/>
    <w:rsid w:val="00370FD6"/>
    <w:rsid w:val="00384F16"/>
    <w:rsid w:val="003B5016"/>
    <w:rsid w:val="003C6648"/>
    <w:rsid w:val="003D7448"/>
    <w:rsid w:val="003E4CBC"/>
    <w:rsid w:val="003F244C"/>
    <w:rsid w:val="00404F44"/>
    <w:rsid w:val="004235B0"/>
    <w:rsid w:val="0042648E"/>
    <w:rsid w:val="00430896"/>
    <w:rsid w:val="0046530C"/>
    <w:rsid w:val="00473E0F"/>
    <w:rsid w:val="00480B7D"/>
    <w:rsid w:val="004936D2"/>
    <w:rsid w:val="004B1DC4"/>
    <w:rsid w:val="004B4344"/>
    <w:rsid w:val="004C0220"/>
    <w:rsid w:val="004C0EBC"/>
    <w:rsid w:val="004C3B1A"/>
    <w:rsid w:val="004C5A84"/>
    <w:rsid w:val="004C7890"/>
    <w:rsid w:val="004D405C"/>
    <w:rsid w:val="00501D77"/>
    <w:rsid w:val="00503A3B"/>
    <w:rsid w:val="005079CD"/>
    <w:rsid w:val="00510A1D"/>
    <w:rsid w:val="0052132F"/>
    <w:rsid w:val="005244AD"/>
    <w:rsid w:val="005501A3"/>
    <w:rsid w:val="00562765"/>
    <w:rsid w:val="00565375"/>
    <w:rsid w:val="0057541F"/>
    <w:rsid w:val="00585FB1"/>
    <w:rsid w:val="005A3E64"/>
    <w:rsid w:val="005B17F2"/>
    <w:rsid w:val="005B1EB6"/>
    <w:rsid w:val="005C250D"/>
    <w:rsid w:val="005D6914"/>
    <w:rsid w:val="005D7FA6"/>
    <w:rsid w:val="006033A9"/>
    <w:rsid w:val="006067A1"/>
    <w:rsid w:val="00613272"/>
    <w:rsid w:val="006163BE"/>
    <w:rsid w:val="00623315"/>
    <w:rsid w:val="006279B1"/>
    <w:rsid w:val="006500B7"/>
    <w:rsid w:val="00651263"/>
    <w:rsid w:val="0065292C"/>
    <w:rsid w:val="0065422E"/>
    <w:rsid w:val="0067208D"/>
    <w:rsid w:val="00682F00"/>
    <w:rsid w:val="006958DC"/>
    <w:rsid w:val="006A04F3"/>
    <w:rsid w:val="006A33DB"/>
    <w:rsid w:val="006B6F63"/>
    <w:rsid w:val="006C3CAF"/>
    <w:rsid w:val="006D0A1B"/>
    <w:rsid w:val="006D5AD3"/>
    <w:rsid w:val="006D7306"/>
    <w:rsid w:val="006E01DE"/>
    <w:rsid w:val="006E6866"/>
    <w:rsid w:val="006E709C"/>
    <w:rsid w:val="006F2844"/>
    <w:rsid w:val="00702FC6"/>
    <w:rsid w:val="00703325"/>
    <w:rsid w:val="00707F9B"/>
    <w:rsid w:val="00712900"/>
    <w:rsid w:val="007303B0"/>
    <w:rsid w:val="00752DA7"/>
    <w:rsid w:val="00773331"/>
    <w:rsid w:val="0078543D"/>
    <w:rsid w:val="007855D5"/>
    <w:rsid w:val="00786E12"/>
    <w:rsid w:val="007932EF"/>
    <w:rsid w:val="007952CE"/>
    <w:rsid w:val="007B3189"/>
    <w:rsid w:val="007B38F2"/>
    <w:rsid w:val="007B6688"/>
    <w:rsid w:val="007D0009"/>
    <w:rsid w:val="007D02A7"/>
    <w:rsid w:val="007D673F"/>
    <w:rsid w:val="007D725B"/>
    <w:rsid w:val="007E05B0"/>
    <w:rsid w:val="008157BE"/>
    <w:rsid w:val="008252E0"/>
    <w:rsid w:val="008259BD"/>
    <w:rsid w:val="00837961"/>
    <w:rsid w:val="00874D22"/>
    <w:rsid w:val="00891C8E"/>
    <w:rsid w:val="00892698"/>
    <w:rsid w:val="008A2914"/>
    <w:rsid w:val="008A2A72"/>
    <w:rsid w:val="008C10D5"/>
    <w:rsid w:val="008C1219"/>
    <w:rsid w:val="008C159C"/>
    <w:rsid w:val="008C5C8E"/>
    <w:rsid w:val="008C7C78"/>
    <w:rsid w:val="008D7344"/>
    <w:rsid w:val="008E1BE0"/>
    <w:rsid w:val="008E4D8E"/>
    <w:rsid w:val="008F602B"/>
    <w:rsid w:val="00902170"/>
    <w:rsid w:val="0091195A"/>
    <w:rsid w:val="00917FAE"/>
    <w:rsid w:val="0095297C"/>
    <w:rsid w:val="00965A33"/>
    <w:rsid w:val="009C0B84"/>
    <w:rsid w:val="009D03BB"/>
    <w:rsid w:val="00A3351C"/>
    <w:rsid w:val="00A42F18"/>
    <w:rsid w:val="00A4430C"/>
    <w:rsid w:val="00A80A90"/>
    <w:rsid w:val="00A821A1"/>
    <w:rsid w:val="00AB7364"/>
    <w:rsid w:val="00AC2D4B"/>
    <w:rsid w:val="00AD2EF1"/>
    <w:rsid w:val="00AD5155"/>
    <w:rsid w:val="00AE3F0F"/>
    <w:rsid w:val="00B303F0"/>
    <w:rsid w:val="00B41EEC"/>
    <w:rsid w:val="00B544CA"/>
    <w:rsid w:val="00B579CF"/>
    <w:rsid w:val="00B6260B"/>
    <w:rsid w:val="00B70048"/>
    <w:rsid w:val="00B73592"/>
    <w:rsid w:val="00B73CF4"/>
    <w:rsid w:val="00B7780A"/>
    <w:rsid w:val="00B87CFA"/>
    <w:rsid w:val="00B97B42"/>
    <w:rsid w:val="00BB22D7"/>
    <w:rsid w:val="00BB41D2"/>
    <w:rsid w:val="00BD4B40"/>
    <w:rsid w:val="00C12301"/>
    <w:rsid w:val="00C12B26"/>
    <w:rsid w:val="00C411E1"/>
    <w:rsid w:val="00C51F8D"/>
    <w:rsid w:val="00C600FA"/>
    <w:rsid w:val="00C7066A"/>
    <w:rsid w:val="00C7426E"/>
    <w:rsid w:val="00C833DC"/>
    <w:rsid w:val="00C937CC"/>
    <w:rsid w:val="00CA10D6"/>
    <w:rsid w:val="00CB09A8"/>
    <w:rsid w:val="00CD0F1B"/>
    <w:rsid w:val="00D149AD"/>
    <w:rsid w:val="00D1514D"/>
    <w:rsid w:val="00D20381"/>
    <w:rsid w:val="00D24A22"/>
    <w:rsid w:val="00D25CAB"/>
    <w:rsid w:val="00D3630B"/>
    <w:rsid w:val="00D61DFA"/>
    <w:rsid w:val="00D83A13"/>
    <w:rsid w:val="00D92127"/>
    <w:rsid w:val="00DA12F9"/>
    <w:rsid w:val="00DA61FA"/>
    <w:rsid w:val="00DB2F18"/>
    <w:rsid w:val="00DB2F73"/>
    <w:rsid w:val="00DB6ABE"/>
    <w:rsid w:val="00DC3B0B"/>
    <w:rsid w:val="00DD6C2A"/>
    <w:rsid w:val="00E06A9F"/>
    <w:rsid w:val="00E10B71"/>
    <w:rsid w:val="00E14013"/>
    <w:rsid w:val="00E17227"/>
    <w:rsid w:val="00E43847"/>
    <w:rsid w:val="00E52BFB"/>
    <w:rsid w:val="00E6415D"/>
    <w:rsid w:val="00E70052"/>
    <w:rsid w:val="00E747F1"/>
    <w:rsid w:val="00E845DC"/>
    <w:rsid w:val="00E93581"/>
    <w:rsid w:val="00E93B7B"/>
    <w:rsid w:val="00EE14AE"/>
    <w:rsid w:val="00F170D6"/>
    <w:rsid w:val="00F25465"/>
    <w:rsid w:val="00F300F8"/>
    <w:rsid w:val="00F35830"/>
    <w:rsid w:val="00F43639"/>
    <w:rsid w:val="00FB53E4"/>
    <w:rsid w:val="00FB5BA4"/>
    <w:rsid w:val="00FB65DA"/>
    <w:rsid w:val="00FC1E15"/>
    <w:rsid w:val="00FC38F8"/>
    <w:rsid w:val="00FF5B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5:docId w15:val="{EFED292D-72F0-4A31-A5E4-165E21E4C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682F00"/>
    <w:pPr>
      <w:numPr>
        <w:numId w:val="2"/>
      </w:numPr>
      <w:tabs>
        <w:tab w:val="num" w:pos="360"/>
      </w:tabs>
      <w:ind w:left="0" w:firstLine="0"/>
    </w:pPr>
    <w:rPr>
      <w:rFonts w:eastAsia="Times New Roman"/>
      <w:lang w:eastAsia="de-DE"/>
    </w:rPr>
  </w:style>
  <w:style w:type="paragraph" w:styleId="ListNumber">
    <w:name w:val="List Number"/>
    <w:basedOn w:val="Normal"/>
    <w:rsid w:val="00682F00"/>
    <w:pPr>
      <w:numPr>
        <w:numId w:val="6"/>
      </w:numPr>
    </w:pPr>
    <w:rPr>
      <w:rFonts w:eastAsia="Times New Roman"/>
      <w:lang w:eastAsia="de-DE"/>
    </w:rPr>
  </w:style>
  <w:style w:type="paragraph" w:customStyle="1" w:styleId="ListBullet1">
    <w:name w:val="List Bullet 1"/>
    <w:basedOn w:val="Normal"/>
    <w:rsid w:val="00682F00"/>
    <w:pPr>
      <w:numPr>
        <w:numId w:val="1"/>
      </w:numPr>
    </w:pPr>
    <w:rPr>
      <w:rFonts w:eastAsia="Times New Roman"/>
      <w:lang w:eastAsia="de-DE"/>
    </w:rPr>
  </w:style>
  <w:style w:type="paragraph" w:customStyle="1" w:styleId="ListDash">
    <w:name w:val="List Dash"/>
    <w:basedOn w:val="Normal"/>
    <w:rsid w:val="00682F00"/>
    <w:pPr>
      <w:numPr>
        <w:numId w:val="3"/>
      </w:numPr>
    </w:pPr>
    <w:rPr>
      <w:rFonts w:eastAsia="Times New Roman"/>
      <w:lang w:eastAsia="de-DE"/>
    </w:rPr>
  </w:style>
  <w:style w:type="paragraph" w:customStyle="1" w:styleId="ListDash1">
    <w:name w:val="List Dash 1"/>
    <w:basedOn w:val="Normal"/>
    <w:rsid w:val="00682F00"/>
    <w:pPr>
      <w:numPr>
        <w:numId w:val="4"/>
      </w:numPr>
    </w:pPr>
    <w:rPr>
      <w:rFonts w:eastAsia="Times New Roman"/>
      <w:lang w:eastAsia="de-DE"/>
    </w:rPr>
  </w:style>
  <w:style w:type="paragraph" w:customStyle="1" w:styleId="ListDash2">
    <w:name w:val="List Dash 2"/>
    <w:basedOn w:val="Normal"/>
    <w:rsid w:val="00682F00"/>
    <w:pPr>
      <w:numPr>
        <w:numId w:val="5"/>
      </w:numPr>
    </w:pPr>
    <w:rPr>
      <w:rFonts w:eastAsia="Times New Roman"/>
      <w:lang w:eastAsia="de-DE"/>
    </w:rPr>
  </w:style>
  <w:style w:type="paragraph" w:customStyle="1" w:styleId="ListNumberLevel2">
    <w:name w:val="List Number (Level 2)"/>
    <w:basedOn w:val="Normal"/>
    <w:rsid w:val="00682F00"/>
    <w:pPr>
      <w:numPr>
        <w:ilvl w:val="1"/>
        <w:numId w:val="6"/>
      </w:numPr>
    </w:pPr>
    <w:rPr>
      <w:rFonts w:eastAsia="Times New Roman"/>
      <w:lang w:eastAsia="de-DE"/>
    </w:rPr>
  </w:style>
  <w:style w:type="paragraph" w:customStyle="1" w:styleId="ListNumberLevel3">
    <w:name w:val="List Number (Level 3)"/>
    <w:basedOn w:val="Normal"/>
    <w:rsid w:val="00682F00"/>
    <w:pPr>
      <w:numPr>
        <w:ilvl w:val="2"/>
        <w:numId w:val="6"/>
      </w:numPr>
    </w:pPr>
    <w:rPr>
      <w:rFonts w:eastAsia="Times New Roman"/>
      <w:lang w:eastAsia="de-DE"/>
    </w:rPr>
  </w:style>
  <w:style w:type="paragraph" w:customStyle="1" w:styleId="ListNumberLevel4">
    <w:name w:val="List Number (Level 4)"/>
    <w:basedOn w:val="Normal"/>
    <w:rsid w:val="00682F00"/>
    <w:pPr>
      <w:numPr>
        <w:ilvl w:val="3"/>
        <w:numId w:val="6"/>
      </w:numPr>
    </w:pPr>
    <w:rPr>
      <w:rFonts w:eastAsia="Times New Roman"/>
      <w:lang w:eastAsia="de-DE"/>
    </w:rPr>
  </w:style>
  <w:style w:type="table" w:styleId="TableGrid">
    <w:name w:val="Table Grid"/>
    <w:basedOn w:val="TableNormal"/>
    <w:rsid w:val="00682F00"/>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82F00"/>
    <w:rPr>
      <w:color w:val="0000FF"/>
      <w:u w:val="single"/>
    </w:rPr>
  </w:style>
  <w:style w:type="paragraph" w:styleId="ListBullet">
    <w:name w:val="List Bullet"/>
    <w:basedOn w:val="Normal"/>
    <w:rsid w:val="00682F00"/>
    <w:pPr>
      <w:numPr>
        <w:numId w:val="7"/>
      </w:numPr>
    </w:pPr>
    <w:rPr>
      <w:rFonts w:eastAsia="Times New Roman"/>
      <w:lang w:eastAsia="en-GB"/>
    </w:rPr>
  </w:style>
  <w:style w:type="paragraph" w:styleId="ListBullet2">
    <w:name w:val="List Bullet 2"/>
    <w:basedOn w:val="Normal"/>
    <w:rsid w:val="00682F00"/>
    <w:pPr>
      <w:numPr>
        <w:numId w:val="8"/>
      </w:numPr>
    </w:pPr>
    <w:rPr>
      <w:rFonts w:eastAsia="Times New Roman"/>
      <w:lang w:eastAsia="en-GB"/>
    </w:rPr>
  </w:style>
  <w:style w:type="paragraph" w:styleId="ListBullet3">
    <w:name w:val="List Bullet 3"/>
    <w:basedOn w:val="Normal"/>
    <w:rsid w:val="00682F00"/>
    <w:pPr>
      <w:numPr>
        <w:numId w:val="9"/>
      </w:numPr>
    </w:pPr>
    <w:rPr>
      <w:rFonts w:eastAsia="Times New Roman"/>
      <w:lang w:eastAsia="en-GB"/>
    </w:rPr>
  </w:style>
  <w:style w:type="paragraph" w:styleId="ListNumber2">
    <w:name w:val="List Number 2"/>
    <w:basedOn w:val="Normal"/>
    <w:rsid w:val="00682F00"/>
    <w:pPr>
      <w:numPr>
        <w:numId w:val="13"/>
      </w:numPr>
    </w:pPr>
    <w:rPr>
      <w:rFonts w:eastAsia="Times New Roman"/>
      <w:lang w:eastAsia="en-GB"/>
    </w:rPr>
  </w:style>
  <w:style w:type="paragraph" w:styleId="ListNumber3">
    <w:name w:val="List Number 3"/>
    <w:basedOn w:val="Normal"/>
    <w:rsid w:val="00682F00"/>
    <w:pPr>
      <w:numPr>
        <w:numId w:val="14"/>
      </w:numPr>
    </w:pPr>
    <w:rPr>
      <w:rFonts w:eastAsia="Times New Roman"/>
      <w:lang w:eastAsia="en-GB"/>
    </w:rPr>
  </w:style>
  <w:style w:type="paragraph" w:styleId="ListNumber4">
    <w:name w:val="List Number 4"/>
    <w:basedOn w:val="Normal"/>
    <w:rsid w:val="00682F00"/>
    <w:pPr>
      <w:numPr>
        <w:numId w:val="15"/>
      </w:numPr>
    </w:pPr>
    <w:rPr>
      <w:rFonts w:eastAsia="Times New Roman"/>
      <w:lang w:eastAsia="en-GB"/>
    </w:rPr>
  </w:style>
  <w:style w:type="paragraph" w:customStyle="1" w:styleId="ListDash3">
    <w:name w:val="List Dash 3"/>
    <w:basedOn w:val="Normal"/>
    <w:rsid w:val="00682F00"/>
    <w:pPr>
      <w:numPr>
        <w:numId w:val="10"/>
      </w:numPr>
    </w:pPr>
    <w:rPr>
      <w:rFonts w:eastAsia="Times New Roman"/>
      <w:lang w:eastAsia="en-GB"/>
    </w:rPr>
  </w:style>
  <w:style w:type="paragraph" w:customStyle="1" w:styleId="ListDash4">
    <w:name w:val="List Dash 4"/>
    <w:basedOn w:val="Normal"/>
    <w:rsid w:val="00682F00"/>
    <w:pPr>
      <w:numPr>
        <w:numId w:val="11"/>
      </w:numPr>
    </w:pPr>
    <w:rPr>
      <w:rFonts w:eastAsia="Times New Roman"/>
      <w:lang w:eastAsia="en-GB"/>
    </w:rPr>
  </w:style>
  <w:style w:type="paragraph" w:customStyle="1" w:styleId="ListNumber1">
    <w:name w:val="List Number 1"/>
    <w:basedOn w:val="Text1"/>
    <w:rsid w:val="00682F00"/>
    <w:pPr>
      <w:numPr>
        <w:numId w:val="12"/>
      </w:numPr>
    </w:pPr>
    <w:rPr>
      <w:rFonts w:eastAsia="Times New Roman"/>
      <w:lang w:eastAsia="en-GB"/>
    </w:rPr>
  </w:style>
  <w:style w:type="paragraph" w:customStyle="1" w:styleId="ListNumber1Level2">
    <w:name w:val="List Number 1 (Level 2)"/>
    <w:basedOn w:val="Text1"/>
    <w:rsid w:val="00682F00"/>
    <w:pPr>
      <w:numPr>
        <w:ilvl w:val="1"/>
        <w:numId w:val="12"/>
      </w:numPr>
    </w:pPr>
    <w:rPr>
      <w:rFonts w:eastAsia="Times New Roman"/>
      <w:lang w:eastAsia="en-GB"/>
    </w:rPr>
  </w:style>
  <w:style w:type="paragraph" w:customStyle="1" w:styleId="ListNumber2Level2">
    <w:name w:val="List Number 2 (Level 2)"/>
    <w:basedOn w:val="Text2"/>
    <w:rsid w:val="00682F00"/>
    <w:pPr>
      <w:numPr>
        <w:ilvl w:val="1"/>
        <w:numId w:val="13"/>
      </w:numPr>
    </w:pPr>
    <w:rPr>
      <w:rFonts w:eastAsia="Times New Roman"/>
      <w:lang w:eastAsia="en-GB"/>
    </w:rPr>
  </w:style>
  <w:style w:type="paragraph" w:customStyle="1" w:styleId="ListNumber3Level2">
    <w:name w:val="List Number 3 (Level 2)"/>
    <w:basedOn w:val="Text3"/>
    <w:rsid w:val="00682F00"/>
    <w:pPr>
      <w:numPr>
        <w:ilvl w:val="1"/>
        <w:numId w:val="14"/>
      </w:numPr>
    </w:pPr>
    <w:rPr>
      <w:rFonts w:eastAsia="Times New Roman"/>
      <w:lang w:eastAsia="en-GB"/>
    </w:rPr>
  </w:style>
  <w:style w:type="paragraph" w:customStyle="1" w:styleId="ListNumber4Level2">
    <w:name w:val="List Number 4 (Level 2)"/>
    <w:basedOn w:val="Text4"/>
    <w:rsid w:val="00682F00"/>
    <w:pPr>
      <w:numPr>
        <w:ilvl w:val="1"/>
        <w:numId w:val="15"/>
      </w:numPr>
    </w:pPr>
    <w:rPr>
      <w:rFonts w:eastAsia="Times New Roman"/>
      <w:lang w:eastAsia="en-GB"/>
    </w:rPr>
  </w:style>
  <w:style w:type="paragraph" w:customStyle="1" w:styleId="ListNumber1Level3">
    <w:name w:val="List Number 1 (Level 3)"/>
    <w:basedOn w:val="Text1"/>
    <w:rsid w:val="00682F00"/>
    <w:pPr>
      <w:numPr>
        <w:ilvl w:val="2"/>
        <w:numId w:val="12"/>
      </w:numPr>
    </w:pPr>
    <w:rPr>
      <w:rFonts w:eastAsia="Times New Roman"/>
      <w:lang w:eastAsia="en-GB"/>
    </w:rPr>
  </w:style>
  <w:style w:type="paragraph" w:customStyle="1" w:styleId="ListNumber2Level3">
    <w:name w:val="List Number 2 (Level 3)"/>
    <w:basedOn w:val="Text2"/>
    <w:rsid w:val="00682F00"/>
    <w:pPr>
      <w:numPr>
        <w:ilvl w:val="2"/>
        <w:numId w:val="13"/>
      </w:numPr>
    </w:pPr>
    <w:rPr>
      <w:rFonts w:eastAsia="Times New Roman"/>
      <w:lang w:eastAsia="en-GB"/>
    </w:rPr>
  </w:style>
  <w:style w:type="paragraph" w:customStyle="1" w:styleId="ListNumber3Level3">
    <w:name w:val="List Number 3 (Level 3)"/>
    <w:basedOn w:val="Text3"/>
    <w:rsid w:val="00682F00"/>
    <w:pPr>
      <w:numPr>
        <w:ilvl w:val="2"/>
        <w:numId w:val="14"/>
      </w:numPr>
    </w:pPr>
    <w:rPr>
      <w:rFonts w:eastAsia="Times New Roman"/>
      <w:lang w:eastAsia="en-GB"/>
    </w:rPr>
  </w:style>
  <w:style w:type="paragraph" w:customStyle="1" w:styleId="ListNumber4Level3">
    <w:name w:val="List Number 4 (Level 3)"/>
    <w:basedOn w:val="Text4"/>
    <w:rsid w:val="00682F00"/>
    <w:pPr>
      <w:numPr>
        <w:ilvl w:val="2"/>
        <w:numId w:val="15"/>
      </w:numPr>
    </w:pPr>
    <w:rPr>
      <w:rFonts w:eastAsia="Times New Roman"/>
      <w:lang w:eastAsia="en-GB"/>
    </w:rPr>
  </w:style>
  <w:style w:type="paragraph" w:customStyle="1" w:styleId="ListNumber1Level4">
    <w:name w:val="List Number 1 (Level 4)"/>
    <w:basedOn w:val="Text1"/>
    <w:rsid w:val="00682F00"/>
    <w:pPr>
      <w:numPr>
        <w:ilvl w:val="3"/>
        <w:numId w:val="12"/>
      </w:numPr>
    </w:pPr>
    <w:rPr>
      <w:rFonts w:eastAsia="Times New Roman"/>
      <w:lang w:eastAsia="en-GB"/>
    </w:rPr>
  </w:style>
  <w:style w:type="paragraph" w:customStyle="1" w:styleId="ListNumber2Level4">
    <w:name w:val="List Number 2 (Level 4)"/>
    <w:basedOn w:val="Text2"/>
    <w:rsid w:val="00682F00"/>
    <w:pPr>
      <w:numPr>
        <w:ilvl w:val="3"/>
        <w:numId w:val="13"/>
      </w:numPr>
    </w:pPr>
    <w:rPr>
      <w:rFonts w:eastAsia="Times New Roman"/>
      <w:lang w:eastAsia="en-GB"/>
    </w:rPr>
  </w:style>
  <w:style w:type="paragraph" w:customStyle="1" w:styleId="ListNumber3Level4">
    <w:name w:val="List Number 3 (Level 4)"/>
    <w:basedOn w:val="Text3"/>
    <w:rsid w:val="00682F00"/>
    <w:pPr>
      <w:numPr>
        <w:ilvl w:val="3"/>
        <w:numId w:val="14"/>
      </w:numPr>
    </w:pPr>
    <w:rPr>
      <w:rFonts w:eastAsia="Times New Roman"/>
      <w:lang w:eastAsia="en-GB"/>
    </w:rPr>
  </w:style>
  <w:style w:type="paragraph" w:customStyle="1" w:styleId="ListNumber4Level4">
    <w:name w:val="List Number 4 (Level 4)"/>
    <w:basedOn w:val="Text4"/>
    <w:rsid w:val="00682F00"/>
    <w:pPr>
      <w:numPr>
        <w:ilvl w:val="3"/>
        <w:numId w:val="15"/>
      </w:numPr>
    </w:pPr>
    <w:rPr>
      <w:rFonts w:eastAsia="Times New Roman"/>
      <w:lang w:eastAsia="en-GB"/>
    </w:rPr>
  </w:style>
  <w:style w:type="paragraph" w:customStyle="1" w:styleId="Annexetitreacte">
    <w:name w:val="Annexe titre (acte)"/>
    <w:basedOn w:val="Normal"/>
    <w:next w:val="Normal"/>
    <w:rsid w:val="00682F00"/>
    <w:pPr>
      <w:jc w:val="center"/>
    </w:pPr>
    <w:rPr>
      <w:rFonts w:eastAsia="Times New Roman"/>
      <w:b/>
      <w:u w:val="single"/>
      <w:lang w:eastAsia="en-GB"/>
    </w:rPr>
  </w:style>
  <w:style w:type="paragraph" w:customStyle="1" w:styleId="Annexetitreexposglobal">
    <w:name w:val="Annexe titre (exposé global)"/>
    <w:basedOn w:val="Normal"/>
    <w:next w:val="Normal"/>
    <w:rsid w:val="00682F00"/>
    <w:pPr>
      <w:jc w:val="center"/>
    </w:pPr>
    <w:rPr>
      <w:rFonts w:eastAsia="Times New Roman"/>
      <w:b/>
      <w:u w:val="single"/>
      <w:lang w:eastAsia="en-GB"/>
    </w:rPr>
  </w:style>
  <w:style w:type="paragraph" w:customStyle="1" w:styleId="Annexetitrefichefinacte">
    <w:name w:val="Annexe titre (fiche fin. acte)"/>
    <w:basedOn w:val="Normal"/>
    <w:next w:val="Normal"/>
    <w:rsid w:val="00682F00"/>
    <w:pPr>
      <w:jc w:val="center"/>
    </w:pPr>
    <w:rPr>
      <w:rFonts w:eastAsia="Times New Roman"/>
      <w:b/>
      <w:u w:val="single"/>
      <w:lang w:eastAsia="en-GB"/>
    </w:rPr>
  </w:style>
  <w:style w:type="paragraph" w:customStyle="1" w:styleId="Annexetitrefichefinglobale">
    <w:name w:val="Annexe titre (fiche fin. globale)"/>
    <w:basedOn w:val="Normal"/>
    <w:next w:val="Normal"/>
    <w:rsid w:val="00682F00"/>
    <w:pPr>
      <w:jc w:val="center"/>
    </w:pPr>
    <w:rPr>
      <w:rFonts w:eastAsia="Times New Roman"/>
      <w:b/>
      <w:u w:val="single"/>
      <w:lang w:eastAsia="en-GB"/>
    </w:rPr>
  </w:style>
  <w:style w:type="paragraph" w:customStyle="1" w:styleId="Annexetitreglobale">
    <w:name w:val="Annexe titre (globale)"/>
    <w:basedOn w:val="Normal"/>
    <w:next w:val="Normal"/>
    <w:rsid w:val="00682F00"/>
    <w:pPr>
      <w:jc w:val="center"/>
    </w:pPr>
    <w:rPr>
      <w:rFonts w:eastAsia="Times New Roman"/>
      <w:b/>
      <w:u w:val="single"/>
      <w:lang w:eastAsia="en-GB"/>
    </w:rPr>
  </w:style>
  <w:style w:type="paragraph" w:customStyle="1" w:styleId="Exposdesmotifstitreglobal">
    <w:name w:val="Exposé des motifs titre (global)"/>
    <w:basedOn w:val="Normal"/>
    <w:next w:val="Normal"/>
    <w:rsid w:val="00682F00"/>
    <w:pPr>
      <w:jc w:val="center"/>
    </w:pPr>
    <w:rPr>
      <w:rFonts w:eastAsia="Times New Roman"/>
      <w:b/>
      <w:u w:val="single"/>
      <w:lang w:eastAsia="en-GB"/>
    </w:rPr>
  </w:style>
  <w:style w:type="paragraph" w:customStyle="1" w:styleId="Langueoriginale">
    <w:name w:val="Langue originale"/>
    <w:basedOn w:val="Normal"/>
    <w:rsid w:val="00682F00"/>
    <w:pPr>
      <w:spacing w:before="360"/>
      <w:jc w:val="center"/>
    </w:pPr>
    <w:rPr>
      <w:rFonts w:eastAsia="Times New Roman"/>
      <w:caps/>
      <w:lang w:eastAsia="en-GB"/>
    </w:rPr>
  </w:style>
  <w:style w:type="paragraph" w:customStyle="1" w:styleId="Phrasefinale">
    <w:name w:val="Phrase finale"/>
    <w:basedOn w:val="Normal"/>
    <w:next w:val="Normal"/>
    <w:rsid w:val="00682F00"/>
    <w:pPr>
      <w:spacing w:before="360" w:after="0"/>
      <w:jc w:val="center"/>
    </w:pPr>
    <w:rPr>
      <w:rFonts w:eastAsia="Times New Roman"/>
      <w:lang w:eastAsia="en-GB"/>
    </w:rPr>
  </w:style>
  <w:style w:type="paragraph" w:customStyle="1" w:styleId="Prliminairetitre">
    <w:name w:val="Préliminaire titre"/>
    <w:basedOn w:val="Normal"/>
    <w:next w:val="Normal"/>
    <w:rsid w:val="00682F00"/>
    <w:pPr>
      <w:spacing w:before="360" w:after="360"/>
      <w:jc w:val="center"/>
    </w:pPr>
    <w:rPr>
      <w:rFonts w:eastAsia="Times New Roman"/>
      <w:b/>
      <w:lang w:eastAsia="en-GB"/>
    </w:rPr>
  </w:style>
  <w:style w:type="paragraph" w:customStyle="1" w:styleId="Prliminairetype">
    <w:name w:val="Préliminaire type"/>
    <w:basedOn w:val="Normal"/>
    <w:next w:val="Normal"/>
    <w:rsid w:val="00682F00"/>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682F00"/>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682F00"/>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682F00"/>
    <w:pPr>
      <w:spacing w:before="0" w:after="0"/>
      <w:ind w:left="5103"/>
      <w:jc w:val="left"/>
    </w:pPr>
    <w:rPr>
      <w:rFonts w:eastAsia="Times New Roman"/>
      <w:lang w:eastAsia="en-GB"/>
    </w:rPr>
  </w:style>
  <w:style w:type="paragraph" w:customStyle="1" w:styleId="Sous-titreobjetprliminaire">
    <w:name w:val="Sous-titre objet (préliminaire)"/>
    <w:basedOn w:val="Normal"/>
    <w:rsid w:val="00682F00"/>
    <w:pPr>
      <w:spacing w:before="0" w:after="0"/>
      <w:jc w:val="center"/>
    </w:pPr>
    <w:rPr>
      <w:rFonts w:eastAsia="Times New Roman"/>
      <w:b/>
      <w:lang w:eastAsia="en-GB"/>
    </w:rPr>
  </w:style>
  <w:style w:type="paragraph" w:customStyle="1" w:styleId="Statutprliminaire">
    <w:name w:val="Statut (préliminaire)"/>
    <w:basedOn w:val="Normal"/>
    <w:next w:val="Normal"/>
    <w:rsid w:val="00682F00"/>
    <w:pPr>
      <w:spacing w:before="360" w:after="0"/>
      <w:jc w:val="center"/>
    </w:pPr>
    <w:rPr>
      <w:rFonts w:eastAsia="Times New Roman"/>
      <w:lang w:eastAsia="en-GB"/>
    </w:rPr>
  </w:style>
  <w:style w:type="paragraph" w:customStyle="1" w:styleId="Titreobjetprliminaire">
    <w:name w:val="Titre objet (préliminaire)"/>
    <w:basedOn w:val="Normal"/>
    <w:next w:val="Normal"/>
    <w:rsid w:val="00682F00"/>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682F00"/>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682F00"/>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682F00"/>
    <w:pPr>
      <w:jc w:val="center"/>
    </w:pPr>
    <w:rPr>
      <w:rFonts w:eastAsia="Times New Roman"/>
      <w:b/>
      <w:u w:val="single"/>
      <w:lang w:eastAsia="en-GB"/>
    </w:rPr>
  </w:style>
  <w:style w:type="paragraph" w:customStyle="1" w:styleId="Fichefinanciretravailtitre">
    <w:name w:val="Fiche financière (travail) titre"/>
    <w:basedOn w:val="Normal"/>
    <w:next w:val="Normal"/>
    <w:rsid w:val="00682F00"/>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682F00"/>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682F00"/>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682F00"/>
    <w:pPr>
      <w:jc w:val="center"/>
    </w:pPr>
    <w:rPr>
      <w:rFonts w:eastAsia="Times New Roman"/>
      <w:b/>
      <w:u w:val="single"/>
      <w:lang w:eastAsia="en-GB"/>
    </w:rPr>
  </w:style>
  <w:style w:type="character" w:styleId="CommentReference">
    <w:name w:val="annotation reference"/>
    <w:rsid w:val="00682F00"/>
    <w:rPr>
      <w:rFonts w:cs="Times New Roman"/>
      <w:sz w:val="16"/>
      <w:szCs w:val="16"/>
    </w:rPr>
  </w:style>
  <w:style w:type="paragraph" w:styleId="CommentText">
    <w:name w:val="annotation text"/>
    <w:basedOn w:val="Normal"/>
    <w:link w:val="CommentTextChar"/>
    <w:rsid w:val="00682F00"/>
    <w:rPr>
      <w:rFonts w:eastAsia="Times New Roman"/>
      <w:sz w:val="20"/>
      <w:szCs w:val="20"/>
      <w:lang w:eastAsia="en-GB"/>
    </w:rPr>
  </w:style>
  <w:style w:type="character" w:customStyle="1" w:styleId="CommentTextChar">
    <w:name w:val="Comment Text Char"/>
    <w:basedOn w:val="DefaultParagraphFont"/>
    <w:link w:val="CommentText"/>
    <w:rsid w:val="00682F00"/>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682F00"/>
    <w:rPr>
      <w:b/>
      <w:bCs/>
    </w:rPr>
  </w:style>
  <w:style w:type="character" w:customStyle="1" w:styleId="CommentSubjectChar">
    <w:name w:val="Comment Subject Char"/>
    <w:basedOn w:val="CommentTextChar"/>
    <w:link w:val="CommentSubject"/>
    <w:rsid w:val="00682F00"/>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682F00"/>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682F00"/>
    <w:rPr>
      <w:rFonts w:ascii="Tahoma" w:eastAsia="Times New Roman" w:hAnsi="Tahoma" w:cs="Tahoma"/>
      <w:sz w:val="16"/>
      <w:szCs w:val="16"/>
      <w:lang w:val="ro-RO" w:eastAsia="en-GB"/>
    </w:rPr>
  </w:style>
  <w:style w:type="paragraph" w:styleId="Caption">
    <w:name w:val="caption"/>
    <w:basedOn w:val="Normal"/>
    <w:next w:val="Normal"/>
    <w:qFormat/>
    <w:rsid w:val="00682F00"/>
    <w:rPr>
      <w:rFonts w:eastAsia="Times New Roman"/>
      <w:b/>
      <w:bCs/>
      <w:sz w:val="20"/>
      <w:szCs w:val="20"/>
      <w:lang w:eastAsia="en-GB"/>
    </w:rPr>
  </w:style>
  <w:style w:type="paragraph" w:styleId="TableofFigures">
    <w:name w:val="table of figures"/>
    <w:basedOn w:val="Normal"/>
    <w:next w:val="Normal"/>
    <w:rsid w:val="00682F00"/>
    <w:rPr>
      <w:rFonts w:eastAsia="Times New Roman"/>
      <w:lang w:eastAsia="en-GB"/>
    </w:rPr>
  </w:style>
  <w:style w:type="character" w:styleId="PageNumber">
    <w:name w:val="page number"/>
    <w:rsid w:val="00682F00"/>
  </w:style>
  <w:style w:type="character" w:customStyle="1" w:styleId="tw4winMark">
    <w:name w:val="tw4winMark"/>
    <w:rsid w:val="00682F00"/>
    <w:rPr>
      <w:vanish/>
      <w:color w:val="800080"/>
      <w:vertAlign w:val="subscript"/>
    </w:rPr>
  </w:style>
  <w:style w:type="character" w:styleId="FollowedHyperlink">
    <w:name w:val="FollowedHyperlink"/>
    <w:rsid w:val="00682F00"/>
    <w:rPr>
      <w:color w:val="800080"/>
      <w:u w:val="single"/>
    </w:rPr>
  </w:style>
  <w:style w:type="paragraph" w:customStyle="1" w:styleId="Sous-titreobjet">
    <w:name w:val="Sous-titre objet"/>
    <w:basedOn w:val="Normal"/>
    <w:rsid w:val="00682F00"/>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682F00"/>
  </w:style>
  <w:style w:type="paragraph" w:styleId="Revision">
    <w:name w:val="Revision"/>
    <w:hidden/>
    <w:uiPriority w:val="99"/>
    <w:semiHidden/>
    <w:rsid w:val="00682F00"/>
    <w:rPr>
      <w:rFonts w:ascii="Calibri" w:eastAsia="Calibri" w:hAnsi="Calibri" w:cs="Times New Roman"/>
      <w:sz w:val="24"/>
      <w:lang w:eastAsia="en-GB"/>
    </w:rPr>
  </w:style>
  <w:style w:type="paragraph" w:customStyle="1" w:styleId="FooterCoverPage">
    <w:name w:val="Footer Cover Page"/>
    <w:basedOn w:val="Normal"/>
    <w:link w:val="FooterCoverPageChar"/>
    <w:rsid w:val="00682F00"/>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682F00"/>
    <w:rPr>
      <w:rFonts w:ascii="Times New Roman" w:hAnsi="Times New Roman" w:cs="Times New Roman"/>
      <w:b/>
      <w:sz w:val="28"/>
      <w:lang w:val="ro-RO"/>
    </w:rPr>
  </w:style>
  <w:style w:type="character" w:customStyle="1" w:styleId="FooterCoverPageChar">
    <w:name w:val="Footer Cover Page Char"/>
    <w:link w:val="FooterCoverPage"/>
    <w:rsid w:val="00682F00"/>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682F00"/>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682F00"/>
    <w:rPr>
      <w:rFonts w:ascii="Times New Roman" w:eastAsia="Calibri" w:hAnsi="Times New Roman" w:cs="Times New Roman"/>
      <w:sz w:val="24"/>
      <w:lang w:val="ro-RO" w:eastAsia="en-GB"/>
    </w:rPr>
  </w:style>
  <w:style w:type="character" w:customStyle="1" w:styleId="FooterSensitivityChar">
    <w:name w:val="Footer Sensitivity Char"/>
    <w:rsid w:val="00682F00"/>
    <w:rPr>
      <w:rFonts w:ascii="Times New Roman" w:hAnsi="Times New Roman" w:cs="Times New Roman"/>
      <w:b/>
      <w:sz w:val="32"/>
      <w:lang w:val="ro-RO"/>
    </w:rPr>
  </w:style>
  <w:style w:type="character" w:customStyle="1" w:styleId="HeaderSensitivityChar">
    <w:name w:val="Header Sensitivity Char"/>
    <w:rsid w:val="00682F00"/>
    <w:rPr>
      <w:rFonts w:ascii="Times New Roman" w:hAnsi="Times New Roman" w:cs="Times New Roman"/>
      <w:b/>
      <w:sz w:val="32"/>
      <w:lang w:val="ro-RO"/>
    </w:rPr>
  </w:style>
  <w:style w:type="character" w:customStyle="1" w:styleId="HeaderSensitivityRightChar">
    <w:name w:val="Header Sensitivity Right Char"/>
    <w:rsid w:val="00682F00"/>
    <w:rPr>
      <w:rFonts w:ascii="Times New Roman" w:hAnsi="Times New Roman" w:cs="Times New Roman"/>
      <w:sz w:val="28"/>
      <w:lang w:val="ro-RO"/>
    </w:rPr>
  </w:style>
  <w:style w:type="paragraph" w:customStyle="1" w:styleId="LegalNumPar">
    <w:name w:val="LegalNumPar"/>
    <w:basedOn w:val="Normal"/>
    <w:rsid w:val="00682F00"/>
    <w:pPr>
      <w:numPr>
        <w:numId w:val="16"/>
      </w:numPr>
      <w:spacing w:line="360" w:lineRule="auto"/>
    </w:pPr>
    <w:rPr>
      <w:rFonts w:eastAsia="Times New Roman"/>
      <w:lang w:eastAsia="en-GB"/>
    </w:rPr>
  </w:style>
  <w:style w:type="paragraph" w:customStyle="1" w:styleId="LegalNumPar2">
    <w:name w:val="LegalNumPar2"/>
    <w:basedOn w:val="Normal"/>
    <w:rsid w:val="00682F00"/>
    <w:pPr>
      <w:numPr>
        <w:ilvl w:val="1"/>
        <w:numId w:val="16"/>
      </w:numPr>
      <w:spacing w:line="360" w:lineRule="auto"/>
    </w:pPr>
    <w:rPr>
      <w:rFonts w:eastAsia="Times New Roman"/>
      <w:lang w:eastAsia="en-GB"/>
    </w:rPr>
  </w:style>
  <w:style w:type="paragraph" w:customStyle="1" w:styleId="LegalNumPar3">
    <w:name w:val="LegalNumPar3"/>
    <w:basedOn w:val="Normal"/>
    <w:rsid w:val="00682F00"/>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682F00"/>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682F00"/>
    <w:rPr>
      <w:color w:val="605E5C"/>
      <w:shd w:val="clear" w:color="auto" w:fill="E1DFDD"/>
    </w:rPr>
  </w:style>
  <w:style w:type="character" w:styleId="Strong">
    <w:name w:val="Strong"/>
    <w:basedOn w:val="DefaultParagraphFont"/>
    <w:qFormat/>
    <w:rsid w:val="00682F00"/>
    <w:rPr>
      <w:b/>
      <w:bCs/>
    </w:rPr>
  </w:style>
  <w:style w:type="character" w:styleId="Emphasis">
    <w:name w:val="Emphasis"/>
    <w:basedOn w:val="DefaultParagraphFont"/>
    <w:qFormat/>
    <w:rsid w:val="00682F00"/>
    <w:rPr>
      <w:i/>
      <w:iCs/>
    </w:rPr>
  </w:style>
  <w:style w:type="character" w:customStyle="1" w:styleId="Mention">
    <w:name w:val="Mention"/>
    <w:basedOn w:val="DefaultParagraphFont"/>
    <w:uiPriority w:val="99"/>
    <w:unhideWhenUsed/>
    <w:rsid w:val="00682F00"/>
    <w:rPr>
      <w:color w:val="2B579A"/>
      <w:shd w:val="clear" w:color="auto" w:fill="E1DFDD"/>
    </w:rPr>
  </w:style>
  <w:style w:type="character" w:customStyle="1" w:styleId="normaltextrun">
    <w:name w:val="normaltextrun"/>
    <w:basedOn w:val="DefaultParagraphFont"/>
    <w:rsid w:val="00682F00"/>
  </w:style>
  <w:style w:type="character" w:customStyle="1" w:styleId="eop">
    <w:name w:val="eop"/>
    <w:basedOn w:val="DefaultParagraphFont"/>
    <w:rsid w:val="00682F00"/>
  </w:style>
  <w:style w:type="character" w:customStyle="1" w:styleId="HeaderChar">
    <w:name w:val="Header Char"/>
    <w:basedOn w:val="DefaultParagraphFont"/>
    <w:link w:val="Header"/>
    <w:uiPriority w:val="99"/>
    <w:rsid w:val="005244AD"/>
    <w:rPr>
      <w:rFonts w:ascii="Times New Roman" w:hAnsi="Times New Roman" w:cs="Times New Roman"/>
      <w:sz w:val="24"/>
      <w:lang w:val="ro-RO"/>
    </w:rPr>
  </w:style>
  <w:style w:type="character" w:customStyle="1" w:styleId="FooterChar">
    <w:name w:val="Footer Char"/>
    <w:basedOn w:val="DefaultParagraphFont"/>
    <w:link w:val="Footer"/>
    <w:uiPriority w:val="99"/>
    <w:rsid w:val="005244A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244A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244AD"/>
    <w:pPr>
      <w:spacing w:before="0"/>
      <w:jc w:val="right"/>
    </w:pPr>
    <w:rPr>
      <w:sz w:val="28"/>
    </w:rPr>
  </w:style>
  <w:style w:type="paragraph" w:customStyle="1" w:styleId="FooterSensitivity">
    <w:name w:val="Footer Sensitivity"/>
    <w:basedOn w:val="Normal"/>
    <w:rsid w:val="005244A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244AD"/>
    <w:pPr>
      <w:tabs>
        <w:tab w:val="center" w:pos="4535"/>
        <w:tab w:val="right" w:pos="9071"/>
      </w:tabs>
      <w:spacing w:before="0"/>
    </w:pPr>
  </w:style>
  <w:style w:type="paragraph" w:customStyle="1" w:styleId="HeaderLandscape">
    <w:name w:val="HeaderLandscape"/>
    <w:basedOn w:val="Normal"/>
    <w:rsid w:val="005244AD"/>
    <w:pPr>
      <w:tabs>
        <w:tab w:val="center" w:pos="7285"/>
        <w:tab w:val="right" w:pos="14003"/>
      </w:tabs>
      <w:spacing w:before="0"/>
    </w:pPr>
  </w:style>
  <w:style w:type="paragraph" w:styleId="Footer">
    <w:name w:val="footer"/>
    <w:basedOn w:val="Normal"/>
    <w:link w:val="FooterChar"/>
    <w:uiPriority w:val="99"/>
    <w:unhideWhenUsed/>
    <w:rsid w:val="005244A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244A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653341">
      <w:bodyDiv w:val="1"/>
      <w:marLeft w:val="0"/>
      <w:marRight w:val="0"/>
      <w:marTop w:val="0"/>
      <w:marBottom w:val="0"/>
      <w:divBdr>
        <w:top w:val="none" w:sz="0" w:space="0" w:color="auto"/>
        <w:left w:val="none" w:sz="0" w:space="0" w:color="auto"/>
        <w:bottom w:val="none" w:sz="0" w:space="0" w:color="auto"/>
        <w:right w:val="none" w:sz="0" w:space="0" w:color="auto"/>
      </w:divBdr>
    </w:div>
    <w:div w:id="1075279890">
      <w:bodyDiv w:val="1"/>
      <w:marLeft w:val="0"/>
      <w:marRight w:val="0"/>
      <w:marTop w:val="0"/>
      <w:marBottom w:val="0"/>
      <w:divBdr>
        <w:top w:val="none" w:sz="0" w:space="0" w:color="auto"/>
        <w:left w:val="none" w:sz="0" w:space="0" w:color="auto"/>
        <w:bottom w:val="none" w:sz="0" w:space="0" w:color="auto"/>
        <w:right w:val="none" w:sz="0" w:space="0" w:color="auto"/>
      </w:divBdr>
    </w:div>
    <w:div w:id="1603294051">
      <w:bodyDiv w:val="1"/>
      <w:marLeft w:val="0"/>
      <w:marRight w:val="0"/>
      <w:marTop w:val="0"/>
      <w:marBottom w:val="0"/>
      <w:divBdr>
        <w:top w:val="none" w:sz="0" w:space="0" w:color="auto"/>
        <w:left w:val="none" w:sz="0" w:space="0" w:color="auto"/>
        <w:bottom w:val="none" w:sz="0" w:space="0" w:color="auto"/>
        <w:right w:val="none" w:sz="0" w:space="0" w:color="auto"/>
      </w:divBdr>
    </w:div>
    <w:div w:id="184667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RO/TXT/?uri=CELEX%3A22018X0210%2801%29&amp;qid=178125171077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DDE67-E695-45B2-9570-CF8A57FAF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25</TotalTime>
  <Pages>5</Pages>
  <Words>1173</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cp:lastPrinted>2025-04-24T15:40:00Z</cp:lastPrinted>
  <dcterms:created xsi:type="dcterms:W3CDTF">2026-06-23T15:53:00Z</dcterms:created>
  <dcterms:modified xsi:type="dcterms:W3CDTF">2026-07-17T21:31:00Z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2025-02-27T18:00:32Z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08f36fd2-694d-4622-a3f4-38d773329298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