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69108" w14:textId="77C98D77" w:rsidR="00690C5C" w:rsidRDefault="00275195" w:rsidP="00275195">
      <w:pPr>
        <w:pStyle w:val="Pagedecouverture"/>
        <w:rPr>
          <w:noProof/>
        </w:rPr>
      </w:pPr>
      <w:r>
        <w:rPr>
          <w:noProof/>
        </w:rPr>
        <w:pict w14:anchorId="489B9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21A2CB-3D7A-4C82-AB2D-565B583262B3" style="width:455.25pt;height:422.25pt">
            <v:imagedata r:id="rId7" o:title=""/>
          </v:shape>
        </w:pict>
      </w:r>
    </w:p>
    <w:p w14:paraId="61F6C61B" w14:textId="77777777" w:rsidR="00690C5C" w:rsidRDefault="00690C5C" w:rsidP="001642C1">
      <w:pPr>
        <w:rPr>
          <w:noProof/>
        </w:rPr>
        <w:sectPr w:rsidR="00690C5C" w:rsidSect="00275195">
          <w:footerReference w:type="even" r:id="rId8"/>
          <w:footerReference w:type="default" r:id="rId9"/>
          <w:pgSz w:w="11907" w:h="16839"/>
          <w:pgMar w:top="1134" w:right="1417" w:bottom="1134" w:left="1417" w:header="709" w:footer="709" w:gutter="0"/>
          <w:pgNumType w:start="0"/>
          <w:cols w:space="720"/>
          <w:docGrid w:linePitch="360"/>
        </w:sectPr>
      </w:pPr>
    </w:p>
    <w:p w14:paraId="2A09DE78" w14:textId="45AD856C" w:rsidR="00E359F7" w:rsidRDefault="008F1FDA" w:rsidP="008F1FDA">
      <w:pPr>
        <w:pStyle w:val="Rfrenceinterinstitutionnelle"/>
        <w:rPr>
          <w:noProof/>
        </w:rPr>
      </w:pPr>
      <w:bookmarkStart w:id="0" w:name="_GoBack"/>
      <w:bookmarkEnd w:id="0"/>
      <w:r>
        <w:rPr>
          <w:noProof/>
        </w:rPr>
        <w:lastRenderedPageBreak/>
        <w:t>2022/0344 (COD)</w:t>
      </w:r>
    </w:p>
    <w:p w14:paraId="531AF0B8" w14:textId="48EABCBC" w:rsidR="008108F1" w:rsidRPr="00A179B5" w:rsidRDefault="008F1FDA" w:rsidP="008F1FDA">
      <w:pPr>
        <w:pStyle w:val="Typedudocument"/>
        <w:rPr>
          <w:noProof/>
        </w:rPr>
      </w:pPr>
      <w:r w:rsidRPr="008F1FDA">
        <w:rPr>
          <w:noProof/>
        </w:rPr>
        <w:t>COMMUNICATION FROM THE COMMISSION</w:t>
      </w:r>
      <w:r w:rsidRPr="008F1FDA">
        <w:rPr>
          <w:noProof/>
        </w:rPr>
        <w:br/>
        <w:t>TO THE EUROPEAN PARLIAMENT</w:t>
      </w:r>
      <w:r w:rsidRPr="008F1FDA">
        <w:rPr>
          <w:noProof/>
        </w:rPr>
        <w:br/>
      </w:r>
      <w:r w:rsidRPr="008F1FDA">
        <w:rPr>
          <w:noProof/>
        </w:rPr>
        <w:br/>
        <w:t>pursuant to Article 294(6) of the Treaty on the Functioning of the European Union</w:t>
      </w:r>
      <w:r w:rsidRPr="008F1FDA">
        <w:rPr>
          <w:noProof/>
        </w:rPr>
        <w:br/>
      </w:r>
      <w:r w:rsidRPr="008F1FDA">
        <w:rPr>
          <w:noProof/>
        </w:rPr>
        <w:br/>
        <w:t>concerning the</w:t>
      </w:r>
    </w:p>
    <w:p w14:paraId="4B91A6CC" w14:textId="5FB09DE2" w:rsidR="008108F1" w:rsidRPr="00A179B5" w:rsidRDefault="008F1FDA" w:rsidP="008F1FDA">
      <w:pPr>
        <w:pStyle w:val="Titreobjet"/>
        <w:rPr>
          <w:noProof/>
        </w:rPr>
      </w:pPr>
      <w:r w:rsidRPr="008F1FDA">
        <w:rPr>
          <w:noProof/>
        </w:rPr>
        <w:t>position of the Council on the adoption of a Directive of the European Parliament and of the Council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w:t>
      </w:r>
    </w:p>
    <w:p w14:paraId="2DB8C5CA" w14:textId="77777777" w:rsidR="008108F1" w:rsidRPr="00A179B5" w:rsidRDefault="008108F1" w:rsidP="001704B9">
      <w:pPr>
        <w:pStyle w:val="ManualHeading1"/>
        <w:rPr>
          <w:noProof/>
          <w:sz w:val="22"/>
        </w:rPr>
      </w:pPr>
      <w:r w:rsidRPr="00A179B5">
        <w:rPr>
          <w:noProof/>
        </w:rPr>
        <w:t>1.</w:t>
      </w:r>
      <w:r w:rsidRPr="00A179B5">
        <w:rPr>
          <w:noProof/>
        </w:rPr>
        <w:tab/>
        <w:t>Background</w:t>
      </w:r>
    </w:p>
    <w:tbl>
      <w:tblPr>
        <w:tblW w:w="0" w:type="auto"/>
        <w:tblLayout w:type="fixed"/>
        <w:tblLook w:val="0000" w:firstRow="0" w:lastRow="0" w:firstColumn="0" w:lastColumn="0" w:noHBand="0" w:noVBand="0"/>
      </w:tblPr>
      <w:tblGrid>
        <w:gridCol w:w="6804"/>
        <w:gridCol w:w="2483"/>
      </w:tblGrid>
      <w:tr w:rsidR="008108F1" w:rsidRPr="00A179B5" w14:paraId="3C713562" w14:textId="77777777" w:rsidTr="00FC48CE">
        <w:tc>
          <w:tcPr>
            <w:tcW w:w="6804" w:type="dxa"/>
          </w:tcPr>
          <w:p w14:paraId="24889C85" w14:textId="06298861" w:rsidR="008108F1" w:rsidRPr="00A179B5" w:rsidRDefault="008108F1" w:rsidP="00FC48CE">
            <w:pPr>
              <w:jc w:val="left"/>
              <w:rPr>
                <w:noProof/>
              </w:rPr>
            </w:pPr>
            <w:r w:rsidRPr="00A179B5">
              <w:rPr>
                <w:noProof/>
              </w:rPr>
              <w:t>Date of transmission of the proposal to the European Parliament and to the Council</w:t>
            </w:r>
            <w:r w:rsidRPr="00A179B5">
              <w:rPr>
                <w:noProof/>
              </w:rPr>
              <w:br/>
              <w:t>(document COM(</w:t>
            </w:r>
            <w:r w:rsidR="00C7009B">
              <w:rPr>
                <w:noProof/>
              </w:rPr>
              <w:t>2022</w:t>
            </w:r>
            <w:r w:rsidRPr="00A179B5">
              <w:rPr>
                <w:noProof/>
              </w:rPr>
              <w:t>)</w:t>
            </w:r>
            <w:r w:rsidR="00EC1DEE">
              <w:rPr>
                <w:noProof/>
              </w:rPr>
              <w:t>0</w:t>
            </w:r>
            <w:r w:rsidR="00C7009B">
              <w:rPr>
                <w:noProof/>
              </w:rPr>
              <w:t>54</w:t>
            </w:r>
            <w:r w:rsidR="00EC1DEE">
              <w:rPr>
                <w:noProof/>
              </w:rPr>
              <w:t>0</w:t>
            </w:r>
            <w:r w:rsidRPr="00A179B5">
              <w:rPr>
                <w:noProof/>
              </w:rPr>
              <w:t xml:space="preserve"> – </w:t>
            </w:r>
            <w:r w:rsidR="00C7009B">
              <w:rPr>
                <w:noProof/>
              </w:rPr>
              <w:t>2022/034</w:t>
            </w:r>
            <w:r w:rsidR="00EC1DEE">
              <w:rPr>
                <w:noProof/>
              </w:rPr>
              <w:t>4</w:t>
            </w:r>
            <w:r w:rsidRPr="00A179B5">
              <w:rPr>
                <w:noProof/>
              </w:rPr>
              <w:t xml:space="preserve"> COD)</w:t>
            </w:r>
          </w:p>
        </w:tc>
        <w:tc>
          <w:tcPr>
            <w:tcW w:w="2483" w:type="dxa"/>
          </w:tcPr>
          <w:p w14:paraId="27E94E65" w14:textId="77777777" w:rsidR="008108F1" w:rsidRPr="00A179B5" w:rsidRDefault="00C7009B" w:rsidP="00FC48CE">
            <w:pPr>
              <w:jc w:val="left"/>
              <w:rPr>
                <w:noProof/>
              </w:rPr>
            </w:pPr>
            <w:r w:rsidRPr="0007442D">
              <w:rPr>
                <w:noProof/>
              </w:rPr>
              <w:t>22 October 2022</w:t>
            </w:r>
          </w:p>
        </w:tc>
      </w:tr>
      <w:tr w:rsidR="008108F1" w:rsidRPr="00A179B5" w14:paraId="70003961" w14:textId="77777777" w:rsidTr="00FC48CE">
        <w:tc>
          <w:tcPr>
            <w:tcW w:w="6804" w:type="dxa"/>
          </w:tcPr>
          <w:p w14:paraId="5E19CF62" w14:textId="77777777" w:rsidR="008108F1" w:rsidRPr="001842A0" w:rsidRDefault="008108F1" w:rsidP="00FC48CE">
            <w:pPr>
              <w:rPr>
                <w:noProof/>
              </w:rPr>
            </w:pPr>
            <w:r w:rsidRPr="001842A0">
              <w:rPr>
                <w:noProof/>
              </w:rPr>
              <w:t>Date of the opinion of the European Economic and Social Committee:</w:t>
            </w:r>
          </w:p>
        </w:tc>
        <w:tc>
          <w:tcPr>
            <w:tcW w:w="2483" w:type="dxa"/>
          </w:tcPr>
          <w:p w14:paraId="1F35DA30" w14:textId="77777777" w:rsidR="008108F1" w:rsidRPr="00203B0B" w:rsidRDefault="00C7009B" w:rsidP="00FC48CE">
            <w:pPr>
              <w:jc w:val="left"/>
              <w:rPr>
                <w:noProof/>
              </w:rPr>
            </w:pPr>
            <w:r w:rsidRPr="0007442D">
              <w:rPr>
                <w:noProof/>
              </w:rPr>
              <w:t>22</w:t>
            </w:r>
            <w:r w:rsidR="008D7D6D" w:rsidRPr="0007442D">
              <w:rPr>
                <w:noProof/>
              </w:rPr>
              <w:t xml:space="preserve"> February </w:t>
            </w:r>
            <w:r w:rsidRPr="0007442D">
              <w:rPr>
                <w:noProof/>
              </w:rPr>
              <w:t>2023</w:t>
            </w:r>
          </w:p>
        </w:tc>
      </w:tr>
      <w:tr w:rsidR="008108F1" w:rsidRPr="00A179B5" w14:paraId="60185B2F" w14:textId="77777777" w:rsidTr="00FC48CE">
        <w:tc>
          <w:tcPr>
            <w:tcW w:w="6804" w:type="dxa"/>
          </w:tcPr>
          <w:p w14:paraId="53A62530" w14:textId="77777777" w:rsidR="008108F1" w:rsidRPr="001842A0" w:rsidRDefault="008108F1" w:rsidP="00FC48CE">
            <w:pPr>
              <w:rPr>
                <w:noProof/>
              </w:rPr>
            </w:pPr>
            <w:r w:rsidRPr="001842A0">
              <w:rPr>
                <w:noProof/>
              </w:rPr>
              <w:t>Date of the position of the European Parliament, first reading:</w:t>
            </w:r>
          </w:p>
        </w:tc>
        <w:tc>
          <w:tcPr>
            <w:tcW w:w="2483" w:type="dxa"/>
          </w:tcPr>
          <w:p w14:paraId="27ED9275" w14:textId="576C8BF2" w:rsidR="008108F1" w:rsidRPr="001842A0" w:rsidRDefault="00742E10" w:rsidP="00FC48CE">
            <w:pPr>
              <w:jc w:val="left"/>
              <w:rPr>
                <w:noProof/>
              </w:rPr>
            </w:pPr>
            <w:r w:rsidRPr="001842A0">
              <w:rPr>
                <w:noProof/>
              </w:rPr>
              <w:t>2</w:t>
            </w:r>
            <w:r w:rsidR="00FB42B7">
              <w:rPr>
                <w:noProof/>
              </w:rPr>
              <w:t>4</w:t>
            </w:r>
            <w:r w:rsidRPr="001842A0">
              <w:rPr>
                <w:noProof/>
              </w:rPr>
              <w:t xml:space="preserve"> April </w:t>
            </w:r>
            <w:r w:rsidR="00C7009B" w:rsidRPr="001842A0">
              <w:rPr>
                <w:noProof/>
              </w:rPr>
              <w:t>202</w:t>
            </w:r>
            <w:r w:rsidRPr="001842A0">
              <w:rPr>
                <w:noProof/>
              </w:rPr>
              <w:t>4</w:t>
            </w:r>
          </w:p>
        </w:tc>
      </w:tr>
      <w:tr w:rsidR="008108F1" w:rsidRPr="00A179B5" w14:paraId="44905AE3" w14:textId="77777777" w:rsidTr="00FC48CE">
        <w:tc>
          <w:tcPr>
            <w:tcW w:w="6804" w:type="dxa"/>
          </w:tcPr>
          <w:p w14:paraId="216EFB42" w14:textId="77777777" w:rsidR="008108F1" w:rsidRPr="001842A0" w:rsidRDefault="008108F1" w:rsidP="00FC48CE">
            <w:pPr>
              <w:rPr>
                <w:noProof/>
              </w:rPr>
            </w:pPr>
            <w:r w:rsidRPr="001842A0">
              <w:rPr>
                <w:noProof/>
              </w:rPr>
              <w:t>Date of transmission of the amended proposal:</w:t>
            </w:r>
          </w:p>
        </w:tc>
        <w:tc>
          <w:tcPr>
            <w:tcW w:w="2483" w:type="dxa"/>
          </w:tcPr>
          <w:p w14:paraId="39A9DD02" w14:textId="77777777" w:rsidR="008108F1" w:rsidRPr="001842A0" w:rsidRDefault="00C7009B" w:rsidP="00FC48CE">
            <w:pPr>
              <w:jc w:val="left"/>
              <w:rPr>
                <w:noProof/>
              </w:rPr>
            </w:pPr>
            <w:r w:rsidRPr="001842A0">
              <w:rPr>
                <w:noProof/>
              </w:rPr>
              <w:t>N.A.</w:t>
            </w:r>
          </w:p>
        </w:tc>
      </w:tr>
      <w:tr w:rsidR="008108F1" w:rsidRPr="00A179B5" w14:paraId="3665398B" w14:textId="77777777" w:rsidTr="00FC48CE">
        <w:tc>
          <w:tcPr>
            <w:tcW w:w="6804" w:type="dxa"/>
          </w:tcPr>
          <w:p w14:paraId="70FB830A" w14:textId="77777777" w:rsidR="008108F1" w:rsidRPr="001642C1" w:rsidRDefault="008108F1" w:rsidP="00FC48CE">
            <w:pPr>
              <w:rPr>
                <w:noProof/>
              </w:rPr>
            </w:pPr>
            <w:r w:rsidRPr="001642C1">
              <w:rPr>
                <w:noProof/>
              </w:rPr>
              <w:t>Date of adoption of the position of the Council:</w:t>
            </w:r>
          </w:p>
        </w:tc>
        <w:tc>
          <w:tcPr>
            <w:tcW w:w="2483" w:type="dxa"/>
          </w:tcPr>
          <w:p w14:paraId="7BDF08E5" w14:textId="1604CAE6" w:rsidR="008108F1" w:rsidRPr="00203B0B" w:rsidRDefault="00FB42B7" w:rsidP="00FC48CE">
            <w:pPr>
              <w:jc w:val="left"/>
              <w:rPr>
                <w:noProof/>
              </w:rPr>
            </w:pPr>
            <w:r>
              <w:rPr>
                <w:noProof/>
              </w:rPr>
              <w:t>17 February</w:t>
            </w:r>
            <w:r w:rsidR="008D7D6D" w:rsidRPr="0007442D">
              <w:rPr>
                <w:noProof/>
              </w:rPr>
              <w:t xml:space="preserve"> 2026</w:t>
            </w:r>
          </w:p>
        </w:tc>
      </w:tr>
    </w:tbl>
    <w:p w14:paraId="645D692D" w14:textId="77777777" w:rsidR="008108F1" w:rsidRPr="00090C0A" w:rsidRDefault="008108F1" w:rsidP="001704B9">
      <w:pPr>
        <w:pStyle w:val="ManualHeading1"/>
        <w:rPr>
          <w:noProof/>
        </w:rPr>
      </w:pPr>
      <w:r w:rsidRPr="00090C0A">
        <w:rPr>
          <w:noProof/>
        </w:rPr>
        <w:t>2.</w:t>
      </w:r>
      <w:r w:rsidRPr="00090C0A">
        <w:rPr>
          <w:noProof/>
        </w:rPr>
        <w:tab/>
        <w:t>Objective of the proposal from the Commission</w:t>
      </w:r>
    </w:p>
    <w:p w14:paraId="6E98E1D3" w14:textId="77777777" w:rsidR="0095488A" w:rsidRDefault="0095488A" w:rsidP="0095488A">
      <w:pPr>
        <w:rPr>
          <w:noProof/>
        </w:rPr>
      </w:pPr>
      <w:r>
        <w:rPr>
          <w:noProof/>
        </w:rPr>
        <w:t>Taking into account the overarching objective of EU water policy, the proposal aimed to:</w:t>
      </w:r>
    </w:p>
    <w:p w14:paraId="7A1C4CDE" w14:textId="77777777" w:rsidR="0095488A" w:rsidRDefault="0095488A" w:rsidP="0017549F">
      <w:pPr>
        <w:ind w:left="720" w:hanging="720"/>
        <w:rPr>
          <w:noProof/>
        </w:rPr>
      </w:pPr>
      <w:r>
        <w:rPr>
          <w:noProof/>
        </w:rPr>
        <w:t>•</w:t>
      </w:r>
      <w:r>
        <w:rPr>
          <w:noProof/>
        </w:rPr>
        <w:tab/>
        <w:t>increase the protection of EU citizens and natural ecosystems by proposing additional pollutants and related environmental quality standards to be complied with in groundwater and surface water bodies;</w:t>
      </w:r>
    </w:p>
    <w:p w14:paraId="2ABDCC2C" w14:textId="77777777" w:rsidR="008108F1" w:rsidRPr="00A179B5" w:rsidRDefault="0095488A" w:rsidP="0017549F">
      <w:pPr>
        <w:ind w:left="720" w:hanging="720"/>
        <w:rPr>
          <w:noProof/>
        </w:rPr>
      </w:pPr>
      <w:r>
        <w:rPr>
          <w:noProof/>
        </w:rPr>
        <w:t>•</w:t>
      </w:r>
      <w:r>
        <w:rPr>
          <w:noProof/>
        </w:rPr>
        <w:tab/>
        <w:t>increase the effectiveness and reduce the administrative burden of the legislation, to enable the EU to respond more quickly to emerging risks.</w:t>
      </w:r>
    </w:p>
    <w:p w14:paraId="4E4E80A3" w14:textId="77777777" w:rsidR="008108F1" w:rsidRPr="00090C0A" w:rsidRDefault="008108F1" w:rsidP="001704B9">
      <w:pPr>
        <w:pStyle w:val="ManualHeading1"/>
        <w:rPr>
          <w:noProof/>
        </w:rPr>
      </w:pPr>
      <w:r w:rsidRPr="00090C0A">
        <w:rPr>
          <w:noProof/>
        </w:rPr>
        <w:t>3.</w:t>
      </w:r>
      <w:r w:rsidRPr="00090C0A">
        <w:rPr>
          <w:noProof/>
        </w:rPr>
        <w:tab/>
        <w:t>Comments on the position of the Council</w:t>
      </w:r>
    </w:p>
    <w:p w14:paraId="6F3AE1C8" w14:textId="404F338E" w:rsidR="008D2B0A" w:rsidRPr="00217541" w:rsidRDefault="0095488A" w:rsidP="001704B9">
      <w:pPr>
        <w:widowControl w:val="0"/>
        <w:rPr>
          <w:noProof/>
        </w:rPr>
      </w:pPr>
      <w:r w:rsidRPr="0007442D">
        <w:rPr>
          <w:noProof/>
        </w:rPr>
        <w:t>The position of the Council as adopted at first reading fully reflects the political agreement reached between the European Parliament and the Council on 23 September 2025. The Commission supports this agreement, the main points of which are set out below.</w:t>
      </w:r>
    </w:p>
    <w:p w14:paraId="40F4B509" w14:textId="77777777" w:rsidR="00527A34" w:rsidRPr="001842A0" w:rsidRDefault="00527A34" w:rsidP="005D10E6">
      <w:pPr>
        <w:pStyle w:val="Point0"/>
        <w:rPr>
          <w:noProof/>
          <w:bdr w:val="nil"/>
        </w:rPr>
      </w:pPr>
      <w:r>
        <w:rPr>
          <w:noProof/>
        </w:rPr>
        <w:t>(a)</w:t>
      </w:r>
      <w:r>
        <w:rPr>
          <w:noProof/>
        </w:rPr>
        <w:tab/>
      </w:r>
      <w:r w:rsidRPr="001842A0">
        <w:rPr>
          <w:noProof/>
          <w:bdr w:val="nil"/>
        </w:rPr>
        <w:t xml:space="preserve">Revised list of substances and related quality standards </w:t>
      </w:r>
    </w:p>
    <w:p w14:paraId="3E5835D0" w14:textId="3979A20F" w:rsidR="00527A34" w:rsidRPr="00527A34" w:rsidRDefault="00527A34" w:rsidP="00527A34">
      <w:pPr>
        <w:pBdr>
          <w:top w:val="nil"/>
          <w:left w:val="nil"/>
          <w:bottom w:val="nil"/>
          <w:right w:val="nil"/>
          <w:between w:val="nil"/>
          <w:bar w:val="nil"/>
        </w:pBdr>
        <w:spacing w:before="0" w:after="0"/>
        <w:rPr>
          <w:rFonts w:eastAsia="Arial Unicode MS"/>
          <w:noProof/>
          <w:szCs w:val="24"/>
          <w:bdr w:val="nil"/>
        </w:rPr>
      </w:pPr>
      <w:r w:rsidRPr="00527A34">
        <w:rPr>
          <w:rFonts w:eastAsia="Times New Roman"/>
          <w:noProof/>
          <w:szCs w:val="24"/>
          <w:bdr w:val="nil"/>
        </w:rPr>
        <w:t xml:space="preserve">On the core of the Commission proposal, the political agreement keeps the majority of the revisions proposed by the Commission. </w:t>
      </w:r>
      <w:r w:rsidR="00FC4F59">
        <w:rPr>
          <w:rFonts w:eastAsia="Times New Roman"/>
          <w:noProof/>
          <w:szCs w:val="24"/>
          <w:bdr w:val="nil"/>
        </w:rPr>
        <w:t xml:space="preserve">Co-legislators have </w:t>
      </w:r>
      <w:r w:rsidRPr="00527A34">
        <w:rPr>
          <w:rFonts w:eastAsia="Times New Roman"/>
          <w:noProof/>
          <w:szCs w:val="24"/>
          <w:bdr w:val="nil"/>
        </w:rPr>
        <w:t xml:space="preserve">however </w:t>
      </w:r>
      <w:r w:rsidR="00FC4F59">
        <w:rPr>
          <w:rFonts w:eastAsia="Times New Roman"/>
          <w:noProof/>
          <w:szCs w:val="24"/>
          <w:bdr w:val="nil"/>
        </w:rPr>
        <w:t xml:space="preserve">agreed </w:t>
      </w:r>
      <w:r w:rsidRPr="00527A34">
        <w:rPr>
          <w:rFonts w:eastAsia="Times New Roman"/>
          <w:noProof/>
          <w:szCs w:val="24"/>
          <w:bdr w:val="nil"/>
        </w:rPr>
        <w:t>a few significant changes:</w:t>
      </w:r>
    </w:p>
    <w:p w14:paraId="591536AA" w14:textId="77777777" w:rsidR="0017549F" w:rsidRPr="00A95EE0" w:rsidRDefault="00527A34" w:rsidP="005D10E6">
      <w:pPr>
        <w:pStyle w:val="Bullet0"/>
        <w:numPr>
          <w:ilvl w:val="0"/>
          <w:numId w:val="7"/>
        </w:numPr>
        <w:rPr>
          <w:rFonts w:eastAsia="Calibri"/>
          <w:noProof/>
          <w:u w:color="000000"/>
          <w:bdr w:val="nil"/>
          <w:lang w:eastAsia="en-GB"/>
        </w:rPr>
      </w:pPr>
      <w:r w:rsidRPr="00A95EE0">
        <w:rPr>
          <w:b/>
          <w:bCs/>
          <w:noProof/>
          <w:u w:color="000000"/>
          <w:bdr w:val="nil"/>
          <w:lang w:eastAsia="en-GB"/>
        </w:rPr>
        <w:lastRenderedPageBreak/>
        <w:t xml:space="preserve">‘De-classification’ of two additional substances </w:t>
      </w:r>
      <w:r w:rsidRPr="00A95EE0">
        <w:rPr>
          <w:noProof/>
          <w:u w:color="000000"/>
          <w:bdr w:val="nil"/>
          <w:lang w:eastAsia="en-GB"/>
        </w:rPr>
        <w:t>(</w:t>
      </w:r>
      <w:r w:rsidRPr="008D2B0A">
        <w:rPr>
          <w:i/>
          <w:iCs/>
          <w:noProof/>
          <w:u w:color="000000"/>
          <w:bdr w:val="nil"/>
          <w:lang w:eastAsia="en-GB"/>
        </w:rPr>
        <w:t>atrazine</w:t>
      </w:r>
      <w:r w:rsidRPr="00A95EE0">
        <w:rPr>
          <w:noProof/>
          <w:u w:color="000000"/>
          <w:bdr w:val="nil"/>
          <w:lang w:eastAsia="en-GB"/>
        </w:rPr>
        <w:t xml:space="preserve"> and </w:t>
      </w:r>
      <w:r w:rsidRPr="008D2B0A">
        <w:rPr>
          <w:i/>
          <w:iCs/>
          <w:noProof/>
          <w:u w:color="000000"/>
          <w:bdr w:val="nil"/>
          <w:lang w:eastAsia="en-GB"/>
        </w:rPr>
        <w:t>trichlorobenzene</w:t>
      </w:r>
      <w:r w:rsidRPr="00A95EE0">
        <w:rPr>
          <w:noProof/>
          <w:u w:color="000000"/>
          <w:bdr w:val="nil"/>
          <w:lang w:eastAsia="en-GB"/>
        </w:rPr>
        <w:t xml:space="preserve">) in addition to the four priority substances delisted in the Commission proposal. </w:t>
      </w:r>
      <w:r w:rsidR="00A95EE0" w:rsidRPr="00A95EE0">
        <w:rPr>
          <w:noProof/>
          <w:u w:color="000000"/>
          <w:bdr w:val="nil"/>
          <w:lang w:eastAsia="en-GB"/>
        </w:rPr>
        <w:t xml:space="preserve"> </w:t>
      </w:r>
      <w:r w:rsidR="00A95EE0" w:rsidRPr="008D2B0A">
        <w:rPr>
          <w:i/>
          <w:iCs/>
          <w:noProof/>
          <w:u w:color="000000"/>
          <w:bdr w:val="nil"/>
          <w:lang w:eastAsia="en-GB"/>
        </w:rPr>
        <w:t>Trichlorobenzene’s</w:t>
      </w:r>
      <w:r w:rsidR="00A95EE0" w:rsidRPr="00A95EE0">
        <w:rPr>
          <w:noProof/>
          <w:u w:color="000000"/>
          <w:bdr w:val="nil"/>
          <w:lang w:eastAsia="en-GB"/>
        </w:rPr>
        <w:t xml:space="preserve"> use has been largely </w:t>
      </w:r>
      <w:r w:rsidR="008D2B0A" w:rsidRPr="00A95EE0">
        <w:rPr>
          <w:noProof/>
          <w:u w:color="000000"/>
          <w:bdr w:val="nil"/>
          <w:lang w:eastAsia="en-GB"/>
        </w:rPr>
        <w:t>restricted,</w:t>
      </w:r>
      <w:r w:rsidR="00A95EE0" w:rsidRPr="00A95EE0">
        <w:rPr>
          <w:noProof/>
          <w:u w:color="000000"/>
          <w:bdr w:val="nil"/>
          <w:lang w:eastAsia="en-GB"/>
        </w:rPr>
        <w:t xml:space="preserve"> and latest data shows a downward trend</w:t>
      </w:r>
      <w:r w:rsidR="008D2B0A">
        <w:rPr>
          <w:noProof/>
          <w:u w:color="000000"/>
          <w:bdr w:val="nil"/>
          <w:lang w:eastAsia="en-GB"/>
        </w:rPr>
        <w:t>, while</w:t>
      </w:r>
      <w:r w:rsidR="00A95EE0" w:rsidRPr="00A95EE0">
        <w:rPr>
          <w:noProof/>
          <w:u w:color="000000"/>
          <w:bdr w:val="nil"/>
          <w:lang w:eastAsia="en-GB"/>
        </w:rPr>
        <w:t xml:space="preserve"> </w:t>
      </w:r>
      <w:r w:rsidR="008D2B0A" w:rsidRPr="008D2B0A">
        <w:rPr>
          <w:i/>
          <w:iCs/>
          <w:noProof/>
          <w:u w:color="000000"/>
          <w:bdr w:val="nil"/>
          <w:lang w:eastAsia="en-GB"/>
        </w:rPr>
        <w:t>A</w:t>
      </w:r>
      <w:r w:rsidR="00A95EE0" w:rsidRPr="008D2B0A">
        <w:rPr>
          <w:i/>
          <w:iCs/>
          <w:noProof/>
          <w:u w:color="000000"/>
          <w:bdr w:val="nil"/>
          <w:lang w:eastAsia="en-GB"/>
        </w:rPr>
        <w:t>trazine</w:t>
      </w:r>
      <w:r w:rsidR="00A95EE0" w:rsidRPr="00A95EE0">
        <w:rPr>
          <w:noProof/>
          <w:u w:color="000000"/>
          <w:bdr w:val="nil"/>
          <w:lang w:eastAsia="en-GB"/>
        </w:rPr>
        <w:t xml:space="preserve"> has been banned in the EU since 2004.</w:t>
      </w:r>
      <w:r w:rsidR="00A95EE0">
        <w:rPr>
          <w:noProof/>
          <w:u w:color="000000"/>
          <w:bdr w:val="nil"/>
          <w:lang w:eastAsia="en-GB"/>
        </w:rPr>
        <w:t xml:space="preserve"> </w:t>
      </w:r>
      <w:r w:rsidR="00FC4F59" w:rsidRPr="00A95EE0">
        <w:rPr>
          <w:noProof/>
          <w:u w:color="000000"/>
          <w:bdr w:val="nil"/>
          <w:lang w:eastAsia="en-GB"/>
        </w:rPr>
        <w:t xml:space="preserve">These substances are hence moved from the list of surface water pollutants in Annex I (substances of EU wide concern) to Annex II (pollutants of national concern) to Directive 2008/105/EC. </w:t>
      </w:r>
      <w:r w:rsidRPr="00A95EE0">
        <w:rPr>
          <w:noProof/>
          <w:u w:color="000000"/>
          <w:bdr w:val="nil"/>
          <w:lang w:eastAsia="en-GB"/>
        </w:rPr>
        <w:t>As a result, the</w:t>
      </w:r>
      <w:r w:rsidR="008D2B0A">
        <w:rPr>
          <w:noProof/>
          <w:u w:color="000000"/>
          <w:bdr w:val="nil"/>
          <w:lang w:eastAsia="en-GB"/>
        </w:rPr>
        <w:t>y</w:t>
      </w:r>
      <w:r w:rsidRPr="00A95EE0">
        <w:rPr>
          <w:noProof/>
          <w:u w:color="000000"/>
          <w:bdr w:val="nil"/>
          <w:lang w:eastAsia="en-GB"/>
        </w:rPr>
        <w:t xml:space="preserve"> </w:t>
      </w:r>
      <w:r w:rsidR="008D2B0A">
        <w:rPr>
          <w:noProof/>
          <w:u w:color="000000"/>
          <w:bdr w:val="nil"/>
          <w:lang w:eastAsia="en-GB"/>
        </w:rPr>
        <w:t xml:space="preserve">will </w:t>
      </w:r>
      <w:r w:rsidRPr="00A95EE0">
        <w:rPr>
          <w:noProof/>
          <w:u w:color="000000"/>
          <w:bdr w:val="nil"/>
          <w:lang w:eastAsia="en-GB"/>
        </w:rPr>
        <w:t xml:space="preserve">only need to be monitored and complied with in Member States where the substances are still of concern. </w:t>
      </w:r>
    </w:p>
    <w:p w14:paraId="1DDF0A40" w14:textId="77777777" w:rsidR="0017549F" w:rsidRPr="0017549F" w:rsidRDefault="00527A34" w:rsidP="00217541">
      <w:pPr>
        <w:pStyle w:val="Bullet0"/>
        <w:rPr>
          <w:rFonts w:eastAsia="Calibri"/>
          <w:noProof/>
          <w:color w:val="000000"/>
          <w:szCs w:val="24"/>
          <w:u w:color="000000"/>
          <w:bdr w:val="nil"/>
          <w:lang w:eastAsia="en-GB"/>
        </w:rPr>
      </w:pPr>
      <w:r w:rsidRPr="0017549F">
        <w:rPr>
          <w:b/>
          <w:bCs/>
          <w:noProof/>
          <w:u w:color="000000"/>
          <w:bdr w:val="nil"/>
          <w:lang w:eastAsia="en-GB"/>
        </w:rPr>
        <w:t xml:space="preserve">Postponing to a future review </w:t>
      </w:r>
      <w:r w:rsidRPr="0017549F">
        <w:rPr>
          <w:noProof/>
          <w:u w:color="000000"/>
          <w:bdr w:val="nil"/>
          <w:lang w:eastAsia="en-GB"/>
        </w:rPr>
        <w:t xml:space="preserve">consideration of setting quality standards for sums of and/or totals for </w:t>
      </w:r>
      <w:r w:rsidR="00A95EE0">
        <w:rPr>
          <w:noProof/>
          <w:u w:color="000000"/>
          <w:bdr w:val="nil"/>
          <w:lang w:eastAsia="en-GB"/>
        </w:rPr>
        <w:t xml:space="preserve">complex families of substances such as </w:t>
      </w:r>
      <w:r w:rsidRPr="0017549F">
        <w:rPr>
          <w:noProof/>
          <w:u w:color="000000"/>
          <w:bdr w:val="nil"/>
          <w:lang w:eastAsia="en-GB"/>
        </w:rPr>
        <w:t>pharmaceuticals, pesticides, bisphenols, and PFAS</w:t>
      </w:r>
      <w:r w:rsidR="00FC4F59">
        <w:rPr>
          <w:noProof/>
          <w:u w:color="000000"/>
          <w:bdr w:val="nil"/>
          <w:lang w:eastAsia="en-GB"/>
        </w:rPr>
        <w:t xml:space="preserve"> </w:t>
      </w:r>
      <w:r w:rsidR="00FC4F59" w:rsidRPr="00FC4F59">
        <w:rPr>
          <w:noProof/>
          <w:u w:color="000000"/>
          <w:bdr w:val="nil"/>
          <w:lang w:eastAsia="en-GB"/>
        </w:rPr>
        <w:t xml:space="preserve">and tasking the Commission to carry out additional methodological </w:t>
      </w:r>
      <w:r w:rsidR="008A4D18">
        <w:rPr>
          <w:noProof/>
          <w:u w:color="000000"/>
          <w:bdr w:val="nil"/>
          <w:lang w:eastAsia="en-GB"/>
        </w:rPr>
        <w:t xml:space="preserve">work </w:t>
      </w:r>
      <w:r w:rsidR="00E139C8">
        <w:rPr>
          <w:noProof/>
          <w:u w:color="000000"/>
          <w:bdr w:val="nil"/>
          <w:lang w:eastAsia="en-GB"/>
        </w:rPr>
        <w:t xml:space="preserve">on suitable monitoring methods </w:t>
      </w:r>
      <w:r w:rsidR="00A95EE0">
        <w:rPr>
          <w:noProof/>
          <w:u w:color="000000"/>
          <w:bdr w:val="nil"/>
          <w:lang w:eastAsia="en-GB"/>
        </w:rPr>
        <w:t xml:space="preserve">and approaches to the setting of quality standards for </w:t>
      </w:r>
      <w:r w:rsidR="00FC4F59" w:rsidRPr="00FC4F59">
        <w:rPr>
          <w:noProof/>
          <w:u w:color="000000"/>
          <w:bdr w:val="nil"/>
          <w:lang w:eastAsia="en-GB"/>
        </w:rPr>
        <w:t>the next legislative review</w:t>
      </w:r>
      <w:r w:rsidR="0017549F" w:rsidRPr="0017549F">
        <w:rPr>
          <w:noProof/>
          <w:u w:color="000000"/>
          <w:bdr w:val="nil"/>
          <w:lang w:eastAsia="en-GB"/>
        </w:rPr>
        <w:t>.</w:t>
      </w:r>
    </w:p>
    <w:p w14:paraId="109901B5" w14:textId="77777777" w:rsidR="0017549F" w:rsidRPr="0017549F" w:rsidRDefault="0017549F" w:rsidP="00217541">
      <w:pPr>
        <w:pStyle w:val="Bullet0"/>
        <w:rPr>
          <w:rFonts w:eastAsia="Calibri"/>
          <w:noProof/>
          <w:color w:val="000000"/>
          <w:szCs w:val="24"/>
          <w:u w:color="000000"/>
          <w:bdr w:val="nil"/>
          <w:lang w:eastAsia="en-GB"/>
        </w:rPr>
      </w:pPr>
      <w:r w:rsidRPr="0017549F">
        <w:rPr>
          <w:b/>
          <w:bCs/>
          <w:noProof/>
          <w:u w:color="000000"/>
          <w:bdr w:val="nil"/>
          <w:lang w:eastAsia="en-GB"/>
        </w:rPr>
        <w:t>P</w:t>
      </w:r>
      <w:r w:rsidR="00527A34" w:rsidRPr="0017549F">
        <w:rPr>
          <w:b/>
          <w:bCs/>
          <w:noProof/>
          <w:u w:color="000000"/>
          <w:bdr w:val="nil"/>
          <w:lang w:eastAsia="en-GB"/>
        </w:rPr>
        <w:t>harmaceuticals in groundwater</w:t>
      </w:r>
      <w:r w:rsidR="00527A34" w:rsidRPr="0017549F">
        <w:rPr>
          <w:noProof/>
          <w:u w:color="000000"/>
          <w:bdr w:val="nil"/>
          <w:lang w:eastAsia="en-GB"/>
        </w:rPr>
        <w:t>: instead of the quality standard for ‘total pharmaceuticals’</w:t>
      </w:r>
      <w:r w:rsidR="00FC4F59" w:rsidRPr="00FC4F59">
        <w:rPr>
          <w:noProof/>
          <w:u w:color="000000"/>
          <w:bdr w:val="nil"/>
          <w:lang w:eastAsia="en-GB"/>
        </w:rPr>
        <w:t xml:space="preserve"> </w:t>
      </w:r>
      <w:r w:rsidR="00FC4F59" w:rsidRPr="0017549F">
        <w:rPr>
          <w:noProof/>
          <w:u w:color="000000"/>
          <w:bdr w:val="nil"/>
          <w:lang w:eastAsia="en-GB"/>
        </w:rPr>
        <w:t>proposed</w:t>
      </w:r>
      <w:r w:rsidR="00FC4F59">
        <w:rPr>
          <w:noProof/>
          <w:u w:color="000000"/>
          <w:bdr w:val="nil"/>
          <w:lang w:eastAsia="en-GB"/>
        </w:rPr>
        <w:t xml:space="preserve"> by the Commission</w:t>
      </w:r>
      <w:r w:rsidR="00527A34" w:rsidRPr="0017549F">
        <w:rPr>
          <w:noProof/>
          <w:u w:color="000000"/>
          <w:bdr w:val="nil"/>
          <w:lang w:eastAsia="en-GB"/>
        </w:rPr>
        <w:t xml:space="preserve">, a uniform quality standard is set for individual pharmaceutical substances of national concern in groundwater. Member States are however required to set a stricter standard where sensitive groundwater ecosystems have been identified. The substance </w:t>
      </w:r>
      <w:r w:rsidR="00527A34" w:rsidRPr="008D2B0A">
        <w:rPr>
          <w:i/>
          <w:iCs/>
          <w:noProof/>
          <w:u w:color="000000"/>
          <w:bdr w:val="nil"/>
          <w:lang w:eastAsia="en-GB"/>
        </w:rPr>
        <w:t>Primidone</w:t>
      </w:r>
      <w:r w:rsidR="00527A34" w:rsidRPr="0017549F">
        <w:rPr>
          <w:b/>
          <w:bCs/>
          <w:noProof/>
          <w:u w:color="000000"/>
          <w:bdr w:val="nil"/>
          <w:lang w:eastAsia="en-GB"/>
        </w:rPr>
        <w:t xml:space="preserve"> </w:t>
      </w:r>
      <w:r w:rsidR="00527A34" w:rsidRPr="0017549F">
        <w:rPr>
          <w:noProof/>
          <w:u w:color="000000"/>
          <w:bdr w:val="nil"/>
          <w:lang w:eastAsia="en-GB"/>
        </w:rPr>
        <w:t xml:space="preserve">(anti-epileptic medication) is included in Annex I of the GWD as a pollutant of EU-wide concern. </w:t>
      </w:r>
    </w:p>
    <w:p w14:paraId="58E34908" w14:textId="77777777" w:rsidR="008A4D18" w:rsidRPr="001842A0" w:rsidRDefault="008A4D18" w:rsidP="00217541">
      <w:pPr>
        <w:pStyle w:val="Bullet0"/>
        <w:rPr>
          <w:rFonts w:eastAsia="Calibri"/>
          <w:noProof/>
          <w:color w:val="000000"/>
          <w:u w:color="000000"/>
          <w:bdr w:val="nil"/>
          <w:lang w:eastAsia="en-GB"/>
        </w:rPr>
      </w:pPr>
      <w:r w:rsidRPr="004224F5">
        <w:rPr>
          <w:rFonts w:eastAsia="Calibri"/>
          <w:b/>
          <w:bCs/>
          <w:noProof/>
          <w:color w:val="000000"/>
          <w:u w:color="000000"/>
          <w:lang w:eastAsia="en-GB"/>
        </w:rPr>
        <w:t xml:space="preserve">Groundwater ecosystems: </w:t>
      </w:r>
      <w:r w:rsidRPr="004224F5">
        <w:rPr>
          <w:rFonts w:eastAsia="Calibri"/>
          <w:noProof/>
          <w:color w:val="000000"/>
          <w:u w:color="000000"/>
          <w:lang w:eastAsia="en-GB"/>
        </w:rPr>
        <w:t>T</w:t>
      </w:r>
      <w:r w:rsidRPr="004224F5">
        <w:rPr>
          <w:noProof/>
          <w:bdr w:val="nil"/>
        </w:rPr>
        <w:t xml:space="preserve">he co-legislators agreed to insert a footnote requiring Member States to set </w:t>
      </w:r>
      <w:r w:rsidRPr="004224F5">
        <w:rPr>
          <w:noProof/>
        </w:rPr>
        <w:t xml:space="preserve">stricter threshold values for </w:t>
      </w:r>
      <w:r>
        <w:rPr>
          <w:noProof/>
        </w:rPr>
        <w:t>groundwater pollutants</w:t>
      </w:r>
      <w:r w:rsidRPr="004224F5">
        <w:rPr>
          <w:noProof/>
        </w:rPr>
        <w:t xml:space="preserve"> </w:t>
      </w:r>
      <w:r>
        <w:rPr>
          <w:noProof/>
        </w:rPr>
        <w:t xml:space="preserve">where so justified based on scientific evidence and </w:t>
      </w:r>
      <w:r w:rsidRPr="004224F5">
        <w:rPr>
          <w:noProof/>
        </w:rPr>
        <w:t xml:space="preserve">subject to a reliable method being in place to </w:t>
      </w:r>
      <w:r w:rsidRPr="004224F5">
        <w:rPr>
          <w:noProof/>
          <w:bdr w:val="nil"/>
        </w:rPr>
        <w:t xml:space="preserve">identify </w:t>
      </w:r>
      <w:r w:rsidRPr="004224F5">
        <w:rPr>
          <w:noProof/>
        </w:rPr>
        <w:t>the presence</w:t>
      </w:r>
      <w:r w:rsidRPr="004224F5">
        <w:rPr>
          <w:noProof/>
          <w:bdr w:val="nil"/>
        </w:rPr>
        <w:t xml:space="preserve"> of groundwater ecosystems</w:t>
      </w:r>
      <w:r>
        <w:rPr>
          <w:noProof/>
          <w:bdr w:val="nil"/>
        </w:rPr>
        <w:t>. Co-legislators also</w:t>
      </w:r>
      <w:r w:rsidRPr="004224F5">
        <w:rPr>
          <w:noProof/>
          <w:bdr w:val="nil"/>
        </w:rPr>
        <w:t xml:space="preserve"> task </w:t>
      </w:r>
      <w:r w:rsidRPr="004224F5">
        <w:rPr>
          <w:noProof/>
        </w:rPr>
        <w:t>the Commission to develop</w:t>
      </w:r>
      <w:r w:rsidRPr="004224F5">
        <w:rPr>
          <w:noProof/>
          <w:bdr w:val="nil"/>
        </w:rPr>
        <w:t>, in cooperation with Member States,</w:t>
      </w:r>
      <w:r w:rsidRPr="004224F5">
        <w:rPr>
          <w:noProof/>
        </w:rPr>
        <w:t xml:space="preserve"> a methodology to identify the presence of groundwater ecosystems.</w:t>
      </w:r>
      <w:r w:rsidRPr="004224F5">
        <w:rPr>
          <w:noProof/>
          <w:bdr w:val="nil"/>
        </w:rPr>
        <w:t xml:space="preserve">    </w:t>
      </w:r>
    </w:p>
    <w:p w14:paraId="22758E4D" w14:textId="77777777" w:rsidR="0017549F" w:rsidRPr="0017549F" w:rsidRDefault="00FC4F59" w:rsidP="00217541">
      <w:pPr>
        <w:pStyle w:val="Bullet0"/>
        <w:rPr>
          <w:rFonts w:eastAsia="Calibri"/>
          <w:noProof/>
          <w:color w:val="000000"/>
          <w:szCs w:val="24"/>
          <w:u w:color="000000"/>
          <w:bdr w:val="nil"/>
          <w:lang w:eastAsia="en-GB"/>
        </w:rPr>
      </w:pPr>
      <w:r>
        <w:rPr>
          <w:b/>
          <w:bCs/>
          <w:noProof/>
          <w:u w:color="000000"/>
          <w:bdr w:val="nil"/>
          <w:lang w:eastAsia="en-GB"/>
        </w:rPr>
        <w:t>N</w:t>
      </w:r>
      <w:r w:rsidRPr="0017549F">
        <w:rPr>
          <w:b/>
          <w:bCs/>
          <w:noProof/>
          <w:u w:color="000000"/>
          <w:bdr w:val="nil"/>
          <w:lang w:eastAsia="en-GB"/>
        </w:rPr>
        <w:t>on</w:t>
      </w:r>
      <w:r>
        <w:rPr>
          <w:b/>
          <w:bCs/>
          <w:noProof/>
          <w:u w:color="000000"/>
          <w:bdr w:val="nil"/>
          <w:lang w:eastAsia="en-GB"/>
        </w:rPr>
        <w:t>-</w:t>
      </w:r>
      <w:r w:rsidRPr="0017549F">
        <w:rPr>
          <w:b/>
          <w:bCs/>
          <w:noProof/>
          <w:u w:color="000000"/>
          <w:bdr w:val="nil"/>
          <w:lang w:eastAsia="en-GB"/>
        </w:rPr>
        <w:t>relevant metabolites (nrMs) of pesticides in groundwater</w:t>
      </w:r>
      <w:r w:rsidRPr="001842A0">
        <w:rPr>
          <w:noProof/>
          <w:u w:color="000000"/>
          <w:bdr w:val="nil"/>
          <w:lang w:eastAsia="en-GB"/>
        </w:rPr>
        <w:t xml:space="preserve">: </w:t>
      </w:r>
      <w:r w:rsidR="00527A34" w:rsidRPr="0017549F">
        <w:rPr>
          <w:noProof/>
          <w:u w:color="000000"/>
          <w:bdr w:val="nil"/>
          <w:lang w:eastAsia="en-GB"/>
        </w:rPr>
        <w:t>The agreement retains the</w:t>
      </w:r>
      <w:r w:rsidR="00527A34" w:rsidRPr="0017549F">
        <w:rPr>
          <w:b/>
          <w:bCs/>
          <w:noProof/>
          <w:u w:color="000000"/>
          <w:bdr w:val="nil"/>
          <w:lang w:eastAsia="en-GB"/>
        </w:rPr>
        <w:t xml:space="preserve"> </w:t>
      </w:r>
      <w:r w:rsidR="00527A34" w:rsidRPr="0017549F">
        <w:rPr>
          <w:noProof/>
          <w:u w:color="000000"/>
          <w:bdr w:val="nil"/>
          <w:lang w:eastAsia="en-GB"/>
        </w:rPr>
        <w:t xml:space="preserve">‘middle value’ of 1 µg/l and a total of 5 µg/l </w:t>
      </w:r>
      <w:r w:rsidR="00527A34" w:rsidRPr="0017549F">
        <w:rPr>
          <w:rFonts w:eastAsia="Calibri"/>
          <w:noProof/>
          <w:u w:color="000000"/>
          <w:bdr w:val="nil"/>
          <w:lang w:eastAsia="en-GB"/>
        </w:rPr>
        <w:t>of</w:t>
      </w:r>
      <w:r w:rsidR="00527A34" w:rsidRPr="0017549F">
        <w:rPr>
          <w:rFonts w:eastAsia="Calibri"/>
          <w:b/>
          <w:bCs/>
          <w:noProof/>
          <w:u w:color="000000"/>
          <w:bdr w:val="nil"/>
          <w:lang w:eastAsia="en-GB"/>
        </w:rPr>
        <w:t xml:space="preserve"> </w:t>
      </w:r>
      <w:r w:rsidR="00527A34" w:rsidRPr="0017549F">
        <w:rPr>
          <w:noProof/>
          <w:u w:color="000000"/>
          <w:bdr w:val="nil"/>
          <w:lang w:eastAsia="en-GB"/>
        </w:rPr>
        <w:t>from the original proposal,</w:t>
      </w:r>
      <w:r w:rsidR="00527A34" w:rsidRPr="0017549F">
        <w:rPr>
          <w:rFonts w:eastAsia="Calibri"/>
          <w:noProof/>
          <w:u w:color="000000"/>
          <w:bdr w:val="nil"/>
          <w:lang w:eastAsia="en-GB"/>
        </w:rPr>
        <w:t xml:space="preserve"> while allowing Member States to set a more or less strict individual standard if justified based on available data on the toxicity of the substance. It also requires the Commission to adopt an implementing act to set out a (non-exhaustive) list of nrMs within 24 months of the entry into force, to be regularly revised. </w:t>
      </w:r>
    </w:p>
    <w:p w14:paraId="12E0E403" w14:textId="77777777" w:rsidR="00527A34" w:rsidRPr="00527A34" w:rsidRDefault="00527A34" w:rsidP="00217541">
      <w:pPr>
        <w:pStyle w:val="Bullet0"/>
        <w:rPr>
          <w:noProof/>
          <w:u w:color="000000"/>
          <w:bdr w:val="nil"/>
          <w:lang w:eastAsia="en-GB"/>
        </w:rPr>
      </w:pPr>
      <w:r w:rsidRPr="00527A34">
        <w:rPr>
          <w:rFonts w:eastAsia="Times New Roman"/>
          <w:b/>
          <w:bCs/>
          <w:noProof/>
          <w:u w:color="000000"/>
          <w:bdr w:val="nil"/>
          <w:lang w:eastAsia="en-GB"/>
        </w:rPr>
        <w:t xml:space="preserve">Pesticides in surface water: </w:t>
      </w:r>
      <w:r w:rsidRPr="00527A34">
        <w:rPr>
          <w:noProof/>
          <w:u w:color="000000"/>
          <w:bdr w:val="nil"/>
          <w:lang w:eastAsia="en-GB"/>
        </w:rPr>
        <w:t xml:space="preserve">The co-legislators agreed to a quality standard of 0,2 µg/l for a sum of a subset of pesticides (around 30) that are already listed in Annex I to the Environmental Quality Standards Directive. </w:t>
      </w:r>
    </w:p>
    <w:p w14:paraId="590CE301" w14:textId="6AB86D8A" w:rsidR="00A95EE0" w:rsidRPr="00464D86" w:rsidRDefault="00527A34" w:rsidP="00464D86">
      <w:pPr>
        <w:pStyle w:val="Bullet0"/>
        <w:rPr>
          <w:rFonts w:eastAsia="Arial Unicode MS"/>
          <w:b/>
          <w:bCs/>
          <w:noProof/>
          <w:szCs w:val="24"/>
          <w:bdr w:val="nil"/>
        </w:rPr>
      </w:pPr>
      <w:r w:rsidRPr="00464D86">
        <w:rPr>
          <w:b/>
          <w:bCs/>
          <w:noProof/>
          <w:u w:color="000000"/>
          <w:bdr w:val="nil"/>
          <w:lang w:eastAsia="en-GB"/>
        </w:rPr>
        <w:t xml:space="preserve">Quality Standards for a sum of selected PFAS in groundwater and surface water: </w:t>
      </w:r>
      <w:r w:rsidRPr="00464D86">
        <w:rPr>
          <w:noProof/>
          <w:u w:color="000000"/>
          <w:bdr w:val="nil"/>
          <w:lang w:eastAsia="en-GB"/>
        </w:rPr>
        <w:t>For surface water, the co-legislators agree</w:t>
      </w:r>
      <w:r w:rsidR="00D81E07" w:rsidRPr="00464D86">
        <w:rPr>
          <w:noProof/>
          <w:u w:color="000000"/>
          <w:bdr w:val="nil"/>
          <w:lang w:eastAsia="en-GB"/>
        </w:rPr>
        <w:t>d</w:t>
      </w:r>
      <w:r w:rsidRPr="00464D86">
        <w:rPr>
          <w:noProof/>
          <w:u w:color="000000"/>
          <w:bdr w:val="nil"/>
          <w:lang w:eastAsia="en-GB"/>
        </w:rPr>
        <w:t xml:space="preserve"> to the Commission proposal setting a strict standard of 0,0044 µg/l for a sum of 24 PFAS and </w:t>
      </w:r>
      <w:r w:rsidRPr="00464D86">
        <w:rPr>
          <w:b/>
          <w:bCs/>
          <w:noProof/>
          <w:u w:color="000000"/>
          <w:bdr w:val="nil"/>
          <w:lang w:eastAsia="en-GB"/>
        </w:rPr>
        <w:t xml:space="preserve">to add also </w:t>
      </w:r>
      <w:r w:rsidRPr="00464D86">
        <w:rPr>
          <w:b/>
          <w:bCs/>
          <w:i/>
          <w:iCs/>
          <w:noProof/>
          <w:u w:color="000000"/>
          <w:bdr w:val="nil"/>
          <w:lang w:eastAsia="en-GB"/>
        </w:rPr>
        <w:t>TFA</w:t>
      </w:r>
      <w:r w:rsidRPr="00464D86">
        <w:rPr>
          <w:noProof/>
          <w:u w:color="000000"/>
          <w:bdr w:val="nil"/>
          <w:lang w:eastAsia="en-GB"/>
        </w:rPr>
        <w:t xml:space="preserve"> </w:t>
      </w:r>
      <w:r w:rsidRPr="00464D86">
        <w:rPr>
          <w:b/>
          <w:bCs/>
          <w:noProof/>
          <w:u w:color="000000"/>
          <w:bdr w:val="nil"/>
          <w:lang w:eastAsia="en-GB"/>
        </w:rPr>
        <w:t>(</w:t>
      </w:r>
      <w:r w:rsidRPr="00464D86">
        <w:rPr>
          <w:b/>
          <w:bCs/>
          <w:i/>
          <w:iCs/>
          <w:noProof/>
          <w:u w:color="000000"/>
          <w:bdr w:val="nil"/>
          <w:lang w:eastAsia="en-GB"/>
        </w:rPr>
        <w:t>trifluoroacetic acid</w:t>
      </w:r>
      <w:r w:rsidRPr="00464D86">
        <w:rPr>
          <w:b/>
          <w:bCs/>
          <w:noProof/>
          <w:u w:color="000000"/>
          <w:bdr w:val="nil"/>
          <w:lang w:eastAsia="en-GB"/>
        </w:rPr>
        <w:t>) to the sum of 24 PFAS, making it a sum of 25 PFAS</w:t>
      </w:r>
      <w:r w:rsidRPr="00464D86">
        <w:rPr>
          <w:noProof/>
          <w:u w:color="000000"/>
          <w:bdr w:val="nil"/>
          <w:lang w:eastAsia="en-GB"/>
        </w:rPr>
        <w:t xml:space="preserve">. For groundwater, the co-legislators did not retain the Commission proposal to include the same sum of 24 PFAS as in surface </w:t>
      </w:r>
      <w:r w:rsidR="008D2B0A" w:rsidRPr="00464D86">
        <w:rPr>
          <w:noProof/>
          <w:u w:color="000000"/>
          <w:bdr w:val="nil"/>
          <w:lang w:eastAsia="en-GB"/>
        </w:rPr>
        <w:t>water but</w:t>
      </w:r>
      <w:r w:rsidRPr="00464D86">
        <w:rPr>
          <w:noProof/>
          <w:u w:color="000000"/>
          <w:bdr w:val="nil"/>
          <w:lang w:eastAsia="en-GB"/>
        </w:rPr>
        <w:t xml:space="preserve"> agreed on applying the strict quality standard of 0,0044 µg/l for the sum of 4 of the most hazardous PFAS. In addition, co-legislators agreed on the inclusion – with a dynamic alignment clause – of a less strict quality standard for a sum of 20 PFAS, which is aligned to the value </w:t>
      </w:r>
      <w:r w:rsidR="008D2B0A" w:rsidRPr="00464D86">
        <w:rPr>
          <w:noProof/>
          <w:u w:color="000000"/>
          <w:bdr w:val="nil"/>
          <w:lang w:eastAsia="en-GB"/>
        </w:rPr>
        <w:t xml:space="preserve">foreseen </w:t>
      </w:r>
      <w:r w:rsidRPr="00464D86">
        <w:rPr>
          <w:noProof/>
          <w:u w:color="000000"/>
          <w:bdr w:val="nil"/>
          <w:lang w:eastAsia="en-GB"/>
        </w:rPr>
        <w:t>under the Drinking Water Directive (DWD</w:t>
      </w:r>
      <w:r w:rsidR="008D2B0A" w:rsidRPr="00464D86">
        <w:rPr>
          <w:noProof/>
          <w:u w:color="000000"/>
          <w:bdr w:val="nil"/>
          <w:lang w:eastAsia="en-GB"/>
        </w:rPr>
        <w:t>)</w:t>
      </w:r>
      <w:r w:rsidRPr="00464D86">
        <w:rPr>
          <w:noProof/>
          <w:u w:color="000000"/>
          <w:bdr w:val="nil"/>
          <w:lang w:eastAsia="en-GB"/>
        </w:rPr>
        <w:t xml:space="preserve">. It was also agreed </w:t>
      </w:r>
      <w:r w:rsidRPr="00464D86">
        <w:rPr>
          <w:rFonts w:eastAsia="Calibri"/>
          <w:noProof/>
          <w:u w:color="000000"/>
          <w:bdr w:val="nil"/>
          <w:lang w:eastAsia="en-GB"/>
        </w:rPr>
        <w:t xml:space="preserve">to consider setting a quality standard for TFA </w:t>
      </w:r>
      <w:r w:rsidR="00D81E07" w:rsidRPr="00464D86">
        <w:rPr>
          <w:rFonts w:eastAsia="Calibri"/>
          <w:noProof/>
          <w:u w:color="000000"/>
          <w:bdr w:val="nil"/>
          <w:lang w:eastAsia="en-GB"/>
        </w:rPr>
        <w:t xml:space="preserve">in groundwater </w:t>
      </w:r>
      <w:r w:rsidRPr="00464D86">
        <w:rPr>
          <w:noProof/>
          <w:u w:color="000000"/>
          <w:bdr w:val="nil"/>
          <w:lang w:eastAsia="en-GB"/>
        </w:rPr>
        <w:t>(either separately or as part of a sum) in a future review.</w:t>
      </w:r>
    </w:p>
    <w:p w14:paraId="5E6D71A8" w14:textId="77777777" w:rsidR="002778CC" w:rsidRDefault="002778CC" w:rsidP="00217541">
      <w:pPr>
        <w:pStyle w:val="Point0"/>
        <w:rPr>
          <w:noProof/>
          <w:u w:color="000000"/>
          <w:bdr w:val="nil"/>
          <w:lang w:val="en-IE" w:eastAsia="en-GB"/>
        </w:rPr>
      </w:pPr>
      <w:r>
        <w:rPr>
          <w:noProof/>
        </w:rPr>
        <w:t>(b)</w:t>
      </w:r>
      <w:r>
        <w:rPr>
          <w:noProof/>
        </w:rPr>
        <w:tab/>
      </w:r>
      <w:r>
        <w:rPr>
          <w:noProof/>
          <w:u w:color="000000"/>
          <w:bdr w:val="nil"/>
          <w:lang w:val="en-IE" w:eastAsia="en-GB"/>
        </w:rPr>
        <w:t xml:space="preserve">Monitoring </w:t>
      </w:r>
      <w:r w:rsidR="00EE1B56">
        <w:rPr>
          <w:noProof/>
          <w:u w:color="000000"/>
          <w:bdr w:val="nil"/>
          <w:lang w:val="en-IE" w:eastAsia="en-GB"/>
        </w:rPr>
        <w:t>and reporting</w:t>
      </w:r>
    </w:p>
    <w:p w14:paraId="5E39ECCB" w14:textId="77777777" w:rsidR="008A4D18" w:rsidRDefault="008A4D18" w:rsidP="00217541">
      <w:pPr>
        <w:pStyle w:val="Bullet0"/>
        <w:rPr>
          <w:noProof/>
          <w:bdr w:val="nil"/>
        </w:rPr>
      </w:pPr>
      <w:r w:rsidRPr="001842A0">
        <w:rPr>
          <w:b/>
          <w:bCs/>
          <w:noProof/>
          <w:bdr w:val="nil"/>
        </w:rPr>
        <w:lastRenderedPageBreak/>
        <w:t>More frequent reporting of monitoring data and deletion of reporting on progress of programmes of measures</w:t>
      </w:r>
      <w:r>
        <w:rPr>
          <w:noProof/>
          <w:bdr w:val="nil"/>
        </w:rPr>
        <w:t xml:space="preserve">: The co-legislators have accepted the Commission proposal to ensure a more regular reporting, through automated data submission mechanisms, of monitoring data. The co-legislators have also accepted to simplify reporting by deleting the obligation for Member States to </w:t>
      </w:r>
      <w:r w:rsidR="008D2B0A">
        <w:rPr>
          <w:noProof/>
          <w:bdr w:val="nil"/>
        </w:rPr>
        <w:t xml:space="preserve">submit an interim </w:t>
      </w:r>
      <w:r>
        <w:rPr>
          <w:noProof/>
          <w:bdr w:val="nil"/>
        </w:rPr>
        <w:t xml:space="preserve">report on progress </w:t>
      </w:r>
      <w:r w:rsidR="008D2B0A">
        <w:rPr>
          <w:noProof/>
          <w:bdr w:val="nil"/>
        </w:rPr>
        <w:t>i</w:t>
      </w:r>
      <w:r>
        <w:rPr>
          <w:noProof/>
          <w:bdr w:val="nil"/>
        </w:rPr>
        <w:t xml:space="preserve">n </w:t>
      </w:r>
      <w:r w:rsidR="008D2B0A">
        <w:rPr>
          <w:noProof/>
          <w:bdr w:val="nil"/>
        </w:rPr>
        <w:t xml:space="preserve">the implementation </w:t>
      </w:r>
      <w:r>
        <w:rPr>
          <w:noProof/>
          <w:bdr w:val="nil"/>
        </w:rPr>
        <w:t xml:space="preserve">programmes of measures, considering such reporting non effective and burdensome. </w:t>
      </w:r>
    </w:p>
    <w:p w14:paraId="6F3E009C" w14:textId="77777777" w:rsidR="003060CA" w:rsidRPr="004224F5" w:rsidRDefault="003060CA" w:rsidP="00217541">
      <w:pPr>
        <w:pStyle w:val="Bullet0"/>
        <w:rPr>
          <w:noProof/>
          <w:bdr w:val="nil"/>
          <w:lang w:val="en-IE" w:eastAsia="en-GB"/>
        </w:rPr>
      </w:pPr>
      <w:r w:rsidRPr="00AB3045">
        <w:rPr>
          <w:b/>
          <w:bCs/>
          <w:noProof/>
          <w:bdr w:val="nil"/>
          <w:lang w:val="en-IE" w:eastAsia="en-GB"/>
        </w:rPr>
        <w:t>Enhanced roles for EEA and ECHA</w:t>
      </w:r>
      <w:r>
        <w:rPr>
          <w:noProof/>
          <w:bdr w:val="nil"/>
          <w:lang w:val="en-IE" w:eastAsia="en-GB"/>
        </w:rPr>
        <w:t xml:space="preserve">: </w:t>
      </w:r>
      <w:r w:rsidRPr="003060CA">
        <w:rPr>
          <w:noProof/>
          <w:bdr w:val="nil"/>
          <w:lang w:val="en-IE" w:eastAsia="en-GB"/>
        </w:rPr>
        <w:t>The co-legislators welcomed the proposal of the Commission to clarify and enhance the roles of the European Environment Agency (EEA) in terms of one-stop-shop for collecting</w:t>
      </w:r>
      <w:r>
        <w:rPr>
          <w:noProof/>
          <w:bdr w:val="nil"/>
          <w:lang w:val="en-IE" w:eastAsia="en-GB"/>
        </w:rPr>
        <w:t xml:space="preserve"> monitoring data</w:t>
      </w:r>
      <w:r w:rsidRPr="003060CA">
        <w:rPr>
          <w:noProof/>
          <w:bdr w:val="nil"/>
          <w:lang w:val="en-IE" w:eastAsia="en-GB"/>
        </w:rPr>
        <w:t xml:space="preserve">, and of the European Chemicals Agency (ECHA), in terms of </w:t>
      </w:r>
      <w:r w:rsidR="008D2B0A">
        <w:rPr>
          <w:noProof/>
          <w:bdr w:val="nil"/>
          <w:lang w:val="en-IE" w:eastAsia="en-GB"/>
        </w:rPr>
        <w:t xml:space="preserve">supporting the Commission in future revisions of </w:t>
      </w:r>
      <w:r w:rsidRPr="003060CA">
        <w:rPr>
          <w:noProof/>
          <w:bdr w:val="nil"/>
          <w:lang w:val="en-IE" w:eastAsia="en-GB"/>
        </w:rPr>
        <w:t xml:space="preserve">the watch lists and </w:t>
      </w:r>
      <w:r w:rsidR="008D2B0A">
        <w:rPr>
          <w:noProof/>
          <w:bdr w:val="nil"/>
          <w:lang w:val="en-IE" w:eastAsia="en-GB"/>
        </w:rPr>
        <w:t>of the</w:t>
      </w:r>
      <w:r w:rsidRPr="003060CA">
        <w:rPr>
          <w:noProof/>
          <w:bdr w:val="nil"/>
          <w:lang w:val="en-IE" w:eastAsia="en-GB"/>
        </w:rPr>
        <w:t xml:space="preserve"> lists of pollutants. </w:t>
      </w:r>
      <w:r>
        <w:rPr>
          <w:noProof/>
          <w:bdr w:val="nil"/>
          <w:lang w:val="en-IE" w:eastAsia="en-GB"/>
        </w:rPr>
        <w:t xml:space="preserve"> </w:t>
      </w:r>
      <w:r w:rsidRPr="003060CA">
        <w:rPr>
          <w:noProof/>
          <w:bdr w:val="nil"/>
          <w:lang w:val="en-IE" w:eastAsia="en-GB"/>
        </w:rPr>
        <w:t xml:space="preserve">  </w:t>
      </w:r>
    </w:p>
    <w:p w14:paraId="38AA4AD9" w14:textId="77777777" w:rsidR="004224F5" w:rsidRPr="004224F5" w:rsidRDefault="002778CC" w:rsidP="00217541">
      <w:pPr>
        <w:pStyle w:val="Bullet0"/>
        <w:rPr>
          <w:rFonts w:eastAsia="Times New Roman"/>
          <w:noProof/>
          <w:bdr w:val="nil"/>
        </w:rPr>
      </w:pPr>
      <w:r w:rsidRPr="004224F5">
        <w:rPr>
          <w:b/>
          <w:bCs/>
          <w:noProof/>
          <w:u w:color="000000"/>
          <w:bdr w:val="nil"/>
          <w:lang w:val="en-IE" w:eastAsia="en-GB"/>
        </w:rPr>
        <w:t>Groundwater and surface water watch lists</w:t>
      </w:r>
      <w:r w:rsidR="00EE1B56" w:rsidRPr="004224F5">
        <w:rPr>
          <w:b/>
          <w:bCs/>
          <w:noProof/>
          <w:u w:color="000000"/>
          <w:bdr w:val="nil"/>
          <w:lang w:val="en-IE" w:eastAsia="en-GB"/>
        </w:rPr>
        <w:t xml:space="preserve">: </w:t>
      </w:r>
      <w:r w:rsidRPr="004224F5">
        <w:rPr>
          <w:noProof/>
          <w:u w:color="000000"/>
          <w:bdr w:val="nil"/>
          <w:lang w:val="en-IE" w:eastAsia="en-GB"/>
        </w:rPr>
        <w:t xml:space="preserve">The co-legislators agreed to most elements of the Commission proposal, </w:t>
      </w:r>
      <w:r w:rsidR="00EE1B56" w:rsidRPr="004224F5">
        <w:rPr>
          <w:noProof/>
          <w:u w:color="000000"/>
          <w:bdr w:val="nil"/>
          <w:lang w:val="en-IE" w:eastAsia="en-GB"/>
        </w:rPr>
        <w:t>m</w:t>
      </w:r>
      <w:r w:rsidRPr="004224F5">
        <w:rPr>
          <w:noProof/>
          <w:u w:color="000000"/>
          <w:bdr w:val="nil"/>
          <w:lang w:val="en-IE" w:eastAsia="en-GB"/>
        </w:rPr>
        <w:t>aking ‘watch</w:t>
      </w:r>
      <w:r w:rsidR="00111BA9">
        <w:rPr>
          <w:noProof/>
          <w:u w:color="000000"/>
          <w:bdr w:val="nil"/>
          <w:lang w:val="en-IE" w:eastAsia="en-GB"/>
        </w:rPr>
        <w:t xml:space="preserve"> </w:t>
      </w:r>
      <w:r w:rsidRPr="004224F5">
        <w:rPr>
          <w:noProof/>
          <w:u w:color="000000"/>
          <w:bdr w:val="nil"/>
          <w:lang w:val="en-IE" w:eastAsia="en-GB"/>
        </w:rPr>
        <w:t>list’ monitoring in groundwater mandatory and streamlin</w:t>
      </w:r>
      <w:r w:rsidR="00EE1B56" w:rsidRPr="004224F5">
        <w:rPr>
          <w:noProof/>
          <w:u w:color="000000"/>
          <w:bdr w:val="nil"/>
          <w:lang w:val="en-IE" w:eastAsia="en-GB"/>
        </w:rPr>
        <w:t>ing</w:t>
      </w:r>
      <w:r w:rsidRPr="004224F5">
        <w:rPr>
          <w:noProof/>
          <w:u w:color="000000"/>
          <w:bdr w:val="nil"/>
          <w:lang w:val="en-IE" w:eastAsia="en-GB"/>
        </w:rPr>
        <w:t xml:space="preserve"> the procedure for both surface water and groundwater watch-list monitoring to make it more effective </w:t>
      </w:r>
      <w:r w:rsidR="00EE1B56" w:rsidRPr="004224F5">
        <w:rPr>
          <w:noProof/>
          <w:u w:color="000000"/>
          <w:bdr w:val="nil"/>
          <w:lang w:val="en-IE" w:eastAsia="en-GB"/>
        </w:rPr>
        <w:t>and manageable</w:t>
      </w:r>
      <w:r w:rsidRPr="004224F5">
        <w:rPr>
          <w:noProof/>
          <w:u w:color="000000"/>
          <w:bdr w:val="nil"/>
          <w:lang w:val="en-IE" w:eastAsia="en-GB"/>
        </w:rPr>
        <w:t xml:space="preserve">. The co-legislators also agreed to adding microplastics and antimicrobial resistance genes to </w:t>
      </w:r>
      <w:r w:rsidR="00111BA9">
        <w:rPr>
          <w:noProof/>
          <w:u w:color="000000"/>
          <w:bdr w:val="nil"/>
          <w:lang w:val="en-IE" w:eastAsia="en-GB"/>
        </w:rPr>
        <w:t>future</w:t>
      </w:r>
      <w:r w:rsidR="00111BA9" w:rsidRPr="004224F5">
        <w:rPr>
          <w:noProof/>
          <w:u w:color="000000"/>
          <w:bdr w:val="nil"/>
          <w:lang w:val="en-IE" w:eastAsia="en-GB"/>
        </w:rPr>
        <w:t xml:space="preserve"> </w:t>
      </w:r>
      <w:r w:rsidRPr="004224F5">
        <w:rPr>
          <w:noProof/>
          <w:u w:color="000000"/>
          <w:bdr w:val="nil"/>
          <w:lang w:val="en-IE" w:eastAsia="en-GB"/>
        </w:rPr>
        <w:t>watch lists</w:t>
      </w:r>
      <w:r w:rsidR="00D81E07">
        <w:rPr>
          <w:noProof/>
          <w:u w:color="000000"/>
          <w:bdr w:val="nil"/>
          <w:lang w:val="en-IE" w:eastAsia="en-GB"/>
        </w:rPr>
        <w:t xml:space="preserve"> once suitable methods have been developed</w:t>
      </w:r>
      <w:r w:rsidRPr="004224F5">
        <w:rPr>
          <w:noProof/>
          <w:u w:color="000000"/>
          <w:bdr w:val="nil"/>
          <w:lang w:val="en-IE" w:eastAsia="en-GB"/>
        </w:rPr>
        <w:t xml:space="preserve">, </w:t>
      </w:r>
      <w:r w:rsidRPr="004224F5">
        <w:rPr>
          <w:noProof/>
          <w:bdr w:val="nil"/>
          <w:lang w:val="en-IE" w:eastAsia="en-GB"/>
        </w:rPr>
        <w:t>so that data on their concentration in water can be collected in order to facilitate the development of a risk assessment methodology.</w:t>
      </w:r>
    </w:p>
    <w:p w14:paraId="78062924" w14:textId="77777777" w:rsidR="004224F5" w:rsidRDefault="00B10FC3" w:rsidP="00217541">
      <w:pPr>
        <w:pStyle w:val="Bullet0"/>
        <w:rPr>
          <w:rFonts w:eastAsia="Arial Unicode MS"/>
          <w:noProof/>
          <w:bdr w:val="nil"/>
        </w:rPr>
      </w:pPr>
      <w:r w:rsidRPr="004224F5">
        <w:rPr>
          <w:b/>
          <w:bCs/>
          <w:noProof/>
          <w:bdr w:val="nil"/>
        </w:rPr>
        <w:t>Mandatory effect-based monitoring of endocrine disruptors</w:t>
      </w:r>
      <w:r w:rsidR="004224F5" w:rsidRPr="004224F5">
        <w:rPr>
          <w:b/>
          <w:bCs/>
          <w:noProof/>
          <w:bdr w:val="nil"/>
        </w:rPr>
        <w:t xml:space="preserve">: </w:t>
      </w:r>
      <w:r w:rsidRPr="004224F5">
        <w:rPr>
          <w:noProof/>
          <w:bdr w:val="nil"/>
        </w:rPr>
        <w:t xml:space="preserve">The co-legislators agreed </w:t>
      </w:r>
      <w:r w:rsidR="004224F5" w:rsidRPr="004224F5">
        <w:rPr>
          <w:noProof/>
          <w:bdr w:val="nil"/>
        </w:rPr>
        <w:t>to</w:t>
      </w:r>
      <w:r w:rsidRPr="004224F5">
        <w:rPr>
          <w:noProof/>
          <w:bdr w:val="nil"/>
        </w:rPr>
        <w:t xml:space="preserve"> introduc</w:t>
      </w:r>
      <w:r w:rsidR="004224F5" w:rsidRPr="004224F5">
        <w:rPr>
          <w:noProof/>
          <w:bdr w:val="nil"/>
        </w:rPr>
        <w:t>e</w:t>
      </w:r>
      <w:r w:rsidRPr="004224F5">
        <w:rPr>
          <w:noProof/>
          <w:bdr w:val="nil"/>
        </w:rPr>
        <w:t xml:space="preserve"> mandatory </w:t>
      </w:r>
      <w:r w:rsidR="002F4AFB">
        <w:rPr>
          <w:noProof/>
          <w:bdr w:val="nil"/>
        </w:rPr>
        <w:t xml:space="preserve">testing of </w:t>
      </w:r>
      <w:r w:rsidRPr="004224F5">
        <w:rPr>
          <w:noProof/>
          <w:bdr w:val="nil"/>
        </w:rPr>
        <w:t xml:space="preserve">effect-based monitoring of </w:t>
      </w:r>
      <w:r w:rsidR="002F4AFB">
        <w:rPr>
          <w:noProof/>
          <w:bdr w:val="nil"/>
        </w:rPr>
        <w:t xml:space="preserve">certain </w:t>
      </w:r>
      <w:r w:rsidRPr="004224F5">
        <w:rPr>
          <w:noProof/>
          <w:bdr w:val="nil"/>
        </w:rPr>
        <w:t xml:space="preserve">endocrine disruptors </w:t>
      </w:r>
      <w:r w:rsidR="002F4AFB">
        <w:rPr>
          <w:noProof/>
          <w:bdr w:val="nil"/>
        </w:rPr>
        <w:t>for</w:t>
      </w:r>
      <w:r w:rsidR="002F4AFB" w:rsidRPr="004224F5">
        <w:rPr>
          <w:noProof/>
          <w:bdr w:val="nil"/>
        </w:rPr>
        <w:t xml:space="preserve"> </w:t>
      </w:r>
      <w:r w:rsidRPr="004224F5">
        <w:rPr>
          <w:noProof/>
          <w:bdr w:val="nil"/>
        </w:rPr>
        <w:t xml:space="preserve">a period of two years, </w:t>
      </w:r>
      <w:r w:rsidR="004D2606">
        <w:rPr>
          <w:noProof/>
          <w:bdr w:val="nil"/>
        </w:rPr>
        <w:t xml:space="preserve">while tasking the Commission to </w:t>
      </w:r>
      <w:r w:rsidRPr="004224F5">
        <w:rPr>
          <w:noProof/>
          <w:bdr w:val="nil"/>
        </w:rPr>
        <w:t xml:space="preserve">adopt an implementing act to set out the necessary </w:t>
      </w:r>
      <w:r w:rsidR="002F4AFB">
        <w:rPr>
          <w:noProof/>
          <w:bdr w:val="nil"/>
        </w:rPr>
        <w:t>technical specifications</w:t>
      </w:r>
      <w:r w:rsidR="004224F5" w:rsidRPr="004224F5">
        <w:rPr>
          <w:noProof/>
          <w:bdr w:val="nil"/>
        </w:rPr>
        <w:t>. T</w:t>
      </w:r>
      <w:r w:rsidRPr="004224F5">
        <w:rPr>
          <w:noProof/>
          <w:bdr w:val="nil"/>
        </w:rPr>
        <w:t xml:space="preserve">he co-legislators </w:t>
      </w:r>
      <w:r w:rsidR="004224F5" w:rsidRPr="004224F5">
        <w:rPr>
          <w:noProof/>
          <w:bdr w:val="nil"/>
        </w:rPr>
        <w:t xml:space="preserve">also </w:t>
      </w:r>
      <w:r w:rsidRPr="004224F5">
        <w:rPr>
          <w:noProof/>
          <w:bdr w:val="nil"/>
        </w:rPr>
        <w:t xml:space="preserve">tasked the Commission to </w:t>
      </w:r>
      <w:r w:rsidR="004224F5" w:rsidRPr="004224F5">
        <w:rPr>
          <w:noProof/>
          <w:bdr w:val="nil"/>
        </w:rPr>
        <w:t>co</w:t>
      </w:r>
      <w:r w:rsidRPr="004224F5">
        <w:rPr>
          <w:noProof/>
          <w:bdr w:val="nil"/>
        </w:rPr>
        <w:t xml:space="preserve">nsider proposing, in the context of the next update of the lists of pollutants, the use of such methods and related trigger values, also for other groups of substances. </w:t>
      </w:r>
    </w:p>
    <w:p w14:paraId="1F6540C4" w14:textId="77777777" w:rsidR="004224F5" w:rsidRPr="004224F5" w:rsidRDefault="00235ADB" w:rsidP="00217541">
      <w:pPr>
        <w:pStyle w:val="Bullet0"/>
        <w:rPr>
          <w:rFonts w:eastAsia="Times New Roman"/>
          <w:noProof/>
          <w:szCs w:val="24"/>
          <w:bdr w:val="nil"/>
          <w:lang w:eastAsia="en-GB"/>
        </w:rPr>
      </w:pPr>
      <w:r w:rsidRPr="004224F5">
        <w:rPr>
          <w:rFonts w:eastAsia="Calibri"/>
          <w:b/>
          <w:bCs/>
          <w:noProof/>
          <w:color w:val="000000"/>
          <w:u w:color="000000"/>
          <w:bdr w:val="nil"/>
          <w:lang w:eastAsia="en-GB"/>
        </w:rPr>
        <w:t xml:space="preserve">Inventories of emissions: </w:t>
      </w:r>
      <w:r w:rsidR="00111BA9" w:rsidRPr="001842A0">
        <w:rPr>
          <w:rFonts w:eastAsia="Calibri"/>
          <w:noProof/>
          <w:color w:val="000000"/>
          <w:u w:color="000000"/>
          <w:bdr w:val="nil"/>
          <w:lang w:eastAsia="en-GB"/>
        </w:rPr>
        <w:t xml:space="preserve">building on the Commission proposal, </w:t>
      </w:r>
      <w:r w:rsidRPr="004224F5">
        <w:rPr>
          <w:rFonts w:eastAsia="Calibri"/>
          <w:noProof/>
          <w:color w:val="000000"/>
          <w:u w:color="000000"/>
          <w:bdr w:val="nil"/>
          <w:lang w:eastAsia="en-GB"/>
        </w:rPr>
        <w:t xml:space="preserve">the co-legislators agreed to </w:t>
      </w:r>
      <w:r w:rsidRPr="004224F5">
        <w:rPr>
          <w:noProof/>
          <w:bdr w:val="nil"/>
        </w:rPr>
        <w:t xml:space="preserve">ensure completely streamlined reporting </w:t>
      </w:r>
      <w:r w:rsidR="00111BA9">
        <w:rPr>
          <w:noProof/>
          <w:bdr w:val="nil"/>
        </w:rPr>
        <w:t xml:space="preserve">of emissions of pollutants, including diffuse emissions, </w:t>
      </w:r>
      <w:r w:rsidRPr="004224F5">
        <w:rPr>
          <w:noProof/>
          <w:bdr w:val="nil"/>
        </w:rPr>
        <w:t>to the Industrial Emissions Portal,</w:t>
      </w:r>
      <w:r w:rsidR="00111BA9">
        <w:rPr>
          <w:noProof/>
          <w:bdr w:val="nil"/>
        </w:rPr>
        <w:t xml:space="preserve"> thereby</w:t>
      </w:r>
      <w:r w:rsidRPr="004224F5">
        <w:rPr>
          <w:noProof/>
          <w:bdr w:val="nil"/>
        </w:rPr>
        <w:t xml:space="preserve"> avoiding any duplication of reporting</w:t>
      </w:r>
      <w:r w:rsidR="00111BA9">
        <w:rPr>
          <w:noProof/>
          <w:bdr w:val="nil"/>
        </w:rPr>
        <w:t xml:space="preserve"> since the information will no longer be required to be reported as part of the river basin management plans</w:t>
      </w:r>
      <w:r w:rsidRPr="004224F5">
        <w:rPr>
          <w:noProof/>
          <w:bdr w:val="nil"/>
        </w:rPr>
        <w:t xml:space="preserve">. </w:t>
      </w:r>
    </w:p>
    <w:p w14:paraId="0A726E42" w14:textId="77777777" w:rsidR="004224F5" w:rsidRPr="004224F5" w:rsidRDefault="007E6F43" w:rsidP="00217541">
      <w:pPr>
        <w:pStyle w:val="Bullet0"/>
        <w:rPr>
          <w:noProof/>
          <w:bdr w:val="nil"/>
          <w:lang w:eastAsia="en-GB"/>
        </w:rPr>
      </w:pPr>
      <w:r w:rsidRPr="004224F5">
        <w:rPr>
          <w:b/>
          <w:bCs/>
          <w:noProof/>
          <w:u w:color="000000"/>
          <w:bdr w:val="nil"/>
          <w:lang w:val="en-IE" w:eastAsia="en-GB"/>
        </w:rPr>
        <w:t>Reporting of monitoring results in maps; the use of indicators of progress:</w:t>
      </w:r>
      <w:r w:rsidRPr="004224F5">
        <w:rPr>
          <w:noProof/>
          <w:u w:color="000000"/>
          <w:bdr w:val="nil"/>
          <w:lang w:val="en-IE" w:eastAsia="en-GB"/>
        </w:rPr>
        <w:t xml:space="preserve"> the co-legislators agreed to the Council amendments to include</w:t>
      </w:r>
      <w:r w:rsidRPr="004224F5">
        <w:rPr>
          <w:b/>
          <w:bCs/>
          <w:noProof/>
          <w:u w:color="000000"/>
          <w:bdr w:val="nil"/>
          <w:lang w:val="en-IE" w:eastAsia="en-GB"/>
        </w:rPr>
        <w:t xml:space="preserve"> </w:t>
      </w:r>
      <w:r w:rsidRPr="004224F5">
        <w:rPr>
          <w:rFonts w:eastAsia="Times New Roman"/>
          <w:noProof/>
          <w:bdr w:val="nil"/>
          <w:lang w:eastAsia="en-GB"/>
        </w:rPr>
        <w:t xml:space="preserve">several additional maps to cover various combinations of quality elements and for the Commission to work together with Member States </w:t>
      </w:r>
      <w:r w:rsidR="002F4AFB">
        <w:rPr>
          <w:rFonts w:eastAsia="Times New Roman"/>
          <w:noProof/>
          <w:bdr w:val="nil"/>
          <w:lang w:eastAsia="en-GB"/>
        </w:rPr>
        <w:t xml:space="preserve">and the European Environment Agency </w:t>
      </w:r>
      <w:r w:rsidRPr="004224F5">
        <w:rPr>
          <w:rFonts w:eastAsia="Times New Roman"/>
          <w:noProof/>
          <w:bdr w:val="nil"/>
          <w:lang w:eastAsia="en-GB"/>
        </w:rPr>
        <w:t xml:space="preserve">on the development of uniform ‘progress indicators’. </w:t>
      </w:r>
    </w:p>
    <w:p w14:paraId="62FC7F4A" w14:textId="77777777" w:rsidR="004224F5" w:rsidRPr="004224F5" w:rsidRDefault="00EE1B56" w:rsidP="00217541">
      <w:pPr>
        <w:pStyle w:val="Bullet0"/>
        <w:rPr>
          <w:b/>
          <w:bCs/>
          <w:noProof/>
          <w:u w:color="000000"/>
          <w:bdr w:val="nil"/>
          <w:lang w:val="en-IE" w:eastAsia="en-GB"/>
        </w:rPr>
      </w:pPr>
      <w:r w:rsidRPr="005375D6">
        <w:rPr>
          <w:b/>
          <w:bCs/>
          <w:noProof/>
          <w:u w:color="000000"/>
          <w:bdr w:val="nil"/>
          <w:lang w:val="en-IE" w:eastAsia="en-GB"/>
        </w:rPr>
        <w:t xml:space="preserve">Joint </w:t>
      </w:r>
      <w:r w:rsidR="002778CC" w:rsidRPr="005375D6">
        <w:rPr>
          <w:b/>
          <w:bCs/>
          <w:noProof/>
          <w:u w:color="000000"/>
          <w:bdr w:val="nil"/>
          <w:lang w:val="en-IE" w:eastAsia="en-GB"/>
        </w:rPr>
        <w:t>Monitoring Facility</w:t>
      </w:r>
      <w:r w:rsidRPr="005375D6">
        <w:rPr>
          <w:b/>
          <w:bCs/>
          <w:noProof/>
          <w:u w:color="000000"/>
          <w:bdr w:val="nil"/>
          <w:lang w:val="en-IE" w:eastAsia="en-GB"/>
        </w:rPr>
        <w:t xml:space="preserve">: </w:t>
      </w:r>
      <w:r w:rsidRPr="005375D6">
        <w:rPr>
          <w:noProof/>
          <w:u w:color="000000"/>
          <w:bdr w:val="nil"/>
          <w:lang w:val="en-IE" w:eastAsia="en-GB"/>
        </w:rPr>
        <w:t>the co-legislators agreed to task the Commission with an assessment of the</w:t>
      </w:r>
      <w:r w:rsidR="002778CC" w:rsidRPr="005375D6">
        <w:rPr>
          <w:noProof/>
          <w:bdr w:val="nil"/>
          <w:lang w:eastAsia="en-GB"/>
        </w:rPr>
        <w:t xml:space="preserve"> feasibility of </w:t>
      </w:r>
      <w:r w:rsidR="00111BA9" w:rsidRPr="005375D6">
        <w:rPr>
          <w:noProof/>
          <w:bdr w:val="nil"/>
          <w:lang w:eastAsia="en-GB"/>
        </w:rPr>
        <w:t xml:space="preserve">setting up </w:t>
      </w:r>
      <w:r w:rsidR="002778CC" w:rsidRPr="005375D6">
        <w:rPr>
          <w:noProof/>
          <w:bdr w:val="nil"/>
          <w:lang w:eastAsia="en-GB"/>
        </w:rPr>
        <w:t>a Joint Monitoring Facility</w:t>
      </w:r>
      <w:r w:rsidR="00111BA9" w:rsidRPr="005375D6">
        <w:rPr>
          <w:noProof/>
          <w:bdr w:val="nil"/>
          <w:lang w:eastAsia="en-GB"/>
        </w:rPr>
        <w:t xml:space="preserve"> to support Member States on a voluntary basis </w:t>
      </w:r>
      <w:r w:rsidR="005375D6">
        <w:rPr>
          <w:noProof/>
          <w:bdr w:val="nil"/>
          <w:lang w:eastAsia="en-GB"/>
        </w:rPr>
        <w:t xml:space="preserve">to </w:t>
      </w:r>
      <w:r w:rsidR="005375D6" w:rsidRPr="005375D6">
        <w:rPr>
          <w:noProof/>
          <w:bdr w:val="nil"/>
          <w:lang w:eastAsia="en-GB"/>
        </w:rPr>
        <w:t>manag</w:t>
      </w:r>
      <w:r w:rsidR="005375D6">
        <w:rPr>
          <w:noProof/>
          <w:bdr w:val="nil"/>
          <w:lang w:eastAsia="en-GB"/>
        </w:rPr>
        <w:t>e</w:t>
      </w:r>
      <w:r w:rsidR="005375D6" w:rsidRPr="005375D6">
        <w:rPr>
          <w:noProof/>
          <w:bdr w:val="nil"/>
          <w:lang w:eastAsia="en-GB"/>
        </w:rPr>
        <w:t xml:space="preserve"> the monitoring requirements, </w:t>
      </w:r>
      <w:r w:rsidR="005375D6">
        <w:rPr>
          <w:noProof/>
          <w:bdr w:val="nil"/>
          <w:lang w:eastAsia="en-GB"/>
        </w:rPr>
        <w:t xml:space="preserve">thereby </w:t>
      </w:r>
      <w:r w:rsidR="005375D6" w:rsidRPr="005375D6">
        <w:rPr>
          <w:noProof/>
          <w:bdr w:val="nil"/>
          <w:lang w:eastAsia="en-GB"/>
        </w:rPr>
        <w:t xml:space="preserve">easing </w:t>
      </w:r>
      <w:r w:rsidR="005375D6">
        <w:rPr>
          <w:noProof/>
          <w:bdr w:val="nil"/>
          <w:lang w:eastAsia="en-GB"/>
        </w:rPr>
        <w:t>Member States’</w:t>
      </w:r>
      <w:r w:rsidR="005375D6" w:rsidRPr="005375D6">
        <w:rPr>
          <w:noProof/>
          <w:bdr w:val="nil"/>
          <w:lang w:eastAsia="en-GB"/>
        </w:rPr>
        <w:t xml:space="preserve"> financial and administrative burdens. </w:t>
      </w:r>
      <w:r w:rsidR="002778CC" w:rsidRPr="004224F5">
        <w:rPr>
          <w:noProof/>
          <w:bdr w:val="nil"/>
          <w:lang w:eastAsia="en-GB"/>
        </w:rPr>
        <w:t xml:space="preserve"> </w:t>
      </w:r>
      <w:r w:rsidR="00111BA9">
        <w:rPr>
          <w:noProof/>
          <w:bdr w:val="nil"/>
          <w:lang w:eastAsia="en-GB"/>
        </w:rPr>
        <w:t xml:space="preserve"> </w:t>
      </w:r>
    </w:p>
    <w:p w14:paraId="177DF074" w14:textId="62911329" w:rsidR="00E359F7" w:rsidRPr="00464D86" w:rsidRDefault="007E6F43" w:rsidP="000F745C">
      <w:pPr>
        <w:pStyle w:val="Bullet0"/>
        <w:rPr>
          <w:noProof/>
          <w:bdr w:val="nil"/>
          <w:lang w:val="en-IE" w:eastAsia="en-GB"/>
        </w:rPr>
      </w:pPr>
      <w:r w:rsidRPr="00464D86">
        <w:rPr>
          <w:b/>
          <w:bCs/>
          <w:noProof/>
          <w:u w:color="000000"/>
          <w:bdr w:val="nil"/>
          <w:lang w:val="en-IE" w:eastAsia="en-GB"/>
        </w:rPr>
        <w:t>Extended Producer Responsibility (EPR)</w:t>
      </w:r>
      <w:r w:rsidR="004224F5" w:rsidRPr="00464D86">
        <w:rPr>
          <w:b/>
          <w:bCs/>
          <w:noProof/>
          <w:u w:color="000000"/>
          <w:bdr w:val="nil"/>
          <w:lang w:val="en-IE" w:eastAsia="en-GB"/>
        </w:rPr>
        <w:t xml:space="preserve">: </w:t>
      </w:r>
      <w:r w:rsidRPr="00464D86">
        <w:rPr>
          <w:noProof/>
          <w:bdr w:val="nil"/>
          <w:lang w:val="en-IE" w:eastAsia="en-GB"/>
        </w:rPr>
        <w:t>The co-leg</w:t>
      </w:r>
      <w:r w:rsidR="00111BA9" w:rsidRPr="00464D86">
        <w:rPr>
          <w:noProof/>
          <w:bdr w:val="nil"/>
          <w:lang w:val="en-IE" w:eastAsia="en-GB"/>
        </w:rPr>
        <w:t>i</w:t>
      </w:r>
      <w:r w:rsidRPr="00464D86">
        <w:rPr>
          <w:noProof/>
          <w:bdr w:val="nil"/>
          <w:lang w:val="en-IE" w:eastAsia="en-GB"/>
        </w:rPr>
        <w:t>slators agreed to task the Commission to perform an assessment of the</w:t>
      </w:r>
      <w:r w:rsidR="005375D6" w:rsidRPr="00464D86">
        <w:rPr>
          <w:noProof/>
          <w:bdr w:val="nil"/>
          <w:lang w:val="en-IE" w:eastAsia="en-GB"/>
        </w:rPr>
        <w:t xml:space="preserve"> feasibility of requiring producers that place on the EU market products containing any of the substances listed in Annexes I to Directives 2006/118/EC and 2008/105/EC to contribute to the costs of monitoring programmes.</w:t>
      </w:r>
    </w:p>
    <w:p w14:paraId="2AE3688B" w14:textId="77777777" w:rsidR="00B10FC3" w:rsidRDefault="002778CC" w:rsidP="00217541">
      <w:pPr>
        <w:pStyle w:val="Point0"/>
        <w:rPr>
          <w:noProof/>
          <w:bdr w:val="nil"/>
          <w:lang w:val="en-IE" w:eastAsia="en-GB"/>
        </w:rPr>
      </w:pPr>
      <w:r>
        <w:rPr>
          <w:noProof/>
        </w:rPr>
        <w:t>(c)</w:t>
      </w:r>
      <w:r>
        <w:rPr>
          <w:noProof/>
        </w:rPr>
        <w:tab/>
      </w:r>
      <w:r w:rsidRPr="00EE1B56">
        <w:rPr>
          <w:noProof/>
          <w:u w:color="000000"/>
          <w:bdr w:val="nil"/>
          <w:lang w:val="en-IE" w:eastAsia="en-GB"/>
        </w:rPr>
        <w:t>Transboundary</w:t>
      </w:r>
      <w:r w:rsidRPr="00EE1B56">
        <w:rPr>
          <w:noProof/>
          <w:bdr w:val="nil"/>
          <w:lang w:val="en-IE" w:eastAsia="en-GB"/>
        </w:rPr>
        <w:t xml:space="preserve"> cooperation</w:t>
      </w:r>
    </w:p>
    <w:p w14:paraId="1A020C11" w14:textId="7298EFD9" w:rsidR="00E359F7" w:rsidRDefault="002778CC" w:rsidP="004224F5">
      <w:pPr>
        <w:rPr>
          <w:noProof/>
          <w:bdr w:val="nil"/>
          <w:lang w:eastAsia="en-GB"/>
        </w:rPr>
      </w:pPr>
      <w:r w:rsidRPr="002778CC">
        <w:rPr>
          <w:noProof/>
          <w:bdr w:val="nil"/>
          <w:lang w:eastAsia="en-GB"/>
        </w:rPr>
        <w:lastRenderedPageBreak/>
        <w:t>The</w:t>
      </w:r>
      <w:r w:rsidR="00EE1B56">
        <w:rPr>
          <w:noProof/>
          <w:bdr w:val="nil"/>
          <w:lang w:eastAsia="en-GB"/>
        </w:rPr>
        <w:t xml:space="preserve"> co-legislators agreed to increase</w:t>
      </w:r>
      <w:r w:rsidR="00B10FC3">
        <w:rPr>
          <w:noProof/>
          <w:bdr w:val="nil"/>
          <w:lang w:eastAsia="en-GB"/>
        </w:rPr>
        <w:t>d</w:t>
      </w:r>
      <w:r w:rsidR="00EE1B56">
        <w:rPr>
          <w:noProof/>
          <w:bdr w:val="nil"/>
          <w:lang w:eastAsia="en-GB"/>
        </w:rPr>
        <w:t xml:space="preserve"> </w:t>
      </w:r>
      <w:r w:rsidR="00AE2916">
        <w:rPr>
          <w:noProof/>
          <w:bdr w:val="nil"/>
          <w:lang w:eastAsia="en-GB"/>
        </w:rPr>
        <w:t xml:space="preserve">transboundary </w:t>
      </w:r>
      <w:r w:rsidRPr="002778CC">
        <w:rPr>
          <w:noProof/>
          <w:bdr w:val="nil"/>
          <w:lang w:eastAsia="en-GB"/>
        </w:rPr>
        <w:t xml:space="preserve">cooperation, </w:t>
      </w:r>
      <w:r w:rsidR="00B10FC3">
        <w:rPr>
          <w:noProof/>
          <w:bdr w:val="nil"/>
          <w:lang w:eastAsia="en-GB"/>
        </w:rPr>
        <w:t>ensuring th</w:t>
      </w:r>
      <w:r w:rsidRPr="002778CC">
        <w:rPr>
          <w:noProof/>
          <w:bdr w:val="nil"/>
          <w:lang w:eastAsia="en-GB"/>
        </w:rPr>
        <w:t xml:space="preserve">at </w:t>
      </w:r>
      <w:r w:rsidR="00AE2916">
        <w:rPr>
          <w:noProof/>
          <w:bdr w:val="nil"/>
          <w:lang w:eastAsia="en-GB"/>
        </w:rPr>
        <w:t xml:space="preserve">affected Member States and </w:t>
      </w:r>
      <w:r w:rsidRPr="002778CC">
        <w:rPr>
          <w:noProof/>
          <w:bdr w:val="nil"/>
          <w:lang w:eastAsia="en-GB"/>
        </w:rPr>
        <w:t xml:space="preserve">the Commission would be informed immediately of </w:t>
      </w:r>
      <w:r w:rsidR="00AE2916">
        <w:rPr>
          <w:noProof/>
          <w:bdr w:val="nil"/>
          <w:lang w:eastAsia="en-GB"/>
        </w:rPr>
        <w:t xml:space="preserve">exceptional circumstances of extreme floods, prolonged droughts or </w:t>
      </w:r>
      <w:r w:rsidRPr="002778CC">
        <w:rPr>
          <w:noProof/>
          <w:bdr w:val="nil"/>
          <w:lang w:eastAsia="en-GB"/>
        </w:rPr>
        <w:t>accidental transboundary pollution</w:t>
      </w:r>
      <w:r w:rsidR="00AE2916">
        <w:rPr>
          <w:noProof/>
          <w:bdr w:val="nil"/>
          <w:lang w:eastAsia="en-GB"/>
        </w:rPr>
        <w:t xml:space="preserve"> and that adequate cooperation is established</w:t>
      </w:r>
      <w:r w:rsidRPr="002778CC">
        <w:rPr>
          <w:noProof/>
          <w:bdr w:val="nil"/>
          <w:lang w:eastAsia="en-GB"/>
        </w:rPr>
        <w:t>.</w:t>
      </w:r>
    </w:p>
    <w:p w14:paraId="1E64B415" w14:textId="77777777" w:rsidR="001A38A7" w:rsidRPr="001A38A7" w:rsidRDefault="001A38A7" w:rsidP="00217541">
      <w:pPr>
        <w:pStyle w:val="Point0"/>
        <w:rPr>
          <w:noProof/>
          <w:u w:color="000000"/>
          <w:bdr w:val="nil"/>
          <w:lang w:eastAsia="en-GB"/>
        </w:rPr>
      </w:pPr>
      <w:r>
        <w:rPr>
          <w:noProof/>
        </w:rPr>
        <w:t>(d)</w:t>
      </w:r>
      <w:r>
        <w:rPr>
          <w:noProof/>
        </w:rPr>
        <w:tab/>
      </w:r>
      <w:r w:rsidRPr="001A38A7">
        <w:rPr>
          <w:noProof/>
          <w:u w:color="000000"/>
          <w:bdr w:val="nil"/>
          <w:lang w:eastAsia="en-GB"/>
        </w:rPr>
        <w:t xml:space="preserve">Access to justice </w:t>
      </w:r>
    </w:p>
    <w:p w14:paraId="185D3B75" w14:textId="70363D82" w:rsidR="00A95EE0" w:rsidRPr="001A38A7" w:rsidRDefault="00BD78D1" w:rsidP="004224F5">
      <w:pPr>
        <w:pBdr>
          <w:top w:val="nil"/>
          <w:left w:val="nil"/>
          <w:bottom w:val="nil"/>
          <w:right w:val="nil"/>
          <w:between w:val="nil"/>
          <w:bar w:val="nil"/>
        </w:pBdr>
        <w:ind w:right="-20"/>
        <w:rPr>
          <w:rFonts w:eastAsia="Arial Unicode MS"/>
          <w:noProof/>
          <w:szCs w:val="24"/>
          <w:bdr w:val="nil"/>
        </w:rPr>
      </w:pPr>
      <w:r>
        <w:rPr>
          <w:rFonts w:eastAsia="Arial Unicode MS"/>
          <w:noProof/>
          <w:szCs w:val="24"/>
          <w:bdr w:val="nil"/>
        </w:rPr>
        <w:t>While this topic was not covered in the Commission proposal, t</w:t>
      </w:r>
      <w:r w:rsidR="001A38A7" w:rsidRPr="001A38A7">
        <w:rPr>
          <w:rFonts w:eastAsia="Arial Unicode MS"/>
          <w:noProof/>
          <w:szCs w:val="24"/>
          <w:bdr w:val="nil"/>
        </w:rPr>
        <w:t xml:space="preserve">he </w:t>
      </w:r>
      <w:r w:rsidR="001A38A7">
        <w:rPr>
          <w:rFonts w:eastAsia="Arial Unicode MS"/>
          <w:noProof/>
          <w:szCs w:val="24"/>
          <w:bdr w:val="nil"/>
        </w:rPr>
        <w:t xml:space="preserve">co-legislators agreed to introduce </w:t>
      </w:r>
      <w:r>
        <w:rPr>
          <w:rFonts w:eastAsia="Arial Unicode MS"/>
          <w:noProof/>
          <w:szCs w:val="24"/>
          <w:bdr w:val="nil"/>
        </w:rPr>
        <w:t>specific</w:t>
      </w:r>
      <w:r w:rsidR="001A38A7">
        <w:rPr>
          <w:rFonts w:eastAsia="Arial Unicode MS"/>
          <w:noProof/>
          <w:szCs w:val="24"/>
          <w:bdr w:val="nil"/>
        </w:rPr>
        <w:t xml:space="preserve"> access to justice provision</w:t>
      </w:r>
      <w:r>
        <w:rPr>
          <w:rFonts w:eastAsia="Arial Unicode MS"/>
          <w:noProof/>
          <w:szCs w:val="24"/>
          <w:bdr w:val="nil"/>
        </w:rPr>
        <w:t>s</w:t>
      </w:r>
      <w:r w:rsidR="001A38A7">
        <w:rPr>
          <w:rFonts w:eastAsia="Arial Unicode MS"/>
          <w:noProof/>
          <w:szCs w:val="24"/>
          <w:bdr w:val="nil"/>
        </w:rPr>
        <w:t xml:space="preserve"> in line with the Aarhus Convention</w:t>
      </w:r>
      <w:r>
        <w:rPr>
          <w:rFonts w:eastAsia="Arial Unicode MS"/>
          <w:noProof/>
          <w:szCs w:val="24"/>
          <w:bdr w:val="nil"/>
        </w:rPr>
        <w:t xml:space="preserve"> similarly to those introduce in recently agreed legislation such as the revised urban wastewater treatment directive</w:t>
      </w:r>
      <w:r w:rsidR="001A38A7">
        <w:rPr>
          <w:rFonts w:eastAsia="Arial Unicode MS"/>
          <w:noProof/>
          <w:szCs w:val="24"/>
          <w:bdr w:val="nil"/>
        </w:rPr>
        <w:t xml:space="preserve">, </w:t>
      </w:r>
      <w:r w:rsidR="001A38A7" w:rsidRPr="001A38A7">
        <w:rPr>
          <w:rFonts w:eastAsia="Arial Unicode MS"/>
          <w:noProof/>
          <w:szCs w:val="24"/>
          <w:bdr w:val="nil"/>
        </w:rPr>
        <w:t xml:space="preserve">in relation to acts and omissions subject to Articles 4, 11 and 13 (i.e. </w:t>
      </w:r>
      <w:r w:rsidR="001144AB">
        <w:rPr>
          <w:rFonts w:eastAsia="Arial Unicode MS"/>
          <w:noProof/>
          <w:szCs w:val="24"/>
          <w:bdr w:val="nil"/>
        </w:rPr>
        <w:t>the good status objectives, the programmes of measu</w:t>
      </w:r>
      <w:r w:rsidR="004D2606">
        <w:rPr>
          <w:rFonts w:eastAsia="Arial Unicode MS"/>
          <w:noProof/>
          <w:szCs w:val="24"/>
          <w:bdr w:val="nil"/>
        </w:rPr>
        <w:t>r</w:t>
      </w:r>
      <w:r w:rsidR="001144AB">
        <w:rPr>
          <w:rFonts w:eastAsia="Arial Unicode MS"/>
          <w:noProof/>
          <w:szCs w:val="24"/>
          <w:bdr w:val="nil"/>
        </w:rPr>
        <w:t>es and the river basin management plans</w:t>
      </w:r>
      <w:r w:rsidR="004D2606">
        <w:rPr>
          <w:rFonts w:eastAsia="Arial Unicode MS"/>
          <w:noProof/>
          <w:szCs w:val="24"/>
          <w:bdr w:val="nil"/>
        </w:rPr>
        <w:t>)</w:t>
      </w:r>
      <w:r w:rsidR="001A38A7" w:rsidRPr="001A38A7">
        <w:rPr>
          <w:rFonts w:eastAsia="Arial Unicode MS"/>
          <w:noProof/>
          <w:szCs w:val="24"/>
          <w:bdr w:val="nil"/>
        </w:rPr>
        <w:t xml:space="preserve">. </w:t>
      </w:r>
    </w:p>
    <w:p w14:paraId="4BBEC953" w14:textId="4E23AE2C" w:rsidR="001A38A7" w:rsidRPr="001A38A7" w:rsidRDefault="001A38A7" w:rsidP="00217541">
      <w:pPr>
        <w:pStyle w:val="Point0"/>
        <w:rPr>
          <w:rFonts w:ascii="Calibri" w:hAnsi="Calibri" w:cs="Calibri"/>
          <w:noProof/>
          <w:sz w:val="22"/>
          <w:u w:color="000000"/>
          <w:bdr w:val="nil"/>
          <w:lang w:eastAsia="en-GB"/>
        </w:rPr>
      </w:pPr>
      <w:r>
        <w:rPr>
          <w:noProof/>
        </w:rPr>
        <w:t>(e)</w:t>
      </w:r>
      <w:r>
        <w:rPr>
          <w:noProof/>
        </w:rPr>
        <w:tab/>
      </w:r>
      <w:r w:rsidRPr="001A38A7">
        <w:rPr>
          <w:noProof/>
          <w:u w:color="000000"/>
          <w:bdr w:val="nil"/>
          <w:lang w:eastAsia="en-GB"/>
        </w:rPr>
        <w:t xml:space="preserve">Reintroduction of </w:t>
      </w:r>
      <w:r w:rsidR="00486099">
        <w:rPr>
          <w:noProof/>
          <w:u w:color="000000"/>
          <w:bdr w:val="nil"/>
          <w:lang w:eastAsia="en-GB"/>
        </w:rPr>
        <w:t>the ordinary legislative procedure for updating the lists of pollutants for groundwater and surface water</w:t>
      </w:r>
    </w:p>
    <w:p w14:paraId="33F80D51" w14:textId="6BE290CC" w:rsidR="00E359F7" w:rsidRPr="001A38A7" w:rsidRDefault="00486099" w:rsidP="001A38A7">
      <w:pPr>
        <w:pBdr>
          <w:top w:val="nil"/>
          <w:left w:val="nil"/>
          <w:bottom w:val="nil"/>
          <w:right w:val="nil"/>
          <w:between w:val="nil"/>
          <w:bar w:val="nil"/>
        </w:pBdr>
        <w:ind w:right="-20"/>
        <w:rPr>
          <w:rFonts w:eastAsia="Arial Unicode MS"/>
          <w:noProof/>
          <w:szCs w:val="24"/>
          <w:bdr w:val="nil"/>
        </w:rPr>
      </w:pPr>
      <w:r w:rsidRPr="00486099">
        <w:rPr>
          <w:rFonts w:eastAsia="Arial Unicode MS"/>
          <w:noProof/>
          <w:szCs w:val="24"/>
          <w:bdr w:val="nil"/>
        </w:rPr>
        <w:t>The co-legislators</w:t>
      </w:r>
      <w:r w:rsidR="001A38A7" w:rsidRPr="001A38A7">
        <w:rPr>
          <w:rFonts w:eastAsia="Times New Roman"/>
          <w:noProof/>
          <w:szCs w:val="24"/>
          <w:bdr w:val="nil"/>
        </w:rPr>
        <w:t xml:space="preserve"> did not follow the Commission proposal to move from legislative acts to delegated acts for </w:t>
      </w:r>
      <w:r w:rsidR="00117D12">
        <w:rPr>
          <w:rFonts w:eastAsia="Times New Roman"/>
          <w:noProof/>
          <w:szCs w:val="24"/>
          <w:bdr w:val="nil"/>
        </w:rPr>
        <w:t xml:space="preserve">future </w:t>
      </w:r>
      <w:r w:rsidR="001A38A7" w:rsidRPr="001A38A7">
        <w:rPr>
          <w:rFonts w:eastAsia="Times New Roman"/>
          <w:noProof/>
          <w:szCs w:val="24"/>
          <w:bdr w:val="nil"/>
        </w:rPr>
        <w:t>amendments</w:t>
      </w:r>
      <w:r w:rsidR="00117D12">
        <w:rPr>
          <w:rFonts w:eastAsia="Times New Roman"/>
          <w:noProof/>
          <w:szCs w:val="24"/>
          <w:bdr w:val="nil"/>
        </w:rPr>
        <w:t xml:space="preserve"> to the list of pollutants</w:t>
      </w:r>
      <w:r w:rsidR="00C7547C">
        <w:rPr>
          <w:rFonts w:eastAsia="Times New Roman"/>
          <w:noProof/>
          <w:szCs w:val="24"/>
          <w:bdr w:val="nil"/>
        </w:rPr>
        <w:t xml:space="preserve"> and related quality standards</w:t>
      </w:r>
      <w:r w:rsidR="00117D12">
        <w:rPr>
          <w:rFonts w:eastAsia="Times New Roman"/>
          <w:noProof/>
          <w:szCs w:val="24"/>
          <w:bdr w:val="nil"/>
        </w:rPr>
        <w:t xml:space="preserve"> in surface and groundwater</w:t>
      </w:r>
      <w:r w:rsidR="001A38A7" w:rsidRPr="001A38A7">
        <w:rPr>
          <w:rFonts w:eastAsia="Times New Roman"/>
          <w:noProof/>
          <w:szCs w:val="24"/>
          <w:bdr w:val="nil"/>
        </w:rPr>
        <w:t>,</w:t>
      </w:r>
      <w:r w:rsidR="001A38A7" w:rsidRPr="001A38A7">
        <w:rPr>
          <w:rFonts w:eastAsia="Arial Unicode MS"/>
          <w:noProof/>
          <w:szCs w:val="24"/>
          <w:bdr w:val="nil"/>
        </w:rPr>
        <w:t xml:space="preserve"> </w:t>
      </w:r>
      <w:r>
        <w:rPr>
          <w:rFonts w:eastAsia="Arial Unicode MS"/>
          <w:noProof/>
          <w:szCs w:val="24"/>
          <w:bdr w:val="nil"/>
        </w:rPr>
        <w:t xml:space="preserve">keeping the </w:t>
      </w:r>
      <w:r w:rsidRPr="001A38A7">
        <w:rPr>
          <w:rFonts w:eastAsia="Arial Unicode MS"/>
          <w:noProof/>
          <w:szCs w:val="24"/>
          <w:bdr w:val="nil"/>
        </w:rPr>
        <w:t xml:space="preserve">ordinary legislative procedure for </w:t>
      </w:r>
      <w:r w:rsidR="00C7547C">
        <w:rPr>
          <w:rFonts w:eastAsia="Arial Unicode MS"/>
          <w:noProof/>
          <w:szCs w:val="24"/>
          <w:bdr w:val="nil"/>
        </w:rPr>
        <w:t xml:space="preserve">future </w:t>
      </w:r>
      <w:r w:rsidRPr="001A38A7">
        <w:rPr>
          <w:rFonts w:eastAsia="Arial Unicode MS"/>
          <w:noProof/>
          <w:szCs w:val="24"/>
          <w:bdr w:val="nil"/>
        </w:rPr>
        <w:t>amend</w:t>
      </w:r>
      <w:r w:rsidR="00C7547C">
        <w:rPr>
          <w:rFonts w:eastAsia="Arial Unicode MS"/>
          <w:noProof/>
          <w:szCs w:val="24"/>
          <w:bdr w:val="nil"/>
        </w:rPr>
        <w:t>ments</w:t>
      </w:r>
      <w:r w:rsidRPr="001A38A7">
        <w:rPr>
          <w:rFonts w:eastAsia="Arial Unicode MS"/>
          <w:noProof/>
          <w:szCs w:val="24"/>
          <w:bdr w:val="nil"/>
        </w:rPr>
        <w:t xml:space="preserve">. </w:t>
      </w:r>
      <w:r>
        <w:rPr>
          <w:rFonts w:eastAsia="Arial Unicode MS"/>
          <w:noProof/>
          <w:szCs w:val="24"/>
          <w:bdr w:val="nil"/>
        </w:rPr>
        <w:t>They also maintained the current</w:t>
      </w:r>
      <w:r w:rsidR="001A38A7" w:rsidRPr="001A38A7">
        <w:rPr>
          <w:rFonts w:eastAsia="Arial Unicode MS"/>
          <w:noProof/>
          <w:szCs w:val="24"/>
          <w:bdr w:val="nil"/>
        </w:rPr>
        <w:t xml:space="preserve"> obligation for the Commission to make legislative proposals </w:t>
      </w:r>
      <w:r>
        <w:rPr>
          <w:rFonts w:eastAsia="Arial Unicode MS"/>
          <w:noProof/>
          <w:szCs w:val="24"/>
          <w:bdr w:val="nil"/>
        </w:rPr>
        <w:t xml:space="preserve">for Member States </w:t>
      </w:r>
      <w:r w:rsidR="001A38A7" w:rsidRPr="001A38A7">
        <w:rPr>
          <w:rFonts w:eastAsia="Arial Unicode MS"/>
          <w:noProof/>
          <w:szCs w:val="24"/>
          <w:bdr w:val="nil"/>
        </w:rPr>
        <w:t xml:space="preserve">to progressively phase out emissions of hazardous priority substances </w:t>
      </w:r>
      <w:r>
        <w:rPr>
          <w:rFonts w:eastAsia="Arial Unicode MS"/>
          <w:noProof/>
          <w:szCs w:val="24"/>
          <w:bdr w:val="nil"/>
        </w:rPr>
        <w:t>within a</w:t>
      </w:r>
      <w:r w:rsidR="001A38A7" w:rsidRPr="001A38A7">
        <w:rPr>
          <w:rFonts w:eastAsia="Arial Unicode MS"/>
          <w:noProof/>
          <w:szCs w:val="24"/>
          <w:bdr w:val="nil"/>
        </w:rPr>
        <w:t xml:space="preserve"> timetable not exceed</w:t>
      </w:r>
      <w:r>
        <w:rPr>
          <w:rFonts w:eastAsia="Arial Unicode MS"/>
          <w:noProof/>
          <w:szCs w:val="24"/>
          <w:bdr w:val="nil"/>
        </w:rPr>
        <w:t>ing</w:t>
      </w:r>
      <w:r w:rsidR="001A38A7" w:rsidRPr="001A38A7">
        <w:rPr>
          <w:rFonts w:eastAsia="Arial Unicode MS"/>
          <w:noProof/>
          <w:szCs w:val="24"/>
          <w:bdr w:val="nil"/>
        </w:rPr>
        <w:t xml:space="preserve"> 20 years from the listing of the substance</w:t>
      </w:r>
      <w:r>
        <w:rPr>
          <w:rFonts w:eastAsia="Arial Unicode MS"/>
          <w:noProof/>
          <w:szCs w:val="24"/>
          <w:bdr w:val="nil"/>
        </w:rPr>
        <w:t>.</w:t>
      </w:r>
    </w:p>
    <w:p w14:paraId="006EA0AC" w14:textId="77777777" w:rsidR="001642C1" w:rsidRDefault="001A38A7" w:rsidP="00217541">
      <w:pPr>
        <w:pStyle w:val="Point0"/>
        <w:rPr>
          <w:noProof/>
          <w:u w:color="000000"/>
          <w:bdr w:val="nil"/>
          <w:lang w:eastAsia="en-GB"/>
        </w:rPr>
      </w:pPr>
      <w:r>
        <w:rPr>
          <w:noProof/>
        </w:rPr>
        <w:t>(f)</w:t>
      </w:r>
      <w:r>
        <w:rPr>
          <w:noProof/>
        </w:rPr>
        <w:tab/>
      </w:r>
      <w:r w:rsidRPr="001A38A7">
        <w:rPr>
          <w:noProof/>
          <w:u w:color="000000"/>
          <w:bdr w:val="nil"/>
          <w:lang w:eastAsia="en-GB"/>
        </w:rPr>
        <w:t>Use of delegated acts v use of implementing acts</w:t>
      </w:r>
    </w:p>
    <w:p w14:paraId="41DB524B" w14:textId="0A4ADA44" w:rsidR="00E359F7" w:rsidRDefault="00D12CA9" w:rsidP="004224F5">
      <w:pPr>
        <w:pBdr>
          <w:top w:val="nil"/>
          <w:left w:val="nil"/>
          <w:bottom w:val="nil"/>
          <w:right w:val="nil"/>
          <w:between w:val="nil"/>
          <w:bar w:val="nil"/>
        </w:pBdr>
        <w:spacing w:before="0" w:after="200"/>
        <w:ind w:left="-20"/>
        <w:rPr>
          <w:rFonts w:eastAsia="Arial Unicode MS"/>
          <w:noProof/>
          <w:szCs w:val="24"/>
          <w:bdr w:val="nil"/>
        </w:rPr>
      </w:pPr>
      <w:r>
        <w:rPr>
          <w:rFonts w:eastAsia="Calibri"/>
          <w:noProof/>
          <w:color w:val="000000"/>
          <w:szCs w:val="24"/>
          <w:u w:color="000000"/>
          <w:bdr w:val="nil"/>
          <w:lang w:eastAsia="en-GB"/>
        </w:rPr>
        <w:t>O</w:t>
      </w:r>
      <w:r w:rsidR="001A38A7" w:rsidRPr="001A38A7">
        <w:rPr>
          <w:rFonts w:eastAsia="Arial Unicode MS"/>
          <w:noProof/>
          <w:szCs w:val="24"/>
          <w:bdr w:val="nil"/>
        </w:rPr>
        <w:t xml:space="preserve">n the conversion of comitology related provisions to adapt to the Lisbon Treaty, the co-legislators </w:t>
      </w:r>
      <w:r>
        <w:rPr>
          <w:rFonts w:eastAsia="Arial Unicode MS"/>
          <w:noProof/>
          <w:szCs w:val="24"/>
          <w:bdr w:val="nil"/>
        </w:rPr>
        <w:t xml:space="preserve">could agree on all Commission proposals, except for the adoption of harmonised reference </w:t>
      </w:r>
      <w:r w:rsidR="001A38A7" w:rsidRPr="001A38A7">
        <w:rPr>
          <w:rFonts w:eastAsia="Arial Unicode MS"/>
          <w:noProof/>
          <w:szCs w:val="24"/>
          <w:bdr w:val="nil"/>
        </w:rPr>
        <w:t xml:space="preserve">values </w:t>
      </w:r>
      <w:r>
        <w:rPr>
          <w:rFonts w:eastAsia="Arial Unicode MS"/>
          <w:noProof/>
          <w:szCs w:val="24"/>
          <w:bdr w:val="nil"/>
        </w:rPr>
        <w:t>for the purpose of determining the status of biological quality elements in sur</w:t>
      </w:r>
      <w:r w:rsidR="00FB02E8">
        <w:rPr>
          <w:rFonts w:eastAsia="Arial Unicode MS"/>
          <w:noProof/>
          <w:szCs w:val="24"/>
          <w:bdr w:val="nil"/>
        </w:rPr>
        <w:t>f</w:t>
      </w:r>
      <w:r>
        <w:rPr>
          <w:rFonts w:eastAsia="Arial Unicode MS"/>
          <w:noProof/>
          <w:szCs w:val="24"/>
          <w:bdr w:val="nil"/>
        </w:rPr>
        <w:t>ace water (r</w:t>
      </w:r>
      <w:r w:rsidR="001A38A7" w:rsidRPr="001A38A7">
        <w:rPr>
          <w:rFonts w:eastAsia="Arial Unicode MS"/>
          <w:noProof/>
          <w:szCs w:val="24"/>
          <w:bdr w:val="nil"/>
        </w:rPr>
        <w:t>esulting from the so-called “intercalibration exercise”</w:t>
      </w:r>
      <w:r>
        <w:rPr>
          <w:rFonts w:eastAsia="Arial Unicode MS"/>
          <w:noProof/>
          <w:szCs w:val="24"/>
          <w:bdr w:val="nil"/>
        </w:rPr>
        <w:t>), where the co-legislators agreed to implementing acts.</w:t>
      </w:r>
    </w:p>
    <w:p w14:paraId="5A5F4BC4" w14:textId="77777777" w:rsidR="004224F5" w:rsidRPr="001842A0" w:rsidRDefault="004224F5" w:rsidP="00217541">
      <w:pPr>
        <w:pStyle w:val="Point0"/>
        <w:rPr>
          <w:noProof/>
          <w:u w:color="000000"/>
          <w:bdr w:val="nil"/>
          <w:lang w:eastAsia="en-GB"/>
        </w:rPr>
      </w:pPr>
      <w:r>
        <w:rPr>
          <w:noProof/>
        </w:rPr>
        <w:t>(g)</w:t>
      </w:r>
      <w:r>
        <w:rPr>
          <w:noProof/>
        </w:rPr>
        <w:tab/>
      </w:r>
      <w:r w:rsidRPr="001842A0">
        <w:rPr>
          <w:noProof/>
          <w:u w:color="000000"/>
          <w:bdr w:val="nil"/>
          <w:lang w:eastAsia="en-GB"/>
        </w:rPr>
        <w:t>Non-deterioration clause and exemptions</w:t>
      </w:r>
    </w:p>
    <w:p w14:paraId="1D7FCD68" w14:textId="74A41ABF" w:rsidR="004224F5" w:rsidRPr="00527A34" w:rsidRDefault="000059C1" w:rsidP="004224F5">
      <w:pPr>
        <w:pBdr>
          <w:top w:val="nil"/>
          <w:left w:val="nil"/>
          <w:bottom w:val="nil"/>
          <w:right w:val="nil"/>
          <w:between w:val="nil"/>
          <w:bar w:val="nil"/>
        </w:pBdr>
        <w:spacing w:before="0" w:after="0"/>
        <w:rPr>
          <w:rFonts w:eastAsia="Times New Roman"/>
          <w:noProof/>
          <w:szCs w:val="24"/>
          <w:bdr w:val="nil"/>
        </w:rPr>
      </w:pPr>
      <w:r>
        <w:rPr>
          <w:rFonts w:eastAsia="Arial Unicode MS"/>
          <w:noProof/>
          <w:szCs w:val="24"/>
          <w:bdr w:val="nil"/>
        </w:rPr>
        <w:t xml:space="preserve">The issue was not covered by the Commission proposal. </w:t>
      </w:r>
      <w:r w:rsidR="004224F5">
        <w:rPr>
          <w:rFonts w:eastAsia="Times New Roman"/>
          <w:noProof/>
          <w:szCs w:val="24"/>
          <w:bdr w:val="nil"/>
        </w:rPr>
        <w:t xml:space="preserve">The </w:t>
      </w:r>
      <w:r w:rsidR="004224F5" w:rsidRPr="00527A34">
        <w:rPr>
          <w:rFonts w:eastAsia="Times New Roman"/>
          <w:noProof/>
          <w:szCs w:val="24"/>
          <w:bdr w:val="nil"/>
        </w:rPr>
        <w:t>co-legislators agreed</w:t>
      </w:r>
      <w:r w:rsidR="00FF3579">
        <w:rPr>
          <w:rFonts w:eastAsia="Times New Roman"/>
          <w:noProof/>
          <w:szCs w:val="24"/>
          <w:bdr w:val="nil"/>
        </w:rPr>
        <w:t>, based on a Council proposal,</w:t>
      </w:r>
      <w:r w:rsidR="004224F5" w:rsidRPr="00527A34">
        <w:rPr>
          <w:rFonts w:eastAsia="Times New Roman"/>
          <w:noProof/>
          <w:szCs w:val="24"/>
          <w:bdr w:val="nil"/>
        </w:rPr>
        <w:t xml:space="preserve"> to include a </w:t>
      </w:r>
      <w:r w:rsidR="004224F5" w:rsidRPr="00527A34">
        <w:rPr>
          <w:rFonts w:eastAsia="Times New Roman"/>
          <w:b/>
          <w:bCs/>
          <w:noProof/>
          <w:szCs w:val="24"/>
          <w:bdr w:val="nil"/>
        </w:rPr>
        <w:t>definition of ‘deterioration of status’</w:t>
      </w:r>
      <w:r w:rsidR="004224F5" w:rsidRPr="00527A34">
        <w:rPr>
          <w:rFonts w:eastAsia="Times New Roman"/>
          <w:noProof/>
          <w:szCs w:val="24"/>
          <w:bdr w:val="nil"/>
        </w:rPr>
        <w:t xml:space="preserve"> in line with the </w:t>
      </w:r>
      <w:r>
        <w:rPr>
          <w:rFonts w:eastAsia="Times New Roman"/>
          <w:noProof/>
          <w:szCs w:val="24"/>
          <w:bdr w:val="nil"/>
        </w:rPr>
        <w:t>jurisprudence of</w:t>
      </w:r>
      <w:r w:rsidR="004224F5" w:rsidRPr="00527A34">
        <w:rPr>
          <w:rFonts w:eastAsia="Times New Roman"/>
          <w:noProof/>
          <w:szCs w:val="24"/>
          <w:bdr w:val="nil"/>
        </w:rPr>
        <w:t xml:space="preserve"> the </w:t>
      </w:r>
      <w:r>
        <w:rPr>
          <w:rFonts w:eastAsia="Times New Roman"/>
          <w:noProof/>
          <w:szCs w:val="24"/>
          <w:bdr w:val="nil"/>
        </w:rPr>
        <w:t xml:space="preserve">European </w:t>
      </w:r>
      <w:r w:rsidR="004224F5" w:rsidRPr="00527A34">
        <w:rPr>
          <w:rFonts w:eastAsia="Times New Roman"/>
          <w:noProof/>
          <w:szCs w:val="24"/>
          <w:bdr w:val="nil"/>
        </w:rPr>
        <w:t>Court of Justice in its Weser ruling</w:t>
      </w:r>
      <w:r w:rsidR="004224F5" w:rsidRPr="00217541">
        <w:rPr>
          <w:rStyle w:val="FootnoteReference"/>
          <w:noProof/>
        </w:rPr>
        <w:footnoteReference w:id="1"/>
      </w:r>
      <w:r w:rsidR="00A95EE0">
        <w:rPr>
          <w:rFonts w:eastAsia="Times New Roman"/>
          <w:noProof/>
          <w:szCs w:val="24"/>
          <w:bdr w:val="nil"/>
        </w:rPr>
        <w:t xml:space="preserve"> to enhance legal clarity. They also agreed</w:t>
      </w:r>
      <w:r w:rsidR="004224F5" w:rsidRPr="00527A34">
        <w:rPr>
          <w:rFonts w:eastAsia="Times New Roman"/>
          <w:noProof/>
          <w:szCs w:val="24"/>
          <w:bdr w:val="nil"/>
        </w:rPr>
        <w:t xml:space="preserve"> to introduce </w:t>
      </w:r>
      <w:r w:rsidR="004224F5" w:rsidRPr="00527A34">
        <w:rPr>
          <w:rFonts w:eastAsia="Times New Roman"/>
          <w:b/>
          <w:bCs/>
          <w:noProof/>
          <w:szCs w:val="24"/>
          <w:bdr w:val="nil"/>
        </w:rPr>
        <w:t>two new exemptions</w:t>
      </w:r>
      <w:r w:rsidR="00280406">
        <w:rPr>
          <w:rFonts w:eastAsia="Times New Roman"/>
          <w:b/>
          <w:bCs/>
          <w:noProof/>
          <w:szCs w:val="24"/>
          <w:bdr w:val="nil"/>
        </w:rPr>
        <w:t xml:space="preserve"> to the principle of non-deterioration</w:t>
      </w:r>
      <w:r w:rsidR="004224F5" w:rsidRPr="00527A34">
        <w:rPr>
          <w:rFonts w:eastAsia="Times New Roman"/>
          <w:noProof/>
          <w:szCs w:val="24"/>
          <w:bdr w:val="nil"/>
        </w:rPr>
        <w:t xml:space="preserve">: one to </w:t>
      </w:r>
      <w:r w:rsidR="00280406">
        <w:rPr>
          <w:rFonts w:eastAsia="Times New Roman"/>
          <w:noProof/>
          <w:szCs w:val="24"/>
          <w:bdr w:val="nil"/>
        </w:rPr>
        <w:t xml:space="preserve">simplify </w:t>
      </w:r>
      <w:r w:rsidR="004224F5" w:rsidRPr="00527A34">
        <w:rPr>
          <w:rFonts w:eastAsia="Times New Roman"/>
          <w:noProof/>
          <w:szCs w:val="24"/>
          <w:bdr w:val="nil"/>
        </w:rPr>
        <w:t>procedure</w:t>
      </w:r>
      <w:r w:rsidR="00280406">
        <w:rPr>
          <w:rFonts w:eastAsia="Times New Roman"/>
          <w:noProof/>
          <w:szCs w:val="24"/>
          <w:bdr w:val="nil"/>
        </w:rPr>
        <w:t>s</w:t>
      </w:r>
      <w:r w:rsidR="004224F5" w:rsidRPr="00527A34">
        <w:rPr>
          <w:rFonts w:eastAsia="Times New Roman"/>
          <w:noProof/>
          <w:szCs w:val="24"/>
          <w:bdr w:val="nil"/>
        </w:rPr>
        <w:t xml:space="preserve"> for authorising new projects which only cause temporary deterioration and </w:t>
      </w:r>
      <w:r w:rsidR="00A95EE0">
        <w:rPr>
          <w:rFonts w:eastAsia="Times New Roman"/>
          <w:noProof/>
          <w:szCs w:val="24"/>
          <w:bdr w:val="nil"/>
        </w:rPr>
        <w:t>another</w:t>
      </w:r>
      <w:r w:rsidR="00A95EE0" w:rsidRPr="00527A34">
        <w:rPr>
          <w:rFonts w:eastAsia="Times New Roman"/>
          <w:noProof/>
          <w:szCs w:val="24"/>
          <w:bdr w:val="nil"/>
        </w:rPr>
        <w:t xml:space="preserve"> </w:t>
      </w:r>
      <w:r w:rsidR="004224F5" w:rsidRPr="00527A34">
        <w:rPr>
          <w:rFonts w:eastAsia="Times New Roman"/>
          <w:noProof/>
          <w:szCs w:val="24"/>
          <w:bdr w:val="nil"/>
        </w:rPr>
        <w:t>allowing new projects</w:t>
      </w:r>
      <w:r w:rsidR="00280406">
        <w:rPr>
          <w:rFonts w:eastAsia="Times New Roman"/>
          <w:noProof/>
          <w:szCs w:val="24"/>
          <w:bdr w:val="nil"/>
        </w:rPr>
        <w:t xml:space="preserve"> or activities</w:t>
      </w:r>
      <w:r w:rsidR="004224F5" w:rsidRPr="00527A34">
        <w:rPr>
          <w:rFonts w:eastAsia="Times New Roman"/>
          <w:noProof/>
          <w:szCs w:val="24"/>
          <w:bdr w:val="nil"/>
        </w:rPr>
        <w:t xml:space="preserve"> even if they would deteriorate the chemical status, provided that this deterioration would be the result of a mere relocation of pollutants from one water body to another, with no net increase in pollution and subject to the receiving water body already being in less-than-good chemical status. </w:t>
      </w:r>
      <w:r w:rsidR="004224F5">
        <w:rPr>
          <w:rFonts w:eastAsia="Times New Roman"/>
          <w:noProof/>
          <w:szCs w:val="24"/>
          <w:bdr w:val="nil"/>
        </w:rPr>
        <w:t xml:space="preserve">The </w:t>
      </w:r>
      <w:r w:rsidR="00FF3579">
        <w:rPr>
          <w:rFonts w:eastAsia="Times New Roman"/>
          <w:noProof/>
          <w:szCs w:val="24"/>
          <w:bdr w:val="nil"/>
        </w:rPr>
        <w:t>exemptions foresee a number of</w:t>
      </w:r>
      <w:r w:rsidR="004224F5">
        <w:rPr>
          <w:rFonts w:eastAsia="Times New Roman"/>
          <w:noProof/>
          <w:szCs w:val="24"/>
          <w:bdr w:val="nil"/>
        </w:rPr>
        <w:t xml:space="preserve"> </w:t>
      </w:r>
      <w:r w:rsidR="00E139C8" w:rsidRPr="001842A0">
        <w:rPr>
          <w:rFonts w:eastAsia="Times New Roman"/>
          <w:b/>
          <w:bCs/>
          <w:noProof/>
          <w:szCs w:val="24"/>
          <w:bdr w:val="nil"/>
        </w:rPr>
        <w:t>additional</w:t>
      </w:r>
      <w:r w:rsidR="00E139C8">
        <w:rPr>
          <w:rFonts w:eastAsia="Times New Roman"/>
          <w:noProof/>
          <w:szCs w:val="24"/>
          <w:bdr w:val="nil"/>
        </w:rPr>
        <w:t xml:space="preserve"> </w:t>
      </w:r>
      <w:r w:rsidR="004224F5" w:rsidRPr="00527A34">
        <w:rPr>
          <w:rFonts w:eastAsia="Times New Roman"/>
          <w:b/>
          <w:bCs/>
          <w:noProof/>
          <w:szCs w:val="24"/>
          <w:bdr w:val="nil"/>
        </w:rPr>
        <w:t>safeguards</w:t>
      </w:r>
      <w:r w:rsidR="00E139C8">
        <w:rPr>
          <w:rFonts w:eastAsia="Times New Roman"/>
          <w:b/>
          <w:bCs/>
          <w:noProof/>
          <w:szCs w:val="24"/>
          <w:bdr w:val="nil"/>
        </w:rPr>
        <w:t xml:space="preserve"> </w:t>
      </w:r>
      <w:r w:rsidR="00E139C8" w:rsidRPr="001842A0">
        <w:rPr>
          <w:rFonts w:eastAsia="Times New Roman"/>
          <w:noProof/>
          <w:szCs w:val="24"/>
          <w:bdr w:val="nil"/>
        </w:rPr>
        <w:t>as compared to the initial Council mandate. In particular,</w:t>
      </w:r>
      <w:r w:rsidR="00A95EE0">
        <w:rPr>
          <w:rFonts w:eastAsia="Times New Roman"/>
          <w:noProof/>
          <w:szCs w:val="24"/>
          <w:bdr w:val="nil"/>
        </w:rPr>
        <w:t xml:space="preserve"> </w:t>
      </w:r>
      <w:r w:rsidR="00E139C8">
        <w:rPr>
          <w:rFonts w:eastAsia="Times New Roman"/>
          <w:noProof/>
          <w:szCs w:val="24"/>
          <w:bdr w:val="nil"/>
        </w:rPr>
        <w:t>i</w:t>
      </w:r>
      <w:r w:rsidR="00E139C8" w:rsidRPr="001842A0">
        <w:rPr>
          <w:rFonts w:eastAsia="Times New Roman"/>
          <w:noProof/>
          <w:szCs w:val="24"/>
          <w:bdr w:val="nil"/>
        </w:rPr>
        <w:t>n the case of project</w:t>
      </w:r>
      <w:r w:rsidR="00E139C8">
        <w:rPr>
          <w:rFonts w:eastAsia="Times New Roman"/>
          <w:noProof/>
          <w:szCs w:val="24"/>
          <w:bdr w:val="nil"/>
        </w:rPr>
        <w:t>s</w:t>
      </w:r>
      <w:r w:rsidR="00E139C8" w:rsidRPr="001842A0">
        <w:rPr>
          <w:rFonts w:eastAsia="Times New Roman"/>
          <w:noProof/>
          <w:szCs w:val="24"/>
          <w:bdr w:val="nil"/>
        </w:rPr>
        <w:t xml:space="preserve"> leading to t</w:t>
      </w:r>
      <w:r w:rsidR="004224F5" w:rsidRPr="001842A0">
        <w:rPr>
          <w:rFonts w:eastAsia="Times New Roman"/>
          <w:noProof/>
          <w:szCs w:val="24"/>
          <w:bdr w:val="nil"/>
        </w:rPr>
        <w:t>emporary deterioration</w:t>
      </w:r>
      <w:r w:rsidR="00E139C8">
        <w:rPr>
          <w:rFonts w:eastAsia="Times New Roman"/>
          <w:noProof/>
          <w:szCs w:val="24"/>
          <w:bdr w:val="nil"/>
        </w:rPr>
        <w:t>,</w:t>
      </w:r>
      <w:r w:rsidR="004224F5" w:rsidRPr="00527A34">
        <w:rPr>
          <w:rFonts w:eastAsia="Times New Roman"/>
          <w:noProof/>
          <w:szCs w:val="24"/>
          <w:bdr w:val="nil"/>
        </w:rPr>
        <w:t xml:space="preserve"> there should be an ex-ante assessment and ex post verification of the fact that the deterioration would not be detectable after one year or, for biological quality elements, after three years. </w:t>
      </w:r>
      <w:r w:rsidR="00E139C8">
        <w:rPr>
          <w:rFonts w:eastAsia="Times New Roman"/>
          <w:noProof/>
          <w:szCs w:val="24"/>
          <w:bdr w:val="nil"/>
        </w:rPr>
        <w:t xml:space="preserve">As regards, </w:t>
      </w:r>
      <w:r w:rsidR="00E139C8" w:rsidRPr="001842A0">
        <w:rPr>
          <w:rFonts w:eastAsia="Times New Roman"/>
          <w:noProof/>
          <w:szCs w:val="24"/>
          <w:bdr w:val="nil"/>
        </w:rPr>
        <w:t>r</w:t>
      </w:r>
      <w:r w:rsidR="004224F5" w:rsidRPr="001842A0">
        <w:rPr>
          <w:rFonts w:eastAsia="Times New Roman"/>
          <w:noProof/>
          <w:szCs w:val="24"/>
          <w:bdr w:val="nil"/>
        </w:rPr>
        <w:t>elocation of pollutants</w:t>
      </w:r>
      <w:r w:rsidR="00E139C8" w:rsidRPr="001842A0">
        <w:rPr>
          <w:rFonts w:eastAsia="Times New Roman"/>
          <w:noProof/>
          <w:szCs w:val="24"/>
          <w:bdr w:val="nil"/>
        </w:rPr>
        <w:t>,</w:t>
      </w:r>
      <w:r w:rsidR="004224F5" w:rsidRPr="00527A34">
        <w:rPr>
          <w:rFonts w:eastAsia="Times New Roman"/>
          <w:noProof/>
          <w:szCs w:val="24"/>
          <w:bdr w:val="nil"/>
        </w:rPr>
        <w:t xml:space="preserve"> </w:t>
      </w:r>
      <w:r w:rsidR="00FF3579">
        <w:rPr>
          <w:rFonts w:eastAsia="Times New Roman"/>
          <w:noProof/>
          <w:szCs w:val="24"/>
          <w:bdr w:val="nil"/>
        </w:rPr>
        <w:t xml:space="preserve">the project/activity should be </w:t>
      </w:r>
      <w:r w:rsidR="004224F5">
        <w:rPr>
          <w:rFonts w:eastAsia="Times New Roman"/>
          <w:noProof/>
          <w:szCs w:val="24"/>
          <w:bdr w:val="nil"/>
        </w:rPr>
        <w:t>subject to</w:t>
      </w:r>
      <w:r w:rsidR="004224F5" w:rsidRPr="00527A34">
        <w:rPr>
          <w:rFonts w:eastAsia="Times New Roman"/>
          <w:noProof/>
          <w:szCs w:val="24"/>
          <w:bdr w:val="nil"/>
        </w:rPr>
        <w:t xml:space="preserve"> prior </w:t>
      </w:r>
      <w:r w:rsidR="00FF3579">
        <w:rPr>
          <w:rFonts w:eastAsia="Times New Roman"/>
          <w:noProof/>
          <w:szCs w:val="24"/>
          <w:bdr w:val="nil"/>
        </w:rPr>
        <w:t xml:space="preserve">regulation or </w:t>
      </w:r>
      <w:r w:rsidR="004224F5" w:rsidRPr="00527A34">
        <w:rPr>
          <w:rFonts w:eastAsia="Times New Roman"/>
          <w:noProof/>
          <w:szCs w:val="24"/>
          <w:bdr w:val="nil"/>
        </w:rPr>
        <w:t>authorisation</w:t>
      </w:r>
      <w:r w:rsidR="004224F5">
        <w:rPr>
          <w:rFonts w:eastAsia="Times New Roman"/>
          <w:noProof/>
          <w:szCs w:val="24"/>
          <w:bdr w:val="nil"/>
        </w:rPr>
        <w:t xml:space="preserve"> to ascertain that: all </w:t>
      </w:r>
      <w:r w:rsidR="004224F5" w:rsidRPr="00527A34">
        <w:rPr>
          <w:rFonts w:eastAsia="Times New Roman"/>
          <w:noProof/>
          <w:szCs w:val="24"/>
          <w:bdr w:val="nil"/>
        </w:rPr>
        <w:t xml:space="preserve">possible steps to treat the water </w:t>
      </w:r>
      <w:r w:rsidR="004224F5">
        <w:rPr>
          <w:rFonts w:eastAsia="Times New Roman"/>
          <w:noProof/>
          <w:szCs w:val="24"/>
          <w:bdr w:val="nil"/>
        </w:rPr>
        <w:t>are</w:t>
      </w:r>
      <w:r w:rsidR="004224F5" w:rsidRPr="00527A34">
        <w:rPr>
          <w:rFonts w:eastAsia="Times New Roman"/>
          <w:noProof/>
          <w:szCs w:val="24"/>
          <w:bdr w:val="nil"/>
        </w:rPr>
        <w:t xml:space="preserve"> applied prior to relocation; the receiving water body is </w:t>
      </w:r>
      <w:r w:rsidR="00FF3579">
        <w:rPr>
          <w:rFonts w:eastAsia="Times New Roman"/>
          <w:noProof/>
          <w:szCs w:val="24"/>
          <w:bdr w:val="nil"/>
        </w:rPr>
        <w:t xml:space="preserve">already </w:t>
      </w:r>
      <w:r w:rsidR="004224F5" w:rsidRPr="00527A34">
        <w:rPr>
          <w:rFonts w:eastAsia="Times New Roman"/>
          <w:noProof/>
          <w:szCs w:val="24"/>
          <w:bdr w:val="nil"/>
        </w:rPr>
        <w:t>in bad chemical status for most of the relocated pollutants (and in particular the most persistent and bioaccumulative</w:t>
      </w:r>
      <w:r w:rsidR="00FF3579">
        <w:rPr>
          <w:rFonts w:eastAsia="Times New Roman"/>
          <w:noProof/>
          <w:szCs w:val="24"/>
          <w:bdr w:val="nil"/>
        </w:rPr>
        <w:t xml:space="preserve"> substances</w:t>
      </w:r>
      <w:r w:rsidR="004224F5" w:rsidRPr="00527A34">
        <w:rPr>
          <w:rFonts w:eastAsia="Times New Roman"/>
          <w:noProof/>
          <w:szCs w:val="24"/>
          <w:bdr w:val="nil"/>
        </w:rPr>
        <w:t xml:space="preserve">) and not expected to deteriorate its ecological status as a result of the relocation; bodies of water used for drinking water are not affected; no better environmental options are available, for reasons of technical feasibility or disproportionate cost. </w:t>
      </w:r>
    </w:p>
    <w:p w14:paraId="4AF7C448" w14:textId="77777777" w:rsidR="004224F5" w:rsidRPr="001842A0" w:rsidRDefault="004224F5" w:rsidP="00217541">
      <w:pPr>
        <w:pStyle w:val="Point0"/>
        <w:rPr>
          <w:noProof/>
          <w:u w:color="000000"/>
          <w:bdr w:val="nil"/>
          <w:lang w:eastAsia="en-GB"/>
        </w:rPr>
      </w:pPr>
      <w:r>
        <w:rPr>
          <w:noProof/>
        </w:rPr>
        <w:lastRenderedPageBreak/>
        <w:t>(h)</w:t>
      </w:r>
      <w:r>
        <w:rPr>
          <w:noProof/>
        </w:rPr>
        <w:tab/>
      </w:r>
      <w:r w:rsidRPr="001842A0">
        <w:rPr>
          <w:noProof/>
          <w:u w:color="000000"/>
          <w:bdr w:val="nil"/>
          <w:lang w:eastAsia="en-GB"/>
        </w:rPr>
        <w:t>Compliance and transposition deadlines</w:t>
      </w:r>
    </w:p>
    <w:p w14:paraId="7771F7BD" w14:textId="77777777" w:rsidR="004224F5" w:rsidRPr="00527A34" w:rsidRDefault="004224F5" w:rsidP="001642C1">
      <w:pPr>
        <w:rPr>
          <w:noProof/>
          <w:bdr w:val="nil"/>
        </w:rPr>
      </w:pPr>
      <w:r w:rsidRPr="00527A34">
        <w:rPr>
          <w:noProof/>
          <w:bdr w:val="nil"/>
        </w:rPr>
        <w:t>The co-legislators have agreed on</w:t>
      </w:r>
      <w:r w:rsidR="00E139C8">
        <w:rPr>
          <w:noProof/>
          <w:bdr w:val="nil"/>
        </w:rPr>
        <w:t xml:space="preserve"> a </w:t>
      </w:r>
      <w:r w:rsidR="00E139C8" w:rsidRPr="001842A0">
        <w:rPr>
          <w:b/>
          <w:bCs/>
          <w:noProof/>
          <w:bdr w:val="nil"/>
        </w:rPr>
        <w:t>t</w:t>
      </w:r>
      <w:r w:rsidRPr="001842A0">
        <w:rPr>
          <w:b/>
          <w:bCs/>
          <w:noProof/>
          <w:u w:color="000000"/>
          <w:bdr w:val="nil"/>
          <w:lang w:eastAsia="en-GB"/>
        </w:rPr>
        <w:t>ransposition deadline of 21 December 2027</w:t>
      </w:r>
      <w:r w:rsidRPr="00527A34">
        <w:rPr>
          <w:noProof/>
          <w:u w:color="000000"/>
          <w:bdr w:val="nil"/>
          <w:lang w:eastAsia="en-GB"/>
        </w:rPr>
        <w:t xml:space="preserve"> </w:t>
      </w:r>
      <w:r w:rsidR="00E139C8">
        <w:rPr>
          <w:noProof/>
          <w:u w:color="000000"/>
          <w:bdr w:val="nil"/>
          <w:lang w:eastAsia="en-GB"/>
        </w:rPr>
        <w:t xml:space="preserve">which will ensure that Member States integrate the new provisions as part of the </w:t>
      </w:r>
      <w:r w:rsidRPr="00527A34">
        <w:rPr>
          <w:noProof/>
          <w:u w:color="000000"/>
          <w:bdr w:val="nil"/>
          <w:lang w:eastAsia="en-GB"/>
        </w:rPr>
        <w:t xml:space="preserve">next river basin management planning cycle. </w:t>
      </w:r>
      <w:r w:rsidR="00E139C8">
        <w:rPr>
          <w:noProof/>
          <w:u w:color="000000"/>
          <w:bdr w:val="nil"/>
          <w:lang w:eastAsia="en-GB"/>
        </w:rPr>
        <w:t xml:space="preserve">As regards, </w:t>
      </w:r>
      <w:r w:rsidR="00E139C8" w:rsidRPr="001842A0">
        <w:rPr>
          <w:b/>
          <w:bCs/>
          <w:noProof/>
          <w:u w:color="000000"/>
          <w:bdr w:val="nil"/>
          <w:lang w:eastAsia="en-GB"/>
        </w:rPr>
        <w:t>c</w:t>
      </w:r>
      <w:r w:rsidRPr="001842A0">
        <w:rPr>
          <w:b/>
          <w:bCs/>
          <w:noProof/>
          <w:u w:color="000000"/>
          <w:bdr w:val="nil"/>
          <w:lang w:eastAsia="en-GB"/>
        </w:rPr>
        <w:t>ompliance deadline for newly identified substances</w:t>
      </w:r>
      <w:r w:rsidR="00E139C8">
        <w:rPr>
          <w:noProof/>
          <w:u w:color="000000"/>
          <w:bdr w:val="nil"/>
          <w:lang w:eastAsia="en-GB"/>
        </w:rPr>
        <w:t>, the agreement foresees for both surface and groundwater compliance by the</w:t>
      </w:r>
      <w:r w:rsidRPr="00527A34">
        <w:rPr>
          <w:noProof/>
          <w:u w:color="000000"/>
          <w:bdr w:val="nil"/>
          <w:lang w:eastAsia="en-GB"/>
        </w:rPr>
        <w:t xml:space="preserve"> end of 2039, with a possibility to apply time</w:t>
      </w:r>
      <w:r w:rsidR="00E139C8">
        <w:rPr>
          <w:noProof/>
          <w:u w:color="000000"/>
          <w:bdr w:val="nil"/>
          <w:lang w:eastAsia="en-GB"/>
        </w:rPr>
        <w:t>-related</w:t>
      </w:r>
      <w:r w:rsidRPr="00527A34">
        <w:rPr>
          <w:noProof/>
          <w:u w:color="000000"/>
          <w:bdr w:val="nil"/>
          <w:lang w:eastAsia="en-GB"/>
        </w:rPr>
        <w:t xml:space="preserve"> exemptions for one more cycle, i.e. up to end 2045. </w:t>
      </w:r>
    </w:p>
    <w:p w14:paraId="6A3A0C5D" w14:textId="77777777" w:rsidR="008108F1" w:rsidRDefault="008108F1" w:rsidP="001704B9">
      <w:pPr>
        <w:pStyle w:val="ManualHeading1"/>
        <w:rPr>
          <w:noProof/>
        </w:rPr>
      </w:pPr>
      <w:r w:rsidRPr="00090C0A">
        <w:rPr>
          <w:noProof/>
        </w:rPr>
        <w:t>4.</w:t>
      </w:r>
      <w:r w:rsidRPr="00090C0A">
        <w:rPr>
          <w:noProof/>
        </w:rPr>
        <w:tab/>
        <w:t>Conclusion</w:t>
      </w:r>
    </w:p>
    <w:p w14:paraId="4FF92B9E" w14:textId="77777777" w:rsidR="00527A34" w:rsidRDefault="00527A34" w:rsidP="00527A34">
      <w:pPr>
        <w:rPr>
          <w:noProof/>
        </w:rPr>
      </w:pPr>
      <w:r w:rsidRPr="00552D53">
        <w:rPr>
          <w:noProof/>
        </w:rPr>
        <w:t>The Commission supports the results of the inter-institutional negotiations and can therefore accept the Council's position at first reading</w:t>
      </w:r>
    </w:p>
    <w:p w14:paraId="13B02232" w14:textId="77777777" w:rsidR="00AB0139" w:rsidRDefault="00AB0139" w:rsidP="00527A34">
      <w:pPr>
        <w:pStyle w:val="Text1"/>
        <w:rPr>
          <w:noProof/>
        </w:rPr>
      </w:pPr>
    </w:p>
    <w:p w14:paraId="250B3274" w14:textId="049CF002" w:rsidR="00527A34" w:rsidRPr="00527A34" w:rsidRDefault="00527A34" w:rsidP="00527A34">
      <w:pPr>
        <w:pStyle w:val="Text1"/>
        <w:rPr>
          <w:noProof/>
        </w:rPr>
      </w:pPr>
    </w:p>
    <w:sectPr w:rsidR="00527A34" w:rsidRPr="00527A34" w:rsidSect="00275195">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53B4A" w14:textId="77777777" w:rsidR="008108F1" w:rsidRDefault="008108F1" w:rsidP="008108F1">
      <w:pPr>
        <w:spacing w:before="0" w:after="0"/>
      </w:pPr>
      <w:r>
        <w:separator/>
      </w:r>
    </w:p>
  </w:endnote>
  <w:endnote w:type="continuationSeparator" w:id="0">
    <w:p w14:paraId="5017AD6F" w14:textId="77777777" w:rsidR="008108F1" w:rsidRDefault="008108F1" w:rsidP="008108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3F47" w14:textId="4A66A640" w:rsidR="00275195" w:rsidRPr="00275195" w:rsidRDefault="00275195" w:rsidP="00275195">
    <w:pPr>
      <w:pStyle w:val="Footer"/>
      <w:rPr>
        <w:rFonts w:ascii="Arial" w:hAnsi="Arial" w:cs="Arial"/>
        <w:b/>
        <w:sz w:val="48"/>
      </w:rPr>
    </w:pPr>
    <w:r w:rsidRPr="00275195">
      <w:rPr>
        <w:rFonts w:ascii="Arial" w:hAnsi="Arial" w:cs="Arial"/>
        <w:b/>
        <w:sz w:val="48"/>
      </w:rPr>
      <w:t>EN</w:t>
    </w:r>
    <w:r w:rsidRPr="00275195">
      <w:rPr>
        <w:rFonts w:ascii="Arial" w:hAnsi="Arial" w:cs="Arial"/>
        <w:b/>
        <w:sz w:val="48"/>
      </w:rPr>
      <w:tab/>
    </w:r>
    <w:r w:rsidRPr="00275195">
      <w:rPr>
        <w:rFonts w:ascii="Arial" w:hAnsi="Arial" w:cs="Arial"/>
        <w:b/>
        <w:sz w:val="48"/>
      </w:rPr>
      <w:tab/>
    </w:r>
    <w:r w:rsidRPr="00275195">
      <w:tab/>
    </w:r>
    <w:r w:rsidRPr="0027519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71781" w14:textId="248A5902" w:rsidR="00275195" w:rsidRPr="00275195" w:rsidRDefault="00275195" w:rsidP="00275195">
    <w:pPr>
      <w:pStyle w:val="Footer"/>
      <w:rPr>
        <w:rFonts w:ascii="Arial" w:hAnsi="Arial" w:cs="Arial"/>
        <w:b/>
        <w:sz w:val="48"/>
      </w:rPr>
    </w:pPr>
    <w:r w:rsidRPr="00275195">
      <w:rPr>
        <w:rFonts w:ascii="Arial" w:hAnsi="Arial" w:cs="Arial"/>
        <w:b/>
        <w:sz w:val="48"/>
      </w:rPr>
      <w:t>EN</w:t>
    </w:r>
    <w:r w:rsidRPr="00275195">
      <w:rPr>
        <w:rFonts w:ascii="Arial" w:hAnsi="Arial" w:cs="Arial"/>
        <w:b/>
        <w:sz w:val="48"/>
      </w:rPr>
      <w:tab/>
    </w:r>
    <w:r w:rsidRPr="00275195">
      <w:rPr>
        <w:rFonts w:ascii="Arial" w:hAnsi="Arial" w:cs="Arial"/>
        <w:b/>
        <w:sz w:val="48"/>
      </w:rPr>
      <w:tab/>
    </w:r>
    <w:r w:rsidRPr="00275195">
      <w:tab/>
    </w:r>
    <w:r w:rsidRPr="0027519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6016E" w14:textId="77777777" w:rsidR="00275195" w:rsidRDefault="002751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08C4E" w14:textId="6B0FB993" w:rsidR="00275195" w:rsidRPr="00275195" w:rsidRDefault="00275195" w:rsidP="00275195">
    <w:pPr>
      <w:pStyle w:val="Footer"/>
      <w:rPr>
        <w:rFonts w:ascii="Arial" w:hAnsi="Arial" w:cs="Arial"/>
        <w:b/>
        <w:sz w:val="48"/>
      </w:rPr>
    </w:pPr>
    <w:r w:rsidRPr="00275195">
      <w:rPr>
        <w:rFonts w:ascii="Arial" w:hAnsi="Arial" w:cs="Arial"/>
        <w:b/>
        <w:sz w:val="48"/>
      </w:rPr>
      <w:t>EN</w:t>
    </w:r>
    <w:r w:rsidRPr="00275195">
      <w:rPr>
        <w:rFonts w:ascii="Arial" w:hAnsi="Arial" w:cs="Arial"/>
        <w:b/>
        <w:sz w:val="48"/>
      </w:rPr>
      <w:tab/>
    </w:r>
    <w:r>
      <w:fldChar w:fldCharType="begin"/>
    </w:r>
    <w:r>
      <w:instrText xml:space="preserve"> PAGE  \* MERGEFORMAT </w:instrText>
    </w:r>
    <w:r>
      <w:fldChar w:fldCharType="separate"/>
    </w:r>
    <w:r w:rsidR="00AB0139">
      <w:rPr>
        <w:noProof/>
      </w:rPr>
      <w:t>5</w:t>
    </w:r>
    <w:r>
      <w:fldChar w:fldCharType="end"/>
    </w:r>
    <w:r>
      <w:tab/>
    </w:r>
    <w:r w:rsidRPr="00275195">
      <w:tab/>
    </w:r>
    <w:r w:rsidRPr="0027519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E3CA2" w14:textId="77777777" w:rsidR="00275195" w:rsidRDefault="00275195" w:rsidP="00275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0FCE" w14:textId="77777777" w:rsidR="008108F1" w:rsidRDefault="008108F1" w:rsidP="008108F1">
      <w:pPr>
        <w:spacing w:before="0" w:after="0"/>
      </w:pPr>
      <w:r>
        <w:separator/>
      </w:r>
    </w:p>
  </w:footnote>
  <w:footnote w:type="continuationSeparator" w:id="0">
    <w:p w14:paraId="40DCDF12" w14:textId="77777777" w:rsidR="008108F1" w:rsidRDefault="008108F1" w:rsidP="008108F1">
      <w:pPr>
        <w:spacing w:before="0" w:after="0"/>
      </w:pPr>
      <w:r>
        <w:continuationSeparator/>
      </w:r>
    </w:p>
  </w:footnote>
  <w:footnote w:id="1">
    <w:p w14:paraId="7E041654" w14:textId="6C91356A" w:rsidR="004224F5" w:rsidRPr="007E0B94" w:rsidRDefault="004224F5" w:rsidP="004224F5">
      <w:pPr>
        <w:pStyle w:val="FootnoteText"/>
        <w:rPr>
          <w:lang w:val="en-IE"/>
        </w:rPr>
      </w:pPr>
      <w:r w:rsidRPr="00217541">
        <w:rPr>
          <w:rStyle w:val="FootnoteReference"/>
        </w:rPr>
        <w:footnoteRef/>
      </w:r>
      <w:r w:rsidR="00217541">
        <w:tab/>
      </w:r>
      <w:hyperlink r:id="rId1" w:tgtFrame="_blank" w:history="1">
        <w:r w:rsidRPr="00527A34">
          <w:rPr>
            <w:rStyle w:val="Hyperlink"/>
            <w:rFonts w:eastAsia="Times New Roman"/>
          </w:rPr>
          <w:t>Case C-461/13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6E61C" w14:textId="77777777" w:rsidR="00275195" w:rsidRDefault="00275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63CF3" w14:textId="77777777" w:rsidR="00275195" w:rsidRDefault="00275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90931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46628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B2D7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3EE8D7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 w:numId="23">
    <w:abstractNumId w:val="16"/>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4"/>
  </w:num>
  <w:num w:numId="34">
    <w:abstractNumId w:val="15"/>
  </w:num>
  <w:num w:numId="35">
    <w:abstractNumId w:val="6"/>
  </w:num>
  <w:num w:numId="36">
    <w:abstractNumId w:val="12"/>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46: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421A2CB-3D7A-4C82-AB2D-565B583262B3"/>
    <w:docVar w:name="LW_COVERPAGE_TYPE" w:val="1"/>
    <w:docVar w:name="LW_CreatedUtc" w:val="2025-10-01T15:00:33.9216330Z"/>
    <w:docVar w:name="LW_CROSSREFERENCE" w:val="&lt;UNUSED&gt;"/>
    <w:docVar w:name="LW_DocType" w:val="COM"/>
    <w:docVar w:name="LW_EMISSION" w:val="18.2.2026"/>
    <w:docVar w:name="LW_EMISSION_ISODATE" w:val="2026-02-18"/>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44"/>
    <w:docVar w:name="LW_REF.II.NEW.CP_YEAR" w:val="2022"/>
    <w:docVar w:name="LW_REF.INST.NEW" w:val="COM"/>
    <w:docVar w:name="LW_REF.INST.NEW_ADOPTED" w:val="final"/>
    <w:docVar w:name="LW_REF.INST.NEW_TEXT" w:val="(2026) 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Directive of the European Parliament and of the Council amending Directive 2000/60/EC establishing a framework for Community action in the field of water policy, Directive 2006/118/EC on the protection of groundwater against pollution and deterioration and Directive 2008/105/EC on environmental quality standards in the field of water policy"/>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8108F1"/>
    <w:rsid w:val="000058C5"/>
    <w:rsid w:val="000059C1"/>
    <w:rsid w:val="00064B75"/>
    <w:rsid w:val="0007442D"/>
    <w:rsid w:val="00092857"/>
    <w:rsid w:val="000B048B"/>
    <w:rsid w:val="001065F5"/>
    <w:rsid w:val="00111BA9"/>
    <w:rsid w:val="001144AB"/>
    <w:rsid w:val="00117D12"/>
    <w:rsid w:val="001238EF"/>
    <w:rsid w:val="001642C1"/>
    <w:rsid w:val="00170255"/>
    <w:rsid w:val="0017549F"/>
    <w:rsid w:val="001842A0"/>
    <w:rsid w:val="00191478"/>
    <w:rsid w:val="00197613"/>
    <w:rsid w:val="001A38A7"/>
    <w:rsid w:val="001C447E"/>
    <w:rsid w:val="001D1A7D"/>
    <w:rsid w:val="00203B0B"/>
    <w:rsid w:val="002055F7"/>
    <w:rsid w:val="00217541"/>
    <w:rsid w:val="00222145"/>
    <w:rsid w:val="00233DC7"/>
    <w:rsid w:val="00235ADB"/>
    <w:rsid w:val="00244B24"/>
    <w:rsid w:val="00247779"/>
    <w:rsid w:val="002570D6"/>
    <w:rsid w:val="00274F48"/>
    <w:rsid w:val="00275195"/>
    <w:rsid w:val="002778CC"/>
    <w:rsid w:val="00280406"/>
    <w:rsid w:val="00285BEE"/>
    <w:rsid w:val="0029533F"/>
    <w:rsid w:val="002B30AF"/>
    <w:rsid w:val="002B3975"/>
    <w:rsid w:val="002B64B3"/>
    <w:rsid w:val="002B6C98"/>
    <w:rsid w:val="002D0EDA"/>
    <w:rsid w:val="002F4AFB"/>
    <w:rsid w:val="003060CA"/>
    <w:rsid w:val="0033344A"/>
    <w:rsid w:val="003407E1"/>
    <w:rsid w:val="0034644B"/>
    <w:rsid w:val="003874DD"/>
    <w:rsid w:val="003D36AB"/>
    <w:rsid w:val="003D643F"/>
    <w:rsid w:val="003E0507"/>
    <w:rsid w:val="004224F5"/>
    <w:rsid w:val="0042648E"/>
    <w:rsid w:val="00464D86"/>
    <w:rsid w:val="00471AC2"/>
    <w:rsid w:val="00486099"/>
    <w:rsid w:val="004936D2"/>
    <w:rsid w:val="004C479C"/>
    <w:rsid w:val="004D2606"/>
    <w:rsid w:val="004E02EF"/>
    <w:rsid w:val="00527A34"/>
    <w:rsid w:val="00536722"/>
    <w:rsid w:val="005375D6"/>
    <w:rsid w:val="0056442A"/>
    <w:rsid w:val="00574348"/>
    <w:rsid w:val="005A08D5"/>
    <w:rsid w:val="005B1EB6"/>
    <w:rsid w:val="005D10E6"/>
    <w:rsid w:val="005D1F76"/>
    <w:rsid w:val="006810B5"/>
    <w:rsid w:val="00690C5C"/>
    <w:rsid w:val="00691768"/>
    <w:rsid w:val="006B78D8"/>
    <w:rsid w:val="006C0317"/>
    <w:rsid w:val="006C170B"/>
    <w:rsid w:val="0070503C"/>
    <w:rsid w:val="00742E10"/>
    <w:rsid w:val="00773331"/>
    <w:rsid w:val="007932EF"/>
    <w:rsid w:val="007B5D4D"/>
    <w:rsid w:val="007E05B0"/>
    <w:rsid w:val="007E6F43"/>
    <w:rsid w:val="008108F1"/>
    <w:rsid w:val="0084507E"/>
    <w:rsid w:val="00853F7C"/>
    <w:rsid w:val="00874D22"/>
    <w:rsid w:val="008A1DFF"/>
    <w:rsid w:val="008A2914"/>
    <w:rsid w:val="008A4D18"/>
    <w:rsid w:val="008D10ED"/>
    <w:rsid w:val="008D2B0A"/>
    <w:rsid w:val="008D7D6D"/>
    <w:rsid w:val="008E4D8E"/>
    <w:rsid w:val="008F1FDA"/>
    <w:rsid w:val="00905E7B"/>
    <w:rsid w:val="0095488A"/>
    <w:rsid w:val="009C1C78"/>
    <w:rsid w:val="00A113E4"/>
    <w:rsid w:val="00A164FE"/>
    <w:rsid w:val="00A2458A"/>
    <w:rsid w:val="00A40ECF"/>
    <w:rsid w:val="00A614D0"/>
    <w:rsid w:val="00A82528"/>
    <w:rsid w:val="00A9151F"/>
    <w:rsid w:val="00A95EE0"/>
    <w:rsid w:val="00AB0139"/>
    <w:rsid w:val="00AE2916"/>
    <w:rsid w:val="00B10FC3"/>
    <w:rsid w:val="00B25ECF"/>
    <w:rsid w:val="00B502E2"/>
    <w:rsid w:val="00B65628"/>
    <w:rsid w:val="00B73D0C"/>
    <w:rsid w:val="00BB1CAE"/>
    <w:rsid w:val="00BD78D1"/>
    <w:rsid w:val="00BE42BB"/>
    <w:rsid w:val="00C104FB"/>
    <w:rsid w:val="00C12301"/>
    <w:rsid w:val="00C210B8"/>
    <w:rsid w:val="00C264E2"/>
    <w:rsid w:val="00C535B7"/>
    <w:rsid w:val="00C66896"/>
    <w:rsid w:val="00C7009B"/>
    <w:rsid w:val="00C7547C"/>
    <w:rsid w:val="00CD5292"/>
    <w:rsid w:val="00CE1395"/>
    <w:rsid w:val="00D12CA9"/>
    <w:rsid w:val="00D20381"/>
    <w:rsid w:val="00D21156"/>
    <w:rsid w:val="00D321ED"/>
    <w:rsid w:val="00D37550"/>
    <w:rsid w:val="00D46848"/>
    <w:rsid w:val="00D81E07"/>
    <w:rsid w:val="00DB0676"/>
    <w:rsid w:val="00E139C8"/>
    <w:rsid w:val="00E359F7"/>
    <w:rsid w:val="00EC1DEE"/>
    <w:rsid w:val="00EE1B56"/>
    <w:rsid w:val="00EE26B7"/>
    <w:rsid w:val="00EE7F7C"/>
    <w:rsid w:val="00F15EC6"/>
    <w:rsid w:val="00F21E1D"/>
    <w:rsid w:val="00F25176"/>
    <w:rsid w:val="00F37356"/>
    <w:rsid w:val="00F7372C"/>
    <w:rsid w:val="00FB02E8"/>
    <w:rsid w:val="00FB42B7"/>
    <w:rsid w:val="00FC38F8"/>
    <w:rsid w:val="00FC4F59"/>
    <w:rsid w:val="00FF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FDC640A"/>
  <w15:docId w15:val="{A0CA8B29-BEA4-44B9-8FDB-11C45E3C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7009B"/>
    <w:pPr>
      <w:numPr>
        <w:numId w:val="1"/>
      </w:numPr>
      <w:contextualSpacing/>
    </w:pPr>
  </w:style>
  <w:style w:type="paragraph" w:styleId="ListBullet2">
    <w:name w:val="List Bullet 2"/>
    <w:basedOn w:val="Normal"/>
    <w:uiPriority w:val="99"/>
    <w:semiHidden/>
    <w:unhideWhenUsed/>
    <w:rsid w:val="00C7009B"/>
    <w:pPr>
      <w:numPr>
        <w:numId w:val="2"/>
      </w:numPr>
      <w:contextualSpacing/>
    </w:pPr>
  </w:style>
  <w:style w:type="paragraph" w:styleId="ListBullet3">
    <w:name w:val="List Bullet 3"/>
    <w:basedOn w:val="Normal"/>
    <w:uiPriority w:val="99"/>
    <w:semiHidden/>
    <w:unhideWhenUsed/>
    <w:rsid w:val="00C7009B"/>
    <w:pPr>
      <w:numPr>
        <w:numId w:val="3"/>
      </w:numPr>
      <w:contextualSpacing/>
    </w:pPr>
  </w:style>
  <w:style w:type="paragraph" w:styleId="ListBullet4">
    <w:name w:val="List Bullet 4"/>
    <w:basedOn w:val="Normal"/>
    <w:uiPriority w:val="99"/>
    <w:semiHidden/>
    <w:unhideWhenUsed/>
    <w:rsid w:val="00C7009B"/>
    <w:pPr>
      <w:numPr>
        <w:numId w:val="4"/>
      </w:numPr>
      <w:contextualSpacing/>
    </w:pPr>
  </w:style>
  <w:style w:type="character" w:styleId="Hyperlink">
    <w:name w:val="Hyperlink"/>
    <w:rsid w:val="00527A34"/>
    <w:rPr>
      <w:u w:val="single"/>
    </w:rPr>
  </w:style>
  <w:style w:type="numbering" w:customStyle="1" w:styleId="ImportedStyle1">
    <w:name w:val="Imported Style 1"/>
    <w:rsid w:val="00527A34"/>
    <w:pPr>
      <w:numPr>
        <w:numId w:val="5"/>
      </w:numPr>
    </w:pPr>
  </w:style>
  <w:style w:type="paragraph" w:styleId="ListParagraph">
    <w:name w:val="List Paragraph"/>
    <w:basedOn w:val="Normal"/>
    <w:uiPriority w:val="34"/>
    <w:qFormat/>
    <w:rsid w:val="00EE1B56"/>
    <w:pPr>
      <w:ind w:left="720"/>
      <w:contextualSpacing/>
    </w:pPr>
  </w:style>
  <w:style w:type="character" w:styleId="CommentReference">
    <w:name w:val="annotation reference"/>
    <w:basedOn w:val="DefaultParagraphFont"/>
    <w:uiPriority w:val="99"/>
    <w:semiHidden/>
    <w:unhideWhenUsed/>
    <w:rsid w:val="008D7D6D"/>
    <w:rPr>
      <w:sz w:val="16"/>
      <w:szCs w:val="16"/>
    </w:rPr>
  </w:style>
  <w:style w:type="paragraph" w:styleId="CommentText">
    <w:name w:val="annotation text"/>
    <w:basedOn w:val="Normal"/>
    <w:link w:val="CommentTextChar"/>
    <w:uiPriority w:val="99"/>
    <w:unhideWhenUsed/>
    <w:rsid w:val="008D7D6D"/>
    <w:rPr>
      <w:sz w:val="20"/>
      <w:szCs w:val="20"/>
    </w:rPr>
  </w:style>
  <w:style w:type="character" w:customStyle="1" w:styleId="CommentTextChar">
    <w:name w:val="Comment Text Char"/>
    <w:basedOn w:val="DefaultParagraphFont"/>
    <w:link w:val="CommentText"/>
    <w:uiPriority w:val="99"/>
    <w:rsid w:val="008D7D6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D7D6D"/>
    <w:rPr>
      <w:b/>
      <w:bCs/>
    </w:rPr>
  </w:style>
  <w:style w:type="character" w:customStyle="1" w:styleId="CommentSubjectChar">
    <w:name w:val="Comment Subject Char"/>
    <w:basedOn w:val="CommentTextChar"/>
    <w:link w:val="CommentSubject"/>
    <w:uiPriority w:val="99"/>
    <w:semiHidden/>
    <w:rsid w:val="008D7D6D"/>
    <w:rPr>
      <w:rFonts w:ascii="Times New Roman" w:hAnsi="Times New Roman" w:cs="Times New Roman"/>
      <w:b/>
      <w:bCs/>
      <w:sz w:val="20"/>
      <w:szCs w:val="20"/>
      <w:lang w:val="en-GB"/>
    </w:rPr>
  </w:style>
  <w:style w:type="paragraph" w:styleId="Revision">
    <w:name w:val="Revision"/>
    <w:hidden/>
    <w:uiPriority w:val="99"/>
    <w:semiHidden/>
    <w:rsid w:val="008D7D6D"/>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07442D"/>
    <w:rPr>
      <w:color w:val="605E5C"/>
      <w:shd w:val="clear" w:color="auto" w:fill="E1DFDD"/>
    </w:rPr>
  </w:style>
  <w:style w:type="character" w:customStyle="1" w:styleId="HeaderChar">
    <w:name w:val="Header Char"/>
    <w:basedOn w:val="DefaultParagraphFont"/>
    <w:link w:val="Header"/>
    <w:uiPriority w:val="99"/>
    <w:rsid w:val="00275195"/>
    <w:rPr>
      <w:rFonts w:ascii="Times New Roman" w:hAnsi="Times New Roman" w:cs="Times New Roman"/>
      <w:sz w:val="24"/>
      <w:lang w:val="en-GB"/>
    </w:rPr>
  </w:style>
  <w:style w:type="character" w:customStyle="1" w:styleId="FooterChar">
    <w:name w:val="Footer Char"/>
    <w:basedOn w:val="DefaultParagraphFont"/>
    <w:link w:val="Footer"/>
    <w:uiPriority w:val="99"/>
    <w:rsid w:val="0027519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7519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75195"/>
    <w:pPr>
      <w:spacing w:before="0"/>
      <w:jc w:val="right"/>
    </w:pPr>
    <w:rPr>
      <w:sz w:val="28"/>
    </w:rPr>
  </w:style>
  <w:style w:type="paragraph" w:customStyle="1" w:styleId="FooterSensitivity">
    <w:name w:val="Footer Sensitivity"/>
    <w:basedOn w:val="Normal"/>
    <w:rsid w:val="0027519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75195"/>
    <w:pPr>
      <w:tabs>
        <w:tab w:val="center" w:pos="4535"/>
        <w:tab w:val="right" w:pos="9071"/>
      </w:tabs>
      <w:spacing w:before="0"/>
    </w:pPr>
  </w:style>
  <w:style w:type="paragraph" w:customStyle="1" w:styleId="HeaderLandscape">
    <w:name w:val="HeaderLandscape"/>
    <w:basedOn w:val="Normal"/>
    <w:rsid w:val="00275195"/>
    <w:pPr>
      <w:tabs>
        <w:tab w:val="center" w:pos="7285"/>
        <w:tab w:val="right" w:pos="14003"/>
      </w:tabs>
      <w:spacing w:before="0"/>
    </w:pPr>
  </w:style>
  <w:style w:type="paragraph" w:styleId="Footer">
    <w:name w:val="footer"/>
    <w:basedOn w:val="Normal"/>
    <w:link w:val="FooterChar"/>
    <w:uiPriority w:val="99"/>
    <w:unhideWhenUsed/>
    <w:rsid w:val="0027519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7519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799969">
      <w:bodyDiv w:val="1"/>
      <w:marLeft w:val="0"/>
      <w:marRight w:val="0"/>
      <w:marTop w:val="0"/>
      <w:marBottom w:val="0"/>
      <w:divBdr>
        <w:top w:val="none" w:sz="0" w:space="0" w:color="auto"/>
        <w:left w:val="none" w:sz="0" w:space="0" w:color="auto"/>
        <w:bottom w:val="none" w:sz="0" w:space="0" w:color="auto"/>
        <w:right w:val="none" w:sz="0" w:space="0" w:color="auto"/>
      </w:divBdr>
    </w:div>
    <w:div w:id="158638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search?rlz=1C1GCEA_enBE1111BE1111&amp;cs=0&amp;sca_esv=38adde6e55f7a682&amp;q=Case+C-461%2F13&amp;sa=X&amp;ved=2ahUKEwi74cTmusKPAxXv_rsIHd5aOAUQxccNegQIAhAB&amp;mstk=AUtExfCOn_2pT15Obtj9kKc2dEcrbGkFENzslV96DdJGRxzBPI_GbsduxO7iFhOXbv0f4Hrmfk2Wux4MO1T6gNOVtdgyiioCXW38ab-Gw-dcpr75JW38WxzyUvVGfLvoa5ewPys&amp;csui=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20</TotalTime>
  <Pages>6</Pages>
  <Words>2011</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2026-01-05T15:53:00Z</dcterms:created>
  <dcterms:modified xsi:type="dcterms:W3CDTF">2026-01-30T08:46:00Z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2025-10-01T15:01:44Z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5f661c0e-16b1-4249-958f-f4549db1261f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