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069108" w14:textId="79EC5018" w:rsidR="00690C5C" w:rsidRPr="00206CEE" w:rsidRDefault="00A90C01" w:rsidP="00A90C01">
      <w:pPr>
        <w:pStyle w:val="Pagedecouverture"/>
        <w:rPr>
          <w:noProof/>
        </w:rPr>
      </w:pPr>
      <w:r>
        <w:rPr>
          <w:noProof/>
        </w:rPr>
        <w:pict w14:anchorId="287C3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1DD95B0-F95E-4443-8D6A-504ED8A46FB8" style="width:455.25pt;height:422.25pt">
            <v:imagedata r:id="rId7" o:title=""/>
          </v:shape>
        </w:pict>
      </w:r>
    </w:p>
    <w:p w14:paraId="61F6C61B" w14:textId="77777777" w:rsidR="00690C5C" w:rsidRPr="00206CEE" w:rsidRDefault="00690C5C" w:rsidP="001642C1">
      <w:pPr>
        <w:rPr>
          <w:noProof/>
        </w:rPr>
        <w:sectPr w:rsidR="00690C5C" w:rsidRPr="00206CEE" w:rsidSect="00A90C01">
          <w:footerReference w:type="even" r:id="rId8"/>
          <w:footerReference w:type="default" r:id="rId9"/>
          <w:pgSz w:w="11907" w:h="16839"/>
          <w:pgMar w:top="1134" w:right="1417" w:bottom="1134" w:left="1417" w:header="709" w:footer="709" w:gutter="0"/>
          <w:pgNumType w:start="0"/>
          <w:cols w:space="720"/>
          <w:docGrid w:linePitch="360"/>
        </w:sectPr>
      </w:pPr>
    </w:p>
    <w:p w14:paraId="2A09DE78" w14:textId="15B7FC87" w:rsidR="00E359F7" w:rsidRPr="00206CEE" w:rsidRDefault="00206CEE" w:rsidP="00206CEE">
      <w:pPr>
        <w:pStyle w:val="Rfrenceinterinstitutionnelle"/>
        <w:rPr>
          <w:noProof/>
        </w:rPr>
      </w:pPr>
      <w:bookmarkStart w:id="0" w:name="_GoBack"/>
      <w:bookmarkEnd w:id="0"/>
      <w:r>
        <w:rPr>
          <w:noProof/>
        </w:rPr>
        <w:lastRenderedPageBreak/>
        <w:t>2022/0344 (COD)</w:t>
      </w:r>
    </w:p>
    <w:p w14:paraId="531AF0B8" w14:textId="51E0A4B5" w:rsidR="008108F1" w:rsidRPr="00206CEE" w:rsidRDefault="00206CEE" w:rsidP="00206CEE">
      <w:pPr>
        <w:pStyle w:val="Typedudocument"/>
        <w:rPr>
          <w:noProof/>
        </w:rPr>
      </w:pPr>
      <w:r w:rsidRPr="00206CEE">
        <w:rPr>
          <w:noProof/>
        </w:rPr>
        <w:t>COMUNICARE A COMISIEI CĂTRE PARLAMENTUL EUROPEAN</w:t>
      </w:r>
      <w:r w:rsidRPr="00206CEE">
        <w:rPr>
          <w:noProof/>
        </w:rPr>
        <w:br/>
      </w:r>
      <w:r w:rsidRPr="00206CEE">
        <w:rPr>
          <w:noProof/>
        </w:rPr>
        <w:br/>
        <w:t>în conformitate cu articolul 294 alineatul (6) din Tratatul privind funcționarea Uniunii Europene</w:t>
      </w:r>
      <w:r w:rsidRPr="00206CEE">
        <w:rPr>
          <w:noProof/>
        </w:rPr>
        <w:br/>
      </w:r>
      <w:r w:rsidRPr="00206CEE">
        <w:rPr>
          <w:noProof/>
        </w:rPr>
        <w:br/>
        <w:t>privind</w:t>
      </w:r>
    </w:p>
    <w:p w14:paraId="4B91A6CC" w14:textId="77A48745" w:rsidR="008108F1" w:rsidRPr="00206CEE" w:rsidRDefault="00206CEE" w:rsidP="00206CEE">
      <w:pPr>
        <w:pStyle w:val="Titreobjet"/>
        <w:rPr>
          <w:noProof/>
        </w:rPr>
      </w:pPr>
      <w:r w:rsidRPr="00206CEE">
        <w:rPr>
          <w:noProof/>
        </w:rPr>
        <w:t>poziția Consiliului referitoare la adoptarea unei directive a Parlamentului European și a Consiliului de modificare a Directivei 2000/60/CE de stabilire a unui cadru de politică comunitară în domeniul apei, a Directivei 2006/118/CE privind protecția apelor subterane împotriva poluării și a deteriorării și a Directivei 2008/105/CE privind standardele de calitate a mediului în domeniul apei</w:t>
      </w:r>
    </w:p>
    <w:p w14:paraId="2DB8C5CA" w14:textId="77777777" w:rsidR="008108F1" w:rsidRPr="00206CEE" w:rsidRDefault="008108F1" w:rsidP="001704B9">
      <w:pPr>
        <w:pStyle w:val="ManualHeading1"/>
        <w:rPr>
          <w:noProof/>
          <w:sz w:val="22"/>
        </w:rPr>
      </w:pPr>
      <w:r w:rsidRPr="00206CEE">
        <w:rPr>
          <w:noProof/>
        </w:rPr>
        <w:t>1.</w:t>
      </w:r>
      <w:r w:rsidRPr="00206CEE">
        <w:rPr>
          <w:noProof/>
        </w:rPr>
        <w:tab/>
        <w:t>Context</w:t>
      </w:r>
    </w:p>
    <w:tbl>
      <w:tblPr>
        <w:tblW w:w="0" w:type="auto"/>
        <w:tblLayout w:type="fixed"/>
        <w:tblLook w:val="0000" w:firstRow="0" w:lastRow="0" w:firstColumn="0" w:lastColumn="0" w:noHBand="0" w:noVBand="0"/>
      </w:tblPr>
      <w:tblGrid>
        <w:gridCol w:w="6804"/>
        <w:gridCol w:w="2483"/>
      </w:tblGrid>
      <w:tr w:rsidR="008108F1" w:rsidRPr="00206CEE" w14:paraId="3C713562" w14:textId="77777777" w:rsidTr="00FC48CE">
        <w:tc>
          <w:tcPr>
            <w:tcW w:w="6804" w:type="dxa"/>
          </w:tcPr>
          <w:p w14:paraId="24889C85" w14:textId="06298861" w:rsidR="008108F1" w:rsidRPr="00206CEE" w:rsidRDefault="008108F1" w:rsidP="00FC48CE">
            <w:pPr>
              <w:jc w:val="left"/>
              <w:rPr>
                <w:noProof/>
              </w:rPr>
            </w:pPr>
            <w:r w:rsidRPr="00206CEE">
              <w:rPr>
                <w:noProof/>
              </w:rPr>
              <w:t xml:space="preserve">Data transmiterii propunerii către Parlamentul European și Consiliu </w:t>
            </w:r>
            <w:r w:rsidRPr="00206CEE">
              <w:rPr>
                <w:noProof/>
              </w:rPr>
              <w:br/>
              <w:t>[documentul COM (2022) 0540-2022/0344 COD]</w:t>
            </w:r>
          </w:p>
        </w:tc>
        <w:tc>
          <w:tcPr>
            <w:tcW w:w="2483" w:type="dxa"/>
          </w:tcPr>
          <w:p w14:paraId="27E94E65" w14:textId="77777777" w:rsidR="008108F1" w:rsidRPr="00206CEE" w:rsidRDefault="00C7009B" w:rsidP="00FC48CE">
            <w:pPr>
              <w:jc w:val="left"/>
              <w:rPr>
                <w:noProof/>
              </w:rPr>
            </w:pPr>
            <w:r w:rsidRPr="00206CEE">
              <w:rPr>
                <w:noProof/>
              </w:rPr>
              <w:t>22 octombrie 2022</w:t>
            </w:r>
          </w:p>
        </w:tc>
      </w:tr>
      <w:tr w:rsidR="008108F1" w:rsidRPr="00206CEE" w14:paraId="70003961" w14:textId="77777777" w:rsidTr="00FC48CE">
        <w:tc>
          <w:tcPr>
            <w:tcW w:w="6804" w:type="dxa"/>
          </w:tcPr>
          <w:p w14:paraId="5E19CF62" w14:textId="77777777" w:rsidR="008108F1" w:rsidRPr="00206CEE" w:rsidRDefault="008108F1" w:rsidP="00FC48CE">
            <w:pPr>
              <w:rPr>
                <w:noProof/>
              </w:rPr>
            </w:pPr>
            <w:r w:rsidRPr="00206CEE">
              <w:rPr>
                <w:noProof/>
              </w:rPr>
              <w:t>Data avizului Comitetului Economic și Social European:</w:t>
            </w:r>
          </w:p>
        </w:tc>
        <w:tc>
          <w:tcPr>
            <w:tcW w:w="2483" w:type="dxa"/>
          </w:tcPr>
          <w:p w14:paraId="1F35DA30" w14:textId="77777777" w:rsidR="008108F1" w:rsidRPr="00206CEE" w:rsidRDefault="00C7009B" w:rsidP="00FC48CE">
            <w:pPr>
              <w:jc w:val="left"/>
              <w:rPr>
                <w:noProof/>
              </w:rPr>
            </w:pPr>
            <w:r w:rsidRPr="00206CEE">
              <w:rPr>
                <w:noProof/>
              </w:rPr>
              <w:t>22 februarie 2023</w:t>
            </w:r>
          </w:p>
        </w:tc>
      </w:tr>
      <w:tr w:rsidR="008108F1" w:rsidRPr="00206CEE" w14:paraId="60185B2F" w14:textId="77777777" w:rsidTr="00FC48CE">
        <w:tc>
          <w:tcPr>
            <w:tcW w:w="6804" w:type="dxa"/>
          </w:tcPr>
          <w:p w14:paraId="53A62530" w14:textId="77777777" w:rsidR="008108F1" w:rsidRPr="00206CEE" w:rsidRDefault="008108F1" w:rsidP="00FC48CE">
            <w:pPr>
              <w:rPr>
                <w:noProof/>
              </w:rPr>
            </w:pPr>
            <w:r w:rsidRPr="00206CEE">
              <w:rPr>
                <w:noProof/>
              </w:rPr>
              <w:t>Data poziției Parlamentului European în primă lectură:</w:t>
            </w:r>
          </w:p>
        </w:tc>
        <w:tc>
          <w:tcPr>
            <w:tcW w:w="2483" w:type="dxa"/>
          </w:tcPr>
          <w:p w14:paraId="27ED9275" w14:textId="576C8BF2" w:rsidR="008108F1" w:rsidRPr="00206CEE" w:rsidRDefault="00742E10" w:rsidP="00FC48CE">
            <w:pPr>
              <w:jc w:val="left"/>
              <w:rPr>
                <w:noProof/>
              </w:rPr>
            </w:pPr>
            <w:r w:rsidRPr="00206CEE">
              <w:rPr>
                <w:noProof/>
              </w:rPr>
              <w:t>24 aprilie 2024</w:t>
            </w:r>
          </w:p>
        </w:tc>
      </w:tr>
      <w:tr w:rsidR="008108F1" w:rsidRPr="00206CEE" w14:paraId="44905AE3" w14:textId="77777777" w:rsidTr="00FC48CE">
        <w:tc>
          <w:tcPr>
            <w:tcW w:w="6804" w:type="dxa"/>
          </w:tcPr>
          <w:p w14:paraId="216EFB42" w14:textId="77777777" w:rsidR="008108F1" w:rsidRPr="00206CEE" w:rsidRDefault="008108F1" w:rsidP="00FC48CE">
            <w:pPr>
              <w:rPr>
                <w:noProof/>
              </w:rPr>
            </w:pPr>
            <w:r w:rsidRPr="00206CEE">
              <w:rPr>
                <w:noProof/>
              </w:rPr>
              <w:t>Data transmiterii propunerii modificate:</w:t>
            </w:r>
          </w:p>
        </w:tc>
        <w:tc>
          <w:tcPr>
            <w:tcW w:w="2483" w:type="dxa"/>
          </w:tcPr>
          <w:p w14:paraId="39A9DD02" w14:textId="77777777" w:rsidR="008108F1" w:rsidRPr="00206CEE" w:rsidRDefault="00C7009B" w:rsidP="00FC48CE">
            <w:pPr>
              <w:jc w:val="left"/>
              <w:rPr>
                <w:noProof/>
              </w:rPr>
            </w:pPr>
            <w:r w:rsidRPr="00206CEE">
              <w:rPr>
                <w:noProof/>
              </w:rPr>
              <w:t>NU SE APLICĂ</w:t>
            </w:r>
          </w:p>
        </w:tc>
      </w:tr>
      <w:tr w:rsidR="008108F1" w:rsidRPr="00206CEE" w14:paraId="3665398B" w14:textId="77777777" w:rsidTr="00FC48CE">
        <w:tc>
          <w:tcPr>
            <w:tcW w:w="6804" w:type="dxa"/>
          </w:tcPr>
          <w:p w14:paraId="70FB830A" w14:textId="77777777" w:rsidR="008108F1" w:rsidRPr="00206CEE" w:rsidRDefault="008108F1" w:rsidP="00FC48CE">
            <w:pPr>
              <w:rPr>
                <w:noProof/>
              </w:rPr>
            </w:pPr>
            <w:r w:rsidRPr="00206CEE">
              <w:rPr>
                <w:noProof/>
              </w:rPr>
              <w:t>Data adoptării poziției Consiliului:</w:t>
            </w:r>
          </w:p>
        </w:tc>
        <w:tc>
          <w:tcPr>
            <w:tcW w:w="2483" w:type="dxa"/>
          </w:tcPr>
          <w:p w14:paraId="7BDF08E5" w14:textId="1604CAE6" w:rsidR="008108F1" w:rsidRPr="00206CEE" w:rsidRDefault="00FB42B7" w:rsidP="00FC48CE">
            <w:pPr>
              <w:jc w:val="left"/>
              <w:rPr>
                <w:noProof/>
              </w:rPr>
            </w:pPr>
            <w:r w:rsidRPr="00206CEE">
              <w:rPr>
                <w:noProof/>
              </w:rPr>
              <w:t>17 februarie 2026</w:t>
            </w:r>
          </w:p>
        </w:tc>
      </w:tr>
    </w:tbl>
    <w:p w14:paraId="645D692D" w14:textId="77777777" w:rsidR="008108F1" w:rsidRPr="00206CEE" w:rsidRDefault="008108F1" w:rsidP="001704B9">
      <w:pPr>
        <w:pStyle w:val="ManualHeading1"/>
        <w:rPr>
          <w:noProof/>
        </w:rPr>
      </w:pPr>
      <w:r w:rsidRPr="00206CEE">
        <w:rPr>
          <w:noProof/>
        </w:rPr>
        <w:t>2.</w:t>
      </w:r>
      <w:r w:rsidRPr="00206CEE">
        <w:rPr>
          <w:noProof/>
        </w:rPr>
        <w:tab/>
        <w:t>Obiectul propunerii Comisiei</w:t>
      </w:r>
    </w:p>
    <w:p w14:paraId="6E98E1D3" w14:textId="77777777" w:rsidR="0095488A" w:rsidRPr="00206CEE" w:rsidRDefault="0095488A" w:rsidP="0095488A">
      <w:pPr>
        <w:rPr>
          <w:noProof/>
        </w:rPr>
      </w:pPr>
      <w:r w:rsidRPr="00206CEE">
        <w:rPr>
          <w:noProof/>
        </w:rPr>
        <w:t>Ținând seama de obiectivul general al politicii UE în domeniul apei, propunerea urmărea:</w:t>
      </w:r>
    </w:p>
    <w:p w14:paraId="7A1C4CDE" w14:textId="77777777" w:rsidR="0095488A" w:rsidRPr="00206CEE" w:rsidRDefault="0095488A" w:rsidP="0017549F">
      <w:pPr>
        <w:ind w:left="720" w:hanging="720"/>
        <w:rPr>
          <w:noProof/>
        </w:rPr>
      </w:pPr>
      <w:r w:rsidRPr="00206CEE">
        <w:rPr>
          <w:noProof/>
        </w:rPr>
        <w:t>•</w:t>
      </w:r>
      <w:r w:rsidRPr="00206CEE">
        <w:rPr>
          <w:noProof/>
        </w:rPr>
        <w:tab/>
        <w:t>sporirea protecției cetățenilor UE și a ecosistemelor naturale prin propunerea unor poluanți suplimentari și a unor standarde de calitate a mediului aferente care trebuie respectate în apele subterane și în corpurile de apă de suprafață;</w:t>
      </w:r>
    </w:p>
    <w:p w14:paraId="2ABDCC2C" w14:textId="77777777" w:rsidR="008108F1" w:rsidRPr="00206CEE" w:rsidRDefault="0095488A" w:rsidP="0017549F">
      <w:pPr>
        <w:ind w:left="720" w:hanging="720"/>
        <w:rPr>
          <w:noProof/>
        </w:rPr>
      </w:pPr>
      <w:r w:rsidRPr="00206CEE">
        <w:rPr>
          <w:noProof/>
        </w:rPr>
        <w:t>•</w:t>
      </w:r>
      <w:r w:rsidRPr="00206CEE">
        <w:rPr>
          <w:noProof/>
        </w:rPr>
        <w:tab/>
        <w:t>sporirea eficacității legislației și reducerea sarcinii administrative create de aceasta, astfel încât UE să poată reacționa mai rapid la riscurile emergente.</w:t>
      </w:r>
    </w:p>
    <w:p w14:paraId="4E4E80A3" w14:textId="77777777" w:rsidR="008108F1" w:rsidRPr="00206CEE" w:rsidRDefault="008108F1" w:rsidP="001704B9">
      <w:pPr>
        <w:pStyle w:val="ManualHeading1"/>
        <w:rPr>
          <w:noProof/>
        </w:rPr>
      </w:pPr>
      <w:r w:rsidRPr="00206CEE">
        <w:rPr>
          <w:noProof/>
        </w:rPr>
        <w:t>3.</w:t>
      </w:r>
      <w:r w:rsidRPr="00206CEE">
        <w:rPr>
          <w:noProof/>
        </w:rPr>
        <w:tab/>
        <w:t>Observații privind poziția Consiliului</w:t>
      </w:r>
    </w:p>
    <w:p w14:paraId="6F3AE1C8" w14:textId="404F338E" w:rsidR="008D2B0A" w:rsidRPr="00206CEE" w:rsidRDefault="0095488A" w:rsidP="001704B9">
      <w:pPr>
        <w:widowControl w:val="0"/>
        <w:rPr>
          <w:noProof/>
        </w:rPr>
      </w:pPr>
      <w:r w:rsidRPr="00206CEE">
        <w:rPr>
          <w:noProof/>
        </w:rPr>
        <w:t>Poziția Consiliului adoptată în primă lectură reflectă pe deplin acordul politic la care au ajuns Parlamentul European și Consiliul la 23 septembrie 2025. Comisia sprijină acest acord, ale cărui puncte principale sunt prezentate mai jos.</w:t>
      </w:r>
    </w:p>
    <w:p w14:paraId="40F4B509" w14:textId="77777777" w:rsidR="00527A34" w:rsidRPr="00206CEE" w:rsidRDefault="00527A34" w:rsidP="005D10E6">
      <w:pPr>
        <w:pStyle w:val="Point0"/>
        <w:rPr>
          <w:noProof/>
          <w:bdr w:val="nil"/>
        </w:rPr>
      </w:pPr>
      <w:r>
        <w:rPr>
          <w:noProof/>
        </w:rPr>
        <w:t>(a)</w:t>
      </w:r>
      <w:r>
        <w:rPr>
          <w:noProof/>
        </w:rPr>
        <w:tab/>
      </w:r>
      <w:r w:rsidRPr="00206CEE">
        <w:rPr>
          <w:noProof/>
          <w:bdr w:val="nil"/>
        </w:rPr>
        <w:t xml:space="preserve">Lista revizuită a substanțelor și standardele de calitate aferente </w:t>
      </w:r>
    </w:p>
    <w:p w14:paraId="3E5835D0" w14:textId="3979A20F" w:rsidR="00527A34" w:rsidRPr="00206CEE" w:rsidRDefault="00527A34" w:rsidP="00527A34">
      <w:pPr>
        <w:pBdr>
          <w:top w:val="nil"/>
          <w:left w:val="nil"/>
          <w:bottom w:val="nil"/>
          <w:right w:val="nil"/>
          <w:between w:val="nil"/>
          <w:bar w:val="nil"/>
        </w:pBdr>
        <w:spacing w:before="0" w:after="0"/>
        <w:rPr>
          <w:rFonts w:eastAsia="Arial Unicode MS"/>
          <w:noProof/>
          <w:szCs w:val="24"/>
          <w:bdr w:val="nil"/>
        </w:rPr>
      </w:pPr>
      <w:r w:rsidRPr="00206CEE">
        <w:rPr>
          <w:noProof/>
          <w:bdr w:val="nil"/>
        </w:rPr>
        <w:t>În ceea ce privește esența propunerii Comisiei, acordul politic păstrează majoritatea revizuirilor propuse de Comisie. Cu toate acestea, colegiuitorii au convenit asupra câtorva modificări semnificative:</w:t>
      </w:r>
    </w:p>
    <w:p w14:paraId="591536AA" w14:textId="588D9BB1" w:rsidR="0017549F" w:rsidRPr="00206CEE" w:rsidRDefault="00527A34" w:rsidP="005D10E6">
      <w:pPr>
        <w:pStyle w:val="Bullet0"/>
        <w:numPr>
          <w:ilvl w:val="0"/>
          <w:numId w:val="7"/>
        </w:numPr>
        <w:rPr>
          <w:rFonts w:eastAsia="Calibri"/>
          <w:noProof/>
          <w:u w:color="000000"/>
          <w:bdr w:val="nil"/>
        </w:rPr>
      </w:pPr>
      <w:r w:rsidRPr="00206CEE">
        <w:rPr>
          <w:b/>
          <w:noProof/>
          <w:u w:color="000000"/>
          <w:bdr w:val="nil"/>
        </w:rPr>
        <w:t>„Declasificarea” a două substanțe suplimentare</w:t>
      </w:r>
      <w:r w:rsidRPr="00206CEE">
        <w:rPr>
          <w:noProof/>
          <w:u w:color="000000"/>
          <w:bdr w:val="nil"/>
        </w:rPr>
        <w:t xml:space="preserve"> (</w:t>
      </w:r>
      <w:r w:rsidRPr="00206CEE">
        <w:rPr>
          <w:i/>
          <w:noProof/>
          <w:u w:color="000000"/>
          <w:bdr w:val="nil"/>
        </w:rPr>
        <w:t>atrazină</w:t>
      </w:r>
      <w:r w:rsidRPr="00206CEE">
        <w:rPr>
          <w:noProof/>
          <w:u w:color="000000"/>
          <w:bdr w:val="nil"/>
        </w:rPr>
        <w:t xml:space="preserve"> și </w:t>
      </w:r>
      <w:r w:rsidRPr="00206CEE">
        <w:rPr>
          <w:i/>
          <w:noProof/>
          <w:u w:color="000000"/>
          <w:bdr w:val="nil"/>
        </w:rPr>
        <w:t>triclorbenzen</w:t>
      </w:r>
      <w:r w:rsidRPr="00206CEE">
        <w:rPr>
          <w:noProof/>
          <w:u w:color="000000"/>
          <w:bdr w:val="nil"/>
        </w:rPr>
        <w:t>) în plus față de cele patru substanțe prioritare eliminate de pe lista din propunerea Comisiei.</w:t>
      </w:r>
      <w:r w:rsidR="00640CD9">
        <w:rPr>
          <w:noProof/>
          <w:u w:color="000000"/>
          <w:bdr w:val="nil"/>
        </w:rPr>
        <w:t xml:space="preserve"> </w:t>
      </w:r>
      <w:r w:rsidRPr="00206CEE">
        <w:rPr>
          <w:noProof/>
          <w:u w:color="000000"/>
          <w:bdr w:val="nil"/>
        </w:rPr>
        <w:lastRenderedPageBreak/>
        <w:t xml:space="preserve">Utilizarea </w:t>
      </w:r>
      <w:r w:rsidRPr="00206CEE">
        <w:rPr>
          <w:i/>
          <w:noProof/>
          <w:u w:color="000000"/>
          <w:bdr w:val="nil"/>
        </w:rPr>
        <w:t>triclorbenzenului</w:t>
      </w:r>
      <w:r w:rsidRPr="00206CEE">
        <w:rPr>
          <w:noProof/>
          <w:u w:color="000000"/>
          <w:bdr w:val="nil"/>
        </w:rPr>
        <w:t xml:space="preserve"> a fost restricționată în mare măsură, iar cele mai recente date arată o tendință descendentă, în timp ce </w:t>
      </w:r>
      <w:r w:rsidRPr="00206CEE">
        <w:rPr>
          <w:i/>
          <w:noProof/>
          <w:u w:color="000000"/>
          <w:bdr w:val="nil"/>
        </w:rPr>
        <w:t>atrazina</w:t>
      </w:r>
      <w:r w:rsidRPr="00206CEE">
        <w:rPr>
          <w:noProof/>
          <w:u w:color="000000"/>
          <w:bdr w:val="nil"/>
        </w:rPr>
        <w:t xml:space="preserve"> este interzisă în UE din 2004. Prin urmare, aceste substanțe sunt mutate din lista poluanților apelor de suprafață din anexa I (substanțe care prezintă motive de îngrijorare la nivelul UE) în anexa II (poluanți care prezintă motive de îngrijorare la nivel național) la Directiva</w:t>
      </w:r>
      <w:r w:rsidR="00640CD9">
        <w:rPr>
          <w:noProof/>
          <w:u w:color="000000"/>
          <w:bdr w:val="nil"/>
        </w:rPr>
        <w:t> </w:t>
      </w:r>
      <w:r w:rsidRPr="00206CEE">
        <w:rPr>
          <w:noProof/>
          <w:u w:color="000000"/>
          <w:bdr w:val="nil"/>
        </w:rPr>
        <w:t xml:space="preserve">2008/105/CE. Prin urmare, acestea vor trebui să fie monitorizate și respectate numai în statele membre în care substanțele prezintă în continuare motive de îngrijorare. </w:t>
      </w:r>
    </w:p>
    <w:p w14:paraId="1DDF0A40" w14:textId="77777777" w:rsidR="0017549F" w:rsidRPr="00206CEE" w:rsidRDefault="00527A34" w:rsidP="00217541">
      <w:pPr>
        <w:pStyle w:val="Bullet0"/>
        <w:rPr>
          <w:rFonts w:eastAsia="Calibri"/>
          <w:noProof/>
          <w:color w:val="000000"/>
          <w:szCs w:val="24"/>
          <w:u w:color="000000"/>
          <w:bdr w:val="nil"/>
        </w:rPr>
      </w:pPr>
      <w:r w:rsidRPr="00206CEE">
        <w:rPr>
          <w:b/>
          <w:noProof/>
          <w:u w:color="000000"/>
          <w:bdr w:val="nil"/>
        </w:rPr>
        <w:t>Amânarea pentru o revizuire viitoare</w:t>
      </w:r>
      <w:r w:rsidRPr="00206CEE">
        <w:rPr>
          <w:noProof/>
          <w:u w:color="000000"/>
          <w:bdr w:val="nil"/>
        </w:rPr>
        <w:t xml:space="preserve"> a considerațiilor privind stabilirea unor standarde de calitate pentru sume și/sau totaluri pentru familii complexe de substanțe, cum ar fi produsele farmaceutice, pesticidele, bisfenolii și PFAS, și încredințarea către Comisie a desfășurării de activități metodologice suplimentare privind metode și abordări de monitorizare adecvate pentru stabilirea standardelor de calitate pentru următoarea revizuire legislativă.</w:t>
      </w:r>
    </w:p>
    <w:p w14:paraId="109901B5" w14:textId="77777777" w:rsidR="0017549F" w:rsidRPr="00206CEE" w:rsidRDefault="0017549F" w:rsidP="00217541">
      <w:pPr>
        <w:pStyle w:val="Bullet0"/>
        <w:rPr>
          <w:rFonts w:eastAsia="Calibri"/>
          <w:noProof/>
          <w:color w:val="000000"/>
          <w:szCs w:val="24"/>
          <w:u w:color="000000"/>
          <w:bdr w:val="nil"/>
        </w:rPr>
      </w:pPr>
      <w:r w:rsidRPr="00206CEE">
        <w:rPr>
          <w:b/>
          <w:noProof/>
          <w:u w:color="000000"/>
          <w:bdr w:val="nil"/>
        </w:rPr>
        <w:t>Produse farmaceutice în apele subterane</w:t>
      </w:r>
      <w:r w:rsidRPr="00206CEE">
        <w:rPr>
          <w:noProof/>
          <w:u w:color="000000"/>
          <w:bdr w:val="nil"/>
        </w:rPr>
        <w:t xml:space="preserve">: în locul standardului de calitate pentru „totalul produselor farmaceutice” propus de Comisie, se stabilește un standard de calitate uniform pentru substanțele farmaceutice individuale care prezintă motive de îngrijorare la nivel național din apele subterane. Cu toate acestea, statele membre au obligația de a stabili un standard mai strict în cazul în care au fost identificate ecosisteme sensibile ale apelor subterane. Substanța </w:t>
      </w:r>
      <w:r w:rsidRPr="00206CEE">
        <w:rPr>
          <w:i/>
          <w:noProof/>
          <w:u w:color="000000"/>
          <w:bdr w:val="nil"/>
        </w:rPr>
        <w:t>primidonă</w:t>
      </w:r>
      <w:r w:rsidRPr="00206CEE">
        <w:rPr>
          <w:noProof/>
          <w:u w:color="000000"/>
          <w:bdr w:val="nil"/>
        </w:rPr>
        <w:t xml:space="preserve"> (medicamente antiepileptice) este inclusă în anexa I la Directiva privind apele subterane ca poluant care prezintă motive de îngrijorare la nivelul UE. </w:t>
      </w:r>
    </w:p>
    <w:p w14:paraId="58E34908" w14:textId="77777777" w:rsidR="008A4D18" w:rsidRPr="00206CEE" w:rsidRDefault="008A4D18" w:rsidP="00217541">
      <w:pPr>
        <w:pStyle w:val="Bullet0"/>
        <w:rPr>
          <w:rFonts w:eastAsia="Calibri"/>
          <w:noProof/>
          <w:color w:val="000000"/>
          <w:u w:color="000000"/>
          <w:bdr w:val="nil"/>
        </w:rPr>
      </w:pPr>
      <w:r w:rsidRPr="00206CEE">
        <w:rPr>
          <w:b/>
          <w:noProof/>
          <w:color w:val="000000"/>
          <w:u w:color="000000"/>
        </w:rPr>
        <w:t xml:space="preserve">Ecosisteme ale apelor subterane: </w:t>
      </w:r>
      <w:r w:rsidRPr="00206CEE">
        <w:rPr>
          <w:noProof/>
        </w:rPr>
        <w:t>colegiuitorii au convenit să introducă o notă de subsol care să impună statelor membre să stabilească valori-prag mai stricte pentru poluanții apelor subterane atunci când acest lucru este justificat pe baza dovezilor științifice și sub rezerva instituirii unei metode fiabile de identificare a prezenței ecosistemelor apelor subterane.</w:t>
      </w:r>
      <w:r w:rsidRPr="00206CEE">
        <w:rPr>
          <w:noProof/>
          <w:bdr w:val="nil"/>
        </w:rPr>
        <w:t xml:space="preserve"> </w:t>
      </w:r>
      <w:r w:rsidRPr="00206CEE">
        <w:rPr>
          <w:noProof/>
        </w:rPr>
        <w:t>Colegiuitorii însărcinează, de asemenea, Comisia să elaboreze, în cooperare cu statele membre, o metodologie de identificare a prezenței ecosistemelor în apele subterane.</w:t>
      </w:r>
      <w:r w:rsidRPr="00206CEE">
        <w:rPr>
          <w:noProof/>
          <w:bdr w:val="nil"/>
        </w:rPr>
        <w:t xml:space="preserve"> </w:t>
      </w:r>
    </w:p>
    <w:p w14:paraId="22758E4D" w14:textId="77777777" w:rsidR="0017549F" w:rsidRPr="00206CEE" w:rsidRDefault="00FC4F59" w:rsidP="00217541">
      <w:pPr>
        <w:pStyle w:val="Bullet0"/>
        <w:rPr>
          <w:rFonts w:eastAsia="Calibri"/>
          <w:noProof/>
          <w:color w:val="000000"/>
          <w:szCs w:val="24"/>
          <w:u w:color="000000"/>
          <w:bdr w:val="nil"/>
        </w:rPr>
      </w:pPr>
      <w:r w:rsidRPr="00206CEE">
        <w:rPr>
          <w:b/>
          <w:noProof/>
          <w:u w:color="000000"/>
          <w:bdr w:val="nil"/>
        </w:rPr>
        <w:t>Metaboliți nerelevanți (Mnr) ai pesticidelor în apele subterane</w:t>
      </w:r>
      <w:r w:rsidRPr="00206CEE">
        <w:rPr>
          <w:noProof/>
          <w:u w:color="000000"/>
          <w:bdr w:val="nil"/>
        </w:rPr>
        <w:t xml:space="preserve">: acordul menține „valoarea medie” de 1 μg/l și un total de 5 μg/l din propunerea inițială, permițând în același timp statelor membre să stabilească un standard individual mai mult sau mai puțin strict, dacă acest lucru se justifică pe baza datelor disponibile privind toxicitatea substanței. De asemenea, acesta impune Comisiei să adopte un act de punere în aplicare pentru a stabili o listă (neexhaustivă) a Mnr-urilor în termen de 24 de luni de la intrarea în vigoare, care să fie revizuită periodic. </w:t>
      </w:r>
    </w:p>
    <w:p w14:paraId="12E0E403" w14:textId="77777777" w:rsidR="00527A34" w:rsidRPr="00206CEE" w:rsidRDefault="00527A34" w:rsidP="00217541">
      <w:pPr>
        <w:pStyle w:val="Bullet0"/>
        <w:rPr>
          <w:noProof/>
          <w:u w:color="000000"/>
          <w:bdr w:val="nil"/>
        </w:rPr>
      </w:pPr>
      <w:r w:rsidRPr="00206CEE">
        <w:rPr>
          <w:b/>
          <w:noProof/>
          <w:u w:color="000000"/>
          <w:bdr w:val="nil"/>
        </w:rPr>
        <w:t xml:space="preserve">Pesticidele din apele de suprafață: </w:t>
      </w:r>
      <w:r w:rsidRPr="00206CEE">
        <w:rPr>
          <w:noProof/>
          <w:u w:color="000000"/>
          <w:bdr w:val="nil"/>
        </w:rPr>
        <w:t xml:space="preserve">colegiuitorii au convenit asupra unui standard de calitate de 0,2 μg/l pentru o sumă a unui subset de pesticide (aproximativ 30) care sunt deja enumerate în anexa I la Directiva privind standardele de calitate a mediului. </w:t>
      </w:r>
    </w:p>
    <w:p w14:paraId="590CE301" w14:textId="6AB86D8A" w:rsidR="00A95EE0" w:rsidRPr="00206CEE" w:rsidRDefault="00527A34" w:rsidP="00464D86">
      <w:pPr>
        <w:pStyle w:val="Bullet0"/>
        <w:rPr>
          <w:rFonts w:eastAsia="Arial Unicode MS"/>
          <w:b/>
          <w:bCs/>
          <w:noProof/>
          <w:szCs w:val="24"/>
          <w:bdr w:val="nil"/>
        </w:rPr>
      </w:pPr>
      <w:r w:rsidRPr="00206CEE">
        <w:rPr>
          <w:b/>
          <w:noProof/>
          <w:u w:color="000000"/>
          <w:bdr w:val="nil"/>
        </w:rPr>
        <w:t xml:space="preserve">Standarde de calitate pentru o sumă de PFAS selectate, în apele subterane și în apele de suprafață: </w:t>
      </w:r>
      <w:r w:rsidRPr="00206CEE">
        <w:rPr>
          <w:noProof/>
          <w:u w:color="000000"/>
          <w:bdr w:val="nil"/>
        </w:rPr>
        <w:t xml:space="preserve">în ceea ce privește apele de suprafață, colegiuitorii au convenit asupra propunerii Comisiei de stabilire a unui standard strict de 0,0044 μg/l pentru o sumă de 24 de PFAS și </w:t>
      </w:r>
      <w:r w:rsidRPr="00206CEE">
        <w:rPr>
          <w:b/>
          <w:noProof/>
          <w:u w:color="000000"/>
          <w:bdr w:val="nil"/>
        </w:rPr>
        <w:t>de adăugare a ATF (</w:t>
      </w:r>
      <w:r w:rsidRPr="00206CEE">
        <w:rPr>
          <w:b/>
          <w:i/>
          <w:noProof/>
          <w:u w:color="000000"/>
          <w:bdr w:val="nil"/>
        </w:rPr>
        <w:t>acid trifluoroacetic</w:t>
      </w:r>
      <w:r w:rsidRPr="00206CEE">
        <w:rPr>
          <w:b/>
          <w:noProof/>
          <w:u w:color="000000"/>
          <w:bdr w:val="nil"/>
        </w:rPr>
        <w:t>) la suma de 24 de PFAS, ceea ce face din aceasta o sumă de 25 de PFAS</w:t>
      </w:r>
      <w:r w:rsidRPr="00206CEE">
        <w:rPr>
          <w:noProof/>
          <w:u w:color="000000"/>
          <w:bdr w:val="nil"/>
        </w:rPr>
        <w:t xml:space="preserve">. În ceea ce privește apele subterane, colegiuitorii nu au menținut propunerea Comisiei de a include aceeași sumă de 24 de PFAS ca în apele de suprafață, ci au convenit să aplice standardul strict de calitate de 0,0044 μg/l pentru suma de 4 dintre cele mai periculoase PFAS. În plus, colegiuitorii au convenit asupra includerii – cu o clauză de aliniere dinamică </w:t>
      </w:r>
      <w:r w:rsidRPr="00206CEE">
        <w:rPr>
          <w:noProof/>
          <w:u w:color="000000"/>
          <w:bdr w:val="nil"/>
        </w:rPr>
        <w:lastRenderedPageBreak/>
        <w:t>– a unui standard de calitate mai puțin strict pentru o sumă de 20 de PFAS, care este aliniat la valoarea prevăzută în Directiva privind apa potabilă (DAP). S-a convenit, de asemenea, să se ia în considerare stabilirea unui standard de calitate pentru ATF din apele subterane (fie separat, fie ca parte a unei sume) în cadrul unei viitoare revizuiri.</w:t>
      </w:r>
    </w:p>
    <w:p w14:paraId="5E6D71A8" w14:textId="77777777" w:rsidR="002778CC" w:rsidRPr="00206CEE" w:rsidRDefault="002778CC" w:rsidP="00217541">
      <w:pPr>
        <w:pStyle w:val="Point0"/>
        <w:rPr>
          <w:noProof/>
          <w:u w:color="000000"/>
          <w:bdr w:val="nil"/>
        </w:rPr>
      </w:pPr>
      <w:r>
        <w:rPr>
          <w:noProof/>
        </w:rPr>
        <w:t>(b)</w:t>
      </w:r>
      <w:r>
        <w:rPr>
          <w:noProof/>
        </w:rPr>
        <w:tab/>
      </w:r>
      <w:r w:rsidRPr="00206CEE">
        <w:rPr>
          <w:noProof/>
          <w:u w:color="000000"/>
          <w:bdr w:val="nil"/>
        </w:rPr>
        <w:t>Monitorizarea și raportarea</w:t>
      </w:r>
    </w:p>
    <w:p w14:paraId="5E39ECCB" w14:textId="77777777" w:rsidR="008A4D18" w:rsidRPr="00206CEE" w:rsidRDefault="008A4D18" w:rsidP="00217541">
      <w:pPr>
        <w:pStyle w:val="Bullet0"/>
        <w:rPr>
          <w:noProof/>
          <w:bdr w:val="nil"/>
        </w:rPr>
      </w:pPr>
      <w:r w:rsidRPr="00206CEE">
        <w:rPr>
          <w:b/>
          <w:noProof/>
          <w:bdr w:val="nil"/>
        </w:rPr>
        <w:t>Raportarea mai frecventă a datelor de monitorizare și eliminarea raportării cu privire la progresele programelor de măsuri</w:t>
      </w:r>
      <w:r w:rsidRPr="00206CEE">
        <w:rPr>
          <w:noProof/>
          <w:bdr w:val="nil"/>
        </w:rPr>
        <w:t xml:space="preserve">: colegiuitorii au acceptat propunerea Comisiei de a asigura o raportare mai regulată a datelor de monitorizare, prin mecanisme automate de transmitere a datelor. Colegiuitorii au acceptat, de asemenea, să simplifice raportarea prin eliminarea obligației statelor membre de a prezenta un raport intermediar privind progresele înregistrate în cadrul programelor de punere în aplicare a măsurilor, considerând că o astfel de raportare nu este eficace și că este împovărătoare. </w:t>
      </w:r>
    </w:p>
    <w:p w14:paraId="6F3E009C" w14:textId="49299207" w:rsidR="003060CA" w:rsidRPr="00206CEE" w:rsidRDefault="003060CA" w:rsidP="00217541">
      <w:pPr>
        <w:pStyle w:val="Bullet0"/>
        <w:rPr>
          <w:noProof/>
          <w:bdr w:val="nil"/>
        </w:rPr>
      </w:pPr>
      <w:r w:rsidRPr="00206CEE">
        <w:rPr>
          <w:b/>
          <w:noProof/>
          <w:bdr w:val="nil"/>
        </w:rPr>
        <w:t>Roluri sporite pentru AEM și ECHA</w:t>
      </w:r>
      <w:r w:rsidRPr="00206CEE">
        <w:rPr>
          <w:noProof/>
          <w:bdr w:val="nil"/>
        </w:rPr>
        <w:t>: colegiuitorii au salutat propunerea Comisiei de a clarifica și de a consolida rolurile Agenției Europene de Mediu (AEM) în ceea ce privește ghișeul unic pentru colectarea datelor de monitorizare și ale Agenției Europene pentru Produse Chimice (ECHA) în ceea ce privește sprijinirea Comisiei în viitoarele revizuiri ale listelor de supraveghere și ale listelor de poluanți.</w:t>
      </w:r>
      <w:r w:rsidR="00640CD9">
        <w:rPr>
          <w:noProof/>
          <w:bdr w:val="nil"/>
        </w:rPr>
        <w:t xml:space="preserve"> </w:t>
      </w:r>
    </w:p>
    <w:p w14:paraId="38AA4AD9" w14:textId="77777777" w:rsidR="004224F5" w:rsidRPr="00206CEE" w:rsidRDefault="002778CC" w:rsidP="00217541">
      <w:pPr>
        <w:pStyle w:val="Bullet0"/>
        <w:rPr>
          <w:rFonts w:eastAsia="Times New Roman"/>
          <w:noProof/>
          <w:bdr w:val="nil"/>
        </w:rPr>
      </w:pPr>
      <w:r w:rsidRPr="00206CEE">
        <w:rPr>
          <w:b/>
          <w:noProof/>
          <w:u w:color="000000"/>
          <w:bdr w:val="nil"/>
        </w:rPr>
        <w:t xml:space="preserve">Liste de supraveghere pentru apele subterane și apele de suprafață: </w:t>
      </w:r>
      <w:r w:rsidRPr="00206CEE">
        <w:rPr>
          <w:noProof/>
          <w:u w:color="000000"/>
          <w:bdr w:val="nil"/>
        </w:rPr>
        <w:t xml:space="preserve">colegiuitorii au convenit asupra majorității elementelor propunerii Comisiei, făcând obligatorie monitorizarea „listei de supraveghere” pentru apele subterane și raționalizând procedura atât pentru monitorizarea listei de supraveghere pentru apele de suprafață, cât și pentru apele subterane, pentru a o face mai eficace și mai ușor de gestionat. </w:t>
      </w:r>
      <w:r w:rsidRPr="00206CEE">
        <w:rPr>
          <w:noProof/>
          <w:bdr w:val="nil"/>
        </w:rPr>
        <w:t>Colegiuitorii au convenit, de asemenea, să adauge microplasticele și genele de rezistență la antimicrobiene pe viitoarele liste de supraveghere după elaborarea unor metode adecvate, astfel încât să poată fi colectate date privind concentrația lor în apă, pentru a facilita elaborarea unei metodologii de evaluare a riscurilor.</w:t>
      </w:r>
    </w:p>
    <w:p w14:paraId="78062924" w14:textId="77777777" w:rsidR="004224F5" w:rsidRPr="00206CEE" w:rsidRDefault="00B10FC3" w:rsidP="00217541">
      <w:pPr>
        <w:pStyle w:val="Bullet0"/>
        <w:rPr>
          <w:rFonts w:eastAsia="Arial Unicode MS"/>
          <w:noProof/>
          <w:bdr w:val="nil"/>
        </w:rPr>
      </w:pPr>
      <w:r w:rsidRPr="00206CEE">
        <w:rPr>
          <w:b/>
          <w:noProof/>
          <w:bdr w:val="nil"/>
        </w:rPr>
        <w:t xml:space="preserve">Monitorizarea obligatorie bazată pe efecte a perturbatorilor endocrini: </w:t>
      </w:r>
      <w:r w:rsidRPr="00206CEE">
        <w:rPr>
          <w:noProof/>
          <w:bdr w:val="nil"/>
        </w:rPr>
        <w:t xml:space="preserve">colegiuitorii au convenit să introducă testarea obligatorie a monitorizării bazate pe efecte a anumitor perturbatori endocrini pentru o perioadă de doi ani, încredințând în același timp Comisiei sarcina de a adopta un act de punere în aplicare pentru a stabili specificațiile tehnice necesare. Colegiuitorii au încredințat, de asemenea, Comisiei sarcina de a analiza oportunitatea propunerii, în contextul următoarei actualizări a listelor de poluanți, a utilizării unor astfel de metode și a valorilor declanșatoare aferente și pentru alte grupuri de substanțe. </w:t>
      </w:r>
    </w:p>
    <w:p w14:paraId="1F6540C4" w14:textId="77777777" w:rsidR="004224F5" w:rsidRPr="00206CEE" w:rsidRDefault="00235ADB" w:rsidP="00217541">
      <w:pPr>
        <w:pStyle w:val="Bullet0"/>
        <w:rPr>
          <w:rFonts w:eastAsia="Times New Roman"/>
          <w:noProof/>
          <w:szCs w:val="24"/>
          <w:bdr w:val="nil"/>
        </w:rPr>
      </w:pPr>
      <w:r w:rsidRPr="00206CEE">
        <w:rPr>
          <w:b/>
          <w:noProof/>
          <w:color w:val="000000"/>
          <w:u w:color="000000"/>
          <w:bdr w:val="nil"/>
        </w:rPr>
        <w:t xml:space="preserve">Inventarele emisiilor: </w:t>
      </w:r>
      <w:r w:rsidRPr="00206CEE">
        <w:rPr>
          <w:noProof/>
          <w:bdr w:val="nil"/>
        </w:rPr>
        <w:t xml:space="preserve">pe baza propunerii Comisiei, colegiuitorii au convenit să asigure o raportare complet raționalizată a emisiilor de poluanți, inclusiv a emisiilor difuze, către Portalul emisiilor industriale, evitând astfel orice duplicare a raportării, deoarece nu va mai fi necesar ca informațiile să fie raportate ca parte a planurilor de gestionare a bazinelor hidrografice. </w:t>
      </w:r>
    </w:p>
    <w:p w14:paraId="0A726E42" w14:textId="0912802F" w:rsidR="004224F5" w:rsidRPr="00206CEE" w:rsidRDefault="007E6F43" w:rsidP="00217541">
      <w:pPr>
        <w:pStyle w:val="Bullet0"/>
        <w:rPr>
          <w:noProof/>
          <w:bdr w:val="nil"/>
        </w:rPr>
      </w:pPr>
      <w:r w:rsidRPr="00206CEE">
        <w:rPr>
          <w:b/>
          <w:noProof/>
          <w:u w:color="000000"/>
          <w:bdr w:val="nil"/>
        </w:rPr>
        <w:t>Raportarea rezultatelor monitorizării în hărți; utilizarea indicatorilor de progres:</w:t>
      </w:r>
      <w:r w:rsidRPr="00206CEE">
        <w:rPr>
          <w:noProof/>
          <w:u w:color="000000"/>
          <w:bdr w:val="nil"/>
        </w:rPr>
        <w:t xml:space="preserve"> </w:t>
      </w:r>
      <w:r w:rsidRPr="00206CEE">
        <w:rPr>
          <w:noProof/>
          <w:bdr w:val="nil"/>
        </w:rPr>
        <w:t>colegiuitorii au convenit asupra modificărilor Consiliului de a se include mai multe hărți suplimentare care să acopere diverse combinații de elemente calitative și pentru ca Comisia să colaboreze cu statele membre și cu Agenția</w:t>
      </w:r>
      <w:r w:rsidR="00640CD9">
        <w:rPr>
          <w:noProof/>
          <w:bdr w:val="nil"/>
        </w:rPr>
        <w:t> </w:t>
      </w:r>
      <w:r w:rsidRPr="00206CEE">
        <w:rPr>
          <w:noProof/>
          <w:bdr w:val="nil"/>
        </w:rPr>
        <w:t xml:space="preserve">Europeană de Mediu în vederea elaborării unor „indicatori de progres” uniformi. </w:t>
      </w:r>
    </w:p>
    <w:p w14:paraId="62FC7F4A" w14:textId="12297536" w:rsidR="004224F5" w:rsidRPr="00206CEE" w:rsidRDefault="00EE1B56" w:rsidP="00217541">
      <w:pPr>
        <w:pStyle w:val="Bullet0"/>
        <w:rPr>
          <w:b/>
          <w:bCs/>
          <w:noProof/>
          <w:u w:color="000000"/>
          <w:bdr w:val="nil"/>
        </w:rPr>
      </w:pPr>
      <w:r w:rsidRPr="00206CEE">
        <w:rPr>
          <w:b/>
          <w:noProof/>
          <w:u w:color="000000"/>
          <w:bdr w:val="nil"/>
        </w:rPr>
        <w:lastRenderedPageBreak/>
        <w:t xml:space="preserve">Mecanismul comun de monitorizare: </w:t>
      </w:r>
      <w:r w:rsidRPr="00206CEE">
        <w:rPr>
          <w:noProof/>
          <w:bdr w:val="nil"/>
        </w:rPr>
        <w:t>colegiuitorii au convenit să încredințeze Comisiei sarcina de a efectua o evaluare a fezabilității instituirii unui mecanism comun de monitorizare pentru a sprijini statele membre în mod voluntar să gestioneze cerințele de monitorizare, reducând astfel sarcinile financiare și administrative ale statelor membre.</w:t>
      </w:r>
      <w:r w:rsidR="00640CD9">
        <w:rPr>
          <w:noProof/>
          <w:bdr w:val="nil"/>
        </w:rPr>
        <w:t xml:space="preserve"> </w:t>
      </w:r>
    </w:p>
    <w:p w14:paraId="177DF074" w14:textId="62911329" w:rsidR="00E359F7" w:rsidRPr="00206CEE" w:rsidRDefault="007E6F43" w:rsidP="000F745C">
      <w:pPr>
        <w:pStyle w:val="Bullet0"/>
        <w:rPr>
          <w:noProof/>
          <w:bdr w:val="nil"/>
        </w:rPr>
      </w:pPr>
      <w:r w:rsidRPr="00206CEE">
        <w:rPr>
          <w:b/>
          <w:noProof/>
          <w:u w:color="000000"/>
          <w:bdr w:val="nil"/>
        </w:rPr>
        <w:t xml:space="preserve">Răspunderea extinsă a producătorilor (REP): </w:t>
      </w:r>
      <w:r w:rsidRPr="00206CEE">
        <w:rPr>
          <w:noProof/>
          <w:bdr w:val="nil"/>
        </w:rPr>
        <w:t>colegiuitorii au convenit să încredințeze Comisiei sarcina de a efectua o evaluare a fezabilității solicitării ca producătorii care introduc pe piața UE produse care conțin oricare dintre substanțele enumerate în anexa I la Directivele 2006/118/CE și 2008/105/CE să contribuie la costurile programelor de monitorizare.</w:t>
      </w:r>
    </w:p>
    <w:p w14:paraId="2AE3688B" w14:textId="77777777" w:rsidR="00B10FC3" w:rsidRPr="00206CEE" w:rsidRDefault="002778CC" w:rsidP="00217541">
      <w:pPr>
        <w:pStyle w:val="Point0"/>
        <w:rPr>
          <w:noProof/>
          <w:bdr w:val="nil"/>
        </w:rPr>
      </w:pPr>
      <w:r>
        <w:rPr>
          <w:noProof/>
        </w:rPr>
        <w:t>(c)</w:t>
      </w:r>
      <w:r>
        <w:rPr>
          <w:noProof/>
        </w:rPr>
        <w:tab/>
      </w:r>
      <w:r w:rsidRPr="00206CEE">
        <w:rPr>
          <w:noProof/>
          <w:bdr w:val="nil"/>
        </w:rPr>
        <w:t>Cooperarea transfrontalieră</w:t>
      </w:r>
    </w:p>
    <w:p w14:paraId="1A020C11" w14:textId="7298EFD9" w:rsidR="00E359F7" w:rsidRPr="00206CEE" w:rsidRDefault="002778CC" w:rsidP="004224F5">
      <w:pPr>
        <w:rPr>
          <w:noProof/>
          <w:bdr w:val="nil"/>
        </w:rPr>
      </w:pPr>
      <w:r w:rsidRPr="00206CEE">
        <w:rPr>
          <w:noProof/>
          <w:bdr w:val="nil"/>
        </w:rPr>
        <w:t>Colegiuitorii au convenit asupra unei cooperări transfrontaliere sporite, asigurându-se că statele membre afectate și Comisia vor fi informate imediat cu privire la circumstanțele excepționale ale inundațiilor extreme, ale secetelor prelungite sau ale poluării transfrontaliere accidentale și că se stabilește o cooperare adecvată.</w:t>
      </w:r>
    </w:p>
    <w:p w14:paraId="1E64B415" w14:textId="77777777" w:rsidR="001A38A7" w:rsidRPr="00206CEE" w:rsidRDefault="001A38A7" w:rsidP="00217541">
      <w:pPr>
        <w:pStyle w:val="Point0"/>
        <w:rPr>
          <w:noProof/>
          <w:u w:color="000000"/>
          <w:bdr w:val="nil"/>
        </w:rPr>
      </w:pPr>
      <w:r>
        <w:rPr>
          <w:noProof/>
        </w:rPr>
        <w:t>(d)</w:t>
      </w:r>
      <w:r>
        <w:rPr>
          <w:noProof/>
        </w:rPr>
        <w:tab/>
      </w:r>
      <w:r w:rsidRPr="00206CEE">
        <w:rPr>
          <w:noProof/>
          <w:u w:color="000000"/>
          <w:bdr w:val="nil"/>
        </w:rPr>
        <w:t xml:space="preserve">Accesul la justiție </w:t>
      </w:r>
    </w:p>
    <w:p w14:paraId="185D3B75" w14:textId="70363D82" w:rsidR="00A95EE0" w:rsidRPr="00206CEE" w:rsidRDefault="00BD78D1" w:rsidP="004224F5">
      <w:pPr>
        <w:pBdr>
          <w:top w:val="nil"/>
          <w:left w:val="nil"/>
          <w:bottom w:val="nil"/>
          <w:right w:val="nil"/>
          <w:between w:val="nil"/>
          <w:bar w:val="nil"/>
        </w:pBdr>
        <w:ind w:right="-20"/>
        <w:rPr>
          <w:rFonts w:eastAsia="Arial Unicode MS"/>
          <w:noProof/>
          <w:szCs w:val="24"/>
          <w:bdr w:val="nil"/>
        </w:rPr>
      </w:pPr>
      <w:r w:rsidRPr="00206CEE">
        <w:rPr>
          <w:noProof/>
          <w:bdr w:val="nil"/>
        </w:rPr>
        <w:t xml:space="preserve">Deși acest subiect nu a fost abordat în propunerea Comisiei, colegiuitorii au convenit să introducă dispoziții specifice privind accesul la justiție în conformitate cu Convenția de la Aarhus, în mod similar cu cele introduse în legislația recent convenită, cum ar fi directiva revizuită privind epurarea apelor uzate urbane, în ceea ce privește acțiunile și omisiunile care intră sub incidența articolelor 4, 11 și 13 (și anume obiectivele privind starea bună, programele de măsuri și planurile de management al bazinelor hidrografice). </w:t>
      </w:r>
    </w:p>
    <w:p w14:paraId="4BBEC953" w14:textId="4E23AE2C" w:rsidR="001A38A7" w:rsidRPr="00206CEE" w:rsidRDefault="001A38A7" w:rsidP="00217541">
      <w:pPr>
        <w:pStyle w:val="Point0"/>
        <w:rPr>
          <w:rFonts w:ascii="Calibri" w:hAnsi="Calibri" w:cs="Calibri"/>
          <w:noProof/>
          <w:sz w:val="22"/>
          <w:u w:color="000000"/>
          <w:bdr w:val="nil"/>
        </w:rPr>
      </w:pPr>
      <w:r>
        <w:rPr>
          <w:noProof/>
        </w:rPr>
        <w:t>(e)</w:t>
      </w:r>
      <w:r>
        <w:rPr>
          <w:noProof/>
        </w:rPr>
        <w:tab/>
      </w:r>
      <w:r w:rsidRPr="00206CEE">
        <w:rPr>
          <w:noProof/>
          <w:u w:color="000000"/>
          <w:bdr w:val="nil"/>
        </w:rPr>
        <w:t>Reintroducerea procedurii legislative ordinare pentru actualizarea listelor de poluanți pentru apele subterane și de suprafață</w:t>
      </w:r>
    </w:p>
    <w:p w14:paraId="33F80D51" w14:textId="6BE290CC" w:rsidR="00E359F7" w:rsidRPr="00206CEE" w:rsidRDefault="00486099" w:rsidP="001A38A7">
      <w:pPr>
        <w:pBdr>
          <w:top w:val="nil"/>
          <w:left w:val="nil"/>
          <w:bottom w:val="nil"/>
          <w:right w:val="nil"/>
          <w:between w:val="nil"/>
          <w:bar w:val="nil"/>
        </w:pBdr>
        <w:ind w:right="-20"/>
        <w:rPr>
          <w:rFonts w:eastAsia="Arial Unicode MS"/>
          <w:noProof/>
          <w:szCs w:val="24"/>
          <w:bdr w:val="nil"/>
        </w:rPr>
      </w:pPr>
      <w:r w:rsidRPr="00206CEE">
        <w:rPr>
          <w:noProof/>
          <w:bdr w:val="nil"/>
        </w:rPr>
        <w:t>Colegiuitorii nu au urmat propunerea Comisiei de a trece de la acte legislative la acte delegate pentru viitoarele modificări ale listei poluanților și ale standardelor de calitate aferente în apele de suprafață și în apele subterane, menținând procedura legislativă ordinară pentru modificările viitoare. Aceștia au menținut, de asemenea, obligația actuală a Comisiei de a prezenta propuneri legislative pentru ca statele membre să elimine treptat emisiile de substanțe periculoase prioritare într-un termen care să nu depășească 20 de ani de la includerea pe listă a substanței.</w:t>
      </w:r>
    </w:p>
    <w:p w14:paraId="006EA0AC" w14:textId="77777777" w:rsidR="001642C1" w:rsidRPr="00206CEE" w:rsidRDefault="001A38A7" w:rsidP="00217541">
      <w:pPr>
        <w:pStyle w:val="Point0"/>
        <w:rPr>
          <w:noProof/>
          <w:u w:color="000000"/>
          <w:bdr w:val="nil"/>
        </w:rPr>
      </w:pPr>
      <w:r>
        <w:rPr>
          <w:noProof/>
        </w:rPr>
        <w:t>(f)</w:t>
      </w:r>
      <w:r>
        <w:rPr>
          <w:noProof/>
        </w:rPr>
        <w:tab/>
      </w:r>
      <w:r w:rsidRPr="00206CEE">
        <w:rPr>
          <w:noProof/>
          <w:u w:color="000000"/>
          <w:bdr w:val="nil"/>
        </w:rPr>
        <w:t>Utilizarea actelor delegate versus utilizarea actelor de punere în aplicare</w:t>
      </w:r>
    </w:p>
    <w:p w14:paraId="41DB524B" w14:textId="0A4ADA44" w:rsidR="00E359F7" w:rsidRPr="00206CEE" w:rsidRDefault="00D12CA9" w:rsidP="004224F5">
      <w:pPr>
        <w:pBdr>
          <w:top w:val="nil"/>
          <w:left w:val="nil"/>
          <w:bottom w:val="nil"/>
          <w:right w:val="nil"/>
          <w:between w:val="nil"/>
          <w:bar w:val="nil"/>
        </w:pBdr>
        <w:spacing w:before="0" w:after="200"/>
        <w:ind w:left="-20"/>
        <w:rPr>
          <w:rFonts w:eastAsia="Arial Unicode MS"/>
          <w:noProof/>
          <w:szCs w:val="24"/>
          <w:bdr w:val="nil"/>
        </w:rPr>
      </w:pPr>
      <w:r w:rsidRPr="00206CEE">
        <w:rPr>
          <w:noProof/>
          <w:bdr w:val="nil"/>
        </w:rPr>
        <w:t>În ceea ce privește conversia dispozițiilor legate de comitologie în vederea adaptării la Tratatul de la Lisabona, colegiuitorii au putut conveni asupra tuturor propunerilor Comisiei, cu excepția adoptării unor valori de referință armonizate în scopul determinării stării elementelor calitative biologice din apele de suprafață (rezultate din așa-numitul „exercițiu de intercalibrare”), în cazul căruia colegiuitorii au convenit asupra unor acte de punere în aplicare.</w:t>
      </w:r>
    </w:p>
    <w:p w14:paraId="5A5F4BC4" w14:textId="77777777" w:rsidR="004224F5" w:rsidRPr="00206CEE" w:rsidRDefault="004224F5" w:rsidP="00217541">
      <w:pPr>
        <w:pStyle w:val="Point0"/>
        <w:rPr>
          <w:noProof/>
          <w:u w:color="000000"/>
          <w:bdr w:val="nil"/>
        </w:rPr>
      </w:pPr>
      <w:r>
        <w:rPr>
          <w:noProof/>
        </w:rPr>
        <w:t>(g)</w:t>
      </w:r>
      <w:r>
        <w:rPr>
          <w:noProof/>
        </w:rPr>
        <w:tab/>
      </w:r>
      <w:r w:rsidRPr="00206CEE">
        <w:rPr>
          <w:noProof/>
          <w:u w:color="000000"/>
          <w:bdr w:val="nil"/>
        </w:rPr>
        <w:t>Clauza de nedeteriorare și derogările</w:t>
      </w:r>
    </w:p>
    <w:p w14:paraId="1D7FCD68" w14:textId="74A41ABF" w:rsidR="004224F5" w:rsidRPr="00206CEE" w:rsidRDefault="000059C1" w:rsidP="004224F5">
      <w:pPr>
        <w:pBdr>
          <w:top w:val="nil"/>
          <w:left w:val="nil"/>
          <w:bottom w:val="nil"/>
          <w:right w:val="nil"/>
          <w:between w:val="nil"/>
          <w:bar w:val="nil"/>
        </w:pBdr>
        <w:spacing w:before="0" w:after="0"/>
        <w:rPr>
          <w:rFonts w:eastAsia="Times New Roman"/>
          <w:noProof/>
          <w:szCs w:val="24"/>
          <w:bdr w:val="nil"/>
        </w:rPr>
      </w:pPr>
      <w:r w:rsidRPr="00206CEE">
        <w:rPr>
          <w:noProof/>
          <w:bdr w:val="nil"/>
        </w:rPr>
        <w:t xml:space="preserve">Acest aspect nu a fost abordat în propunerea Comisiei. Colegiuitorii au convenit, pe baza unei propuneri a Consiliului, să includă o </w:t>
      </w:r>
      <w:r w:rsidRPr="00206CEE">
        <w:rPr>
          <w:b/>
          <w:noProof/>
          <w:bdr w:val="nil"/>
        </w:rPr>
        <w:t>definiție a „deteriorării stării”</w:t>
      </w:r>
      <w:r w:rsidRPr="00206CEE">
        <w:rPr>
          <w:noProof/>
          <w:bdr w:val="nil"/>
        </w:rPr>
        <w:t xml:space="preserve"> în conformitate cu jurisprudența Curții de Justiție a Uniunii Europene în hotărârea sa Weser</w:t>
      </w:r>
      <w:r w:rsidRPr="00206CEE">
        <w:rPr>
          <w:rStyle w:val="FootnoteReference"/>
          <w:noProof/>
        </w:rPr>
        <w:footnoteReference w:id="1"/>
      </w:r>
      <w:r w:rsidRPr="00206CEE">
        <w:rPr>
          <w:noProof/>
          <w:bdr w:val="nil"/>
        </w:rPr>
        <w:t xml:space="preserve">, pentru a spori claritatea juridică. Aceștia au convenit, de asemenea, să introducă </w:t>
      </w:r>
      <w:r w:rsidRPr="00206CEE">
        <w:rPr>
          <w:b/>
          <w:noProof/>
          <w:bdr w:val="nil"/>
        </w:rPr>
        <w:t>două noi derogări de la principiul nedeteriorării</w:t>
      </w:r>
      <w:r w:rsidRPr="00206CEE">
        <w:rPr>
          <w:noProof/>
          <w:bdr w:val="nil"/>
        </w:rPr>
        <w:t xml:space="preserve">: una care să simplifice procedurile de autorizare a noilor proiecte </w:t>
      </w:r>
      <w:r w:rsidRPr="00206CEE">
        <w:rPr>
          <w:noProof/>
          <w:bdr w:val="nil"/>
        </w:rPr>
        <w:lastRenderedPageBreak/>
        <w:t xml:space="preserve">care cauzează doar o deteriorare temporară și alta care să permită noi proiecte sau activități, chiar dacă acestea ar deteriora starea chimică, cu condiția ca această deteriorare să fie rezultatul unei simple relocări a poluanților dintr-un corp de apă în altul, fără o creștere netă a poluării și cu condiția ca corpul de apă receptor să se afle deja într-o stare chimică mai puțin bună. Derogările prevăd o serie de </w:t>
      </w:r>
      <w:r w:rsidRPr="00206CEE">
        <w:rPr>
          <w:b/>
          <w:noProof/>
          <w:bdr w:val="nil"/>
        </w:rPr>
        <w:t>garanții suplimentare</w:t>
      </w:r>
      <w:r w:rsidRPr="00206CEE">
        <w:rPr>
          <w:noProof/>
          <w:bdr w:val="nil"/>
        </w:rPr>
        <w:t xml:space="preserve"> în comparație cu mandatul inițial al Consiliului. În special în cazul proiectelor care conduc la o deteriorare temporară, ar trebui să existe o evaluare </w:t>
      </w:r>
      <w:r w:rsidRPr="00206CEE">
        <w:rPr>
          <w:i/>
          <w:noProof/>
          <w:bdr w:val="nil"/>
        </w:rPr>
        <w:t>ex ante</w:t>
      </w:r>
      <w:r w:rsidRPr="00206CEE">
        <w:rPr>
          <w:noProof/>
          <w:bdr w:val="nil"/>
        </w:rPr>
        <w:t xml:space="preserve"> și o verificare </w:t>
      </w:r>
      <w:r w:rsidRPr="00206CEE">
        <w:rPr>
          <w:i/>
          <w:noProof/>
          <w:bdr w:val="nil"/>
        </w:rPr>
        <w:t>ex post</w:t>
      </w:r>
      <w:r w:rsidRPr="00206CEE">
        <w:rPr>
          <w:noProof/>
          <w:bdr w:val="nil"/>
        </w:rPr>
        <w:t xml:space="preserve"> a faptului că deteriorarea nu ar putea fi detectată după un an sau, în cazul elementelor calitative biologice, după trei ani. În ceea ce privește relocarea poluanților, proiectul/activitatea ar trebui să facă obiectul unei reglementări sau autorizări prealabile pentru a se asigura că: toate etapele posibile de tratare a apei se aplică înainte de relocare; corpul de apă receptor se află deja într-o stare chimică proastă pentru majoritatea poluanților relocați (și, în special, pentru substanțele cele mai persistente și bioacumulative) și nu se preconizează că acesta își va deteriora starea ecologică ca urmare a relocării; corpurile de apă utilizate pentru apa potabilă nu sunt afectate; nu sunt disponibile opțiuni de mediu mai bune, din motive de fezabilitate tehnică sau costuri disproporționate. </w:t>
      </w:r>
    </w:p>
    <w:p w14:paraId="4AF7C448" w14:textId="77777777" w:rsidR="004224F5" w:rsidRPr="00206CEE" w:rsidRDefault="004224F5" w:rsidP="00217541">
      <w:pPr>
        <w:pStyle w:val="Point0"/>
        <w:rPr>
          <w:noProof/>
          <w:u w:color="000000"/>
          <w:bdr w:val="nil"/>
        </w:rPr>
      </w:pPr>
      <w:r>
        <w:rPr>
          <w:noProof/>
        </w:rPr>
        <w:t>(h)</w:t>
      </w:r>
      <w:r>
        <w:rPr>
          <w:noProof/>
        </w:rPr>
        <w:tab/>
      </w:r>
      <w:r w:rsidRPr="00206CEE">
        <w:rPr>
          <w:noProof/>
          <w:u w:color="000000"/>
          <w:bdr w:val="nil"/>
        </w:rPr>
        <w:t>Termene de conformare și de transpunere</w:t>
      </w:r>
    </w:p>
    <w:p w14:paraId="7771F7BD" w14:textId="77777777" w:rsidR="004224F5" w:rsidRPr="00206CEE" w:rsidRDefault="004224F5" w:rsidP="001642C1">
      <w:pPr>
        <w:rPr>
          <w:noProof/>
          <w:bdr w:val="nil"/>
        </w:rPr>
      </w:pPr>
      <w:r w:rsidRPr="00206CEE">
        <w:rPr>
          <w:noProof/>
          <w:bdr w:val="nil"/>
        </w:rPr>
        <w:t xml:space="preserve">Colegiuitorii au convenit asupra unui </w:t>
      </w:r>
      <w:r w:rsidRPr="00206CEE">
        <w:rPr>
          <w:b/>
          <w:noProof/>
          <w:bdr w:val="nil"/>
        </w:rPr>
        <w:t>termen de transpunere, și anume 21 decembrie 2027</w:t>
      </w:r>
      <w:r w:rsidRPr="00206CEE">
        <w:rPr>
          <w:noProof/>
          <w:bdr w:val="nil"/>
        </w:rPr>
        <w:t>, care va asigura integrarea de către statele membre a noilor dispoziții ca parte a următorului ciclu de planificare a managementului bazinelor hidrografice.</w:t>
      </w:r>
      <w:r w:rsidRPr="00206CEE">
        <w:rPr>
          <w:noProof/>
          <w:u w:color="000000"/>
          <w:bdr w:val="nil"/>
        </w:rPr>
        <w:t xml:space="preserve"> În ceea ce privește </w:t>
      </w:r>
      <w:r w:rsidRPr="00206CEE">
        <w:rPr>
          <w:b/>
          <w:noProof/>
          <w:u w:color="000000"/>
          <w:bdr w:val="nil"/>
        </w:rPr>
        <w:t>termenul de conformare pentru substanțele nou identificate</w:t>
      </w:r>
      <w:r w:rsidRPr="00206CEE">
        <w:rPr>
          <w:noProof/>
          <w:u w:color="000000"/>
          <w:bdr w:val="nil"/>
        </w:rPr>
        <w:t xml:space="preserve">, acordul prevede conformarea atât a apelor de suprafață, cât și a apelor subterane până la sfârșitul anului 2039, cu posibilitatea de a aplica derogări legate de timp pentru încă un ciclu, și anume până la sfârșitul anului 2045. </w:t>
      </w:r>
    </w:p>
    <w:p w14:paraId="6A3A0C5D" w14:textId="77777777" w:rsidR="008108F1" w:rsidRPr="00206CEE" w:rsidRDefault="008108F1" w:rsidP="001704B9">
      <w:pPr>
        <w:pStyle w:val="ManualHeading1"/>
        <w:rPr>
          <w:noProof/>
        </w:rPr>
      </w:pPr>
      <w:r w:rsidRPr="00206CEE">
        <w:rPr>
          <w:noProof/>
        </w:rPr>
        <w:t>4.</w:t>
      </w:r>
      <w:r w:rsidRPr="00206CEE">
        <w:rPr>
          <w:noProof/>
        </w:rPr>
        <w:tab/>
        <w:t>Concluzie</w:t>
      </w:r>
    </w:p>
    <w:p w14:paraId="4FF92B9E" w14:textId="77777777" w:rsidR="00527A34" w:rsidRPr="00206CEE" w:rsidRDefault="00527A34" w:rsidP="00527A34">
      <w:pPr>
        <w:rPr>
          <w:noProof/>
        </w:rPr>
      </w:pPr>
      <w:r w:rsidRPr="00206CEE">
        <w:rPr>
          <w:noProof/>
        </w:rPr>
        <w:t>Comisia sprijină rezultatele negocierilor interinstituționale și, prin urmare, poate să accepte poziția în primă lectură a Consiliului.</w:t>
      </w:r>
    </w:p>
    <w:p w14:paraId="3B4238DA" w14:textId="77777777" w:rsidR="00AD3962" w:rsidRDefault="00AD3962" w:rsidP="00527A34">
      <w:pPr>
        <w:pStyle w:val="Text1"/>
        <w:rPr>
          <w:noProof/>
        </w:rPr>
      </w:pPr>
    </w:p>
    <w:p w14:paraId="250B3274" w14:textId="6AC5A46F" w:rsidR="00527A34" w:rsidRPr="00206CEE" w:rsidRDefault="00527A34" w:rsidP="00527A34">
      <w:pPr>
        <w:pStyle w:val="Text1"/>
        <w:rPr>
          <w:noProof/>
        </w:rPr>
      </w:pPr>
    </w:p>
    <w:sectPr w:rsidR="00527A34" w:rsidRPr="00206CEE" w:rsidSect="00A90C01">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353B4A" w14:textId="77777777" w:rsidR="008108F1" w:rsidRDefault="008108F1" w:rsidP="008108F1">
      <w:pPr>
        <w:spacing w:before="0" w:after="0"/>
      </w:pPr>
      <w:r>
        <w:separator/>
      </w:r>
    </w:p>
  </w:endnote>
  <w:endnote w:type="continuationSeparator" w:id="0">
    <w:p w14:paraId="5017AD6F" w14:textId="77777777" w:rsidR="008108F1" w:rsidRDefault="008108F1" w:rsidP="008108F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D34CA" w14:textId="0A636267" w:rsidR="00A90C01" w:rsidRPr="00A90C01" w:rsidRDefault="00A90C01" w:rsidP="00A90C01">
    <w:pPr>
      <w:pStyle w:val="Footer"/>
      <w:rPr>
        <w:rFonts w:ascii="Arial" w:hAnsi="Arial" w:cs="Arial"/>
        <w:b/>
        <w:sz w:val="48"/>
      </w:rPr>
    </w:pPr>
    <w:r w:rsidRPr="00A90C01">
      <w:rPr>
        <w:rFonts w:ascii="Arial" w:hAnsi="Arial" w:cs="Arial"/>
        <w:b/>
        <w:sz w:val="48"/>
      </w:rPr>
      <w:t>RO</w:t>
    </w:r>
    <w:r w:rsidRPr="00A90C01">
      <w:rPr>
        <w:rFonts w:ascii="Arial" w:hAnsi="Arial" w:cs="Arial"/>
        <w:b/>
        <w:sz w:val="48"/>
      </w:rPr>
      <w:tab/>
    </w:r>
    <w:r w:rsidRPr="00A90C01">
      <w:rPr>
        <w:rFonts w:ascii="Arial" w:hAnsi="Arial" w:cs="Arial"/>
        <w:b/>
        <w:sz w:val="48"/>
      </w:rPr>
      <w:tab/>
    </w:r>
    <w:r w:rsidRPr="00A90C01">
      <w:tab/>
    </w:r>
    <w:r w:rsidRPr="00A90C0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49585" w14:textId="3A7668B5" w:rsidR="00A90C01" w:rsidRPr="00A90C01" w:rsidRDefault="00A90C01" w:rsidP="00A90C01">
    <w:pPr>
      <w:pStyle w:val="Footer"/>
      <w:rPr>
        <w:rFonts w:ascii="Arial" w:hAnsi="Arial" w:cs="Arial"/>
        <w:b/>
        <w:sz w:val="48"/>
      </w:rPr>
    </w:pPr>
    <w:r w:rsidRPr="00A90C01">
      <w:rPr>
        <w:rFonts w:ascii="Arial" w:hAnsi="Arial" w:cs="Arial"/>
        <w:b/>
        <w:sz w:val="48"/>
      </w:rPr>
      <w:t>RO</w:t>
    </w:r>
    <w:r w:rsidRPr="00A90C01">
      <w:rPr>
        <w:rFonts w:ascii="Arial" w:hAnsi="Arial" w:cs="Arial"/>
        <w:b/>
        <w:sz w:val="48"/>
      </w:rPr>
      <w:tab/>
    </w:r>
    <w:r w:rsidRPr="00A90C01">
      <w:rPr>
        <w:rFonts w:ascii="Arial" w:hAnsi="Arial" w:cs="Arial"/>
        <w:b/>
        <w:sz w:val="48"/>
      </w:rPr>
      <w:tab/>
    </w:r>
    <w:r w:rsidRPr="00A90C01">
      <w:tab/>
    </w:r>
    <w:r w:rsidRPr="00A90C0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DCDF9" w14:textId="77777777" w:rsidR="00A90C01" w:rsidRDefault="00A90C0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E4E41" w14:textId="0EAA5A66" w:rsidR="00A90C01" w:rsidRPr="00A90C01" w:rsidRDefault="00A90C01" w:rsidP="00A90C01">
    <w:pPr>
      <w:pStyle w:val="Footer"/>
      <w:rPr>
        <w:rFonts w:ascii="Arial" w:hAnsi="Arial" w:cs="Arial"/>
        <w:b/>
        <w:sz w:val="48"/>
      </w:rPr>
    </w:pPr>
    <w:r w:rsidRPr="00A90C01">
      <w:rPr>
        <w:rFonts w:ascii="Arial" w:hAnsi="Arial" w:cs="Arial"/>
        <w:b/>
        <w:sz w:val="48"/>
      </w:rPr>
      <w:t>RO</w:t>
    </w:r>
    <w:r w:rsidRPr="00A90C01">
      <w:rPr>
        <w:rFonts w:ascii="Arial" w:hAnsi="Arial" w:cs="Arial"/>
        <w:b/>
        <w:sz w:val="48"/>
      </w:rPr>
      <w:tab/>
    </w:r>
    <w:r>
      <w:fldChar w:fldCharType="begin"/>
    </w:r>
    <w:r>
      <w:instrText xml:space="preserve"> PAGE  \* MERGEFORMAT </w:instrText>
    </w:r>
    <w:r>
      <w:fldChar w:fldCharType="separate"/>
    </w:r>
    <w:r w:rsidR="00AD3962">
      <w:rPr>
        <w:noProof/>
      </w:rPr>
      <w:t>5</w:t>
    </w:r>
    <w:r>
      <w:fldChar w:fldCharType="end"/>
    </w:r>
    <w:r>
      <w:tab/>
    </w:r>
    <w:r w:rsidRPr="00A90C01">
      <w:tab/>
    </w:r>
    <w:r w:rsidRPr="00A90C01">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E6E85" w14:textId="77777777" w:rsidR="00A90C01" w:rsidRDefault="00A90C01" w:rsidP="00A90C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480FCE" w14:textId="77777777" w:rsidR="008108F1" w:rsidRDefault="008108F1" w:rsidP="008108F1">
      <w:pPr>
        <w:spacing w:before="0" w:after="0"/>
      </w:pPr>
      <w:r>
        <w:separator/>
      </w:r>
    </w:p>
  </w:footnote>
  <w:footnote w:type="continuationSeparator" w:id="0">
    <w:p w14:paraId="40DCDF12" w14:textId="77777777" w:rsidR="008108F1" w:rsidRDefault="008108F1" w:rsidP="008108F1">
      <w:pPr>
        <w:spacing w:before="0" w:after="0"/>
      </w:pPr>
      <w:r>
        <w:continuationSeparator/>
      </w:r>
    </w:p>
  </w:footnote>
  <w:footnote w:id="1">
    <w:p w14:paraId="7E041654" w14:textId="6C91356A" w:rsidR="004224F5" w:rsidRPr="007E0B94" w:rsidRDefault="004224F5" w:rsidP="004224F5">
      <w:pPr>
        <w:pStyle w:val="FootnoteText"/>
      </w:pPr>
      <w:r>
        <w:rPr>
          <w:rStyle w:val="FootnoteReference"/>
        </w:rPr>
        <w:footnoteRef/>
      </w:r>
      <w:r>
        <w:tab/>
      </w:r>
      <w:hyperlink r:id="rId1" w:tgtFrame="_blank" w:history="1">
        <w:r>
          <w:rPr>
            <w:rStyle w:val="Hyperlink"/>
          </w:rPr>
          <w:t>Cauza C-461/13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A2B3E" w14:textId="77777777" w:rsidR="00A90C01" w:rsidRDefault="00A90C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3B608" w14:textId="77777777" w:rsidR="00A90C01" w:rsidRDefault="00A90C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190931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646628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4B2D75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3EE8D7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AF65F2F"/>
    <w:multiLevelType w:val="multilevel"/>
    <w:tmpl w:val="148C959C"/>
    <w:styleLink w:val="ImportedStyle1"/>
    <w:lvl w:ilvl="0">
      <w:start w:val="1"/>
      <w:numFmt w:val="decimal"/>
      <w:lvlText w:val="%1."/>
      <w:lvlJc w:val="left"/>
      <w:pPr>
        <w:tabs>
          <w:tab w:val="left" w:pos="709"/>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709"/>
        </w:tabs>
        <w:ind w:left="420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709"/>
        </w:tabs>
        <w:ind w:left="2138"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709"/>
        </w:tabs>
        <w:ind w:left="2422"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1.%2.%3.%4.(%5)"/>
      <w:lvlJc w:val="left"/>
      <w:pPr>
        <w:tabs>
          <w:tab w:val="left" w:pos="709"/>
        </w:tabs>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tabs>
          <w:tab w:val="left" w:pos="709"/>
        </w:tabs>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709"/>
        </w:tabs>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tabs>
          <w:tab w:val="left" w:pos="709"/>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tabs>
          <w:tab w:val="left" w:pos="709"/>
        </w:tabs>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num>
  <w:num w:numId="8">
    <w:abstractNumId w:val="16"/>
  </w:num>
  <w:num w:numId="9">
    <w:abstractNumId w:val="8"/>
  </w:num>
  <w:num w:numId="10">
    <w:abstractNumId w:val="18"/>
  </w:num>
  <w:num w:numId="11">
    <w:abstractNumId w:val="7"/>
  </w:num>
  <w:num w:numId="12">
    <w:abstractNumId w:val="9"/>
  </w:num>
  <w:num w:numId="13">
    <w:abstractNumId w:val="10"/>
  </w:num>
  <w:num w:numId="14">
    <w:abstractNumId w:val="5"/>
  </w:num>
  <w:num w:numId="15">
    <w:abstractNumId w:val="17"/>
  </w:num>
  <w:num w:numId="16">
    <w:abstractNumId w:val="4"/>
  </w:num>
  <w:num w:numId="17">
    <w:abstractNumId w:val="11"/>
  </w:num>
  <w:num w:numId="18">
    <w:abstractNumId w:val="14"/>
  </w:num>
  <w:num w:numId="19">
    <w:abstractNumId w:val="15"/>
  </w:num>
  <w:num w:numId="20">
    <w:abstractNumId w:val="6"/>
  </w:num>
  <w:num w:numId="21">
    <w:abstractNumId w:val="12"/>
  </w:num>
  <w:num w:numId="22">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30 09:46:5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1DD95B0-F95E-4443-8D6A-504ED8A46FB8"/>
    <w:docVar w:name="LW_COVERPAGE_TYPE" w:val="1"/>
    <w:docVar w:name="LW_CreatedUtc" w:val="2025-10-01T15:00:33.9216330Z"/>
    <w:docVar w:name="LW_CROSSREFERENCE" w:val="&lt;UNUSED&gt;"/>
    <w:docVar w:name="LW_DocType" w:val="COM"/>
    <w:docVar w:name="LW_EMISSION" w:val="18.2.2026"/>
    <w:docVar w:name="LW_EMISSION_ISODATE" w:val="2026-02-18"/>
    <w:docVar w:name="LW_EMISSION_LOCATION" w:val="BRX"/>
    <w:docVar w:name="LW_EMISSION_PREFIX" w:val="Bruxelles, "/>
    <w:docVar w:name="LW_EMISSION_SUFFIX" w:val=" "/>
    <w:docVar w:name="LW_ID_DOCMODEL" w:val="SJ-028"/>
    <w:docVar w:name="LW_ID_DOCSTRUCTURE" w:val="COM/PL/CODEC"/>
    <w:docVar w:name="LW_ID_DOCTYPE" w:val="SJ-028"/>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344"/>
    <w:docVar w:name="LW_REF.II.NEW.CP_YEAR" w:val="2022"/>
    <w:docVar w:name="LW_REF.INST.NEW" w:val="COM"/>
    <w:docVar w:name="LW_REF.INST.NEW_ADOPTED" w:val="final"/>
    <w:docVar w:name="LW_REF.INST.NEW_TEXT" w:val="(2026) 3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zi\u539?ia Consiliului referitoare la adoptarea unei directive a Parlamentului European \u537?i a Consiliului de modificare a Directivei 2000/60/CE de stabilire a unui cadru de politic\u259? comunitar\u259? în domeniul apei, a Directivei 2006/118/CE privind protec\u539?ia apelor subterane împotriva polu\u259?rii \u537?i a deterior\u259?rii \u537?i a Directivei 2008/105/CE privind standardele de calitate a mediului în domeniul apei"/>
    <w:docVar w:name="LW_TYPE.DOC.CP" w:val="COMUNICARE A COMISIEI C\u258?TRE PARLAMENTUL EUROPEAN_x000b__x000b_în conformitate cu articolul 294 alineatul (6) din Tratatul privind func\u539?ionarea Uniunii Europene_x000b__x000b_privind"/>
    <w:docVar w:name="LwApiVersions" w:val="LW4CoDe 1.24.5.0; LW 9.2, Build 20251112"/>
  </w:docVars>
  <w:rsids>
    <w:rsidRoot w:val="008108F1"/>
    <w:rsid w:val="000058C5"/>
    <w:rsid w:val="000059C1"/>
    <w:rsid w:val="00064B75"/>
    <w:rsid w:val="0007442D"/>
    <w:rsid w:val="00092857"/>
    <w:rsid w:val="000B048B"/>
    <w:rsid w:val="000E3B78"/>
    <w:rsid w:val="001065F5"/>
    <w:rsid w:val="00111BA9"/>
    <w:rsid w:val="00112D92"/>
    <w:rsid w:val="001144AB"/>
    <w:rsid w:val="00117D12"/>
    <w:rsid w:val="001238EF"/>
    <w:rsid w:val="001642C1"/>
    <w:rsid w:val="00170255"/>
    <w:rsid w:val="0017549F"/>
    <w:rsid w:val="001842A0"/>
    <w:rsid w:val="00191478"/>
    <w:rsid w:val="00197613"/>
    <w:rsid w:val="001A38A7"/>
    <w:rsid w:val="001C10F4"/>
    <w:rsid w:val="001C447E"/>
    <w:rsid w:val="001D1A7D"/>
    <w:rsid w:val="00203B0B"/>
    <w:rsid w:val="002055F7"/>
    <w:rsid w:val="00206CEE"/>
    <w:rsid w:val="00217541"/>
    <w:rsid w:val="00222145"/>
    <w:rsid w:val="00233DC7"/>
    <w:rsid w:val="00235ADB"/>
    <w:rsid w:val="00244B24"/>
    <w:rsid w:val="00247779"/>
    <w:rsid w:val="002570D6"/>
    <w:rsid w:val="00274F48"/>
    <w:rsid w:val="002778CC"/>
    <w:rsid w:val="00280406"/>
    <w:rsid w:val="00285BEE"/>
    <w:rsid w:val="0029533F"/>
    <w:rsid w:val="002B30AF"/>
    <w:rsid w:val="002B3975"/>
    <w:rsid w:val="002B64B3"/>
    <w:rsid w:val="002D0EDA"/>
    <w:rsid w:val="002F4AFB"/>
    <w:rsid w:val="003060CA"/>
    <w:rsid w:val="0033344A"/>
    <w:rsid w:val="00334877"/>
    <w:rsid w:val="003407E1"/>
    <w:rsid w:val="0034644B"/>
    <w:rsid w:val="003874DD"/>
    <w:rsid w:val="003D36AB"/>
    <w:rsid w:val="003D643F"/>
    <w:rsid w:val="003E0507"/>
    <w:rsid w:val="004224F5"/>
    <w:rsid w:val="0042648E"/>
    <w:rsid w:val="00464D86"/>
    <w:rsid w:val="00471AC2"/>
    <w:rsid w:val="00486099"/>
    <w:rsid w:val="004936D2"/>
    <w:rsid w:val="004C479C"/>
    <w:rsid w:val="004D2606"/>
    <w:rsid w:val="004E02EF"/>
    <w:rsid w:val="0052213B"/>
    <w:rsid w:val="00527A34"/>
    <w:rsid w:val="00536722"/>
    <w:rsid w:val="005375D6"/>
    <w:rsid w:val="0056442A"/>
    <w:rsid w:val="00574348"/>
    <w:rsid w:val="005944FC"/>
    <w:rsid w:val="005A08D5"/>
    <w:rsid w:val="005B1EB6"/>
    <w:rsid w:val="005D10E6"/>
    <w:rsid w:val="005D1F76"/>
    <w:rsid w:val="00640CD9"/>
    <w:rsid w:val="006810B5"/>
    <w:rsid w:val="00690C5C"/>
    <w:rsid w:val="00691768"/>
    <w:rsid w:val="006B78D8"/>
    <w:rsid w:val="006C0317"/>
    <w:rsid w:val="006C170B"/>
    <w:rsid w:val="00701EFB"/>
    <w:rsid w:val="0070503C"/>
    <w:rsid w:val="00742E10"/>
    <w:rsid w:val="00773331"/>
    <w:rsid w:val="007932EF"/>
    <w:rsid w:val="007B5D4D"/>
    <w:rsid w:val="007E05B0"/>
    <w:rsid w:val="007E6F43"/>
    <w:rsid w:val="007F29A1"/>
    <w:rsid w:val="008108F1"/>
    <w:rsid w:val="0084507E"/>
    <w:rsid w:val="00853F7C"/>
    <w:rsid w:val="00874D22"/>
    <w:rsid w:val="008A1DFF"/>
    <w:rsid w:val="008A2914"/>
    <w:rsid w:val="008A4D18"/>
    <w:rsid w:val="008D10ED"/>
    <w:rsid w:val="008D2B0A"/>
    <w:rsid w:val="008D7D6D"/>
    <w:rsid w:val="008E4D8E"/>
    <w:rsid w:val="008F1FDA"/>
    <w:rsid w:val="00905E7B"/>
    <w:rsid w:val="00927B57"/>
    <w:rsid w:val="0095488A"/>
    <w:rsid w:val="009C1C78"/>
    <w:rsid w:val="00A113E4"/>
    <w:rsid w:val="00A164FE"/>
    <w:rsid w:val="00A2458A"/>
    <w:rsid w:val="00A24C3A"/>
    <w:rsid w:val="00A40ECF"/>
    <w:rsid w:val="00A614D0"/>
    <w:rsid w:val="00A82528"/>
    <w:rsid w:val="00A90C01"/>
    <w:rsid w:val="00A9151F"/>
    <w:rsid w:val="00A95EE0"/>
    <w:rsid w:val="00AD3962"/>
    <w:rsid w:val="00AE2916"/>
    <w:rsid w:val="00B10FC3"/>
    <w:rsid w:val="00B25ECF"/>
    <w:rsid w:val="00B502E2"/>
    <w:rsid w:val="00B65628"/>
    <w:rsid w:val="00BB1CAE"/>
    <w:rsid w:val="00BD78D1"/>
    <w:rsid w:val="00BE42BB"/>
    <w:rsid w:val="00C104FB"/>
    <w:rsid w:val="00C12301"/>
    <w:rsid w:val="00C210B8"/>
    <w:rsid w:val="00C264E2"/>
    <w:rsid w:val="00C535B7"/>
    <w:rsid w:val="00C62FCA"/>
    <w:rsid w:val="00C66896"/>
    <w:rsid w:val="00C7009B"/>
    <w:rsid w:val="00C7547C"/>
    <w:rsid w:val="00CD5292"/>
    <w:rsid w:val="00CE1395"/>
    <w:rsid w:val="00D12CA9"/>
    <w:rsid w:val="00D20381"/>
    <w:rsid w:val="00D21156"/>
    <w:rsid w:val="00D321ED"/>
    <w:rsid w:val="00D37550"/>
    <w:rsid w:val="00D46848"/>
    <w:rsid w:val="00D56D36"/>
    <w:rsid w:val="00D81E07"/>
    <w:rsid w:val="00D81FE3"/>
    <w:rsid w:val="00DB0676"/>
    <w:rsid w:val="00E139C8"/>
    <w:rsid w:val="00E359F7"/>
    <w:rsid w:val="00EC1DEE"/>
    <w:rsid w:val="00EE1B56"/>
    <w:rsid w:val="00EE26B7"/>
    <w:rsid w:val="00F15EC6"/>
    <w:rsid w:val="00F21E1D"/>
    <w:rsid w:val="00F25176"/>
    <w:rsid w:val="00F37356"/>
    <w:rsid w:val="00F7372C"/>
    <w:rsid w:val="00FB02E8"/>
    <w:rsid w:val="00FB42B7"/>
    <w:rsid w:val="00FC38F8"/>
    <w:rsid w:val="00FC4F59"/>
    <w:rsid w:val="00FF3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4FDC640A"/>
  <w15:docId w15:val="{A0CA8B29-BEA4-44B9-8FDB-11C45E3CD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C7009B"/>
    <w:pPr>
      <w:numPr>
        <w:numId w:val="1"/>
      </w:numPr>
      <w:contextualSpacing/>
    </w:pPr>
  </w:style>
  <w:style w:type="paragraph" w:styleId="ListBullet2">
    <w:name w:val="List Bullet 2"/>
    <w:basedOn w:val="Normal"/>
    <w:uiPriority w:val="99"/>
    <w:semiHidden/>
    <w:unhideWhenUsed/>
    <w:rsid w:val="00C7009B"/>
    <w:pPr>
      <w:numPr>
        <w:numId w:val="2"/>
      </w:numPr>
      <w:contextualSpacing/>
    </w:pPr>
  </w:style>
  <w:style w:type="paragraph" w:styleId="ListBullet3">
    <w:name w:val="List Bullet 3"/>
    <w:basedOn w:val="Normal"/>
    <w:uiPriority w:val="99"/>
    <w:semiHidden/>
    <w:unhideWhenUsed/>
    <w:rsid w:val="00C7009B"/>
    <w:pPr>
      <w:numPr>
        <w:numId w:val="3"/>
      </w:numPr>
      <w:contextualSpacing/>
    </w:pPr>
  </w:style>
  <w:style w:type="paragraph" w:styleId="ListBullet4">
    <w:name w:val="List Bullet 4"/>
    <w:basedOn w:val="Normal"/>
    <w:uiPriority w:val="99"/>
    <w:semiHidden/>
    <w:unhideWhenUsed/>
    <w:rsid w:val="00C7009B"/>
    <w:pPr>
      <w:numPr>
        <w:numId w:val="4"/>
      </w:numPr>
      <w:contextualSpacing/>
    </w:pPr>
  </w:style>
  <w:style w:type="character" w:styleId="Hyperlink">
    <w:name w:val="Hyperlink"/>
    <w:rsid w:val="00527A34"/>
    <w:rPr>
      <w:u w:val="single"/>
    </w:rPr>
  </w:style>
  <w:style w:type="numbering" w:customStyle="1" w:styleId="ImportedStyle1">
    <w:name w:val="Imported Style 1"/>
    <w:rsid w:val="00527A34"/>
    <w:pPr>
      <w:numPr>
        <w:numId w:val="5"/>
      </w:numPr>
    </w:pPr>
  </w:style>
  <w:style w:type="paragraph" w:styleId="ListParagraph">
    <w:name w:val="List Paragraph"/>
    <w:basedOn w:val="Normal"/>
    <w:uiPriority w:val="34"/>
    <w:qFormat/>
    <w:rsid w:val="00EE1B56"/>
    <w:pPr>
      <w:ind w:left="720"/>
      <w:contextualSpacing/>
    </w:pPr>
  </w:style>
  <w:style w:type="character" w:styleId="CommentReference">
    <w:name w:val="annotation reference"/>
    <w:basedOn w:val="DefaultParagraphFont"/>
    <w:uiPriority w:val="99"/>
    <w:semiHidden/>
    <w:unhideWhenUsed/>
    <w:rsid w:val="008D7D6D"/>
    <w:rPr>
      <w:sz w:val="16"/>
      <w:szCs w:val="16"/>
    </w:rPr>
  </w:style>
  <w:style w:type="paragraph" w:styleId="CommentText">
    <w:name w:val="annotation text"/>
    <w:basedOn w:val="Normal"/>
    <w:link w:val="CommentTextChar"/>
    <w:uiPriority w:val="99"/>
    <w:unhideWhenUsed/>
    <w:rsid w:val="008D7D6D"/>
    <w:rPr>
      <w:sz w:val="20"/>
      <w:szCs w:val="20"/>
    </w:rPr>
  </w:style>
  <w:style w:type="character" w:customStyle="1" w:styleId="CommentTextChar">
    <w:name w:val="Comment Text Char"/>
    <w:basedOn w:val="DefaultParagraphFont"/>
    <w:link w:val="CommentText"/>
    <w:uiPriority w:val="99"/>
    <w:rsid w:val="008D7D6D"/>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8D7D6D"/>
    <w:rPr>
      <w:b/>
      <w:bCs/>
    </w:rPr>
  </w:style>
  <w:style w:type="character" w:customStyle="1" w:styleId="CommentSubjectChar">
    <w:name w:val="Comment Subject Char"/>
    <w:basedOn w:val="CommentTextChar"/>
    <w:link w:val="CommentSubject"/>
    <w:uiPriority w:val="99"/>
    <w:semiHidden/>
    <w:rsid w:val="008D7D6D"/>
    <w:rPr>
      <w:rFonts w:ascii="Times New Roman" w:hAnsi="Times New Roman" w:cs="Times New Roman"/>
      <w:b/>
      <w:bCs/>
      <w:sz w:val="20"/>
      <w:szCs w:val="20"/>
      <w:lang w:val="ro-RO"/>
    </w:rPr>
  </w:style>
  <w:style w:type="paragraph" w:styleId="Revision">
    <w:name w:val="Revision"/>
    <w:hidden/>
    <w:uiPriority w:val="99"/>
    <w:semiHidden/>
    <w:rsid w:val="008D7D6D"/>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07442D"/>
    <w:rPr>
      <w:color w:val="605E5C"/>
      <w:shd w:val="clear" w:color="auto" w:fill="E1DFDD"/>
    </w:rPr>
  </w:style>
  <w:style w:type="character" w:customStyle="1" w:styleId="HeaderChar">
    <w:name w:val="Header Char"/>
    <w:basedOn w:val="DefaultParagraphFont"/>
    <w:link w:val="Header"/>
    <w:uiPriority w:val="99"/>
    <w:rsid w:val="00A90C01"/>
    <w:rPr>
      <w:rFonts w:ascii="Times New Roman" w:hAnsi="Times New Roman" w:cs="Times New Roman"/>
      <w:sz w:val="24"/>
      <w:lang w:val="ro-RO"/>
    </w:rPr>
  </w:style>
  <w:style w:type="character" w:customStyle="1" w:styleId="FooterChar">
    <w:name w:val="Footer Char"/>
    <w:basedOn w:val="DefaultParagraphFont"/>
    <w:link w:val="Footer"/>
    <w:uiPriority w:val="99"/>
    <w:rsid w:val="00A90C0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90C0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90C01"/>
    <w:pPr>
      <w:spacing w:before="0"/>
      <w:jc w:val="right"/>
    </w:pPr>
    <w:rPr>
      <w:sz w:val="28"/>
    </w:rPr>
  </w:style>
  <w:style w:type="paragraph" w:customStyle="1" w:styleId="FooterSensitivity">
    <w:name w:val="Footer Sensitivity"/>
    <w:basedOn w:val="Normal"/>
    <w:rsid w:val="00A90C0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90C01"/>
    <w:pPr>
      <w:tabs>
        <w:tab w:val="center" w:pos="4535"/>
        <w:tab w:val="right" w:pos="9071"/>
      </w:tabs>
      <w:spacing w:before="0"/>
    </w:pPr>
  </w:style>
  <w:style w:type="paragraph" w:customStyle="1" w:styleId="HeaderLandscape">
    <w:name w:val="HeaderLandscape"/>
    <w:basedOn w:val="Normal"/>
    <w:rsid w:val="00A90C01"/>
    <w:pPr>
      <w:tabs>
        <w:tab w:val="center" w:pos="7285"/>
        <w:tab w:val="right" w:pos="14003"/>
      </w:tabs>
      <w:spacing w:before="0"/>
    </w:pPr>
  </w:style>
  <w:style w:type="paragraph" w:styleId="Footer">
    <w:name w:val="footer"/>
    <w:basedOn w:val="Normal"/>
    <w:link w:val="FooterChar"/>
    <w:uiPriority w:val="99"/>
    <w:unhideWhenUsed/>
    <w:rsid w:val="00A90C0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90C0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799969">
      <w:bodyDiv w:val="1"/>
      <w:marLeft w:val="0"/>
      <w:marRight w:val="0"/>
      <w:marTop w:val="0"/>
      <w:marBottom w:val="0"/>
      <w:divBdr>
        <w:top w:val="none" w:sz="0" w:space="0" w:color="auto"/>
        <w:left w:val="none" w:sz="0" w:space="0" w:color="auto"/>
        <w:bottom w:val="none" w:sz="0" w:space="0" w:color="auto"/>
        <w:right w:val="none" w:sz="0" w:space="0" w:color="auto"/>
      </w:divBdr>
    </w:div>
    <w:div w:id="158638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s://www.google.com/search?rlz=1C1GCEA_enBE1111BE1111&amp;cs=0&amp;sca_esv=38adde6e55f7a682&amp;q=Case+C-461%2F13&amp;sa=X&amp;ved=2ahUKEwi74cTmusKPAxXv_rsIHd5aOAUQxccNegQIAhAB&amp;mstk=AUtExfCOn_2pT15Obtj9kKc2dEcrbGkFENzslV96DdJGRxzBPI_GbsduxO7iFhOXbv0f4Hrmfk2Wux4MO1T6gNOVtdgyiioCXW38ab-Gw-dcpr75JW38WxzyUvVGfLvoa5ewPys&amp;csui=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28</TotalTime>
  <Pages>6</Pages>
  <Words>2260</Words>
  <Characters>12888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39</cp:revision>
  <dcterms:created xsi:type="dcterms:W3CDTF">2026-01-05T15:53:00Z</dcterms:created>
  <dcterms:modified xsi:type="dcterms:W3CDTF">2026-01-30T08:46:00Z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2025-10-01T15:01:44Z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5f661c0e-16b1-4249-958f-f4549db1261f</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