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5A3BB2" w:rsidRDefault="00ED022B" w:rsidP="00ED022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E934F7-4474-4A0E-ABBC-D253CAFBD19F" style="width:455.25pt;height:357.75pt">
            <v:imagedata r:id="rId11" o:title=""/>
          </v:shape>
        </w:pict>
      </w:r>
    </w:p>
    <w:p w:rsidR="001A62D7" w:rsidRPr="005A3BB2" w:rsidRDefault="001A62D7" w:rsidP="001A62D7">
      <w:pPr>
        <w:rPr>
          <w:noProof/>
        </w:rPr>
        <w:sectPr w:rsidR="001A62D7" w:rsidRPr="005A3BB2" w:rsidSect="00ED022B">
          <w:footerReference w:type="even" r:id="rId12"/>
          <w:footerReference w:type="default" r:id="rId13"/>
          <w:pgSz w:w="11907" w:h="16839"/>
          <w:pgMar w:top="1134" w:right="1417" w:bottom="1134" w:left="1417" w:header="709" w:footer="709" w:gutter="0"/>
          <w:pgNumType w:start="0"/>
          <w:cols w:space="720"/>
          <w:docGrid w:linePitch="360"/>
        </w:sectPr>
      </w:pPr>
    </w:p>
    <w:p w:rsidR="001A62D7" w:rsidRPr="005A3BB2" w:rsidRDefault="001A62D7" w:rsidP="001A62D7">
      <w:pPr>
        <w:pStyle w:val="Exposdesmotifstitre"/>
        <w:rPr>
          <w:noProof/>
        </w:rPr>
      </w:pPr>
      <w:bookmarkStart w:id="0" w:name="_GoBack"/>
      <w:bookmarkEnd w:id="0"/>
      <w:r w:rsidRPr="005A3BB2">
        <w:rPr>
          <w:noProof/>
        </w:rPr>
        <w:lastRenderedPageBreak/>
        <w:t>EXPOSÉ DES MOTIFS</w:t>
      </w:r>
    </w:p>
    <w:p w:rsidR="001A62D7" w:rsidRPr="005A3BB2" w:rsidRDefault="001A62D7" w:rsidP="001A62D7">
      <w:pPr>
        <w:pStyle w:val="ManualHeading1"/>
        <w:rPr>
          <w:noProof/>
        </w:rPr>
      </w:pPr>
      <w:r w:rsidRPr="005A3BB2">
        <w:rPr>
          <w:noProof/>
        </w:rPr>
        <w:t>CONTEXTE DE LA PROPOSITION</w:t>
      </w:r>
    </w:p>
    <w:p w:rsidR="001A62D7" w:rsidRPr="005A3BB2" w:rsidRDefault="001A62D7" w:rsidP="009C50F6">
      <w:pPr>
        <w:pStyle w:val="ManualNumPar1"/>
        <w:rPr>
          <w:noProof/>
        </w:rPr>
      </w:pPr>
      <w:r>
        <w:rPr>
          <w:noProof/>
        </w:rPr>
        <w:t>1.</w:t>
      </w:r>
      <w:r>
        <w:rPr>
          <w:noProof/>
        </w:rPr>
        <w:tab/>
      </w:r>
      <w:r w:rsidRPr="005A3BB2">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5A3BB2">
        <w:rPr>
          <w:rStyle w:val="FootnoteReference"/>
          <w:noProof/>
        </w:rPr>
        <w:footnoteReference w:id="1"/>
      </w:r>
      <w:r w:rsidRPr="005A3BB2">
        <w:rPr>
          <w:noProof/>
        </w:rPr>
        <w:t>.</w:t>
      </w:r>
    </w:p>
    <w:p w:rsidR="001A62D7" w:rsidRPr="005A3BB2" w:rsidRDefault="001A62D7" w:rsidP="009C50F6">
      <w:pPr>
        <w:pStyle w:val="ManualNumPar1"/>
        <w:rPr>
          <w:noProof/>
        </w:rPr>
      </w:pPr>
      <w:r>
        <w:rPr>
          <w:noProof/>
        </w:rPr>
        <w:t>2.</w:t>
      </w:r>
      <w:r>
        <w:rPr>
          <w:noProof/>
        </w:rPr>
        <w:tab/>
      </w:r>
      <w:r w:rsidRPr="005A3BB2">
        <w:rPr>
          <w:noProof/>
        </w:rPr>
        <w:t>Le 23 septembre 2025, à la suite de licenciements au sein de l’entreprise Casa</w:t>
      </w:r>
      <w:r w:rsidRPr="005A3BB2">
        <w:rPr>
          <w:rStyle w:val="FootnoteReference"/>
          <w:noProof/>
        </w:rPr>
        <w:footnoteReference w:id="2"/>
      </w:r>
      <w:r w:rsidRPr="005A3BB2">
        <w:rPr>
          <w:noProof/>
        </w:rPr>
        <w:t>, en Belgique, les autorités belges ont introduit la demande EGF/2025/007 BE/Casa en vue d’obtenir une contribution financière du FEM.</w:t>
      </w:r>
    </w:p>
    <w:p w:rsidR="001A62D7" w:rsidRPr="005A3BB2" w:rsidRDefault="001A62D7" w:rsidP="009C50F6">
      <w:pPr>
        <w:pStyle w:val="ManualNumPar1"/>
        <w:rPr>
          <w:noProof/>
        </w:rPr>
      </w:pPr>
      <w:r>
        <w:rPr>
          <w:noProof/>
        </w:rPr>
        <w:t>3.</w:t>
      </w:r>
      <w:r>
        <w:rPr>
          <w:noProof/>
        </w:rPr>
        <w:tab/>
      </w:r>
      <w:r w:rsidRPr="005A3BB2">
        <w:rPr>
          <w:noProof/>
        </w:rPr>
        <w:t xml:space="preserve">Au terme de l’évaluation de cette demande, la Commission a conclu, conformément à l’ensemble des dispositions applicables du règlement (UE) 2021/691, que les conditions d’octroi d’une contribution financière du FEM étaient remplies. </w:t>
      </w:r>
    </w:p>
    <w:p w:rsidR="001A62D7" w:rsidRPr="005A3BB2" w:rsidRDefault="001A62D7" w:rsidP="001A62D7">
      <w:pPr>
        <w:pStyle w:val="ManualHeading1"/>
        <w:rPr>
          <w:noProof/>
        </w:rPr>
      </w:pPr>
      <w:r w:rsidRPr="005A3BB2">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6F274D" w:rsidRPr="005A3BB2" w:rsidTr="001D5990">
        <w:tc>
          <w:tcPr>
            <w:tcW w:w="4908" w:type="dxa"/>
            <w:shd w:val="clear" w:color="auto" w:fill="auto"/>
          </w:tcPr>
          <w:p w:rsidR="006F274D" w:rsidRPr="005A3BB2" w:rsidRDefault="006F274D" w:rsidP="006F274D">
            <w:pPr>
              <w:spacing w:before="60" w:after="60"/>
              <w:jc w:val="left"/>
              <w:rPr>
                <w:rFonts w:eastAsia="Calibri"/>
                <w:noProof/>
              </w:rPr>
            </w:pPr>
            <w:r w:rsidRPr="005A3BB2">
              <w:rPr>
                <w:noProof/>
              </w:rPr>
              <w:t>Numéro de la demande FEM</w:t>
            </w:r>
          </w:p>
        </w:tc>
        <w:tc>
          <w:tcPr>
            <w:tcW w:w="4379" w:type="dxa"/>
            <w:shd w:val="clear" w:color="auto" w:fill="auto"/>
          </w:tcPr>
          <w:p w:rsidR="006F274D" w:rsidRPr="005A3BB2" w:rsidRDefault="006F274D" w:rsidP="006F274D">
            <w:pPr>
              <w:spacing w:before="60" w:after="60"/>
              <w:ind w:rightChars="192" w:right="461"/>
              <w:jc w:val="left"/>
              <w:rPr>
                <w:rFonts w:eastAsia="Calibri"/>
                <w:noProof/>
              </w:rPr>
            </w:pPr>
            <w:bookmarkStart w:id="1" w:name="_Hlk212110034"/>
            <w:r w:rsidRPr="005A3BB2">
              <w:rPr>
                <w:noProof/>
              </w:rPr>
              <w:t>EGF/2025/007 BE/Casa</w:t>
            </w:r>
            <w:bookmarkEnd w:id="1"/>
          </w:p>
        </w:tc>
      </w:tr>
      <w:tr w:rsidR="006F274D" w:rsidRPr="005A3BB2" w:rsidTr="001D5990">
        <w:tc>
          <w:tcPr>
            <w:tcW w:w="4908" w:type="dxa"/>
            <w:shd w:val="clear" w:color="auto" w:fill="auto"/>
          </w:tcPr>
          <w:p w:rsidR="006F274D" w:rsidRPr="005A3BB2" w:rsidRDefault="006F274D" w:rsidP="006F274D">
            <w:pPr>
              <w:spacing w:before="60" w:after="60"/>
              <w:jc w:val="left"/>
              <w:rPr>
                <w:rFonts w:eastAsia="Calibri"/>
                <w:noProof/>
              </w:rPr>
            </w:pPr>
            <w:r w:rsidRPr="005A3BB2">
              <w:rPr>
                <w:noProof/>
              </w:rPr>
              <w:t>État membre</w:t>
            </w:r>
          </w:p>
        </w:tc>
        <w:tc>
          <w:tcPr>
            <w:tcW w:w="4379" w:type="dxa"/>
            <w:shd w:val="clear" w:color="auto" w:fill="auto"/>
          </w:tcPr>
          <w:p w:rsidR="006F274D" w:rsidRPr="005A3BB2" w:rsidRDefault="006F274D" w:rsidP="006F274D">
            <w:pPr>
              <w:spacing w:before="60" w:after="60"/>
              <w:ind w:rightChars="192" w:right="461"/>
              <w:jc w:val="left"/>
              <w:rPr>
                <w:rFonts w:eastAsia="Calibri"/>
                <w:noProof/>
              </w:rPr>
            </w:pPr>
            <w:r w:rsidRPr="005A3BB2">
              <w:rPr>
                <w:noProof/>
              </w:rPr>
              <w:t>Belgique</w:t>
            </w:r>
          </w:p>
        </w:tc>
      </w:tr>
      <w:tr w:rsidR="006F274D" w:rsidRPr="005A3BB2" w:rsidTr="001D5990">
        <w:tc>
          <w:tcPr>
            <w:tcW w:w="4908" w:type="dxa"/>
            <w:tcBorders>
              <w:bottom w:val="single" w:sz="4" w:space="0" w:color="auto"/>
            </w:tcBorders>
            <w:shd w:val="clear" w:color="auto" w:fill="auto"/>
          </w:tcPr>
          <w:p w:rsidR="006F274D" w:rsidRPr="005A3BB2" w:rsidRDefault="006F274D" w:rsidP="006F274D">
            <w:pPr>
              <w:spacing w:before="60" w:after="60"/>
              <w:jc w:val="left"/>
              <w:rPr>
                <w:rFonts w:eastAsia="Calibri"/>
                <w:noProof/>
              </w:rPr>
            </w:pPr>
            <w:r w:rsidRPr="005A3BB2">
              <w:rPr>
                <w:noProof/>
              </w:rPr>
              <w:t>Région(s) concernée(s) (niveau NUTS 2</w:t>
            </w:r>
            <w:r w:rsidRPr="005A3BB2">
              <w:rPr>
                <w:rStyle w:val="FootnoteReference"/>
                <w:rFonts w:eastAsia="Calibri"/>
                <w:noProof/>
              </w:rPr>
              <w:footnoteReference w:id="3"/>
            </w:r>
            <w:r w:rsidRPr="005A3BB2">
              <w:rPr>
                <w:noProof/>
              </w:rPr>
              <w:t>)</w:t>
            </w:r>
          </w:p>
        </w:tc>
        <w:tc>
          <w:tcPr>
            <w:tcW w:w="4379" w:type="dxa"/>
            <w:tcBorders>
              <w:bottom w:val="single" w:sz="4" w:space="0" w:color="auto"/>
            </w:tcBorders>
            <w:shd w:val="clear" w:color="auto" w:fill="auto"/>
          </w:tcPr>
          <w:p w:rsidR="006F274D" w:rsidRPr="005A3BB2" w:rsidRDefault="006F274D" w:rsidP="006F274D">
            <w:pPr>
              <w:spacing w:before="0" w:after="0"/>
              <w:ind w:rightChars="192" w:right="461"/>
              <w:jc w:val="left"/>
              <w:rPr>
                <w:noProof/>
                <w:szCs w:val="24"/>
              </w:rPr>
            </w:pPr>
            <w:r w:rsidRPr="005A3BB2">
              <w:rPr>
                <w:noProof/>
              </w:rPr>
              <w:t>Province d’Anvers (BE21)</w:t>
            </w:r>
          </w:p>
        </w:tc>
      </w:tr>
      <w:tr w:rsidR="006F274D" w:rsidRPr="005A3BB2" w:rsidTr="001D5990">
        <w:tc>
          <w:tcPr>
            <w:tcW w:w="4908" w:type="dxa"/>
            <w:tcBorders>
              <w:bottom w:val="dotted" w:sz="4" w:space="0" w:color="auto"/>
            </w:tcBorders>
            <w:shd w:val="clear" w:color="auto" w:fill="auto"/>
          </w:tcPr>
          <w:p w:rsidR="006F274D" w:rsidRPr="005A3BB2" w:rsidRDefault="006F274D" w:rsidP="006F274D">
            <w:pPr>
              <w:spacing w:before="60" w:after="60"/>
              <w:jc w:val="left"/>
              <w:rPr>
                <w:rFonts w:eastAsia="Calibri"/>
                <w:noProof/>
              </w:rPr>
            </w:pPr>
            <w:r w:rsidRPr="005A3BB2">
              <w:rPr>
                <w:noProof/>
              </w:rPr>
              <w:t>Date de dépôt de la demande</w:t>
            </w:r>
          </w:p>
        </w:tc>
        <w:tc>
          <w:tcPr>
            <w:tcW w:w="4379" w:type="dxa"/>
            <w:tcBorders>
              <w:bottom w:val="dotted" w:sz="4" w:space="0" w:color="auto"/>
            </w:tcBorders>
            <w:shd w:val="clear" w:color="auto" w:fill="auto"/>
          </w:tcPr>
          <w:p w:rsidR="006F274D" w:rsidRPr="005A3BB2" w:rsidRDefault="006F274D" w:rsidP="006F274D">
            <w:pPr>
              <w:spacing w:before="60" w:after="60"/>
              <w:ind w:rightChars="192" w:right="461"/>
              <w:jc w:val="left"/>
              <w:rPr>
                <w:rFonts w:eastAsia="Calibri"/>
                <w:noProof/>
              </w:rPr>
            </w:pPr>
            <w:r w:rsidRPr="005A3BB2">
              <w:rPr>
                <w:noProof/>
              </w:rPr>
              <w:t>23 septembre 2025</w:t>
            </w:r>
          </w:p>
        </w:tc>
      </w:tr>
      <w:tr w:rsidR="006F274D" w:rsidRPr="005A3BB2" w:rsidTr="001D5990">
        <w:tc>
          <w:tcPr>
            <w:tcW w:w="4908" w:type="dxa"/>
            <w:tcBorders>
              <w:top w:val="dotted" w:sz="4" w:space="0" w:color="auto"/>
              <w:bottom w:val="dotted" w:sz="4" w:space="0" w:color="auto"/>
            </w:tcBorders>
            <w:shd w:val="clear" w:color="auto" w:fill="auto"/>
          </w:tcPr>
          <w:p w:rsidR="006F274D" w:rsidRPr="005A3BB2" w:rsidRDefault="006F274D" w:rsidP="006F274D">
            <w:pPr>
              <w:spacing w:before="60" w:after="60"/>
              <w:jc w:val="left"/>
              <w:rPr>
                <w:rFonts w:eastAsia="Calibri"/>
                <w:noProof/>
              </w:rPr>
            </w:pPr>
            <w:r w:rsidRPr="005A3BB2">
              <w:rPr>
                <w:noProof/>
              </w:rPr>
              <w:t>Date d’accusé de réception de la demande</w:t>
            </w:r>
          </w:p>
        </w:tc>
        <w:tc>
          <w:tcPr>
            <w:tcW w:w="4379" w:type="dxa"/>
            <w:tcBorders>
              <w:top w:val="dotted" w:sz="4" w:space="0" w:color="auto"/>
              <w:bottom w:val="dotted" w:sz="4" w:space="0" w:color="auto"/>
            </w:tcBorders>
            <w:shd w:val="clear" w:color="auto" w:fill="auto"/>
          </w:tcPr>
          <w:p w:rsidR="006F274D" w:rsidRPr="005A3BB2" w:rsidRDefault="006F274D" w:rsidP="006F274D">
            <w:pPr>
              <w:spacing w:before="60" w:after="60"/>
              <w:ind w:rightChars="192" w:right="461"/>
              <w:jc w:val="left"/>
              <w:rPr>
                <w:rFonts w:eastAsia="Calibri"/>
                <w:noProof/>
              </w:rPr>
            </w:pPr>
            <w:r w:rsidRPr="005A3BB2">
              <w:rPr>
                <w:noProof/>
              </w:rPr>
              <w:t>23 septembre 2025</w:t>
            </w:r>
          </w:p>
        </w:tc>
      </w:tr>
      <w:tr w:rsidR="001E1B79" w:rsidRPr="005A3BB2" w:rsidTr="001D5990">
        <w:tc>
          <w:tcPr>
            <w:tcW w:w="4908" w:type="dxa"/>
            <w:tcBorders>
              <w:top w:val="dotted" w:sz="4" w:space="0" w:color="auto"/>
              <w:bottom w:val="dotted"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t>Date de disponibilité de la traduction</w:t>
            </w:r>
          </w:p>
        </w:tc>
        <w:tc>
          <w:tcPr>
            <w:tcW w:w="4379" w:type="dxa"/>
            <w:tcBorders>
              <w:top w:val="dotted" w:sz="4" w:space="0" w:color="auto"/>
              <w:bottom w:val="dotted" w:sz="4" w:space="0" w:color="auto"/>
            </w:tcBorders>
            <w:shd w:val="clear" w:color="auto" w:fill="auto"/>
          </w:tcPr>
          <w:p w:rsidR="001E1B79" w:rsidRPr="005A3BB2" w:rsidRDefault="001E1B79" w:rsidP="001E1B79">
            <w:pPr>
              <w:spacing w:before="60" w:after="60"/>
              <w:ind w:rightChars="192" w:right="461"/>
              <w:jc w:val="left"/>
              <w:rPr>
                <w:noProof/>
              </w:rPr>
            </w:pPr>
            <w:r w:rsidRPr="005A3BB2">
              <w:rPr>
                <w:noProof/>
              </w:rPr>
              <w:t>22 octobre 2025</w:t>
            </w:r>
          </w:p>
        </w:tc>
      </w:tr>
      <w:tr w:rsidR="001E1B79" w:rsidRPr="005A3BB2" w:rsidTr="001D5990">
        <w:tc>
          <w:tcPr>
            <w:tcW w:w="4908" w:type="dxa"/>
            <w:tcBorders>
              <w:top w:val="dotted" w:sz="4" w:space="0" w:color="auto"/>
              <w:bottom w:val="dotted"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t>Date de demande d’informations complémentaires</w:t>
            </w:r>
          </w:p>
        </w:tc>
        <w:tc>
          <w:tcPr>
            <w:tcW w:w="4379" w:type="dxa"/>
            <w:tcBorders>
              <w:top w:val="dotted" w:sz="4" w:space="0" w:color="auto"/>
              <w:bottom w:val="dotted" w:sz="4" w:space="0" w:color="auto"/>
            </w:tcBorders>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5 novembre 2025</w:t>
            </w:r>
          </w:p>
        </w:tc>
      </w:tr>
      <w:tr w:rsidR="001E1B79" w:rsidRPr="005A3BB2" w:rsidTr="001D5990">
        <w:tc>
          <w:tcPr>
            <w:tcW w:w="4908" w:type="dxa"/>
            <w:tcBorders>
              <w:top w:val="dotted" w:sz="4" w:space="0" w:color="auto"/>
              <w:bottom w:val="dotted"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t>Date limite pour la communication des informations complémentaires</w:t>
            </w:r>
          </w:p>
        </w:tc>
        <w:tc>
          <w:tcPr>
            <w:tcW w:w="4379" w:type="dxa"/>
            <w:tcBorders>
              <w:top w:val="dotted" w:sz="4" w:space="0" w:color="auto"/>
              <w:bottom w:val="dotted" w:sz="4" w:space="0" w:color="auto"/>
            </w:tcBorders>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27 novembre 2025</w:t>
            </w:r>
          </w:p>
        </w:tc>
      </w:tr>
      <w:tr w:rsidR="001E1B79" w:rsidRPr="005A3BB2" w:rsidTr="001D5990">
        <w:tc>
          <w:tcPr>
            <w:tcW w:w="4908" w:type="dxa"/>
            <w:tcBorders>
              <w:top w:val="dotted"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t>Date limite pour la réalisation de l’évaluation</w:t>
            </w:r>
          </w:p>
        </w:tc>
        <w:tc>
          <w:tcPr>
            <w:tcW w:w="4379" w:type="dxa"/>
            <w:tcBorders>
              <w:top w:val="dotted" w:sz="4" w:space="0" w:color="auto"/>
            </w:tcBorders>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17 février 2026</w:t>
            </w:r>
          </w:p>
        </w:tc>
      </w:tr>
      <w:tr w:rsidR="001E1B79" w:rsidRPr="005A3BB2" w:rsidTr="001D5990">
        <w:tc>
          <w:tcPr>
            <w:tcW w:w="4908" w:type="dxa"/>
            <w:shd w:val="clear" w:color="auto" w:fill="auto"/>
          </w:tcPr>
          <w:p w:rsidR="001E1B79" w:rsidRPr="005A3BB2" w:rsidRDefault="001E1B79" w:rsidP="001E1B79">
            <w:pPr>
              <w:spacing w:before="60" w:after="60"/>
              <w:jc w:val="left"/>
              <w:rPr>
                <w:rFonts w:eastAsia="Calibri"/>
                <w:noProof/>
              </w:rPr>
            </w:pPr>
            <w:r w:rsidRPr="005A3BB2">
              <w:rPr>
                <w:noProof/>
              </w:rPr>
              <w:t>Critère d’intervention</w:t>
            </w:r>
          </w:p>
        </w:tc>
        <w:tc>
          <w:tcPr>
            <w:tcW w:w="4379" w:type="dxa"/>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Article 4, paragraphe 2, point a), du règlement (UE) 2021/691</w:t>
            </w:r>
          </w:p>
        </w:tc>
      </w:tr>
      <w:tr w:rsidR="000B7C62" w:rsidRPr="005A3BB2" w:rsidTr="001D5990">
        <w:tc>
          <w:tcPr>
            <w:tcW w:w="4908" w:type="dxa"/>
            <w:tcBorders>
              <w:top w:val="single" w:sz="4" w:space="0" w:color="auto"/>
              <w:bottom w:val="single" w:sz="4" w:space="0" w:color="auto"/>
              <w:right w:val="single" w:sz="4" w:space="0" w:color="auto"/>
            </w:tcBorders>
            <w:shd w:val="clear" w:color="auto" w:fill="auto"/>
          </w:tcPr>
          <w:p w:rsidR="000B7C62" w:rsidRPr="005A3BB2" w:rsidRDefault="000B7C62" w:rsidP="001E1B79">
            <w:pPr>
              <w:spacing w:before="60" w:after="60"/>
              <w:jc w:val="left"/>
              <w:rPr>
                <w:noProof/>
              </w:rPr>
            </w:pPr>
            <w:r w:rsidRPr="005A3BB2">
              <w:rPr>
                <w:noProof/>
              </w:rPr>
              <w:t>Entreprise principale concernée</w:t>
            </w:r>
          </w:p>
        </w:tc>
        <w:tc>
          <w:tcPr>
            <w:tcW w:w="4379" w:type="dxa"/>
            <w:tcBorders>
              <w:top w:val="single" w:sz="4" w:space="0" w:color="auto"/>
              <w:left w:val="single" w:sz="4" w:space="0" w:color="auto"/>
              <w:bottom w:val="single" w:sz="4" w:space="0" w:color="auto"/>
            </w:tcBorders>
            <w:shd w:val="clear" w:color="auto" w:fill="auto"/>
          </w:tcPr>
          <w:p w:rsidR="000B7C62" w:rsidRPr="005A3BB2" w:rsidRDefault="000B7C62" w:rsidP="001E1B79">
            <w:pPr>
              <w:spacing w:before="60" w:after="60"/>
              <w:ind w:rightChars="192" w:right="461"/>
              <w:jc w:val="left"/>
              <w:rPr>
                <w:noProof/>
              </w:rPr>
            </w:pPr>
            <w:r w:rsidRPr="005A3BB2">
              <w:rPr>
                <w:noProof/>
              </w:rPr>
              <w:t>Casa International NV</w:t>
            </w:r>
          </w:p>
        </w:tc>
      </w:tr>
      <w:tr w:rsidR="001E1B79" w:rsidRPr="005A3BB2" w:rsidTr="001D5990">
        <w:tc>
          <w:tcPr>
            <w:tcW w:w="4908" w:type="dxa"/>
            <w:tcBorders>
              <w:top w:val="single" w:sz="4" w:space="0" w:color="auto"/>
              <w:bottom w:val="single" w:sz="4" w:space="0" w:color="auto"/>
              <w:right w:val="single"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br w:type="page"/>
              <w:t>Nombre d’entreprises concernées</w:t>
            </w:r>
          </w:p>
        </w:tc>
        <w:tc>
          <w:tcPr>
            <w:tcW w:w="4379" w:type="dxa"/>
            <w:tcBorders>
              <w:top w:val="single" w:sz="4" w:space="0" w:color="auto"/>
              <w:left w:val="single" w:sz="4" w:space="0" w:color="auto"/>
              <w:bottom w:val="single" w:sz="4" w:space="0" w:color="auto"/>
            </w:tcBorders>
            <w:shd w:val="clear" w:color="auto" w:fill="auto"/>
          </w:tcPr>
          <w:p w:rsidR="001E1B79" w:rsidRPr="005A3BB2" w:rsidRDefault="001E1B79" w:rsidP="001E1B79">
            <w:pPr>
              <w:spacing w:before="60" w:after="60"/>
              <w:ind w:rightChars="192" w:right="461"/>
              <w:jc w:val="left"/>
              <w:rPr>
                <w:noProof/>
                <w:szCs w:val="24"/>
              </w:rPr>
            </w:pPr>
            <w:r w:rsidRPr="005A3BB2">
              <w:rPr>
                <w:noProof/>
              </w:rPr>
              <w:t>2</w:t>
            </w:r>
          </w:p>
        </w:tc>
      </w:tr>
      <w:tr w:rsidR="001E1B79" w:rsidRPr="005A3BB2" w:rsidTr="001D5990">
        <w:tc>
          <w:tcPr>
            <w:tcW w:w="4908" w:type="dxa"/>
            <w:shd w:val="clear" w:color="auto" w:fill="auto"/>
          </w:tcPr>
          <w:p w:rsidR="001E1B79" w:rsidRPr="005A3BB2" w:rsidRDefault="001E1B79" w:rsidP="001E1B79">
            <w:pPr>
              <w:spacing w:before="60" w:after="60"/>
              <w:jc w:val="left"/>
              <w:rPr>
                <w:rFonts w:eastAsia="Calibri"/>
                <w:noProof/>
              </w:rPr>
            </w:pPr>
            <w:r w:rsidRPr="005A3BB2">
              <w:rPr>
                <w:noProof/>
              </w:rPr>
              <w:t>Secteur(s) d’activité économique</w:t>
            </w:r>
          </w:p>
          <w:p w:rsidR="001E1B79" w:rsidRPr="005A3BB2" w:rsidRDefault="001E1B79" w:rsidP="001E1B79">
            <w:pPr>
              <w:spacing w:before="60" w:after="60"/>
              <w:jc w:val="left"/>
              <w:rPr>
                <w:rFonts w:eastAsia="Calibri"/>
                <w:noProof/>
              </w:rPr>
            </w:pPr>
            <w:r w:rsidRPr="005A3BB2">
              <w:rPr>
                <w:noProof/>
              </w:rPr>
              <w:t>(division de la NACE Rév. 2)</w:t>
            </w:r>
            <w:r w:rsidRPr="005A3BB2">
              <w:rPr>
                <w:rStyle w:val="FootnoteReference"/>
                <w:rFonts w:eastAsia="Calibri"/>
                <w:noProof/>
              </w:rPr>
              <w:footnoteReference w:id="4"/>
            </w:r>
          </w:p>
        </w:tc>
        <w:tc>
          <w:tcPr>
            <w:tcW w:w="4379" w:type="dxa"/>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 xml:space="preserve">Division 47 (Commerce de détail, à l’exception des automobiles et des motocycles) et division 52 (Entreposage et services auxiliaires </w:t>
            </w:r>
            <w:r w:rsidRPr="005A3BB2">
              <w:rPr>
                <w:noProof/>
              </w:rPr>
              <w:lastRenderedPageBreak/>
              <w:t>des transports)</w:t>
            </w:r>
          </w:p>
        </w:tc>
      </w:tr>
      <w:tr w:rsidR="001E1B79" w:rsidRPr="005A3BB2" w:rsidTr="001D5990">
        <w:tc>
          <w:tcPr>
            <w:tcW w:w="4908" w:type="dxa"/>
            <w:tcBorders>
              <w:bottom w:val="single"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lastRenderedPageBreak/>
              <w:t>Période de référence (quatre mois):</w:t>
            </w:r>
          </w:p>
        </w:tc>
        <w:tc>
          <w:tcPr>
            <w:tcW w:w="4379" w:type="dxa"/>
            <w:tcBorders>
              <w:bottom w:val="single" w:sz="4" w:space="0" w:color="auto"/>
            </w:tcBorders>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6 mars 2025 — 6 juillet 2025</w:t>
            </w:r>
          </w:p>
        </w:tc>
      </w:tr>
      <w:tr w:rsidR="001E1B79" w:rsidRPr="005A3BB2" w:rsidTr="001D5990">
        <w:tc>
          <w:tcPr>
            <w:tcW w:w="4908" w:type="dxa"/>
            <w:tcBorders>
              <w:bottom w:val="dotted" w:sz="4" w:space="0" w:color="auto"/>
            </w:tcBorders>
            <w:shd w:val="clear" w:color="auto" w:fill="auto"/>
          </w:tcPr>
          <w:p w:rsidR="001E1B79" w:rsidRPr="005A3BB2" w:rsidRDefault="001E1B79" w:rsidP="001E1B79">
            <w:pPr>
              <w:spacing w:before="60" w:after="60"/>
              <w:jc w:val="left"/>
              <w:rPr>
                <w:rFonts w:eastAsia="Calibri"/>
                <w:noProof/>
                <w:highlight w:val="magenta"/>
              </w:rPr>
            </w:pPr>
            <w:r w:rsidRPr="005A3BB2">
              <w:rPr>
                <w:noProof/>
              </w:rPr>
              <w:t>Nombre de licenciements pendant la période de référence (</w:t>
            </w:r>
            <w:r w:rsidRPr="005A3BB2">
              <w:rPr>
                <w:i/>
                <w:noProof/>
              </w:rPr>
              <w:t>a</w:t>
            </w:r>
            <w:r w:rsidRPr="005A3BB2">
              <w:rPr>
                <w:noProof/>
              </w:rPr>
              <w:t>)</w:t>
            </w:r>
          </w:p>
        </w:tc>
        <w:tc>
          <w:tcPr>
            <w:tcW w:w="4379" w:type="dxa"/>
            <w:tcBorders>
              <w:bottom w:val="dotted" w:sz="4" w:space="0" w:color="auto"/>
            </w:tcBorders>
            <w:shd w:val="clear" w:color="auto" w:fill="auto"/>
          </w:tcPr>
          <w:p w:rsidR="001E1B79" w:rsidRPr="005A3BB2" w:rsidRDefault="001E1B79" w:rsidP="001E1B79">
            <w:pPr>
              <w:spacing w:before="60" w:after="60"/>
              <w:ind w:rightChars="192" w:right="461"/>
              <w:jc w:val="left"/>
              <w:rPr>
                <w:rFonts w:eastAsia="Calibri"/>
                <w:noProof/>
                <w:highlight w:val="magenta"/>
              </w:rPr>
            </w:pPr>
            <w:r w:rsidRPr="005A3BB2">
              <w:rPr>
                <w:noProof/>
              </w:rPr>
              <w:t>416</w:t>
            </w:r>
          </w:p>
        </w:tc>
      </w:tr>
      <w:tr w:rsidR="001E1B79" w:rsidRPr="005A3BB2" w:rsidTr="001D5990">
        <w:tc>
          <w:tcPr>
            <w:tcW w:w="4908" w:type="dxa"/>
            <w:tcBorders>
              <w:bottom w:val="dotted"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t>Nombre total de bénéficiaires éligibles</w:t>
            </w:r>
          </w:p>
        </w:tc>
        <w:tc>
          <w:tcPr>
            <w:tcW w:w="4379" w:type="dxa"/>
            <w:tcBorders>
              <w:bottom w:val="dotted" w:sz="4" w:space="0" w:color="auto"/>
            </w:tcBorders>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416</w:t>
            </w:r>
          </w:p>
        </w:tc>
      </w:tr>
      <w:tr w:rsidR="001E1B79" w:rsidRPr="005A3BB2" w:rsidTr="001D5990">
        <w:tc>
          <w:tcPr>
            <w:tcW w:w="4908" w:type="dxa"/>
            <w:tcBorders>
              <w:top w:val="dotted" w:sz="4" w:space="0" w:color="auto"/>
              <w:bottom w:val="dotted" w:sz="4" w:space="0" w:color="auto"/>
            </w:tcBorders>
            <w:shd w:val="clear" w:color="auto" w:fill="auto"/>
          </w:tcPr>
          <w:p w:rsidR="001E1B79" w:rsidRPr="005A3BB2" w:rsidRDefault="001E1B79" w:rsidP="001E1B79">
            <w:pPr>
              <w:spacing w:before="60" w:after="60"/>
              <w:jc w:val="left"/>
              <w:rPr>
                <w:rFonts w:eastAsia="Calibri"/>
                <w:noProof/>
              </w:rPr>
            </w:pPr>
            <w:r w:rsidRPr="005A3BB2">
              <w:rPr>
                <w:noProof/>
              </w:rPr>
              <w:t>Nombre total de bénéficiaires visés</w:t>
            </w:r>
          </w:p>
        </w:tc>
        <w:tc>
          <w:tcPr>
            <w:tcW w:w="4379" w:type="dxa"/>
            <w:tcBorders>
              <w:top w:val="dotted" w:sz="4" w:space="0" w:color="auto"/>
              <w:bottom w:val="dotted" w:sz="4" w:space="0" w:color="auto"/>
            </w:tcBorders>
            <w:shd w:val="clear" w:color="auto" w:fill="auto"/>
          </w:tcPr>
          <w:p w:rsidR="001E1B79" w:rsidRPr="005A3BB2" w:rsidRDefault="001E1B79" w:rsidP="001E1B79">
            <w:pPr>
              <w:spacing w:before="60" w:after="60"/>
              <w:ind w:rightChars="192" w:right="461"/>
              <w:jc w:val="left"/>
              <w:rPr>
                <w:rFonts w:eastAsia="Calibri"/>
                <w:noProof/>
              </w:rPr>
            </w:pPr>
            <w:r w:rsidRPr="005A3BB2">
              <w:rPr>
                <w:noProof/>
              </w:rPr>
              <w:t>416</w:t>
            </w:r>
          </w:p>
        </w:tc>
      </w:tr>
      <w:tr w:rsidR="001E1B79" w:rsidRPr="005A3BB2" w:rsidTr="001D5990">
        <w:tc>
          <w:tcPr>
            <w:tcW w:w="4908" w:type="dxa"/>
            <w:tcBorders>
              <w:bottom w:val="dotted" w:sz="4" w:space="0" w:color="auto"/>
            </w:tcBorders>
            <w:shd w:val="clear" w:color="auto" w:fill="auto"/>
            <w:vAlign w:val="center"/>
          </w:tcPr>
          <w:p w:rsidR="001E1B79" w:rsidRPr="005A3BB2" w:rsidRDefault="001E1B79" w:rsidP="001E1B79">
            <w:pPr>
              <w:spacing w:before="0" w:after="0"/>
              <w:jc w:val="left"/>
              <w:rPr>
                <w:noProof/>
              </w:rPr>
            </w:pPr>
            <w:r w:rsidRPr="005A3BB2">
              <w:rPr>
                <w:noProof/>
              </w:rPr>
              <w:t>Budget pour les services personnalisés (en EUR)</w:t>
            </w:r>
          </w:p>
        </w:tc>
        <w:tc>
          <w:tcPr>
            <w:tcW w:w="4379" w:type="dxa"/>
            <w:tcBorders>
              <w:bottom w:val="dotted" w:sz="4" w:space="0" w:color="auto"/>
            </w:tcBorders>
            <w:shd w:val="clear" w:color="auto" w:fill="auto"/>
            <w:vAlign w:val="center"/>
          </w:tcPr>
          <w:p w:rsidR="001E1B79" w:rsidRPr="005A3BB2" w:rsidRDefault="00030AE7" w:rsidP="001E1B79">
            <w:pPr>
              <w:spacing w:before="0" w:after="0"/>
              <w:ind w:rightChars="192" w:right="461"/>
              <w:jc w:val="left"/>
              <w:rPr>
                <w:noProof/>
              </w:rPr>
            </w:pPr>
            <w:r w:rsidRPr="005A3BB2">
              <w:rPr>
                <w:noProof/>
              </w:rPr>
              <w:t>2 168 </w:t>
            </w:r>
            <w:r w:rsidRPr="005A3BB2">
              <w:rPr>
                <w:rFonts w:ascii="TimesNewRoman" w:hAnsi="TimesNewRoman"/>
                <w:noProof/>
                <w:color w:val="000000"/>
              </w:rPr>
              <w:t>980</w:t>
            </w:r>
          </w:p>
        </w:tc>
      </w:tr>
      <w:tr w:rsidR="001E1B79" w:rsidRPr="005A3BB2" w:rsidTr="00030AE7">
        <w:trPr>
          <w:trHeight w:val="389"/>
        </w:trPr>
        <w:tc>
          <w:tcPr>
            <w:tcW w:w="4908" w:type="dxa"/>
            <w:tcBorders>
              <w:top w:val="dotted" w:sz="4" w:space="0" w:color="auto"/>
              <w:bottom w:val="dotted" w:sz="4" w:space="0" w:color="auto"/>
            </w:tcBorders>
            <w:shd w:val="clear" w:color="auto" w:fill="auto"/>
            <w:vAlign w:val="center"/>
          </w:tcPr>
          <w:p w:rsidR="001E1B79" w:rsidRPr="005A3BB2" w:rsidRDefault="001E1B79" w:rsidP="001E1B79">
            <w:pPr>
              <w:spacing w:before="0" w:after="0"/>
              <w:jc w:val="left"/>
              <w:rPr>
                <w:noProof/>
              </w:rPr>
            </w:pPr>
            <w:r w:rsidRPr="005A3BB2">
              <w:rPr>
                <w:noProof/>
              </w:rPr>
              <w:t>Budget pour la mise en œuvre du FEM</w:t>
            </w:r>
            <w:r w:rsidRPr="005A3BB2">
              <w:rPr>
                <w:rStyle w:val="FootnoteReference"/>
                <w:noProof/>
              </w:rPr>
              <w:footnoteReference w:id="5"/>
            </w:r>
            <w:r w:rsidRPr="005A3BB2">
              <w:rPr>
                <w:noProof/>
              </w:rPr>
              <w:t xml:space="preserve"> (en EUR)</w:t>
            </w:r>
          </w:p>
        </w:tc>
        <w:tc>
          <w:tcPr>
            <w:tcW w:w="4379" w:type="dxa"/>
            <w:tcBorders>
              <w:top w:val="dotted" w:sz="4" w:space="0" w:color="auto"/>
              <w:bottom w:val="dotted" w:sz="4" w:space="0" w:color="auto"/>
            </w:tcBorders>
            <w:shd w:val="clear" w:color="auto" w:fill="auto"/>
            <w:vAlign w:val="center"/>
          </w:tcPr>
          <w:p w:rsidR="001E1B79" w:rsidRPr="005A3BB2" w:rsidRDefault="00030AE7" w:rsidP="001E1B79">
            <w:pPr>
              <w:spacing w:before="0" w:after="0"/>
              <w:ind w:rightChars="192" w:right="461"/>
              <w:jc w:val="left"/>
              <w:rPr>
                <w:noProof/>
              </w:rPr>
            </w:pPr>
            <w:r w:rsidRPr="005A3BB2">
              <w:rPr>
                <w:noProof/>
              </w:rPr>
              <w:t>86 000</w:t>
            </w:r>
          </w:p>
        </w:tc>
      </w:tr>
      <w:tr w:rsidR="001E1B79" w:rsidRPr="005A3BB2" w:rsidTr="001D5990">
        <w:tc>
          <w:tcPr>
            <w:tcW w:w="4908" w:type="dxa"/>
            <w:tcBorders>
              <w:top w:val="dotted" w:sz="4" w:space="0" w:color="auto"/>
              <w:bottom w:val="dotted" w:sz="4" w:space="0" w:color="auto"/>
            </w:tcBorders>
            <w:shd w:val="clear" w:color="auto" w:fill="auto"/>
            <w:vAlign w:val="center"/>
          </w:tcPr>
          <w:p w:rsidR="001E1B79" w:rsidRPr="005A3BB2" w:rsidRDefault="001E1B79" w:rsidP="001E1B79">
            <w:pPr>
              <w:spacing w:before="0" w:after="0"/>
              <w:jc w:val="left"/>
              <w:rPr>
                <w:noProof/>
              </w:rPr>
            </w:pPr>
            <w:r w:rsidRPr="005A3BB2">
              <w:rPr>
                <w:noProof/>
              </w:rPr>
              <w:t>Budget total (en EUR)</w:t>
            </w:r>
          </w:p>
        </w:tc>
        <w:tc>
          <w:tcPr>
            <w:tcW w:w="4379" w:type="dxa"/>
            <w:tcBorders>
              <w:top w:val="dotted" w:sz="4" w:space="0" w:color="auto"/>
              <w:bottom w:val="dotted" w:sz="4" w:space="0" w:color="auto"/>
            </w:tcBorders>
            <w:shd w:val="clear" w:color="auto" w:fill="auto"/>
            <w:vAlign w:val="center"/>
          </w:tcPr>
          <w:p w:rsidR="001E1B79" w:rsidRPr="005A3BB2" w:rsidRDefault="00030AE7" w:rsidP="001E1B79">
            <w:pPr>
              <w:spacing w:before="0" w:after="0"/>
              <w:ind w:rightChars="192" w:right="461"/>
              <w:jc w:val="left"/>
              <w:rPr>
                <w:noProof/>
              </w:rPr>
            </w:pPr>
            <w:r w:rsidRPr="005A3BB2">
              <w:rPr>
                <w:rFonts w:ascii="TimesNewRoman" w:hAnsi="TimesNewRoman"/>
                <w:noProof/>
                <w:color w:val="000000"/>
              </w:rPr>
              <w:t>2 254 980</w:t>
            </w:r>
          </w:p>
        </w:tc>
      </w:tr>
      <w:tr w:rsidR="001E1B79" w:rsidRPr="005A3BB2" w:rsidTr="001D5990">
        <w:tc>
          <w:tcPr>
            <w:tcW w:w="4908" w:type="dxa"/>
            <w:tcBorders>
              <w:top w:val="dotted" w:sz="4" w:space="0" w:color="auto"/>
            </w:tcBorders>
            <w:shd w:val="clear" w:color="auto" w:fill="auto"/>
            <w:vAlign w:val="center"/>
          </w:tcPr>
          <w:p w:rsidR="001E1B79" w:rsidRPr="005A3BB2" w:rsidRDefault="001E1B79" w:rsidP="001E1B79">
            <w:pPr>
              <w:spacing w:before="0" w:after="0"/>
              <w:jc w:val="left"/>
              <w:rPr>
                <w:noProof/>
              </w:rPr>
            </w:pPr>
            <w:r w:rsidRPr="005A3BB2">
              <w:rPr>
                <w:noProof/>
              </w:rPr>
              <w:t>Contribution du FEM (85 %) (en EUR)</w:t>
            </w:r>
          </w:p>
        </w:tc>
        <w:tc>
          <w:tcPr>
            <w:tcW w:w="4379" w:type="dxa"/>
            <w:tcBorders>
              <w:top w:val="dotted" w:sz="4" w:space="0" w:color="auto"/>
            </w:tcBorders>
            <w:shd w:val="clear" w:color="auto" w:fill="auto"/>
            <w:vAlign w:val="center"/>
          </w:tcPr>
          <w:p w:rsidR="001E1B79" w:rsidRPr="005A3BB2" w:rsidRDefault="00030AE7" w:rsidP="001E1B79">
            <w:pPr>
              <w:spacing w:before="0" w:after="0"/>
              <w:ind w:rightChars="192" w:right="461"/>
              <w:jc w:val="left"/>
              <w:rPr>
                <w:noProof/>
              </w:rPr>
            </w:pPr>
            <w:r w:rsidRPr="005A3BB2">
              <w:rPr>
                <w:rFonts w:ascii="TimesNewRoman" w:hAnsi="TimesNewRoman"/>
                <w:noProof/>
                <w:color w:val="000000"/>
              </w:rPr>
              <w:t>1 916 733</w:t>
            </w:r>
          </w:p>
        </w:tc>
      </w:tr>
    </w:tbl>
    <w:p w:rsidR="001A62D7" w:rsidRPr="005A3BB2" w:rsidRDefault="001A62D7" w:rsidP="001A62D7">
      <w:pPr>
        <w:pStyle w:val="ManualHeading1"/>
        <w:rPr>
          <w:noProof/>
        </w:rPr>
      </w:pPr>
      <w:r w:rsidRPr="005A3BB2">
        <w:rPr>
          <w:noProof/>
        </w:rPr>
        <w:t>ÉVALUATION DE LA DEMANDE</w:t>
      </w:r>
    </w:p>
    <w:p w:rsidR="001A62D7" w:rsidRPr="005A3BB2" w:rsidRDefault="001A62D7" w:rsidP="001A62D7">
      <w:pPr>
        <w:pStyle w:val="ManualHeading2"/>
        <w:rPr>
          <w:noProof/>
        </w:rPr>
      </w:pPr>
      <w:r w:rsidRPr="005A3BB2">
        <w:rPr>
          <w:noProof/>
        </w:rPr>
        <w:t>Procédure</w:t>
      </w:r>
    </w:p>
    <w:p w:rsidR="001A62D7" w:rsidRPr="005A3BB2" w:rsidRDefault="00B72C22" w:rsidP="009C50F6">
      <w:pPr>
        <w:pStyle w:val="ManualNumPar1"/>
        <w:rPr>
          <w:noProof/>
        </w:rPr>
      </w:pPr>
      <w:r>
        <w:rPr>
          <w:noProof/>
        </w:rPr>
        <w:t>4.</w:t>
      </w:r>
      <w:r>
        <w:rPr>
          <w:noProof/>
        </w:rPr>
        <w:tab/>
      </w:r>
      <w:r w:rsidRPr="005A3BB2">
        <w:rPr>
          <w:noProof/>
        </w:rPr>
        <w:t xml:space="preserve">La Belgique a présenté la demande EGF/2025/007 BE/Casa dans le délai de 12 semaines à compter de la date à laquelle les critères d’intervention précisés à l’article 4, paragraphe 2, point a), du règlement (UE) 2021/691 ont été remplis, à savoir le 23 septembre 2025. La Commission a accusé réception de cette demande le même jour. La Commission a disposé de la traduction de la demande le 22 octobre 2025 et a </w:t>
      </w:r>
      <w:bookmarkStart w:id="2" w:name="_Hlk176343556"/>
      <w:r w:rsidRPr="005A3BB2">
        <w:rPr>
          <w:noProof/>
        </w:rPr>
        <w:t>demandé des informations complémentaires à la Belgique le 5 novembre 2025. Ces informations complémentaires ont été fournies dans les 15 jours ouvrables qui ont suivi la demande. Le délai de 50 jours ouvrables à compter de la réception de la demande complète dont dispose la Commission pour achever son évaluation de la conformité de la demande avec les conditions d’octroi d’une contribution financière expire le 17 février 2026.</w:t>
      </w:r>
      <w:bookmarkEnd w:id="2"/>
    </w:p>
    <w:p w:rsidR="001A62D7" w:rsidRPr="005A3BB2" w:rsidRDefault="001A62D7" w:rsidP="001A62D7">
      <w:pPr>
        <w:pStyle w:val="ManualHeading2"/>
        <w:rPr>
          <w:noProof/>
        </w:rPr>
      </w:pPr>
      <w:r w:rsidRPr="005A3BB2">
        <w:rPr>
          <w:noProof/>
        </w:rPr>
        <w:t>Admissibilité de la demande</w:t>
      </w:r>
    </w:p>
    <w:p w:rsidR="001A62D7" w:rsidRPr="005A3BB2" w:rsidRDefault="001A62D7" w:rsidP="001A62D7">
      <w:pPr>
        <w:pStyle w:val="ManualHeading3"/>
        <w:rPr>
          <w:noProof/>
        </w:rPr>
      </w:pPr>
      <w:r w:rsidRPr="005A3BB2">
        <w:rPr>
          <w:noProof/>
        </w:rPr>
        <w:t>Entreprises et bénéficiaires concernés</w:t>
      </w:r>
    </w:p>
    <w:p w:rsidR="00AC3AEF" w:rsidRPr="005A3BB2" w:rsidRDefault="00181DB4" w:rsidP="009C50F6">
      <w:pPr>
        <w:pStyle w:val="ManualNumPar1"/>
        <w:rPr>
          <w:noProof/>
          <w:szCs w:val="24"/>
        </w:rPr>
      </w:pPr>
      <w:r>
        <w:rPr>
          <w:noProof/>
        </w:rPr>
        <w:t>5.</w:t>
      </w:r>
      <w:r>
        <w:rPr>
          <w:noProof/>
        </w:rPr>
        <w:tab/>
      </w:r>
      <w:r w:rsidRPr="005A3BB2">
        <w:rPr>
          <w:noProof/>
        </w:rPr>
        <w:t>La demande concerne 416 travailleurs licenciés dont l’activité au sein de Casa a cessé. L’entreprise exerce ses activités dans les secteurs économiques relevant des divisions 47 (Commerce de détail, à l’exception des automobiles et des motocycles) et 52 (Entreposage et services auxiliaires des transports) de la NACE Rév. 2. Les licenciements ont eu lieu dans la région de niveau NUTS 2 de la province d’Anvers (BE21).</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rsidR="00AC3AEF" w:rsidRPr="005A3BB2" w:rsidTr="00AC3AEF">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3AEF" w:rsidRPr="005A3BB2" w:rsidRDefault="00AC3AEF" w:rsidP="003E3147">
            <w:pPr>
              <w:spacing w:beforeLines="20" w:before="48" w:afterLines="20" w:after="48" w:line="276" w:lineRule="auto"/>
              <w:ind w:left="57"/>
              <w:jc w:val="center"/>
              <w:rPr>
                <w:rFonts w:eastAsia="Calibri"/>
                <w:b/>
                <w:noProof/>
                <w:szCs w:val="24"/>
              </w:rPr>
            </w:pPr>
            <w:r w:rsidRPr="005A3BB2">
              <w:rPr>
                <w:b/>
                <w:noProof/>
              </w:rPr>
              <w:t>Entreprises et nombre de licenciements pendant la période de référence</w:t>
            </w:r>
          </w:p>
        </w:tc>
      </w:tr>
      <w:tr w:rsidR="00AC3AEF" w:rsidRPr="005A3BB2" w:rsidTr="00AC3AEF">
        <w:tc>
          <w:tcPr>
            <w:tcW w:w="6957" w:type="dxa"/>
            <w:gridSpan w:val="2"/>
            <w:tcBorders>
              <w:bottom w:val="single" w:sz="4" w:space="0" w:color="auto"/>
              <w:right w:val="single" w:sz="4" w:space="0" w:color="auto"/>
            </w:tcBorders>
            <w:shd w:val="clear" w:color="auto" w:fill="auto"/>
            <w:vAlign w:val="center"/>
          </w:tcPr>
          <w:p w:rsidR="00AC3AEF" w:rsidRPr="005A3BB2" w:rsidRDefault="00AC3AEF" w:rsidP="003E3147">
            <w:pPr>
              <w:spacing w:before="0" w:after="0"/>
              <w:ind w:right="252"/>
              <w:jc w:val="left"/>
              <w:rPr>
                <w:noProof/>
                <w:szCs w:val="24"/>
              </w:rPr>
            </w:pPr>
            <w:r w:rsidRPr="005A3BB2">
              <w:rPr>
                <w:noProof/>
              </w:rPr>
              <w:t>Casa International NV (commerce de détail)</w:t>
            </w:r>
          </w:p>
        </w:tc>
        <w:tc>
          <w:tcPr>
            <w:tcW w:w="1275" w:type="dxa"/>
            <w:gridSpan w:val="2"/>
            <w:tcBorders>
              <w:left w:val="single" w:sz="4" w:space="0" w:color="auto"/>
              <w:bottom w:val="single" w:sz="4" w:space="0" w:color="auto"/>
            </w:tcBorders>
            <w:shd w:val="clear" w:color="auto" w:fill="auto"/>
            <w:vAlign w:val="center"/>
          </w:tcPr>
          <w:p w:rsidR="00AC3AEF" w:rsidRPr="005A3BB2" w:rsidRDefault="00AC3AEF" w:rsidP="003E3147">
            <w:pPr>
              <w:spacing w:before="0" w:after="0"/>
              <w:ind w:left="-828"/>
              <w:jc w:val="right"/>
              <w:rPr>
                <w:noProof/>
                <w:szCs w:val="24"/>
              </w:rPr>
            </w:pPr>
            <w:r w:rsidRPr="005A3BB2">
              <w:rPr>
                <w:noProof/>
              </w:rPr>
              <w:t>257</w:t>
            </w:r>
          </w:p>
        </w:tc>
      </w:tr>
      <w:tr w:rsidR="00AC3AEF" w:rsidRPr="005A3BB2" w:rsidTr="00AC3AEF">
        <w:tc>
          <w:tcPr>
            <w:tcW w:w="6957" w:type="dxa"/>
            <w:gridSpan w:val="2"/>
            <w:tcBorders>
              <w:bottom w:val="single" w:sz="4" w:space="0" w:color="auto"/>
              <w:right w:val="single" w:sz="4" w:space="0" w:color="auto"/>
            </w:tcBorders>
            <w:shd w:val="clear" w:color="auto" w:fill="auto"/>
            <w:vAlign w:val="center"/>
          </w:tcPr>
          <w:p w:rsidR="00AC3AEF" w:rsidRPr="005A3BB2" w:rsidRDefault="00AC3AEF" w:rsidP="003E3147">
            <w:pPr>
              <w:spacing w:before="0" w:after="0"/>
              <w:ind w:right="252"/>
              <w:jc w:val="left"/>
              <w:rPr>
                <w:noProof/>
                <w:szCs w:val="24"/>
              </w:rPr>
            </w:pPr>
            <w:r w:rsidRPr="005A3BB2">
              <w:rPr>
                <w:noProof/>
              </w:rPr>
              <w:t xml:space="preserve">Casa Logistics NV (entreposage) </w:t>
            </w:r>
          </w:p>
        </w:tc>
        <w:tc>
          <w:tcPr>
            <w:tcW w:w="1275" w:type="dxa"/>
            <w:gridSpan w:val="2"/>
            <w:tcBorders>
              <w:left w:val="single" w:sz="4" w:space="0" w:color="auto"/>
              <w:bottom w:val="single" w:sz="4" w:space="0" w:color="auto"/>
            </w:tcBorders>
            <w:shd w:val="clear" w:color="auto" w:fill="auto"/>
            <w:vAlign w:val="center"/>
          </w:tcPr>
          <w:p w:rsidR="00AC3AEF" w:rsidRPr="005A3BB2" w:rsidRDefault="00AC3AEF" w:rsidP="003E3147">
            <w:pPr>
              <w:spacing w:before="0" w:after="0"/>
              <w:ind w:left="-828"/>
              <w:jc w:val="right"/>
              <w:rPr>
                <w:noProof/>
                <w:szCs w:val="24"/>
              </w:rPr>
            </w:pPr>
            <w:r w:rsidRPr="005A3BB2">
              <w:rPr>
                <w:noProof/>
              </w:rPr>
              <w:t>159</w:t>
            </w:r>
          </w:p>
        </w:tc>
      </w:tr>
      <w:tr w:rsidR="00AC3AEF" w:rsidRPr="005A3BB2" w:rsidTr="00AC3AEF">
        <w:trPr>
          <w:trHeight w:val="284"/>
        </w:trPr>
        <w:tc>
          <w:tcPr>
            <w:tcW w:w="3840" w:type="dxa"/>
            <w:tcBorders>
              <w:top w:val="single" w:sz="4" w:space="0" w:color="auto"/>
              <w:bottom w:val="nil"/>
              <w:right w:val="nil"/>
            </w:tcBorders>
            <w:shd w:val="clear" w:color="auto" w:fill="E6E6E6"/>
            <w:vAlign w:val="center"/>
          </w:tcPr>
          <w:p w:rsidR="00AC3AEF" w:rsidRPr="005A3BB2" w:rsidRDefault="00AC3AEF" w:rsidP="003E3147">
            <w:pPr>
              <w:spacing w:beforeLines="20" w:before="48" w:afterLines="20" w:after="48" w:line="276" w:lineRule="auto"/>
              <w:ind w:left="57"/>
              <w:jc w:val="left"/>
              <w:rPr>
                <w:rFonts w:eastAsia="Calibri"/>
                <w:b/>
                <w:noProof/>
                <w:szCs w:val="24"/>
              </w:rPr>
            </w:pPr>
            <w:r w:rsidRPr="005A3BB2">
              <w:rPr>
                <w:noProof/>
              </w:rPr>
              <w:br w:type="page"/>
            </w:r>
            <w:r w:rsidRPr="005A3BB2">
              <w:rPr>
                <w:b/>
                <w:noProof/>
              </w:rPr>
              <w:t>Nombre total d’entreprises:</w:t>
            </w:r>
            <w:r w:rsidRPr="005A3BB2">
              <w:rPr>
                <w:b/>
                <w:noProof/>
                <w:sz w:val="22"/>
              </w:rPr>
              <w:t xml:space="preserve"> </w:t>
            </w:r>
            <w:r w:rsidRPr="005A3BB2">
              <w:rPr>
                <w:b/>
                <w:noProof/>
              </w:rPr>
              <w:t>2</w:t>
            </w:r>
          </w:p>
        </w:tc>
        <w:tc>
          <w:tcPr>
            <w:tcW w:w="3300" w:type="dxa"/>
            <w:gridSpan w:val="2"/>
            <w:tcBorders>
              <w:top w:val="single" w:sz="4" w:space="0" w:color="auto"/>
              <w:left w:val="nil"/>
              <w:bottom w:val="nil"/>
              <w:right w:val="nil"/>
            </w:tcBorders>
            <w:shd w:val="clear" w:color="auto" w:fill="E6E6E6"/>
            <w:vAlign w:val="center"/>
          </w:tcPr>
          <w:p w:rsidR="00AC3AEF" w:rsidRPr="005A3BB2" w:rsidRDefault="00AC3AEF" w:rsidP="003E3147">
            <w:pPr>
              <w:spacing w:beforeLines="20" w:before="48" w:afterLines="20" w:after="48" w:line="276" w:lineRule="auto"/>
              <w:ind w:left="57" w:right="227"/>
              <w:jc w:val="left"/>
              <w:rPr>
                <w:rFonts w:eastAsia="Calibri"/>
                <w:b/>
                <w:noProof/>
                <w:szCs w:val="24"/>
              </w:rPr>
            </w:pPr>
            <w:r w:rsidRPr="005A3BB2">
              <w:rPr>
                <w:b/>
                <w:noProof/>
              </w:rPr>
              <w:t>Nombre total de licenciements:</w:t>
            </w:r>
            <w:r w:rsidRPr="005A3BB2">
              <w:rPr>
                <w:b/>
                <w:noProof/>
                <w:sz w:val="22"/>
              </w:rPr>
              <w:t xml:space="preserve"> </w:t>
            </w:r>
          </w:p>
        </w:tc>
        <w:tc>
          <w:tcPr>
            <w:tcW w:w="1092" w:type="dxa"/>
            <w:tcBorders>
              <w:top w:val="single" w:sz="4" w:space="0" w:color="auto"/>
              <w:left w:val="nil"/>
              <w:bottom w:val="nil"/>
            </w:tcBorders>
            <w:shd w:val="clear" w:color="auto" w:fill="E6E6E6"/>
            <w:vAlign w:val="center"/>
          </w:tcPr>
          <w:p w:rsidR="00AC3AEF" w:rsidRPr="005A3BB2" w:rsidRDefault="00AC3AEF" w:rsidP="003E3147">
            <w:pPr>
              <w:spacing w:beforeLines="20" w:before="48" w:afterLines="20" w:after="48" w:line="276" w:lineRule="auto"/>
              <w:ind w:left="57" w:right="227"/>
              <w:jc w:val="right"/>
              <w:rPr>
                <w:rFonts w:eastAsia="Calibri"/>
                <w:b/>
                <w:noProof/>
                <w:szCs w:val="24"/>
              </w:rPr>
            </w:pPr>
            <w:r w:rsidRPr="005A3BB2">
              <w:rPr>
                <w:b/>
                <w:noProof/>
              </w:rPr>
              <w:t>416</w:t>
            </w:r>
          </w:p>
        </w:tc>
      </w:tr>
      <w:tr w:rsidR="00AC3AEF" w:rsidRPr="005A3BB2" w:rsidTr="00AC3AEF">
        <w:trPr>
          <w:trHeight w:val="284"/>
        </w:trPr>
        <w:tc>
          <w:tcPr>
            <w:tcW w:w="7140" w:type="dxa"/>
            <w:gridSpan w:val="3"/>
            <w:tcBorders>
              <w:top w:val="nil"/>
              <w:bottom w:val="nil"/>
              <w:right w:val="nil"/>
            </w:tcBorders>
            <w:shd w:val="clear" w:color="auto" w:fill="E6E6E6"/>
            <w:vAlign w:val="center"/>
          </w:tcPr>
          <w:p w:rsidR="00AC3AEF" w:rsidRPr="005A3BB2" w:rsidRDefault="00AC3AEF" w:rsidP="003E3147">
            <w:pPr>
              <w:spacing w:beforeLines="20" w:before="48" w:afterLines="20" w:after="48" w:line="276" w:lineRule="auto"/>
              <w:ind w:left="57" w:right="227"/>
              <w:jc w:val="left"/>
              <w:rPr>
                <w:rFonts w:eastAsia="Calibri"/>
                <w:b/>
                <w:noProof/>
                <w:szCs w:val="24"/>
              </w:rPr>
            </w:pPr>
            <w:r w:rsidRPr="005A3BB2">
              <w:rPr>
                <w:b/>
                <w:noProof/>
              </w:rPr>
              <w:t>Nombre total de travailleurs indépendants en cessation d’activité:</w:t>
            </w:r>
            <w:r w:rsidRPr="005A3BB2">
              <w:rPr>
                <w:noProof/>
              </w:rPr>
              <w:t xml:space="preserve"> </w:t>
            </w:r>
          </w:p>
        </w:tc>
        <w:tc>
          <w:tcPr>
            <w:tcW w:w="1092" w:type="dxa"/>
            <w:tcBorders>
              <w:top w:val="nil"/>
              <w:left w:val="nil"/>
              <w:bottom w:val="nil"/>
            </w:tcBorders>
            <w:shd w:val="clear" w:color="auto" w:fill="E6E6E6"/>
            <w:vAlign w:val="center"/>
          </w:tcPr>
          <w:p w:rsidR="00AC3AEF" w:rsidRPr="005A3BB2" w:rsidRDefault="00AC3AEF" w:rsidP="003E3147">
            <w:pPr>
              <w:spacing w:beforeLines="20" w:before="48" w:afterLines="20" w:after="48" w:line="276" w:lineRule="auto"/>
              <w:ind w:left="57" w:right="227"/>
              <w:jc w:val="right"/>
              <w:rPr>
                <w:rFonts w:eastAsia="Calibri"/>
                <w:b/>
                <w:noProof/>
                <w:szCs w:val="24"/>
              </w:rPr>
            </w:pPr>
            <w:r w:rsidRPr="005A3BB2">
              <w:rPr>
                <w:b/>
                <w:noProof/>
              </w:rPr>
              <w:t>0</w:t>
            </w:r>
          </w:p>
        </w:tc>
      </w:tr>
      <w:tr w:rsidR="00AC3AEF" w:rsidRPr="005A3BB2" w:rsidTr="00AC3AEF">
        <w:trPr>
          <w:trHeight w:val="284"/>
        </w:trPr>
        <w:tc>
          <w:tcPr>
            <w:tcW w:w="7140" w:type="dxa"/>
            <w:gridSpan w:val="3"/>
            <w:tcBorders>
              <w:top w:val="nil"/>
              <w:right w:val="nil"/>
            </w:tcBorders>
            <w:shd w:val="clear" w:color="auto" w:fill="E6E6E6"/>
            <w:vAlign w:val="center"/>
          </w:tcPr>
          <w:p w:rsidR="00AC3AEF" w:rsidRPr="005A3BB2" w:rsidRDefault="00AC3AEF" w:rsidP="003E3147">
            <w:pPr>
              <w:spacing w:beforeLines="20" w:before="48" w:afterLines="20" w:after="48" w:line="276" w:lineRule="auto"/>
              <w:ind w:left="57"/>
              <w:jc w:val="left"/>
              <w:rPr>
                <w:rFonts w:eastAsia="Calibri"/>
                <w:b/>
                <w:noProof/>
                <w:szCs w:val="24"/>
              </w:rPr>
            </w:pPr>
            <w:r w:rsidRPr="005A3BB2">
              <w:rPr>
                <w:b/>
                <w:noProof/>
              </w:rPr>
              <w:lastRenderedPageBreak/>
              <w:t xml:space="preserve">Nombre total de salariés et de travailleurs indépendants admissibles: </w:t>
            </w:r>
          </w:p>
        </w:tc>
        <w:tc>
          <w:tcPr>
            <w:tcW w:w="1092" w:type="dxa"/>
            <w:tcBorders>
              <w:top w:val="nil"/>
              <w:left w:val="nil"/>
            </w:tcBorders>
            <w:shd w:val="clear" w:color="auto" w:fill="E6E6E6"/>
            <w:vAlign w:val="center"/>
          </w:tcPr>
          <w:p w:rsidR="00AC3AEF" w:rsidRPr="005A3BB2" w:rsidRDefault="00AC3AEF" w:rsidP="003E3147">
            <w:pPr>
              <w:spacing w:beforeLines="20" w:before="48" w:afterLines="20" w:after="48" w:line="276" w:lineRule="auto"/>
              <w:ind w:left="57" w:right="227"/>
              <w:jc w:val="right"/>
              <w:rPr>
                <w:rFonts w:eastAsia="Calibri"/>
                <w:b/>
                <w:noProof/>
                <w:szCs w:val="24"/>
              </w:rPr>
            </w:pPr>
            <w:r w:rsidRPr="005A3BB2">
              <w:rPr>
                <w:b/>
                <w:noProof/>
              </w:rPr>
              <w:t>416</w:t>
            </w:r>
          </w:p>
        </w:tc>
      </w:tr>
    </w:tbl>
    <w:p w:rsidR="001A62D7" w:rsidRPr="005A3BB2" w:rsidRDefault="001A62D7" w:rsidP="001A62D7">
      <w:pPr>
        <w:pStyle w:val="ManualHeading3"/>
        <w:rPr>
          <w:noProof/>
        </w:rPr>
      </w:pPr>
      <w:r w:rsidRPr="005A3BB2">
        <w:rPr>
          <w:noProof/>
        </w:rPr>
        <w:t>Critères d’intervention</w:t>
      </w:r>
    </w:p>
    <w:p w:rsidR="00A50DD1" w:rsidRPr="005A3BB2" w:rsidRDefault="00A50DD1" w:rsidP="00A50DD1">
      <w:pPr>
        <w:pStyle w:val="ManualNumPar1"/>
        <w:rPr>
          <w:noProof/>
        </w:rPr>
      </w:pPr>
      <w:r>
        <w:rPr>
          <w:noProof/>
        </w:rPr>
        <w:t>6.</w:t>
      </w:r>
      <w:r>
        <w:rPr>
          <w:noProof/>
        </w:rPr>
        <w:tab/>
      </w:r>
      <w:bookmarkStart w:id="3" w:name="_Ref372189348"/>
      <w:r w:rsidRPr="005A3BB2">
        <w:rPr>
          <w:noProof/>
        </w:rPr>
        <w:t>La Belgique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 et/ou des travailleurs indépendants.</w:t>
      </w:r>
    </w:p>
    <w:bookmarkEnd w:id="3"/>
    <w:p w:rsidR="00545AD1" w:rsidRPr="005A3BB2" w:rsidRDefault="00545AD1" w:rsidP="00545AD1">
      <w:pPr>
        <w:pStyle w:val="ManualNumPar1"/>
        <w:rPr>
          <w:noProof/>
        </w:rPr>
      </w:pPr>
      <w:r>
        <w:rPr>
          <w:noProof/>
        </w:rPr>
        <w:t>7.</w:t>
      </w:r>
      <w:r>
        <w:rPr>
          <w:noProof/>
        </w:rPr>
        <w:tab/>
      </w:r>
      <w:r w:rsidRPr="005A3BB2">
        <w:rPr>
          <w:noProof/>
        </w:rPr>
        <w:t>La période de référence de quatre mois pour la demande s’étend du 6 mars au 6 juillet 2025.</w:t>
      </w:r>
    </w:p>
    <w:p w:rsidR="00545AD1" w:rsidRPr="005A3BB2" w:rsidRDefault="00A50DD1" w:rsidP="00545AD1">
      <w:pPr>
        <w:pStyle w:val="ManualNumPar1"/>
        <w:rPr>
          <w:noProof/>
        </w:rPr>
      </w:pPr>
      <w:r>
        <w:rPr>
          <w:noProof/>
        </w:rPr>
        <w:t>8.</w:t>
      </w:r>
      <w:r>
        <w:rPr>
          <w:noProof/>
        </w:rPr>
        <w:tab/>
      </w:r>
      <w:r w:rsidRPr="005A3BB2">
        <w:rPr>
          <w:noProof/>
        </w:rPr>
        <w:t>La cessation d’activité au cours de la période de référence est intervenue comme suit:</w:t>
      </w:r>
    </w:p>
    <w:p w:rsidR="00545AD1" w:rsidRPr="005A3BB2" w:rsidRDefault="00545AD1" w:rsidP="009C50F6">
      <w:pPr>
        <w:pStyle w:val="Tiret1"/>
        <w:numPr>
          <w:ilvl w:val="0"/>
          <w:numId w:val="19"/>
        </w:numPr>
        <w:rPr>
          <w:noProof/>
        </w:rPr>
      </w:pPr>
      <w:r w:rsidRPr="005A3BB2">
        <w:rPr>
          <w:noProof/>
        </w:rPr>
        <w:t>257 travailleurs ont été licenciés au sein de Casa International;</w:t>
      </w:r>
    </w:p>
    <w:p w:rsidR="00545AD1" w:rsidRPr="005A3BB2" w:rsidRDefault="00545AD1" w:rsidP="009C50F6">
      <w:pPr>
        <w:pStyle w:val="Tiret1"/>
        <w:numPr>
          <w:ilvl w:val="0"/>
          <w:numId w:val="19"/>
        </w:numPr>
        <w:rPr>
          <w:noProof/>
        </w:rPr>
      </w:pPr>
      <w:r w:rsidRPr="005A3BB2">
        <w:rPr>
          <w:noProof/>
        </w:rPr>
        <w:t>159 travailleurs ont été licenciés au sein de Casa Logistics.</w:t>
      </w:r>
    </w:p>
    <w:p w:rsidR="001A62D7" w:rsidRPr="005A3BB2" w:rsidRDefault="001A62D7" w:rsidP="001A62D7">
      <w:pPr>
        <w:pStyle w:val="ManualHeading3"/>
        <w:rPr>
          <w:noProof/>
        </w:rPr>
      </w:pPr>
      <w:r w:rsidRPr="005A3BB2">
        <w:rPr>
          <w:noProof/>
        </w:rPr>
        <w:t>Calcul des licenciements et de la cessation d’activité</w:t>
      </w:r>
    </w:p>
    <w:p w:rsidR="00A50DD1" w:rsidRPr="005A3BB2" w:rsidRDefault="00A50DD1" w:rsidP="00A50DD1">
      <w:pPr>
        <w:pStyle w:val="ManualNumPar1"/>
        <w:rPr>
          <w:noProof/>
        </w:rPr>
      </w:pPr>
      <w:r>
        <w:rPr>
          <w:noProof/>
        </w:rPr>
        <w:t>9.</w:t>
      </w:r>
      <w:r>
        <w:rPr>
          <w:noProof/>
        </w:rPr>
        <w:tab/>
      </w:r>
      <w:r w:rsidRPr="005A3BB2">
        <w:rPr>
          <w:noProof/>
        </w:rPr>
        <w:t>Conformément à l’article 6, premier alinéa, point a), en liaison avec l’article 5, premier alinéa, point c), du règlement (UE) 2021/691, la cessation des activités des travailleurs licenciés au cours de la période de référence a été calculée à partir de la date de la résiliation de fait du contrat de travail ou de son expiration.</w:t>
      </w:r>
    </w:p>
    <w:p w:rsidR="001A62D7" w:rsidRPr="005A3BB2" w:rsidRDefault="001A62D7" w:rsidP="001A62D7">
      <w:pPr>
        <w:pStyle w:val="ManualHeading3"/>
        <w:rPr>
          <w:noProof/>
        </w:rPr>
      </w:pPr>
      <w:r w:rsidRPr="005A3BB2">
        <w:rPr>
          <w:noProof/>
        </w:rPr>
        <w:t>Bénéficiaires éligibles</w:t>
      </w:r>
    </w:p>
    <w:p w:rsidR="001A62D7" w:rsidRPr="005A3BB2" w:rsidRDefault="001A62D7" w:rsidP="009C50F6">
      <w:pPr>
        <w:pStyle w:val="ManualNumPar1"/>
        <w:rPr>
          <w:noProof/>
        </w:rPr>
      </w:pPr>
      <w:r>
        <w:rPr>
          <w:noProof/>
        </w:rPr>
        <w:t>10.</w:t>
      </w:r>
      <w:r>
        <w:rPr>
          <w:noProof/>
        </w:rPr>
        <w:tab/>
      </w:r>
      <w:r w:rsidRPr="005A3BB2">
        <w:rPr>
          <w:noProof/>
        </w:rPr>
        <w:t>Le nombre total de bénéficiaires éligibles s’élève à 416.</w:t>
      </w:r>
    </w:p>
    <w:p w:rsidR="001A62D7" w:rsidRPr="005A3BB2" w:rsidRDefault="001A62D7" w:rsidP="001A62D7">
      <w:pPr>
        <w:pStyle w:val="ManualHeading3"/>
        <w:rPr>
          <w:noProof/>
        </w:rPr>
      </w:pPr>
      <w:r w:rsidRPr="005A3BB2">
        <w:rPr>
          <w:noProof/>
        </w:rPr>
        <w:t>Description des événements ayant conduit aux licenciements et à la cessation d’activité</w:t>
      </w:r>
    </w:p>
    <w:p w:rsidR="00CE2FB0" w:rsidRPr="005A3BB2" w:rsidRDefault="00CE2FB0" w:rsidP="00CE2FB0">
      <w:pPr>
        <w:pStyle w:val="ManualNumPar1"/>
        <w:spacing w:before="100"/>
        <w:rPr>
          <w:noProof/>
          <w:color w:val="000000"/>
        </w:rPr>
      </w:pPr>
      <w:r>
        <w:rPr>
          <w:noProof/>
        </w:rPr>
        <w:t>11.</w:t>
      </w:r>
      <w:r>
        <w:rPr>
          <w:noProof/>
        </w:rPr>
        <w:tab/>
      </w:r>
      <w:r w:rsidRPr="005A3BB2">
        <w:rPr>
          <w:noProof/>
          <w:color w:val="000000"/>
        </w:rPr>
        <w:t>Casa se compose de deux sociétés: Casa International, qui compte 65 points de vente dans toute la Belgique, et Casa Logistics, qui est responsable du stockage et de la distribution dans ces points de vente.</w:t>
      </w:r>
    </w:p>
    <w:p w:rsidR="008D3624" w:rsidRPr="005A3BB2" w:rsidRDefault="008D3624" w:rsidP="009C50F6">
      <w:pPr>
        <w:pStyle w:val="ManualNumPar1"/>
        <w:rPr>
          <w:noProof/>
        </w:rPr>
      </w:pPr>
      <w:r>
        <w:rPr>
          <w:noProof/>
        </w:rPr>
        <w:t>12.</w:t>
      </w:r>
      <w:r>
        <w:rPr>
          <w:noProof/>
        </w:rPr>
        <w:tab/>
      </w:r>
      <w:r w:rsidRPr="005A3BB2">
        <w:rPr>
          <w:noProof/>
        </w:rPr>
        <w:t xml:space="preserve">Les licenciements sont le résultat des </w:t>
      </w:r>
      <w:r w:rsidRPr="005A3BB2">
        <w:rPr>
          <w:noProof/>
          <w:color w:val="000000"/>
        </w:rPr>
        <w:t>difficultés financières auxquelles Casa est confrontée depuis plusieurs années, en partie dues au rôle largement accru du commerce électronique</w:t>
      </w:r>
      <w:r w:rsidRPr="005A3BB2">
        <w:rPr>
          <w:noProof/>
        </w:rPr>
        <w:t xml:space="preserve">. La concurrence internationale s’est également intensifiée, </w:t>
      </w:r>
      <w:r w:rsidRPr="005A3BB2">
        <w:rPr>
          <w:noProof/>
          <w:color w:val="000000"/>
        </w:rPr>
        <w:t xml:space="preserve">ce qui s’est traduit par une demande de protection des créanciers en 2020. Casa a été vendue à Globitas en 2021, puis revendue à l’entreprise suédoise AAS Retail en 2024. </w:t>
      </w:r>
    </w:p>
    <w:p w:rsidR="0036684B" w:rsidRPr="005A3BB2" w:rsidRDefault="0036684B" w:rsidP="009C50F6">
      <w:pPr>
        <w:pStyle w:val="ManualNumPar1"/>
        <w:spacing w:before="100"/>
        <w:rPr>
          <w:noProof/>
          <w:color w:val="000000"/>
        </w:rPr>
      </w:pPr>
      <w:r>
        <w:rPr>
          <w:noProof/>
        </w:rPr>
        <w:t>13.</w:t>
      </w:r>
      <w:r>
        <w:rPr>
          <w:noProof/>
        </w:rPr>
        <w:tab/>
      </w:r>
      <w:r w:rsidRPr="005A3BB2">
        <w:rPr>
          <w:noProof/>
          <w:color w:val="000000"/>
        </w:rPr>
        <w:t>Casa a ensuite rencontré de nouvelles difficultés financières en raison de graves problèmes de liquidités, qui ont entraîné des ventes de liquidation dans les magasins au cours de l’été 2024 et la perte de divers emplois au sein du département du marketing du siège d’Olen. À la fin du mois d’octobre 2024, Casa a de nouveau demandé au tribunal de commerce une protection de six mois des créanciers, en vue d’une éventuelle reprise.</w:t>
      </w:r>
    </w:p>
    <w:p w:rsidR="008D3624" w:rsidRPr="005A3BB2" w:rsidRDefault="003B342B" w:rsidP="008D3624">
      <w:pPr>
        <w:pStyle w:val="ManualNumPar1"/>
        <w:rPr>
          <w:noProof/>
        </w:rPr>
      </w:pPr>
      <w:r>
        <w:rPr>
          <w:noProof/>
        </w:rPr>
        <w:t>14.</w:t>
      </w:r>
      <w:r>
        <w:rPr>
          <w:noProof/>
        </w:rPr>
        <w:tab/>
      </w:r>
      <w:r w:rsidRPr="005A3BB2">
        <w:rPr>
          <w:noProof/>
          <w:color w:val="000000"/>
        </w:rPr>
        <w:t>Aucun acquéreur potentiel sérieux ne s’étant présenté pour racheter l’entreprise, Casa International et Casa Logistics</w:t>
      </w:r>
      <w:r w:rsidRPr="005A3BB2">
        <w:rPr>
          <w:noProof/>
        </w:rPr>
        <w:t xml:space="preserve"> ont été déclarées en faillite par le tribunal de commerce d’Anvers le 6 mars 2025, ce qui a </w:t>
      </w:r>
      <w:r w:rsidRPr="005A3BB2">
        <w:rPr>
          <w:noProof/>
          <w:color w:val="000000"/>
        </w:rPr>
        <w:t>entraîné la perte de 416</w:t>
      </w:r>
      <w:r w:rsidRPr="005A3BB2">
        <w:rPr>
          <w:noProof/>
        </w:rPr>
        <w:t> </w:t>
      </w:r>
      <w:r w:rsidRPr="005A3BB2">
        <w:rPr>
          <w:noProof/>
          <w:color w:val="000000"/>
        </w:rPr>
        <w:t>emplois</w:t>
      </w:r>
      <w:r w:rsidRPr="005A3BB2">
        <w:rPr>
          <w:noProof/>
        </w:rPr>
        <w:t xml:space="preserve">. </w:t>
      </w:r>
    </w:p>
    <w:p w:rsidR="001A62D7" w:rsidRPr="005A3BB2" w:rsidRDefault="001A62D7" w:rsidP="001A62D7">
      <w:pPr>
        <w:pStyle w:val="ManualHeading3"/>
        <w:tabs>
          <w:tab w:val="clear" w:pos="850"/>
          <w:tab w:val="left" w:pos="0"/>
        </w:tabs>
        <w:ind w:left="0" w:firstLine="0"/>
        <w:rPr>
          <w:noProof/>
        </w:rPr>
      </w:pPr>
      <w:r w:rsidRPr="005A3BB2">
        <w:rPr>
          <w:noProof/>
        </w:rPr>
        <w:lastRenderedPageBreak/>
        <w:t xml:space="preserve">Effets attendus des licenciements sur l’économie et l’emploi à l’échelle locale, régionale ou nationale </w:t>
      </w:r>
    </w:p>
    <w:p w:rsidR="00886CAA" w:rsidRPr="005A3BB2" w:rsidRDefault="00886CAA" w:rsidP="008D3624">
      <w:pPr>
        <w:pStyle w:val="ManualNumPar1"/>
        <w:rPr>
          <w:noProof/>
          <w:color w:val="000000"/>
        </w:rPr>
      </w:pPr>
      <w:r>
        <w:rPr>
          <w:noProof/>
        </w:rPr>
        <w:t>15.</w:t>
      </w:r>
      <w:r>
        <w:rPr>
          <w:noProof/>
        </w:rPr>
        <w:tab/>
      </w:r>
      <w:r w:rsidRPr="005A3BB2">
        <w:rPr>
          <w:noProof/>
          <w:color w:val="000000"/>
        </w:rPr>
        <w:t>En 2024, plus de 11 000 entreprises ont fait faillite en Belgique, ce qui représente une augmentation de 8 % par rapport à 2023 et le nombre le plus élevé depuis 2013</w:t>
      </w:r>
      <w:r w:rsidRPr="005A3BB2">
        <w:rPr>
          <w:rStyle w:val="FootnoteReference"/>
          <w:noProof/>
          <w:color w:val="000000"/>
        </w:rPr>
        <w:footnoteReference w:id="6"/>
      </w:r>
      <w:r w:rsidRPr="005A3BB2">
        <w:rPr>
          <w:noProof/>
          <w:color w:val="000000"/>
        </w:rPr>
        <w:t>. Rien qu’en Flandre, plus de 6 000 entreprises</w:t>
      </w:r>
      <w:r w:rsidRPr="005A3BB2">
        <w:rPr>
          <w:noProof/>
        </w:rPr>
        <w:t xml:space="preserve"> ont été déclarées en faillite.</w:t>
      </w:r>
      <w:r w:rsidRPr="005A3BB2">
        <w:rPr>
          <w:noProof/>
          <w:color w:val="000000"/>
        </w:rPr>
        <w:t xml:space="preserve"> Le nombre d’emplois perdus en raison de faillites en 2024 a été estimé à un total de 29 245, dont 60 % en Flandre. Au cours du premier semestre de l’année 2025, plus de 15 000 emplois ont de nouveau été perdus en raison de faillites en Belgique, dont 51 % en Flandre</w:t>
      </w:r>
      <w:r w:rsidRPr="005A3BB2">
        <w:rPr>
          <w:rStyle w:val="FootnoteReference"/>
          <w:noProof/>
          <w:color w:val="000000"/>
        </w:rPr>
        <w:footnoteReference w:id="7"/>
      </w:r>
      <w:r w:rsidRPr="005A3BB2">
        <w:rPr>
          <w:noProof/>
          <w:color w:val="000000"/>
        </w:rPr>
        <w:t xml:space="preserve">. </w:t>
      </w:r>
    </w:p>
    <w:p w:rsidR="00910A62" w:rsidRPr="005A3BB2" w:rsidRDefault="00BA76D1" w:rsidP="008D3624">
      <w:pPr>
        <w:pStyle w:val="ManualNumPar1"/>
        <w:rPr>
          <w:noProof/>
          <w:color w:val="000000"/>
        </w:rPr>
      </w:pPr>
      <w:r>
        <w:rPr>
          <w:noProof/>
        </w:rPr>
        <w:t>16.</w:t>
      </w:r>
      <w:r>
        <w:rPr>
          <w:noProof/>
        </w:rPr>
        <w:tab/>
      </w:r>
      <w:r w:rsidRPr="005A3BB2">
        <w:rPr>
          <w:noProof/>
          <w:color w:val="000000"/>
        </w:rPr>
        <w:t>Les 63 magasins Casa sont répartis à travers la Flandre et à Bruxelles, mais le siège et le centre de distribution sont situés tous deux à Olen (province d’Anvers). Environ la moitié des salariés concernés se trouve à différents endroits en Belgique, tandis que l’autre moitié travaille au centre de distribution et au siège social. En raison de cette concentration, l’emploi dans la région d’Olen a été particulièrement touché.</w:t>
      </w:r>
    </w:p>
    <w:p w:rsidR="00910A62" w:rsidRPr="005A3BB2" w:rsidRDefault="00561E81" w:rsidP="00910A62">
      <w:pPr>
        <w:pStyle w:val="ManualNumPar1"/>
        <w:rPr>
          <w:noProof/>
        </w:rPr>
      </w:pPr>
      <w:r>
        <w:rPr>
          <w:noProof/>
        </w:rPr>
        <w:t>17.</w:t>
      </w:r>
      <w:r>
        <w:rPr>
          <w:noProof/>
        </w:rPr>
        <w:tab/>
      </w:r>
      <w:r w:rsidRPr="005A3BB2">
        <w:rPr>
          <w:noProof/>
          <w:color w:val="000000"/>
        </w:rPr>
        <w:t>Dans la région de Neteland, dont Olen fait partie, le nombre de postes vacants</w:t>
      </w:r>
      <w:r w:rsidRPr="005A3BB2">
        <w:rPr>
          <w:noProof/>
        </w:rPr>
        <w:t xml:space="preserve"> signalés aux services publics de l’emploi </w:t>
      </w:r>
      <w:r w:rsidRPr="005A3BB2">
        <w:rPr>
          <w:noProof/>
          <w:color w:val="000000"/>
        </w:rPr>
        <w:t xml:space="preserve">a diminué de 11 % entre juin 2024 et mai 2025 par rapport aux 12 mois précédents, et le nombre de demandeurs d’emploi a augmenté de 7 % en août 2025 par rapport à avril 2024. </w:t>
      </w:r>
    </w:p>
    <w:p w:rsidR="00175BF1" w:rsidRPr="005A3BB2" w:rsidRDefault="00175BF1" w:rsidP="008D3624">
      <w:pPr>
        <w:pStyle w:val="ManualNumPar1"/>
        <w:rPr>
          <w:noProof/>
        </w:rPr>
      </w:pPr>
      <w:r>
        <w:rPr>
          <w:noProof/>
        </w:rPr>
        <w:t>18.</w:t>
      </w:r>
      <w:r>
        <w:rPr>
          <w:noProof/>
        </w:rPr>
        <w:tab/>
      </w:r>
      <w:r w:rsidRPr="005A3BB2">
        <w:rPr>
          <w:noProof/>
          <w:color w:val="000000"/>
        </w:rPr>
        <w:t>Les travailleurs qui ont perdu leur emploi sont principalement des vendeurs et des magasiniers. Bien que le nombre d’emplois directs vacants dans le secteur du commerce de détail (y compris le commerce de gros) ait diminué en Flandre ces dernières années</w:t>
      </w:r>
      <w:r w:rsidRPr="005A3BB2">
        <w:rPr>
          <w:rStyle w:val="FootnoteReference"/>
          <w:noProof/>
          <w:color w:val="000000"/>
        </w:rPr>
        <w:footnoteReference w:id="8"/>
      </w:r>
      <w:r w:rsidRPr="005A3BB2">
        <w:rPr>
          <w:noProof/>
          <w:color w:val="000000"/>
        </w:rPr>
        <w:t>, il subsiste une pénurie de main-d’œuvre dans ce secteur</w:t>
      </w:r>
      <w:r w:rsidRPr="005A3BB2">
        <w:rPr>
          <w:rStyle w:val="FootnoteReference"/>
          <w:noProof/>
          <w:color w:val="000000"/>
        </w:rPr>
        <w:footnoteReference w:id="9"/>
      </w:r>
      <w:r w:rsidRPr="005A3BB2">
        <w:rPr>
          <w:noProof/>
          <w:color w:val="000000"/>
        </w:rPr>
        <w:t>. Par conséquent, la plupart des vendeurs ont de bonnes chances de trouver un emploi.</w:t>
      </w:r>
    </w:p>
    <w:p w:rsidR="0092772A" w:rsidRPr="005A3BB2" w:rsidRDefault="0092772A" w:rsidP="008D3624">
      <w:pPr>
        <w:pStyle w:val="ManualNumPar1"/>
        <w:rPr>
          <w:noProof/>
        </w:rPr>
      </w:pPr>
      <w:r>
        <w:rPr>
          <w:noProof/>
        </w:rPr>
        <w:t>19.</w:t>
      </w:r>
      <w:r>
        <w:rPr>
          <w:noProof/>
        </w:rPr>
        <w:tab/>
      </w:r>
      <w:r w:rsidRPr="005A3BB2">
        <w:rPr>
          <w:noProof/>
          <w:color w:val="000000"/>
        </w:rPr>
        <w:t xml:space="preserve">Trouver un nouvel emploi sera plus difficile pour les nombreux magasiniers concernés du centre de distribution. De nombreux demandeurs d’emploi sont à la recherche de ce type de travail. En outre, bien qu’il existe une demande de magasiniers, de nombreux demandeurs d’emploi ne disposent pas des compétences ni des qualifications adéquates (par exemple, pour conduire des chariots élévateurs ou des chariots élévateurs à mât rétractable) et devront se perfectionner, partir travailler dans une autre région ou changer de profession. </w:t>
      </w:r>
    </w:p>
    <w:p w:rsidR="001A62D7" w:rsidRPr="005A3BB2" w:rsidRDefault="001A62D7" w:rsidP="001A62D7">
      <w:pPr>
        <w:pStyle w:val="ManualHeading2"/>
        <w:rPr>
          <w:noProof/>
        </w:rPr>
      </w:pPr>
      <w:r w:rsidRPr="005A3BB2">
        <w:rPr>
          <w:noProof/>
        </w:rPr>
        <w:t xml:space="preserve">Mise en œuvre du cadre de qualité de l’UE pour l’anticipation des changements et des restructurations </w:t>
      </w:r>
    </w:p>
    <w:p w:rsidR="00297D5D" w:rsidRPr="005A3BB2" w:rsidRDefault="00070B81" w:rsidP="009C50F6">
      <w:pPr>
        <w:pStyle w:val="ManualNumPar1"/>
        <w:rPr>
          <w:noProof/>
        </w:rPr>
      </w:pPr>
      <w:r>
        <w:rPr>
          <w:noProof/>
        </w:rPr>
        <w:t>20.</w:t>
      </w:r>
      <w:r>
        <w:rPr>
          <w:noProof/>
        </w:rPr>
        <w:tab/>
      </w:r>
      <w:r w:rsidRPr="005A3BB2">
        <w:rPr>
          <w:noProof/>
        </w:rPr>
        <w:t>La Belgique a décrit la manière dont les recommandations formulées dans le cadre de qualité de l’Union européenne (UE) pour l’anticipation des changements et des restructurations ont été prises en considération. La législation nationale en matière de travail</w:t>
      </w:r>
      <w:r w:rsidRPr="005A3BB2">
        <w:rPr>
          <w:rStyle w:val="FootnoteReference"/>
          <w:noProof/>
        </w:rPr>
        <w:footnoteReference w:id="10"/>
      </w:r>
      <w:r w:rsidRPr="005A3BB2">
        <w:rPr>
          <w:noProof/>
        </w:rPr>
        <w:t xml:space="preserve"> applicable à la gestion active des restructurations impose aux entreprises faisant l’objet d’une restructuration de créer une cellule pour l’emploi chargée de fournir des services de reclassement externe aux travailleurs licenciés dans le contexte de licenciements collectifs.</w:t>
      </w:r>
      <w:r w:rsidRPr="005A3BB2">
        <w:rPr>
          <w:noProof/>
          <w:color w:val="FF0000"/>
        </w:rPr>
        <w:t xml:space="preserve"> </w:t>
      </w:r>
      <w:r w:rsidRPr="005A3BB2">
        <w:rPr>
          <w:noProof/>
        </w:rPr>
        <w:t xml:space="preserve">Toutefois, en cas de faillite, cette obligation </w:t>
      </w:r>
      <w:r w:rsidRPr="005A3BB2">
        <w:rPr>
          <w:noProof/>
        </w:rPr>
        <w:lastRenderedPageBreak/>
        <w:t xml:space="preserve">légale ne s’applique pas. En revanche, </w:t>
      </w:r>
      <w:r w:rsidRPr="005A3BB2">
        <w:rPr>
          <w:noProof/>
          <w:color w:val="000000"/>
        </w:rPr>
        <w:t>il existe en Flandre un filet de sécurité</w:t>
      </w:r>
      <w:r w:rsidRPr="005A3BB2">
        <w:rPr>
          <w:rStyle w:val="FootnoteReference"/>
          <w:noProof/>
          <w:color w:val="000000"/>
        </w:rPr>
        <w:footnoteReference w:id="11"/>
      </w:r>
      <w:r w:rsidRPr="005A3BB2">
        <w:rPr>
          <w:noProof/>
          <w:color w:val="000000"/>
        </w:rPr>
        <w:t>, qui prévoit le financement public du parcours de reclassement externe</w:t>
      </w:r>
      <w:r w:rsidRPr="005A3BB2">
        <w:rPr>
          <w:noProof/>
        </w:rPr>
        <w:t xml:space="preserve"> décrit ci-dessous au paragraphe 26, en remplacement des services de conseil et de reclassement externe dont ne bénéficient pas ces travailleurs licenciés. </w:t>
      </w:r>
    </w:p>
    <w:p w:rsidR="00297D5D" w:rsidRPr="005A3BB2" w:rsidRDefault="00297D5D" w:rsidP="009C50F6">
      <w:pPr>
        <w:pStyle w:val="ManualNumPar1"/>
        <w:rPr>
          <w:noProof/>
        </w:rPr>
      </w:pPr>
      <w:r>
        <w:rPr>
          <w:noProof/>
        </w:rPr>
        <w:t>21.</w:t>
      </w:r>
      <w:r>
        <w:rPr>
          <w:noProof/>
        </w:rPr>
        <w:tab/>
      </w:r>
      <w:r w:rsidRPr="005A3BB2">
        <w:rPr>
          <w:noProof/>
        </w:rPr>
        <w:t xml:space="preserve">En ce qui concerne les activités entreprises pour aider les travailleurs licenciés, la Belgique a indiqué que plusieurs séances d’information avaient été organisées peu après la faillite, entre le 28 mars et le 4 avril 2025. La mise à disposition des services de reclassement externe a commencé début avril et un salon de l’emploi a été organisé le 17 juin 2025 à Westerlo. </w:t>
      </w:r>
    </w:p>
    <w:p w:rsidR="001A62D7" w:rsidRPr="005A3BB2" w:rsidRDefault="001A62D7" w:rsidP="001A62D7">
      <w:pPr>
        <w:pStyle w:val="ManualHeading3"/>
        <w:rPr>
          <w:noProof/>
        </w:rPr>
      </w:pPr>
      <w:r w:rsidRPr="005A3BB2">
        <w:rPr>
          <w:noProof/>
        </w:rPr>
        <w:t>Complémentarité avec les actions financées par des fonds nationaux ou de l’UE</w:t>
      </w:r>
    </w:p>
    <w:p w:rsidR="00070B81" w:rsidRPr="005A3BB2" w:rsidRDefault="00070B81" w:rsidP="009C50F6">
      <w:pPr>
        <w:pStyle w:val="ManualNumPar1"/>
        <w:rPr>
          <w:noProof/>
        </w:rPr>
      </w:pPr>
      <w:r>
        <w:rPr>
          <w:noProof/>
        </w:rPr>
        <w:t>22.</w:t>
      </w:r>
      <w:r>
        <w:rPr>
          <w:noProof/>
        </w:rPr>
        <w:tab/>
      </w:r>
      <w:r w:rsidRPr="005A3BB2">
        <w:rPr>
          <w:noProof/>
        </w:rPr>
        <w:t>La Belgique a confirmé que les mesures décrites ci-dessous bénéficiant d’une contribution financière du FEM ne recevront pas d’aide au titre d’autres instruments financiers de l’UE.</w:t>
      </w:r>
    </w:p>
    <w:p w:rsidR="00070B81" w:rsidRPr="005A3BB2" w:rsidRDefault="00070B81" w:rsidP="009C50F6">
      <w:pPr>
        <w:pStyle w:val="ManualNumPar1"/>
        <w:rPr>
          <w:noProof/>
        </w:rPr>
      </w:pPr>
      <w:r>
        <w:rPr>
          <w:noProof/>
        </w:rPr>
        <w:t>23.</w:t>
      </w:r>
      <w:r>
        <w:rPr>
          <w:noProof/>
        </w:rPr>
        <w:tab/>
      </w:r>
      <w:r w:rsidRPr="005A3BB2">
        <w:rPr>
          <w:noProof/>
        </w:rPr>
        <w:t>L’ensemble coordonné de services personnalisés complète les actions financées par d’autres fonds nationaux ou de l’UE.</w:t>
      </w:r>
    </w:p>
    <w:p w:rsidR="001A62D7" w:rsidRPr="005A3BB2" w:rsidRDefault="001A62D7" w:rsidP="001A62D7">
      <w:pPr>
        <w:pStyle w:val="ManualHeading3"/>
        <w:tabs>
          <w:tab w:val="clear" w:pos="850"/>
          <w:tab w:val="left" w:pos="0"/>
        </w:tabs>
        <w:ind w:left="0" w:firstLine="0"/>
        <w:rPr>
          <w:noProof/>
          <w:u w:val="single"/>
        </w:rPr>
      </w:pPr>
      <w:r w:rsidRPr="005A3BB2">
        <w:rPr>
          <w:noProof/>
        </w:rPr>
        <w:t>Procédures suivies pour la consultation des bénéficiaires visés ou de leurs représentants, des partenaires sociaux et des collectivités locales et régionales</w:t>
      </w:r>
    </w:p>
    <w:p w:rsidR="00070B81" w:rsidRPr="005A3BB2" w:rsidRDefault="00070B81" w:rsidP="009C50F6">
      <w:pPr>
        <w:pStyle w:val="ManualNumPar1"/>
        <w:rPr>
          <w:noProof/>
        </w:rPr>
      </w:pPr>
      <w:r>
        <w:rPr>
          <w:noProof/>
        </w:rPr>
        <w:t>24.</w:t>
      </w:r>
      <w:r>
        <w:rPr>
          <w:noProof/>
        </w:rPr>
        <w:tab/>
      </w:r>
      <w:r w:rsidRPr="005A3BB2">
        <w:rPr>
          <w:noProof/>
        </w:rPr>
        <w:t>La Belgique a indiqué que l’ensemble coordonné de services personnalisés avait été établi en concertation avec des experts et avec les partenaires sociaux, conformément à l’article 7, paragraphe 4, du règlement (UE) 2021/691. Le train de mesures final a été présenté aux syndicats FGTB</w:t>
      </w:r>
      <w:r w:rsidRPr="005A3BB2">
        <w:rPr>
          <w:rStyle w:val="FootnoteReference"/>
          <w:noProof/>
        </w:rPr>
        <w:footnoteReference w:id="12"/>
      </w:r>
      <w:r w:rsidRPr="005A3BB2">
        <w:rPr>
          <w:noProof/>
        </w:rPr>
        <w:t xml:space="preserve"> et CSC</w:t>
      </w:r>
      <w:r w:rsidRPr="005A3BB2">
        <w:rPr>
          <w:rStyle w:val="FootnoteReference"/>
          <w:noProof/>
        </w:rPr>
        <w:footnoteReference w:id="13"/>
      </w:r>
      <w:r w:rsidRPr="005A3BB2">
        <w:rPr>
          <w:noProof/>
        </w:rPr>
        <w:t xml:space="preserve"> le 2 juillet 2025.</w:t>
      </w:r>
    </w:p>
    <w:p w:rsidR="001A62D7" w:rsidRPr="005A3BB2" w:rsidRDefault="001A62D7" w:rsidP="001A62D7">
      <w:pPr>
        <w:pStyle w:val="ManualHeading2"/>
        <w:rPr>
          <w:noProof/>
        </w:rPr>
      </w:pPr>
      <w:r w:rsidRPr="005A3BB2">
        <w:rPr>
          <w:noProof/>
        </w:rPr>
        <w:t>Bénéficiaires visés et mesures proposées</w:t>
      </w:r>
    </w:p>
    <w:p w:rsidR="001A62D7" w:rsidRPr="005A3BB2" w:rsidRDefault="001A62D7" w:rsidP="001A62D7">
      <w:pPr>
        <w:pStyle w:val="ManualHeading3"/>
        <w:rPr>
          <w:noProof/>
        </w:rPr>
      </w:pPr>
      <w:r w:rsidRPr="005A3BB2">
        <w:rPr>
          <w:noProof/>
        </w:rPr>
        <w:t>Bénéficiaires visés</w:t>
      </w:r>
    </w:p>
    <w:p w:rsidR="001A62D7" w:rsidRPr="005A3BB2" w:rsidRDefault="007F5F1C" w:rsidP="009C50F6">
      <w:pPr>
        <w:pStyle w:val="ManualNumPar1"/>
        <w:rPr>
          <w:noProof/>
        </w:rPr>
      </w:pPr>
      <w:r>
        <w:rPr>
          <w:noProof/>
        </w:rPr>
        <w:t>25.</w:t>
      </w:r>
      <w:r>
        <w:rPr>
          <w:noProof/>
        </w:rPr>
        <w:tab/>
      </w:r>
      <w:r w:rsidRPr="005A3BB2">
        <w:rPr>
          <w:noProof/>
        </w:rPr>
        <w:t>Les 416 travailleurs licenciés devraient tous participer aux mesures. Conformément à l’article 8, paragraphe 7, point f), du règlement (UE) 2021/691, la ventilation par genre, groupe d’âge et niveau d’éducation qui a été fournie pour ces travailleurs est la suivante:</w:t>
      </w:r>
    </w:p>
    <w:tbl>
      <w:tblPr>
        <w:tblW w:w="0" w:type="auto"/>
        <w:jc w:val="center"/>
        <w:tblLook w:val="04A0" w:firstRow="1" w:lastRow="0" w:firstColumn="1" w:lastColumn="0" w:noHBand="0" w:noVBand="1"/>
      </w:tblPr>
      <w:tblGrid>
        <w:gridCol w:w="1496"/>
        <w:gridCol w:w="2063"/>
        <w:gridCol w:w="1176"/>
        <w:gridCol w:w="1176"/>
      </w:tblGrid>
      <w:tr w:rsidR="001A62D7" w:rsidRPr="005A3BB2" w:rsidTr="001D5990">
        <w:trPr>
          <w:jc w:val="center"/>
        </w:trPr>
        <w:tc>
          <w:tcPr>
            <w:tcW w:w="3559" w:type="dxa"/>
            <w:gridSpan w:val="2"/>
            <w:tcBorders>
              <w:top w:val="single" w:sz="4" w:space="0" w:color="auto"/>
              <w:left w:val="nil"/>
              <w:bottom w:val="single" w:sz="4" w:space="0" w:color="auto"/>
              <w:right w:val="nil"/>
            </w:tcBorders>
            <w:hideMark/>
          </w:tcPr>
          <w:p w:rsidR="001A62D7" w:rsidRPr="005A3BB2" w:rsidRDefault="001A62D7" w:rsidP="001D5990">
            <w:pPr>
              <w:spacing w:before="60" w:after="60"/>
              <w:jc w:val="center"/>
              <w:rPr>
                <w:noProof/>
              </w:rPr>
            </w:pPr>
            <w:r w:rsidRPr="005A3BB2">
              <w:rPr>
                <w:noProof/>
              </w:rPr>
              <w:t>Catégorie</w:t>
            </w:r>
          </w:p>
        </w:tc>
        <w:tc>
          <w:tcPr>
            <w:tcW w:w="2352" w:type="dxa"/>
            <w:gridSpan w:val="2"/>
            <w:tcBorders>
              <w:top w:val="single" w:sz="4" w:space="0" w:color="auto"/>
              <w:left w:val="nil"/>
              <w:bottom w:val="single" w:sz="4" w:space="0" w:color="auto"/>
              <w:right w:val="nil"/>
            </w:tcBorders>
            <w:hideMark/>
          </w:tcPr>
          <w:p w:rsidR="001A62D7" w:rsidRPr="005A3BB2" w:rsidRDefault="001A62D7" w:rsidP="001D5990">
            <w:pPr>
              <w:spacing w:before="60" w:after="60"/>
              <w:jc w:val="center"/>
              <w:rPr>
                <w:noProof/>
              </w:rPr>
            </w:pPr>
            <w:r w:rsidRPr="005A3BB2">
              <w:rPr>
                <w:noProof/>
              </w:rPr>
              <w:t xml:space="preserve">Nombre de </w:t>
            </w:r>
            <w:r w:rsidRPr="005A3BB2">
              <w:rPr>
                <w:noProof/>
              </w:rPr>
              <w:br/>
              <w:t>bénéficiaires escomptés</w:t>
            </w:r>
          </w:p>
        </w:tc>
      </w:tr>
      <w:tr w:rsidR="001A62D7" w:rsidRPr="005A3BB2" w:rsidTr="001D5990">
        <w:trPr>
          <w:jc w:val="center"/>
        </w:trPr>
        <w:tc>
          <w:tcPr>
            <w:tcW w:w="1496" w:type="dxa"/>
            <w:tcBorders>
              <w:top w:val="single" w:sz="4" w:space="0" w:color="auto"/>
              <w:left w:val="nil"/>
              <w:right w:val="nil"/>
            </w:tcBorders>
            <w:hideMark/>
          </w:tcPr>
          <w:p w:rsidR="001A62D7" w:rsidRPr="005A3BB2" w:rsidRDefault="001A62D7" w:rsidP="001D5990">
            <w:pPr>
              <w:spacing w:before="60" w:after="60"/>
              <w:rPr>
                <w:noProof/>
              </w:rPr>
            </w:pPr>
            <w:r w:rsidRPr="005A3BB2">
              <w:rPr>
                <w:noProof/>
              </w:rPr>
              <w:t>Sexe:</w:t>
            </w:r>
          </w:p>
        </w:tc>
        <w:tc>
          <w:tcPr>
            <w:tcW w:w="2063" w:type="dxa"/>
            <w:tcBorders>
              <w:top w:val="single" w:sz="4" w:space="0" w:color="auto"/>
              <w:left w:val="nil"/>
              <w:right w:val="nil"/>
            </w:tcBorders>
            <w:hideMark/>
          </w:tcPr>
          <w:p w:rsidR="001A62D7" w:rsidRPr="005A3BB2" w:rsidRDefault="001A62D7" w:rsidP="001D5990">
            <w:pPr>
              <w:spacing w:before="60" w:after="60"/>
              <w:rPr>
                <w:noProof/>
              </w:rPr>
            </w:pPr>
            <w:r w:rsidRPr="005A3BB2">
              <w:rPr>
                <w:noProof/>
              </w:rPr>
              <w:t>Hommes:</w:t>
            </w:r>
          </w:p>
        </w:tc>
        <w:tc>
          <w:tcPr>
            <w:tcW w:w="1176" w:type="dxa"/>
            <w:tcBorders>
              <w:top w:val="single" w:sz="4" w:space="0" w:color="auto"/>
              <w:left w:val="nil"/>
              <w:right w:val="nil"/>
            </w:tcBorders>
            <w:hideMark/>
          </w:tcPr>
          <w:p w:rsidR="001A62D7" w:rsidRPr="005A3BB2" w:rsidRDefault="007452BA" w:rsidP="001D5990">
            <w:pPr>
              <w:spacing w:before="60" w:after="60"/>
              <w:jc w:val="right"/>
              <w:rPr>
                <w:noProof/>
              </w:rPr>
            </w:pPr>
            <w:r w:rsidRPr="005A3BB2">
              <w:rPr>
                <w:noProof/>
              </w:rPr>
              <w:t>135</w:t>
            </w:r>
          </w:p>
        </w:tc>
        <w:tc>
          <w:tcPr>
            <w:tcW w:w="1176" w:type="dxa"/>
            <w:tcBorders>
              <w:top w:val="single" w:sz="4" w:space="0" w:color="auto"/>
              <w:left w:val="nil"/>
              <w:right w:val="nil"/>
            </w:tcBorders>
            <w:hideMark/>
          </w:tcPr>
          <w:p w:rsidR="001A62D7" w:rsidRPr="005A3BB2" w:rsidRDefault="001A62D7" w:rsidP="001D5990">
            <w:pPr>
              <w:spacing w:before="60" w:after="60"/>
              <w:jc w:val="right"/>
              <w:rPr>
                <w:noProof/>
              </w:rPr>
            </w:pPr>
            <w:r w:rsidRPr="005A3BB2">
              <w:rPr>
                <w:noProof/>
              </w:rPr>
              <w:t>(32,5 %)</w:t>
            </w:r>
          </w:p>
        </w:tc>
      </w:tr>
      <w:tr w:rsidR="001A62D7" w:rsidRPr="005A3BB2" w:rsidTr="001D5990">
        <w:trPr>
          <w:jc w:val="center"/>
        </w:trPr>
        <w:tc>
          <w:tcPr>
            <w:tcW w:w="1496" w:type="dxa"/>
            <w:tcBorders>
              <w:top w:val="nil"/>
              <w:left w:val="nil"/>
              <w:right w:val="nil"/>
            </w:tcBorders>
          </w:tcPr>
          <w:p w:rsidR="001A62D7" w:rsidRPr="005A3BB2" w:rsidRDefault="001A62D7" w:rsidP="001D5990">
            <w:pPr>
              <w:spacing w:before="60" w:after="60"/>
              <w:rPr>
                <w:noProof/>
              </w:rPr>
            </w:pPr>
          </w:p>
        </w:tc>
        <w:tc>
          <w:tcPr>
            <w:tcW w:w="2063" w:type="dxa"/>
            <w:tcBorders>
              <w:top w:val="nil"/>
              <w:left w:val="nil"/>
              <w:right w:val="nil"/>
            </w:tcBorders>
          </w:tcPr>
          <w:p w:rsidR="001A62D7" w:rsidRPr="005A3BB2" w:rsidRDefault="001A62D7" w:rsidP="001D5990">
            <w:pPr>
              <w:spacing w:before="60" w:after="60"/>
              <w:rPr>
                <w:rFonts w:eastAsia="Calibri"/>
                <w:noProof/>
              </w:rPr>
            </w:pPr>
            <w:r w:rsidRPr="005A3BB2">
              <w:rPr>
                <w:noProof/>
              </w:rPr>
              <w:t>Femmes:</w:t>
            </w:r>
          </w:p>
        </w:tc>
        <w:tc>
          <w:tcPr>
            <w:tcW w:w="1176" w:type="dxa"/>
          </w:tcPr>
          <w:p w:rsidR="001A62D7" w:rsidRPr="005A3BB2" w:rsidRDefault="007452BA" w:rsidP="001D5990">
            <w:pPr>
              <w:spacing w:before="60" w:after="60"/>
              <w:jc w:val="right"/>
              <w:rPr>
                <w:noProof/>
              </w:rPr>
            </w:pPr>
            <w:r w:rsidRPr="005A3BB2">
              <w:rPr>
                <w:noProof/>
              </w:rPr>
              <w:t>281</w:t>
            </w:r>
          </w:p>
        </w:tc>
        <w:tc>
          <w:tcPr>
            <w:tcW w:w="1176" w:type="dxa"/>
          </w:tcPr>
          <w:p w:rsidR="001A62D7" w:rsidRPr="005A3BB2" w:rsidRDefault="001A62D7" w:rsidP="001D5990">
            <w:pPr>
              <w:spacing w:before="60" w:after="60"/>
              <w:jc w:val="right"/>
              <w:rPr>
                <w:rFonts w:eastAsia="Calibri"/>
                <w:noProof/>
              </w:rPr>
            </w:pPr>
            <w:r w:rsidRPr="005A3BB2">
              <w:rPr>
                <w:noProof/>
              </w:rPr>
              <w:t>(67,5 %)</w:t>
            </w:r>
          </w:p>
        </w:tc>
      </w:tr>
      <w:tr w:rsidR="001A62D7" w:rsidRPr="005A3BB2" w:rsidTr="001D5990">
        <w:trPr>
          <w:jc w:val="center"/>
        </w:trPr>
        <w:tc>
          <w:tcPr>
            <w:tcW w:w="1496" w:type="dxa"/>
            <w:tcBorders>
              <w:left w:val="nil"/>
              <w:bottom w:val="single" w:sz="4" w:space="0" w:color="auto"/>
              <w:right w:val="nil"/>
            </w:tcBorders>
          </w:tcPr>
          <w:p w:rsidR="001A62D7" w:rsidRPr="005A3BB2" w:rsidRDefault="001A62D7" w:rsidP="001D5990">
            <w:pPr>
              <w:spacing w:before="60" w:after="60"/>
              <w:rPr>
                <w:noProof/>
              </w:rPr>
            </w:pPr>
          </w:p>
        </w:tc>
        <w:tc>
          <w:tcPr>
            <w:tcW w:w="2063" w:type="dxa"/>
            <w:tcBorders>
              <w:left w:val="nil"/>
              <w:bottom w:val="single" w:sz="4" w:space="0" w:color="auto"/>
              <w:right w:val="nil"/>
            </w:tcBorders>
          </w:tcPr>
          <w:p w:rsidR="001A62D7" w:rsidRPr="005A3BB2" w:rsidRDefault="001A62D7" w:rsidP="001D5990">
            <w:pPr>
              <w:spacing w:before="60" w:after="60"/>
              <w:rPr>
                <w:noProof/>
              </w:rPr>
            </w:pPr>
            <w:r w:rsidRPr="005A3BB2">
              <w:rPr>
                <w:noProof/>
              </w:rPr>
              <w:t>Non binaire</w:t>
            </w:r>
          </w:p>
        </w:tc>
        <w:tc>
          <w:tcPr>
            <w:tcW w:w="1176" w:type="dxa"/>
            <w:tcBorders>
              <w:bottom w:val="single" w:sz="4" w:space="0" w:color="auto"/>
            </w:tcBorders>
            <w:hideMark/>
          </w:tcPr>
          <w:p w:rsidR="001A62D7" w:rsidRPr="005A3BB2" w:rsidRDefault="007452BA" w:rsidP="001D5990">
            <w:pPr>
              <w:spacing w:before="60" w:after="60"/>
              <w:jc w:val="right"/>
              <w:rPr>
                <w:noProof/>
              </w:rPr>
            </w:pPr>
            <w:r w:rsidRPr="005A3BB2">
              <w:rPr>
                <w:noProof/>
              </w:rPr>
              <w:t>0</w:t>
            </w:r>
          </w:p>
        </w:tc>
        <w:tc>
          <w:tcPr>
            <w:tcW w:w="1176" w:type="dxa"/>
            <w:tcBorders>
              <w:bottom w:val="single" w:sz="4" w:space="0" w:color="auto"/>
            </w:tcBorders>
            <w:hideMark/>
          </w:tcPr>
          <w:p w:rsidR="001A62D7" w:rsidRPr="005A3BB2" w:rsidRDefault="001A62D7" w:rsidP="001D5990">
            <w:pPr>
              <w:spacing w:before="60" w:after="60"/>
              <w:jc w:val="right"/>
              <w:rPr>
                <w:noProof/>
              </w:rPr>
            </w:pPr>
            <w:r w:rsidRPr="005A3BB2">
              <w:rPr>
                <w:noProof/>
              </w:rPr>
              <w:t>(0,0 %)</w:t>
            </w:r>
          </w:p>
        </w:tc>
      </w:tr>
      <w:tr w:rsidR="001A62D7" w:rsidRPr="005A3BB2" w:rsidTr="001D5990">
        <w:trPr>
          <w:jc w:val="center"/>
        </w:trPr>
        <w:tc>
          <w:tcPr>
            <w:tcW w:w="1496" w:type="dxa"/>
            <w:tcBorders>
              <w:top w:val="single" w:sz="4" w:space="0" w:color="auto"/>
              <w:left w:val="nil"/>
              <w:bottom w:val="nil"/>
              <w:right w:val="nil"/>
            </w:tcBorders>
            <w:hideMark/>
          </w:tcPr>
          <w:p w:rsidR="001A62D7" w:rsidRPr="005A3BB2" w:rsidRDefault="001A62D7" w:rsidP="001D5990">
            <w:pPr>
              <w:spacing w:before="60" w:after="60"/>
              <w:rPr>
                <w:noProof/>
              </w:rPr>
            </w:pPr>
            <w:r w:rsidRPr="005A3BB2">
              <w:rPr>
                <w:noProof/>
              </w:rPr>
              <w:t>Groupe d’âge:</w:t>
            </w:r>
          </w:p>
        </w:tc>
        <w:tc>
          <w:tcPr>
            <w:tcW w:w="2063" w:type="dxa"/>
            <w:tcBorders>
              <w:top w:val="single" w:sz="4" w:space="0" w:color="auto"/>
              <w:left w:val="nil"/>
              <w:bottom w:val="nil"/>
              <w:right w:val="nil"/>
            </w:tcBorders>
            <w:hideMark/>
          </w:tcPr>
          <w:p w:rsidR="001A62D7" w:rsidRPr="005A3BB2" w:rsidRDefault="001A62D7" w:rsidP="001D5990">
            <w:pPr>
              <w:spacing w:before="60" w:after="60"/>
              <w:rPr>
                <w:noProof/>
              </w:rPr>
            </w:pPr>
            <w:r w:rsidRPr="005A3BB2">
              <w:rPr>
                <w:noProof/>
              </w:rPr>
              <w:t>Moins de 30 ans:</w:t>
            </w:r>
          </w:p>
        </w:tc>
        <w:tc>
          <w:tcPr>
            <w:tcW w:w="1176" w:type="dxa"/>
            <w:tcBorders>
              <w:top w:val="single" w:sz="4" w:space="0" w:color="auto"/>
            </w:tcBorders>
            <w:hideMark/>
          </w:tcPr>
          <w:p w:rsidR="001A62D7" w:rsidRPr="005A3BB2" w:rsidRDefault="007452BA" w:rsidP="001D5990">
            <w:pPr>
              <w:spacing w:before="60" w:after="60"/>
              <w:jc w:val="right"/>
              <w:rPr>
                <w:noProof/>
              </w:rPr>
            </w:pPr>
            <w:r w:rsidRPr="005A3BB2">
              <w:rPr>
                <w:noProof/>
              </w:rPr>
              <w:t>61</w:t>
            </w:r>
          </w:p>
        </w:tc>
        <w:tc>
          <w:tcPr>
            <w:tcW w:w="1176" w:type="dxa"/>
            <w:tcBorders>
              <w:top w:val="single" w:sz="4" w:space="0" w:color="auto"/>
            </w:tcBorders>
            <w:hideMark/>
          </w:tcPr>
          <w:p w:rsidR="001A62D7" w:rsidRPr="005A3BB2" w:rsidRDefault="001A62D7" w:rsidP="001D5990">
            <w:pPr>
              <w:spacing w:before="60" w:after="60"/>
              <w:jc w:val="right"/>
              <w:rPr>
                <w:noProof/>
              </w:rPr>
            </w:pPr>
            <w:r w:rsidRPr="005A3BB2">
              <w:rPr>
                <w:noProof/>
              </w:rPr>
              <w:t>(14,7 %)</w:t>
            </w:r>
          </w:p>
        </w:tc>
      </w:tr>
      <w:tr w:rsidR="001A62D7" w:rsidRPr="005A3BB2" w:rsidTr="001D5990">
        <w:trPr>
          <w:jc w:val="center"/>
        </w:trPr>
        <w:tc>
          <w:tcPr>
            <w:tcW w:w="1496" w:type="dxa"/>
          </w:tcPr>
          <w:p w:rsidR="001A62D7" w:rsidRPr="005A3BB2" w:rsidRDefault="001A62D7" w:rsidP="001D5990">
            <w:pPr>
              <w:spacing w:before="60" w:after="60"/>
              <w:rPr>
                <w:noProof/>
              </w:rPr>
            </w:pPr>
          </w:p>
        </w:tc>
        <w:tc>
          <w:tcPr>
            <w:tcW w:w="2063" w:type="dxa"/>
            <w:hideMark/>
          </w:tcPr>
          <w:p w:rsidR="001A62D7" w:rsidRPr="005A3BB2" w:rsidRDefault="001A62D7" w:rsidP="001D5990">
            <w:pPr>
              <w:spacing w:before="60" w:after="60"/>
              <w:rPr>
                <w:noProof/>
              </w:rPr>
            </w:pPr>
            <w:r w:rsidRPr="005A3BB2">
              <w:rPr>
                <w:noProof/>
              </w:rPr>
              <w:t>30-54 ans:</w:t>
            </w:r>
          </w:p>
        </w:tc>
        <w:tc>
          <w:tcPr>
            <w:tcW w:w="1176" w:type="dxa"/>
            <w:hideMark/>
          </w:tcPr>
          <w:p w:rsidR="001A62D7" w:rsidRPr="005A3BB2" w:rsidRDefault="007452BA" w:rsidP="001D5990">
            <w:pPr>
              <w:spacing w:before="60" w:after="60"/>
              <w:jc w:val="right"/>
              <w:rPr>
                <w:noProof/>
              </w:rPr>
            </w:pPr>
            <w:r w:rsidRPr="005A3BB2">
              <w:rPr>
                <w:noProof/>
              </w:rPr>
              <w:t>234</w:t>
            </w:r>
          </w:p>
        </w:tc>
        <w:tc>
          <w:tcPr>
            <w:tcW w:w="1176" w:type="dxa"/>
            <w:hideMark/>
          </w:tcPr>
          <w:p w:rsidR="001A62D7" w:rsidRPr="005A3BB2" w:rsidRDefault="001A62D7" w:rsidP="001D5990">
            <w:pPr>
              <w:spacing w:before="60" w:after="60"/>
              <w:jc w:val="right"/>
              <w:rPr>
                <w:noProof/>
              </w:rPr>
            </w:pPr>
            <w:r w:rsidRPr="005A3BB2">
              <w:rPr>
                <w:noProof/>
              </w:rPr>
              <w:t>(56,3 %)</w:t>
            </w:r>
          </w:p>
        </w:tc>
      </w:tr>
      <w:tr w:rsidR="001A62D7" w:rsidRPr="005A3BB2" w:rsidTr="001D5990">
        <w:trPr>
          <w:jc w:val="center"/>
        </w:trPr>
        <w:tc>
          <w:tcPr>
            <w:tcW w:w="1496" w:type="dxa"/>
          </w:tcPr>
          <w:p w:rsidR="001A62D7" w:rsidRPr="005A3BB2" w:rsidRDefault="001A62D7" w:rsidP="001D5990">
            <w:pPr>
              <w:spacing w:before="60" w:after="60"/>
              <w:rPr>
                <w:noProof/>
              </w:rPr>
            </w:pPr>
          </w:p>
        </w:tc>
        <w:tc>
          <w:tcPr>
            <w:tcW w:w="2063" w:type="dxa"/>
            <w:hideMark/>
          </w:tcPr>
          <w:p w:rsidR="001A62D7" w:rsidRPr="005A3BB2" w:rsidRDefault="001A62D7" w:rsidP="001D5990">
            <w:pPr>
              <w:spacing w:before="60" w:after="60"/>
              <w:jc w:val="left"/>
              <w:rPr>
                <w:noProof/>
              </w:rPr>
            </w:pPr>
            <w:r w:rsidRPr="005A3BB2">
              <w:rPr>
                <w:noProof/>
              </w:rPr>
              <w:t>Plus de 54 ans:</w:t>
            </w:r>
          </w:p>
        </w:tc>
        <w:tc>
          <w:tcPr>
            <w:tcW w:w="1176" w:type="dxa"/>
            <w:hideMark/>
          </w:tcPr>
          <w:p w:rsidR="001A62D7" w:rsidRPr="005A3BB2" w:rsidRDefault="007452BA" w:rsidP="001D5990">
            <w:pPr>
              <w:spacing w:before="60" w:after="60"/>
              <w:jc w:val="right"/>
              <w:rPr>
                <w:noProof/>
              </w:rPr>
            </w:pPr>
            <w:r w:rsidRPr="005A3BB2">
              <w:rPr>
                <w:noProof/>
              </w:rPr>
              <w:t>121</w:t>
            </w:r>
          </w:p>
        </w:tc>
        <w:tc>
          <w:tcPr>
            <w:tcW w:w="1176" w:type="dxa"/>
            <w:hideMark/>
          </w:tcPr>
          <w:p w:rsidR="001A62D7" w:rsidRPr="005A3BB2" w:rsidRDefault="001A62D7" w:rsidP="001D5990">
            <w:pPr>
              <w:spacing w:before="60" w:after="60"/>
              <w:jc w:val="right"/>
              <w:rPr>
                <w:noProof/>
              </w:rPr>
            </w:pPr>
            <w:r w:rsidRPr="005A3BB2">
              <w:rPr>
                <w:noProof/>
              </w:rPr>
              <w:t>(29,1 %)</w:t>
            </w:r>
          </w:p>
        </w:tc>
      </w:tr>
      <w:tr w:rsidR="001A62D7" w:rsidRPr="005A3BB2" w:rsidTr="001D5990">
        <w:trPr>
          <w:jc w:val="center"/>
        </w:trPr>
        <w:tc>
          <w:tcPr>
            <w:tcW w:w="1496" w:type="dxa"/>
            <w:tcBorders>
              <w:top w:val="single" w:sz="4" w:space="0" w:color="auto"/>
              <w:left w:val="nil"/>
              <w:bottom w:val="nil"/>
              <w:right w:val="nil"/>
            </w:tcBorders>
          </w:tcPr>
          <w:p w:rsidR="001A62D7" w:rsidRPr="005A3BB2" w:rsidRDefault="001A62D7" w:rsidP="001D5990">
            <w:pPr>
              <w:spacing w:before="60" w:after="60"/>
              <w:rPr>
                <w:noProof/>
              </w:rPr>
            </w:pPr>
            <w:r w:rsidRPr="005A3BB2">
              <w:rPr>
                <w:noProof/>
              </w:rPr>
              <w:lastRenderedPageBreak/>
              <w:t>Niveau d’éducation</w:t>
            </w:r>
          </w:p>
        </w:tc>
        <w:tc>
          <w:tcPr>
            <w:tcW w:w="2063" w:type="dxa"/>
            <w:tcBorders>
              <w:top w:val="single" w:sz="4" w:space="0" w:color="auto"/>
              <w:left w:val="nil"/>
              <w:bottom w:val="nil"/>
              <w:right w:val="nil"/>
            </w:tcBorders>
          </w:tcPr>
          <w:p w:rsidR="001A62D7" w:rsidRPr="005A3BB2" w:rsidRDefault="001A62D7" w:rsidP="001D5990">
            <w:pPr>
              <w:spacing w:before="60" w:after="60"/>
              <w:rPr>
                <w:noProof/>
              </w:rPr>
            </w:pPr>
            <w:r w:rsidRPr="005A3BB2">
              <w:rPr>
                <w:noProof/>
              </w:rPr>
              <w:t>Premier cycle du secondaire ou inférieur</w:t>
            </w:r>
            <w:r w:rsidRPr="005A3BB2">
              <w:rPr>
                <w:rStyle w:val="FootnoteReference"/>
                <w:noProof/>
              </w:rPr>
              <w:footnoteReference w:id="14"/>
            </w:r>
            <w:r w:rsidRPr="005A3BB2">
              <w:rPr>
                <w:noProof/>
              </w:rPr>
              <w:t xml:space="preserve"> </w:t>
            </w:r>
          </w:p>
        </w:tc>
        <w:tc>
          <w:tcPr>
            <w:tcW w:w="1176" w:type="dxa"/>
            <w:tcBorders>
              <w:top w:val="single" w:sz="4" w:space="0" w:color="auto"/>
              <w:left w:val="nil"/>
              <w:bottom w:val="nil"/>
              <w:right w:val="nil"/>
            </w:tcBorders>
          </w:tcPr>
          <w:p w:rsidR="001A62D7" w:rsidRPr="005A3BB2" w:rsidRDefault="007452BA" w:rsidP="001D5990">
            <w:pPr>
              <w:spacing w:before="60" w:after="60"/>
              <w:jc w:val="right"/>
              <w:rPr>
                <w:noProof/>
              </w:rPr>
            </w:pPr>
            <w:r w:rsidRPr="005A3BB2">
              <w:rPr>
                <w:noProof/>
              </w:rPr>
              <w:t>95</w:t>
            </w:r>
          </w:p>
        </w:tc>
        <w:tc>
          <w:tcPr>
            <w:tcW w:w="1176" w:type="dxa"/>
            <w:tcBorders>
              <w:top w:val="single" w:sz="4" w:space="0" w:color="auto"/>
              <w:left w:val="nil"/>
              <w:bottom w:val="nil"/>
              <w:right w:val="nil"/>
            </w:tcBorders>
          </w:tcPr>
          <w:p w:rsidR="001A62D7" w:rsidRPr="005A3BB2" w:rsidRDefault="001A62D7" w:rsidP="001D5990">
            <w:pPr>
              <w:spacing w:before="60" w:after="60"/>
              <w:jc w:val="right"/>
              <w:rPr>
                <w:rFonts w:eastAsia="Calibri"/>
                <w:noProof/>
              </w:rPr>
            </w:pPr>
            <w:r w:rsidRPr="005A3BB2">
              <w:rPr>
                <w:noProof/>
              </w:rPr>
              <w:t>(22,8 %)</w:t>
            </w:r>
          </w:p>
        </w:tc>
      </w:tr>
      <w:tr w:rsidR="001A62D7" w:rsidRPr="005A3BB2" w:rsidTr="001D5990">
        <w:trPr>
          <w:jc w:val="center"/>
        </w:trPr>
        <w:tc>
          <w:tcPr>
            <w:tcW w:w="1496" w:type="dxa"/>
            <w:tcBorders>
              <w:top w:val="nil"/>
              <w:left w:val="nil"/>
              <w:right w:val="nil"/>
            </w:tcBorders>
          </w:tcPr>
          <w:p w:rsidR="001A62D7" w:rsidRPr="005A3BB2" w:rsidRDefault="001A62D7" w:rsidP="001D5990">
            <w:pPr>
              <w:spacing w:before="60" w:after="60"/>
              <w:rPr>
                <w:noProof/>
              </w:rPr>
            </w:pPr>
          </w:p>
        </w:tc>
        <w:tc>
          <w:tcPr>
            <w:tcW w:w="2063" w:type="dxa"/>
            <w:tcBorders>
              <w:top w:val="nil"/>
              <w:left w:val="nil"/>
              <w:right w:val="nil"/>
            </w:tcBorders>
          </w:tcPr>
          <w:p w:rsidR="001A62D7" w:rsidRPr="005A3BB2" w:rsidRDefault="001A62D7" w:rsidP="001D5990">
            <w:pPr>
              <w:spacing w:before="60" w:after="60"/>
              <w:rPr>
                <w:noProof/>
              </w:rPr>
            </w:pPr>
            <w:r w:rsidRPr="005A3BB2">
              <w:rPr>
                <w:noProof/>
              </w:rPr>
              <w:t>Deuxième cycle du secondaire</w:t>
            </w:r>
            <w:r w:rsidRPr="005A3BB2">
              <w:rPr>
                <w:rStyle w:val="FootnoteReference"/>
                <w:noProof/>
              </w:rPr>
              <w:footnoteReference w:id="15"/>
            </w:r>
            <w:r w:rsidRPr="005A3BB2">
              <w:rPr>
                <w:noProof/>
              </w:rPr>
              <w:t xml:space="preserve"> ou post-secondaire non supérieur</w:t>
            </w:r>
            <w:r w:rsidRPr="005A3BB2">
              <w:rPr>
                <w:rStyle w:val="FootnoteReference"/>
                <w:noProof/>
              </w:rPr>
              <w:footnoteReference w:id="16"/>
            </w:r>
          </w:p>
        </w:tc>
        <w:tc>
          <w:tcPr>
            <w:tcW w:w="1176" w:type="dxa"/>
            <w:tcBorders>
              <w:top w:val="nil"/>
              <w:left w:val="nil"/>
              <w:right w:val="nil"/>
            </w:tcBorders>
          </w:tcPr>
          <w:p w:rsidR="001A62D7" w:rsidRPr="005A3BB2" w:rsidRDefault="007452BA" w:rsidP="001D5990">
            <w:pPr>
              <w:spacing w:before="60" w:after="60"/>
              <w:jc w:val="right"/>
              <w:rPr>
                <w:noProof/>
              </w:rPr>
            </w:pPr>
            <w:r w:rsidRPr="005A3BB2">
              <w:rPr>
                <w:noProof/>
              </w:rPr>
              <w:t>245</w:t>
            </w:r>
          </w:p>
        </w:tc>
        <w:tc>
          <w:tcPr>
            <w:tcW w:w="1176" w:type="dxa"/>
            <w:tcBorders>
              <w:top w:val="nil"/>
              <w:left w:val="nil"/>
              <w:right w:val="nil"/>
            </w:tcBorders>
          </w:tcPr>
          <w:p w:rsidR="001A62D7" w:rsidRPr="005A3BB2" w:rsidRDefault="001A62D7" w:rsidP="001D5990">
            <w:pPr>
              <w:spacing w:before="60" w:after="60"/>
              <w:jc w:val="right"/>
              <w:rPr>
                <w:rFonts w:eastAsia="Calibri"/>
                <w:noProof/>
              </w:rPr>
            </w:pPr>
            <w:r w:rsidRPr="005A3BB2">
              <w:rPr>
                <w:noProof/>
              </w:rPr>
              <w:t>(58,9 %)</w:t>
            </w:r>
          </w:p>
        </w:tc>
      </w:tr>
      <w:tr w:rsidR="001A62D7" w:rsidRPr="005A3BB2" w:rsidTr="001D5990">
        <w:trPr>
          <w:jc w:val="center"/>
        </w:trPr>
        <w:tc>
          <w:tcPr>
            <w:tcW w:w="1496" w:type="dxa"/>
            <w:tcBorders>
              <w:top w:val="nil"/>
              <w:left w:val="nil"/>
              <w:bottom w:val="single" w:sz="4" w:space="0" w:color="auto"/>
              <w:right w:val="nil"/>
            </w:tcBorders>
          </w:tcPr>
          <w:p w:rsidR="001A62D7" w:rsidRPr="005A3BB2" w:rsidRDefault="001A62D7" w:rsidP="001D5990">
            <w:pPr>
              <w:spacing w:before="60" w:after="60"/>
              <w:rPr>
                <w:noProof/>
              </w:rPr>
            </w:pPr>
          </w:p>
        </w:tc>
        <w:tc>
          <w:tcPr>
            <w:tcW w:w="2063" w:type="dxa"/>
            <w:tcBorders>
              <w:top w:val="nil"/>
              <w:left w:val="nil"/>
              <w:bottom w:val="single" w:sz="4" w:space="0" w:color="auto"/>
              <w:right w:val="nil"/>
            </w:tcBorders>
          </w:tcPr>
          <w:p w:rsidR="001A62D7" w:rsidRPr="005A3BB2" w:rsidRDefault="001A62D7" w:rsidP="001D5990">
            <w:pPr>
              <w:spacing w:before="60" w:after="60"/>
              <w:rPr>
                <w:noProof/>
              </w:rPr>
            </w:pPr>
            <w:r w:rsidRPr="005A3BB2">
              <w:rPr>
                <w:noProof/>
              </w:rPr>
              <w:t>Enseignement supérieur</w:t>
            </w:r>
            <w:r w:rsidRPr="005A3BB2">
              <w:rPr>
                <w:rStyle w:val="FootnoteReference"/>
                <w:noProof/>
              </w:rPr>
              <w:footnoteReference w:id="17"/>
            </w:r>
          </w:p>
        </w:tc>
        <w:tc>
          <w:tcPr>
            <w:tcW w:w="1176" w:type="dxa"/>
            <w:tcBorders>
              <w:top w:val="nil"/>
              <w:left w:val="nil"/>
              <w:bottom w:val="single" w:sz="4" w:space="0" w:color="auto"/>
              <w:right w:val="nil"/>
            </w:tcBorders>
          </w:tcPr>
          <w:p w:rsidR="001A62D7" w:rsidRPr="005A3BB2" w:rsidRDefault="007452BA" w:rsidP="001D5990">
            <w:pPr>
              <w:spacing w:before="60" w:after="60"/>
              <w:jc w:val="right"/>
              <w:rPr>
                <w:noProof/>
              </w:rPr>
            </w:pPr>
            <w:r w:rsidRPr="005A3BB2">
              <w:rPr>
                <w:noProof/>
              </w:rPr>
              <w:t>76</w:t>
            </w:r>
          </w:p>
        </w:tc>
        <w:tc>
          <w:tcPr>
            <w:tcW w:w="1176" w:type="dxa"/>
            <w:tcBorders>
              <w:top w:val="nil"/>
              <w:left w:val="nil"/>
              <w:bottom w:val="single" w:sz="4" w:space="0" w:color="auto"/>
              <w:right w:val="nil"/>
            </w:tcBorders>
          </w:tcPr>
          <w:p w:rsidR="001A62D7" w:rsidRPr="005A3BB2" w:rsidRDefault="001A62D7" w:rsidP="001D5990">
            <w:pPr>
              <w:spacing w:before="60" w:after="60"/>
              <w:jc w:val="right"/>
              <w:rPr>
                <w:rFonts w:eastAsia="Calibri"/>
                <w:noProof/>
              </w:rPr>
            </w:pPr>
            <w:r w:rsidRPr="005A3BB2">
              <w:rPr>
                <w:noProof/>
              </w:rPr>
              <w:t>(18,3 %)</w:t>
            </w:r>
          </w:p>
        </w:tc>
      </w:tr>
    </w:tbl>
    <w:p w:rsidR="001A62D7" w:rsidRPr="005A3BB2" w:rsidRDefault="001A62D7" w:rsidP="001A62D7">
      <w:pPr>
        <w:pStyle w:val="ManualHeading3"/>
        <w:rPr>
          <w:noProof/>
          <w:u w:val="single"/>
        </w:rPr>
      </w:pPr>
      <w:r w:rsidRPr="005A3BB2">
        <w:rPr>
          <w:noProof/>
        </w:rPr>
        <w:t>Mesures proposées</w:t>
      </w:r>
    </w:p>
    <w:p w:rsidR="001A62D7" w:rsidRPr="005A3BB2" w:rsidRDefault="001A62D7" w:rsidP="009C50F6">
      <w:pPr>
        <w:pStyle w:val="ManualNumPar1"/>
        <w:rPr>
          <w:noProof/>
        </w:rPr>
      </w:pPr>
      <w:r>
        <w:rPr>
          <w:noProof/>
        </w:rPr>
        <w:t>26.</w:t>
      </w:r>
      <w:r>
        <w:rPr>
          <w:noProof/>
        </w:rPr>
        <w:tab/>
      </w:r>
      <w:bookmarkStart w:id="6" w:name="_Ref372214239"/>
      <w:r w:rsidRPr="005A3BB2">
        <w:rPr>
          <w:noProof/>
        </w:rPr>
        <w:t>Conformément à l’article 8, paragraphe 7, point h), du règlement (UE) 2021/691, l’ensemble coordonné personnalisé à fournir aux travailleurs licenciés comprend les mesures suivantes:</w:t>
      </w:r>
      <w:bookmarkEnd w:id="6"/>
      <w:r w:rsidRPr="005A3BB2">
        <w:rPr>
          <w:noProof/>
        </w:rPr>
        <w:t xml:space="preserve"> </w:t>
      </w:r>
    </w:p>
    <w:p w:rsidR="001A62D7" w:rsidRPr="005A3BB2" w:rsidRDefault="00F03387" w:rsidP="00E83703">
      <w:pPr>
        <w:pStyle w:val="Tiret1"/>
        <w:rPr>
          <w:noProof/>
        </w:rPr>
      </w:pPr>
      <w:r w:rsidRPr="005A3BB2">
        <w:rPr>
          <w:noProof/>
          <w:u w:val="single"/>
        </w:rPr>
        <w:t>groupe de travail</w:t>
      </w:r>
      <w:r w:rsidRPr="005A3BB2">
        <w:rPr>
          <w:noProof/>
        </w:rPr>
        <w:t xml:space="preserve">: un groupe de travail composé d’experts ayant une expérience dans la fourniture d’orientations sur les procédures de licenciement collectif et une connaissance approfondie du marché du travail local organisera et gérera les séances d’information, et définira des parcours personnalisés avec les travailleurs en vue de leur réinsertion sur le marché du travail, moyennant une réadaptation, si nécessaire; </w:t>
      </w:r>
    </w:p>
    <w:p w:rsidR="00A746AB" w:rsidRPr="005A3BB2" w:rsidRDefault="006905BD" w:rsidP="00E83703">
      <w:pPr>
        <w:pStyle w:val="Tiret1"/>
        <w:rPr>
          <w:noProof/>
        </w:rPr>
      </w:pPr>
      <w:r w:rsidRPr="005A3BB2">
        <w:rPr>
          <w:noProof/>
          <w:u w:val="single"/>
        </w:rPr>
        <w:t>reclassement externe</w:t>
      </w:r>
      <w:r w:rsidRPr="005A3BB2">
        <w:rPr>
          <w:noProof/>
        </w:rPr>
        <w:t xml:space="preserve">: les services de reclassement externe comprennent des activités collectives et individuelles, telles qu’un entretien initial et des conseils individuels, la certification des compétences acquises, des conseils sur l’utilisation de la plateforme numérique «Mijn Loopbaan» («Ma carrière») du VDAB (le service public de l’emploi en Flandre) pour la recherche d’un emploi, ainsi que des conseils avant, pendant et après le salon de l’emploi. Un soutien est également fourni dans le cadre de sessions «Job-up», au cours desquelles les travailleurs peuvent obtenir de l’aide pour toute question relative à leur candidature à un poste; </w:t>
      </w:r>
    </w:p>
    <w:p w:rsidR="00A746AB" w:rsidRPr="005A3BB2" w:rsidRDefault="00A746AB" w:rsidP="001A62D7">
      <w:pPr>
        <w:pStyle w:val="Tiret1"/>
        <w:rPr>
          <w:noProof/>
        </w:rPr>
      </w:pPr>
      <w:bookmarkStart w:id="7" w:name="_Hlk215479487"/>
      <w:bookmarkEnd w:id="7"/>
      <w:r w:rsidRPr="005A3BB2">
        <w:rPr>
          <w:noProof/>
          <w:u w:val="single"/>
        </w:rPr>
        <w:t>médiation active</w:t>
      </w:r>
      <w:r w:rsidRPr="005A3BB2">
        <w:rPr>
          <w:noProof/>
        </w:rPr>
        <w:t>:</w:t>
      </w:r>
      <w:r w:rsidRPr="005A3BB2">
        <w:rPr>
          <w:noProof/>
          <w:u w:val="single"/>
        </w:rPr>
        <w:t xml:space="preserve"> </w:t>
      </w:r>
      <w:r w:rsidRPr="005A3BB2">
        <w:rPr>
          <w:noProof/>
        </w:rPr>
        <w:t>les médiateurs du VDAB évaluent le potentiel des demandeurs d’emploi, les guident, tentent de les mettre en relation avec des employeurs appropriés et les orientent vers des mesures de renforcement des compétences, si nécessaire. Un soutien est également apporté aux travailleurs pour préparer leurs futures candidatures, rédiger des curriculum vitæ attrayants et acquérir les compétences nécessaires pour se présenter en toute confiance à un entretien d’embauche;</w:t>
      </w:r>
    </w:p>
    <w:p w:rsidR="00DA7337" w:rsidRPr="005A3BB2" w:rsidRDefault="00CC41A9" w:rsidP="008A792E">
      <w:pPr>
        <w:pStyle w:val="Tiret1"/>
        <w:rPr>
          <w:noProof/>
        </w:rPr>
      </w:pPr>
      <w:r w:rsidRPr="005A3BB2">
        <w:rPr>
          <w:noProof/>
          <w:u w:val="single"/>
        </w:rPr>
        <w:t xml:space="preserve">orientation: </w:t>
      </w:r>
      <w:r w:rsidRPr="005A3BB2">
        <w:rPr>
          <w:noProof/>
        </w:rPr>
        <w:t xml:space="preserve"> le VDAB peut orienter un demandeur d’emploi vers une organisation partenaire lorsque cela est jugé utile en fonction de ses besoins, de son profil et de l’étape de la vie professionnelle à laquelle il se trouve. Chaque organisation propose un programme personnalisé, qui comprend des conseils, la recherche de possibilités d’emploi, l’évaluation et le renforcement des compétences numériques, une aide à l’utilisation d’outils numériques pour la </w:t>
      </w:r>
      <w:r w:rsidRPr="005A3BB2">
        <w:rPr>
          <w:noProof/>
        </w:rPr>
        <w:lastRenderedPageBreak/>
        <w:t xml:space="preserve">recherche d’emploi et un soutien mental. Ces services sont fournis au moyen d’un système de bons afin de garantir la liberté de choix des travailleurs; </w:t>
      </w:r>
    </w:p>
    <w:p w:rsidR="0089565D" w:rsidRPr="005A3BB2" w:rsidRDefault="0089565D" w:rsidP="001A62D7">
      <w:pPr>
        <w:pStyle w:val="Tiret1"/>
        <w:rPr>
          <w:noProof/>
        </w:rPr>
      </w:pPr>
      <w:r w:rsidRPr="005A3BB2">
        <w:rPr>
          <w:noProof/>
          <w:u w:val="single"/>
        </w:rPr>
        <w:t xml:space="preserve">formation et reconversion: </w:t>
      </w:r>
      <w:r w:rsidRPr="005A3BB2">
        <w:rPr>
          <w:noProof/>
        </w:rPr>
        <w:t xml:space="preserve">les travailleurs ont accès à un large éventail de formations, dispensées par le VDAB ou par des prestataires de formation externes. Ils peuvent choisir soit de développer davantage leurs compétences dans leur propre domaine, soit de se reconvertir complètement dans des professions touchées par des pénuries de main-d’œuvre. Avant le programme de formation, un médiateur du VDAB procède à un examen individuel afin d’adapter le parcours d’apprentissage à la motivation, aux compétences et aux possibilités de développement personnel de chaque participant. Le niveau de formation aux compétences numériques est adapté à l’objectif d’emploi du demandeur d’emploi. Un accent particulier est mis sur le renforcement des compétences techniques et numériques des participants au moyen de méthodes d’apprentissage hybrides, combinant apprentissage en présentiel, apprentissage numérique et apprentissage fondé sur l’expérience. Les participants ayant réussi les cours recevront un certificat ou un diplôme officiel; </w:t>
      </w:r>
    </w:p>
    <w:p w:rsidR="008A792E" w:rsidRPr="005A3BB2" w:rsidRDefault="008A792E" w:rsidP="001A62D7">
      <w:pPr>
        <w:pStyle w:val="Tiret1"/>
        <w:rPr>
          <w:noProof/>
        </w:rPr>
      </w:pPr>
      <w:r w:rsidRPr="005A3BB2">
        <w:rPr>
          <w:noProof/>
          <w:u w:val="single"/>
        </w:rPr>
        <w:t>formation sur le lieu de travail</w:t>
      </w:r>
      <w:r w:rsidRPr="005A3BB2">
        <w:rPr>
          <w:noProof/>
        </w:rPr>
        <w:t xml:space="preserve">: les travailleurs reçoivent une formation individuelle sur le lieu de travail dans l’entreprise qui doit les recruter à l’issue de la formation. Le contrat de travail est conclu pour une durée indéterminée ou pour une durée déterminée au moins égale à celle de la formation; </w:t>
      </w:r>
    </w:p>
    <w:p w:rsidR="00241A60" w:rsidRPr="005A3BB2" w:rsidRDefault="00241A60" w:rsidP="001A62D7">
      <w:pPr>
        <w:pStyle w:val="Tiret1"/>
        <w:rPr>
          <w:noProof/>
        </w:rPr>
      </w:pPr>
      <w:r w:rsidRPr="005A3BB2">
        <w:rPr>
          <w:noProof/>
          <w:u w:val="single"/>
        </w:rPr>
        <w:t>salon de l’emploi</w:t>
      </w:r>
      <w:r w:rsidRPr="005A3BB2">
        <w:rPr>
          <w:noProof/>
        </w:rPr>
        <w:t>: cet événement de recrutement réunit des demandeurs d’emploi et des employeurs. Les participants bénéficient au préalable d’un accompagnement pour préparer leur rencontre avec des employeurs potentiels. Une telle manifestation permet également d’apprendre à connaître les entreprises, d’acquérir la confiance nécessaire pour participer à des discussions et d’encourager la participation à des formations sur la base des informations fournies par les employeurs.</w:t>
      </w:r>
    </w:p>
    <w:p w:rsidR="001A62D7" w:rsidRPr="005A3BB2" w:rsidRDefault="008F04F1" w:rsidP="001A62D7">
      <w:pPr>
        <w:pStyle w:val="ManualNumPar1"/>
        <w:rPr>
          <w:noProof/>
        </w:rPr>
      </w:pPr>
      <w:r>
        <w:rPr>
          <w:noProof/>
        </w:rPr>
        <w:t>27.</w:t>
      </w:r>
      <w:r>
        <w:rPr>
          <w:noProof/>
        </w:rPr>
        <w:tab/>
      </w:r>
      <w:r w:rsidRPr="005A3BB2">
        <w:rPr>
          <w:noProof/>
        </w:rPr>
        <w:t xml:space="preserve">La formation aux TIC et le soutien additionnel prévus dans le cadre des mesures d’orientation et de reclassement externe permettront de diffuser les compétences requises à l’ère numérique et dans une économie efficace dans l’utilisation des ressources, conformément à l’article 7, paragraphe 2, du règlement (UE) 2021/691. </w:t>
      </w:r>
    </w:p>
    <w:p w:rsidR="001A62D7" w:rsidRPr="005A3BB2" w:rsidRDefault="001A62D7" w:rsidP="009C50F6">
      <w:pPr>
        <w:pStyle w:val="ManualNumPar1"/>
        <w:rPr>
          <w:noProof/>
        </w:rPr>
      </w:pPr>
      <w:r>
        <w:rPr>
          <w:noProof/>
        </w:rPr>
        <w:t>28.</w:t>
      </w:r>
      <w:r>
        <w:rPr>
          <w:noProof/>
        </w:rPr>
        <w:tab/>
      </w:r>
      <w:bookmarkStart w:id="8" w:name="_Ref372214242"/>
      <w:r w:rsidRPr="005A3BB2">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rsidR="001A62D7" w:rsidRPr="005A3BB2" w:rsidRDefault="00061791" w:rsidP="009C50F6">
      <w:pPr>
        <w:pStyle w:val="ManualNumPar1"/>
        <w:rPr>
          <w:noProof/>
        </w:rPr>
      </w:pPr>
      <w:r>
        <w:rPr>
          <w:noProof/>
        </w:rPr>
        <w:t>29.</w:t>
      </w:r>
      <w:r>
        <w:rPr>
          <w:noProof/>
        </w:rPr>
        <w:tab/>
      </w:r>
      <w:r w:rsidRPr="005A3BB2">
        <w:rPr>
          <w:noProof/>
        </w:rPr>
        <w:t>La Belgique a fourni les informations requises sur les mesures revêtant un caractère obligatoire pour l’entreprise concernée en vertu du droit national ou de conventions collectives. Conformément à l’article 9, paragraphe 1, du règlement (UE) 2021/691, la Belgique a confirmé que la contribution financière du FEM ne se substituerait pas à ces mesures.</w:t>
      </w:r>
      <w:bookmarkEnd w:id="8"/>
    </w:p>
    <w:p w:rsidR="001A62D7" w:rsidRPr="005A3BB2" w:rsidRDefault="001A62D7" w:rsidP="001A62D7">
      <w:pPr>
        <w:pStyle w:val="ManualHeading3"/>
        <w:rPr>
          <w:noProof/>
        </w:rPr>
      </w:pPr>
      <w:r w:rsidRPr="005A3BB2">
        <w:rPr>
          <w:noProof/>
        </w:rPr>
        <w:t>Budget prévisionnel</w:t>
      </w:r>
    </w:p>
    <w:p w:rsidR="001A62D7" w:rsidRPr="005A3BB2" w:rsidRDefault="001A62D7" w:rsidP="00C8368A">
      <w:pPr>
        <w:pStyle w:val="Text1"/>
        <w:rPr>
          <w:noProof/>
        </w:rPr>
      </w:pPr>
      <w:r w:rsidRPr="005A3BB2">
        <w:rPr>
          <w:noProof/>
        </w:rPr>
        <w:t xml:space="preserve">Le coût total estimé s’élève à </w:t>
      </w:r>
      <w:r w:rsidRPr="005A3BB2">
        <w:rPr>
          <w:rFonts w:ascii="TimesNewRoman" w:hAnsi="TimesNewRoman"/>
          <w:noProof/>
          <w:color w:val="000000"/>
        </w:rPr>
        <w:t>2 254 980</w:t>
      </w:r>
      <w:r w:rsidRPr="005A3BB2">
        <w:rPr>
          <w:noProof/>
        </w:rPr>
        <w:t> EUR; il correspond aux dépenses pour les services personnalisés à hauteur de 2 168 980 EUR et aux dépenses pour financer les activités de préparation, de gestion, d’information et de publicité, ainsi que les activités de contrôle et de rapport, pour un montant de 86 000 EUR.</w:t>
      </w:r>
    </w:p>
    <w:p w:rsidR="001A62D7" w:rsidRPr="005A3BB2" w:rsidRDefault="001A62D7" w:rsidP="009C50F6">
      <w:pPr>
        <w:pStyle w:val="ManualNumPar1"/>
        <w:rPr>
          <w:noProof/>
        </w:rPr>
      </w:pPr>
      <w:r>
        <w:rPr>
          <w:noProof/>
        </w:rPr>
        <w:t>30.</w:t>
      </w:r>
      <w:r>
        <w:rPr>
          <w:noProof/>
        </w:rPr>
        <w:tab/>
      </w:r>
      <w:bookmarkStart w:id="9" w:name="_Ref372550770"/>
      <w:r w:rsidRPr="005A3BB2">
        <w:rPr>
          <w:noProof/>
        </w:rPr>
        <w:t xml:space="preserve">La contribution financière totale demandée au FEM s’élève à </w:t>
      </w:r>
      <w:r w:rsidRPr="005A3BB2">
        <w:rPr>
          <w:rFonts w:ascii="TimesNewRoman" w:hAnsi="TimesNewRoman"/>
          <w:noProof/>
          <w:color w:val="000000"/>
        </w:rPr>
        <w:t>1 916 733</w:t>
      </w:r>
      <w:r w:rsidRPr="005A3BB2">
        <w:rPr>
          <w:noProof/>
        </w:rPr>
        <w:t> EUR (soit 85 % du coût total).</w:t>
      </w:r>
      <w:bookmarkEnd w:id="9"/>
    </w:p>
    <w:p w:rsidR="00D25904" w:rsidRPr="005A3BB2" w:rsidRDefault="00D25904" w:rsidP="009C50F6">
      <w:pPr>
        <w:pStyle w:val="ManualNumPar1"/>
        <w:spacing w:after="600"/>
        <w:ind w:left="851" w:hanging="851"/>
        <w:rPr>
          <w:noProof/>
        </w:rPr>
      </w:pPr>
      <w:r>
        <w:rPr>
          <w:noProof/>
        </w:rPr>
        <w:lastRenderedPageBreak/>
        <w:t>31.</w:t>
      </w:r>
      <w:r>
        <w:rPr>
          <w:noProof/>
        </w:rPr>
        <w:tab/>
      </w:r>
      <w:r w:rsidRPr="005A3BB2">
        <w:rPr>
          <w:noProof/>
        </w:rPr>
        <w:t>Conformément à l’article 8, paragraphe 7, point m), du règlement (UE) 2021/691, la Belgique a précisé que le préfinancement et le cofinancement nationaux seraient assurés par le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5A3BB2" w:rsidTr="001D5990">
        <w:tc>
          <w:tcPr>
            <w:tcW w:w="4644" w:type="dxa"/>
            <w:shd w:val="clear" w:color="auto" w:fill="auto"/>
            <w:vAlign w:val="center"/>
          </w:tcPr>
          <w:p w:rsidR="001A62D7" w:rsidRPr="005A3BB2" w:rsidRDefault="001A62D7" w:rsidP="001D5990">
            <w:pPr>
              <w:spacing w:before="60" w:after="60"/>
              <w:jc w:val="center"/>
              <w:rPr>
                <w:rFonts w:eastAsia="Times New Roman"/>
                <w:noProof/>
                <w:sz w:val="22"/>
              </w:rPr>
            </w:pPr>
            <w:r w:rsidRPr="005A3BB2">
              <w:rPr>
                <w:noProof/>
                <w:sz w:val="22"/>
              </w:rPr>
              <w:t>Mesures</w:t>
            </w:r>
          </w:p>
        </w:tc>
        <w:tc>
          <w:tcPr>
            <w:tcW w:w="1548" w:type="dxa"/>
            <w:shd w:val="clear" w:color="auto" w:fill="auto"/>
            <w:vAlign w:val="center"/>
          </w:tcPr>
          <w:p w:rsidR="001A62D7" w:rsidRPr="005A3BB2" w:rsidRDefault="001A62D7" w:rsidP="001D5990">
            <w:pPr>
              <w:spacing w:before="60" w:after="60"/>
              <w:jc w:val="center"/>
              <w:rPr>
                <w:rFonts w:eastAsia="Times New Roman"/>
                <w:noProof/>
                <w:sz w:val="22"/>
              </w:rPr>
            </w:pPr>
            <w:r w:rsidRPr="005A3BB2">
              <w:rPr>
                <w:noProof/>
                <w:sz w:val="22"/>
              </w:rPr>
              <w:t>Estimation du nombre de participants</w:t>
            </w:r>
          </w:p>
        </w:tc>
        <w:tc>
          <w:tcPr>
            <w:tcW w:w="1548" w:type="dxa"/>
            <w:shd w:val="clear" w:color="auto" w:fill="auto"/>
            <w:vAlign w:val="center"/>
          </w:tcPr>
          <w:p w:rsidR="001A62D7" w:rsidRPr="005A3BB2" w:rsidRDefault="001A62D7" w:rsidP="001D5990">
            <w:pPr>
              <w:spacing w:before="60" w:after="60"/>
              <w:jc w:val="center"/>
              <w:rPr>
                <w:rFonts w:eastAsia="Times New Roman"/>
                <w:noProof/>
                <w:sz w:val="22"/>
              </w:rPr>
            </w:pPr>
            <w:r w:rsidRPr="005A3BB2">
              <w:rPr>
                <w:noProof/>
                <w:sz w:val="22"/>
              </w:rPr>
              <w:t>Coût estimé par participant</w:t>
            </w:r>
            <w:r w:rsidRPr="005A3BB2">
              <w:rPr>
                <w:noProof/>
              </w:rPr>
              <w:t xml:space="preserve"> </w:t>
            </w:r>
            <w:r w:rsidRPr="005A3BB2">
              <w:rPr>
                <w:noProof/>
              </w:rPr>
              <w:br/>
            </w:r>
            <w:r w:rsidRPr="005A3BB2">
              <w:rPr>
                <w:i/>
                <w:noProof/>
                <w:sz w:val="22"/>
              </w:rPr>
              <w:t>(en EUR)</w:t>
            </w:r>
            <w:r w:rsidRPr="005A3BB2">
              <w:rPr>
                <w:rStyle w:val="FootnoteReference"/>
                <w:rFonts w:eastAsia="Times New Roman"/>
                <w:i/>
                <w:noProof/>
                <w:sz w:val="22"/>
              </w:rPr>
              <w:footnoteReference w:id="18"/>
            </w:r>
          </w:p>
        </w:tc>
        <w:tc>
          <w:tcPr>
            <w:tcW w:w="1548" w:type="dxa"/>
            <w:shd w:val="clear" w:color="auto" w:fill="auto"/>
            <w:vAlign w:val="center"/>
          </w:tcPr>
          <w:p w:rsidR="001A62D7" w:rsidRPr="005A3BB2" w:rsidRDefault="001A62D7" w:rsidP="001D5990">
            <w:pPr>
              <w:spacing w:before="60" w:after="60"/>
              <w:jc w:val="center"/>
              <w:rPr>
                <w:rFonts w:eastAsia="Times New Roman"/>
                <w:noProof/>
                <w:sz w:val="22"/>
              </w:rPr>
            </w:pPr>
            <w:r w:rsidRPr="005A3BB2">
              <w:rPr>
                <w:noProof/>
                <w:sz w:val="22"/>
              </w:rPr>
              <w:t>Estimation du coût total</w:t>
            </w:r>
          </w:p>
          <w:p w:rsidR="001A62D7" w:rsidRPr="005A3BB2" w:rsidRDefault="001A62D7" w:rsidP="001D5990">
            <w:pPr>
              <w:spacing w:before="60" w:after="60"/>
              <w:jc w:val="center"/>
              <w:rPr>
                <w:rFonts w:eastAsia="Times New Roman"/>
                <w:noProof/>
                <w:sz w:val="22"/>
              </w:rPr>
            </w:pPr>
            <w:r w:rsidRPr="005A3BB2">
              <w:rPr>
                <w:i/>
                <w:noProof/>
                <w:sz w:val="22"/>
              </w:rPr>
              <w:t>(en EUR)</w:t>
            </w:r>
            <w:r w:rsidRPr="005A3BB2">
              <w:rPr>
                <w:rStyle w:val="FootnoteReference"/>
                <w:rFonts w:eastAsia="Times New Roman"/>
                <w:i/>
                <w:noProof/>
                <w:sz w:val="22"/>
              </w:rPr>
              <w:footnoteReference w:id="19"/>
            </w:r>
            <w:r w:rsidRPr="005A3BB2">
              <w:rPr>
                <w:i/>
                <w:noProof/>
                <w:sz w:val="22"/>
              </w:rPr>
              <w:t xml:space="preserve"> </w:t>
            </w:r>
          </w:p>
        </w:tc>
      </w:tr>
      <w:tr w:rsidR="001A62D7" w:rsidRPr="005A3BB2" w:rsidTr="001D5990">
        <w:tc>
          <w:tcPr>
            <w:tcW w:w="9288" w:type="dxa"/>
            <w:gridSpan w:val="4"/>
            <w:shd w:val="clear" w:color="auto" w:fill="auto"/>
          </w:tcPr>
          <w:p w:rsidR="001A62D7" w:rsidRPr="005A3BB2" w:rsidRDefault="001A62D7" w:rsidP="001D5990">
            <w:pPr>
              <w:spacing w:before="60" w:after="60"/>
              <w:jc w:val="left"/>
              <w:rPr>
                <w:rFonts w:eastAsia="Times New Roman"/>
                <w:noProof/>
                <w:sz w:val="22"/>
              </w:rPr>
            </w:pPr>
            <w:r w:rsidRPr="005A3BB2">
              <w:rPr>
                <w:noProof/>
              </w:rPr>
              <w:t>Services personnalisés [mesures au titre de l’article 7, paragraphe 2, deuxième alinéa, point a), du règlement (UE) 2021/691]</w:t>
            </w:r>
          </w:p>
        </w:tc>
      </w:tr>
      <w:tr w:rsidR="001A62D7" w:rsidRPr="005A3BB2"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A3BB2" w:rsidRDefault="00D25904" w:rsidP="001D5990">
            <w:pPr>
              <w:spacing w:before="60" w:after="60"/>
              <w:jc w:val="left"/>
              <w:rPr>
                <w:noProof/>
              </w:rPr>
            </w:pPr>
            <w:r w:rsidRPr="005A3BB2">
              <w:rPr>
                <w:noProof/>
                <w:color w:val="000000"/>
              </w:rPr>
              <w:t>Groupe de travail</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A3BB2" w:rsidRDefault="00D25904" w:rsidP="001D5990">
            <w:pPr>
              <w:spacing w:before="60" w:after="60"/>
              <w:jc w:val="center"/>
              <w:rPr>
                <w:noProof/>
              </w:rPr>
            </w:pPr>
            <w:r w:rsidRPr="005A3BB2">
              <w:rPr>
                <w:noProof/>
              </w:rPr>
              <w:t>416</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A3BB2" w:rsidRDefault="00D25904" w:rsidP="001D5990">
            <w:pPr>
              <w:spacing w:before="60" w:after="60"/>
              <w:jc w:val="center"/>
              <w:rPr>
                <w:noProof/>
              </w:rPr>
            </w:pPr>
            <w:r w:rsidRPr="005A3BB2">
              <w:rPr>
                <w:noProof/>
              </w:rPr>
              <w:t>956</w:t>
            </w:r>
          </w:p>
        </w:tc>
        <w:tc>
          <w:tcPr>
            <w:tcW w:w="1548" w:type="dxa"/>
            <w:tcBorders>
              <w:top w:val="single" w:sz="4" w:space="0" w:color="auto"/>
              <w:left w:val="single" w:sz="4" w:space="0" w:color="auto"/>
              <w:bottom w:val="single" w:sz="4" w:space="0" w:color="auto"/>
              <w:right w:val="nil"/>
            </w:tcBorders>
            <w:vAlign w:val="center"/>
            <w:hideMark/>
          </w:tcPr>
          <w:p w:rsidR="001A62D7" w:rsidRPr="005A3BB2" w:rsidRDefault="00D25904" w:rsidP="001D5990">
            <w:pPr>
              <w:spacing w:before="60" w:after="60"/>
              <w:jc w:val="center"/>
              <w:rPr>
                <w:noProof/>
              </w:rPr>
            </w:pPr>
            <w:r w:rsidRPr="005A3BB2">
              <w:rPr>
                <w:noProof/>
              </w:rPr>
              <w:t>397 500</w:t>
            </w:r>
          </w:p>
        </w:tc>
      </w:tr>
      <w:tr w:rsidR="00737FB8" w:rsidRPr="005A3BB2"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5A3BB2" w:rsidRDefault="00737FB8" w:rsidP="00737FB8">
            <w:pPr>
              <w:spacing w:before="60" w:after="60"/>
              <w:jc w:val="left"/>
              <w:rPr>
                <w:noProof/>
              </w:rPr>
            </w:pPr>
            <w:r w:rsidRPr="005A3BB2">
              <w:rPr>
                <w:noProof/>
                <w:color w:val="000000"/>
              </w:rPr>
              <w:t>Reclassement externe</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5A3BB2" w:rsidRDefault="00737FB8" w:rsidP="00737FB8">
            <w:pPr>
              <w:spacing w:before="60" w:after="60"/>
              <w:jc w:val="center"/>
              <w:rPr>
                <w:noProof/>
              </w:rPr>
            </w:pPr>
            <w:r w:rsidRPr="005A3BB2">
              <w:rPr>
                <w:noProof/>
              </w:rPr>
              <w:t>222</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5A3BB2" w:rsidRDefault="00737FB8" w:rsidP="00737FB8">
            <w:pPr>
              <w:spacing w:before="60" w:after="60"/>
              <w:jc w:val="center"/>
              <w:rPr>
                <w:noProof/>
              </w:rPr>
            </w:pPr>
            <w:r w:rsidRPr="005A3BB2">
              <w:rPr>
                <w:noProof/>
              </w:rPr>
              <w:t>2 290</w:t>
            </w:r>
          </w:p>
        </w:tc>
        <w:tc>
          <w:tcPr>
            <w:tcW w:w="1548" w:type="dxa"/>
            <w:tcBorders>
              <w:top w:val="single" w:sz="4" w:space="0" w:color="auto"/>
              <w:left w:val="single" w:sz="4" w:space="0" w:color="auto"/>
              <w:bottom w:val="single" w:sz="4" w:space="0" w:color="auto"/>
              <w:right w:val="nil"/>
            </w:tcBorders>
            <w:vAlign w:val="center"/>
          </w:tcPr>
          <w:p w:rsidR="00737FB8" w:rsidRPr="005A3BB2" w:rsidRDefault="00737FB8" w:rsidP="00737FB8">
            <w:pPr>
              <w:spacing w:before="60" w:after="60"/>
              <w:jc w:val="center"/>
              <w:rPr>
                <w:noProof/>
              </w:rPr>
            </w:pPr>
            <w:r w:rsidRPr="005A3BB2">
              <w:rPr>
                <w:noProof/>
              </w:rPr>
              <w:t>508 300</w:t>
            </w:r>
          </w:p>
        </w:tc>
      </w:tr>
      <w:tr w:rsidR="00737FB8" w:rsidRPr="005A3BB2"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5A3BB2" w:rsidRDefault="00737FB8" w:rsidP="00737FB8">
            <w:pPr>
              <w:spacing w:before="60" w:after="60"/>
              <w:jc w:val="left"/>
              <w:rPr>
                <w:noProof/>
              </w:rPr>
            </w:pPr>
            <w:r w:rsidRPr="005A3BB2">
              <w:rPr>
                <w:noProof/>
              </w:rPr>
              <w:t xml:space="preserve">Médiation active </w:t>
            </w:r>
            <w:r w:rsidRPr="005A3BB2">
              <w:rPr>
                <w:noProof/>
              </w:rPr>
              <w:br/>
            </w:r>
            <w:r w:rsidRPr="005A3BB2">
              <w:rPr>
                <w:i/>
                <w:noProof/>
                <w:color w:val="000000"/>
              </w:rPr>
              <w:t>(Actieve bemiddeling)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5A3BB2" w:rsidRDefault="00737FB8" w:rsidP="00737FB8">
            <w:pPr>
              <w:spacing w:before="60" w:after="60"/>
              <w:jc w:val="center"/>
              <w:rPr>
                <w:noProof/>
              </w:rPr>
            </w:pPr>
            <w:r w:rsidRPr="005A3BB2">
              <w:rPr>
                <w:noProof/>
              </w:rPr>
              <w:t>168</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5A3BB2" w:rsidRDefault="00737FB8" w:rsidP="00737FB8">
            <w:pPr>
              <w:spacing w:before="60" w:after="60"/>
              <w:jc w:val="center"/>
              <w:rPr>
                <w:noProof/>
              </w:rPr>
            </w:pPr>
            <w:r w:rsidRPr="005A3BB2">
              <w:rPr>
                <w:noProof/>
              </w:rPr>
              <w:t>1 813</w:t>
            </w:r>
          </w:p>
        </w:tc>
        <w:tc>
          <w:tcPr>
            <w:tcW w:w="1548" w:type="dxa"/>
            <w:tcBorders>
              <w:top w:val="single" w:sz="4" w:space="0" w:color="auto"/>
              <w:left w:val="single" w:sz="4" w:space="0" w:color="auto"/>
              <w:bottom w:val="single" w:sz="4" w:space="0" w:color="auto"/>
              <w:right w:val="nil"/>
            </w:tcBorders>
            <w:vAlign w:val="center"/>
            <w:hideMark/>
          </w:tcPr>
          <w:p w:rsidR="00737FB8" w:rsidRPr="005A3BB2" w:rsidRDefault="00737FB8" w:rsidP="00737FB8">
            <w:pPr>
              <w:spacing w:before="60" w:after="60"/>
              <w:jc w:val="center"/>
              <w:rPr>
                <w:noProof/>
              </w:rPr>
            </w:pPr>
            <w:r w:rsidRPr="005A3BB2">
              <w:rPr>
                <w:noProof/>
              </w:rPr>
              <w:t>304 500</w:t>
            </w:r>
          </w:p>
        </w:tc>
      </w:tr>
      <w:tr w:rsidR="00737FB8" w:rsidRPr="005A3BB2"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5A3BB2" w:rsidRDefault="00737FB8" w:rsidP="00737FB8">
            <w:pPr>
              <w:spacing w:before="60" w:after="60"/>
              <w:jc w:val="left"/>
              <w:rPr>
                <w:noProof/>
                <w:color w:val="000000"/>
              </w:rPr>
            </w:pPr>
            <w:r w:rsidRPr="005A3BB2">
              <w:rPr>
                <w:noProof/>
                <w:color w:val="000000"/>
              </w:rPr>
              <w:t>Orientation</w:t>
            </w:r>
          </w:p>
          <w:p w:rsidR="00737FB8" w:rsidRPr="005A3BB2" w:rsidRDefault="00737FB8" w:rsidP="00737FB8">
            <w:pPr>
              <w:spacing w:before="60" w:after="60"/>
              <w:jc w:val="left"/>
              <w:rPr>
                <w:noProof/>
                <w:color w:val="000000"/>
              </w:rPr>
            </w:pPr>
            <w:r w:rsidRPr="005A3BB2">
              <w:rPr>
                <w:i/>
                <w:noProof/>
                <w:color w:val="000000"/>
              </w:rPr>
              <w:t xml:space="preserve">(Begeleiding door partners) </w:t>
            </w:r>
            <w:r w:rsidRPr="005A3BB2">
              <w:rPr>
                <w:i/>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5A3BB2" w:rsidRDefault="00737FB8" w:rsidP="00737FB8">
            <w:pPr>
              <w:spacing w:before="60" w:after="60"/>
              <w:jc w:val="center"/>
              <w:rPr>
                <w:noProof/>
              </w:rPr>
            </w:pPr>
            <w:r w:rsidRPr="005A3BB2">
              <w:rPr>
                <w:noProof/>
              </w:rPr>
              <w:t>50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5A3BB2" w:rsidRDefault="00737FB8" w:rsidP="00737FB8">
            <w:pPr>
              <w:spacing w:before="60" w:after="60"/>
              <w:jc w:val="center"/>
              <w:rPr>
                <w:noProof/>
              </w:rPr>
            </w:pPr>
            <w:r w:rsidRPr="005A3BB2">
              <w:rPr>
                <w:noProof/>
              </w:rPr>
              <w:t>4 500</w:t>
            </w:r>
          </w:p>
        </w:tc>
        <w:tc>
          <w:tcPr>
            <w:tcW w:w="1548" w:type="dxa"/>
            <w:tcBorders>
              <w:top w:val="single" w:sz="4" w:space="0" w:color="auto"/>
              <w:left w:val="single" w:sz="4" w:space="0" w:color="auto"/>
              <w:bottom w:val="single" w:sz="4" w:space="0" w:color="auto"/>
              <w:right w:val="nil"/>
            </w:tcBorders>
            <w:vAlign w:val="center"/>
          </w:tcPr>
          <w:p w:rsidR="00737FB8" w:rsidRPr="005A3BB2" w:rsidRDefault="00737FB8" w:rsidP="00737FB8">
            <w:pPr>
              <w:spacing w:before="60" w:after="60"/>
              <w:jc w:val="center"/>
              <w:rPr>
                <w:noProof/>
              </w:rPr>
            </w:pPr>
            <w:r w:rsidRPr="005A3BB2">
              <w:rPr>
                <w:noProof/>
              </w:rPr>
              <w:t>225 000</w:t>
            </w:r>
          </w:p>
        </w:tc>
      </w:tr>
      <w:tr w:rsidR="00737FB8" w:rsidRPr="005A3BB2"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5B5A32" w:rsidRDefault="00737FB8" w:rsidP="00737FB8">
            <w:pPr>
              <w:spacing w:before="60" w:after="60"/>
              <w:jc w:val="left"/>
              <w:rPr>
                <w:noProof/>
                <w:lang w:val="en-IE"/>
              </w:rPr>
            </w:pPr>
            <w:r w:rsidRPr="005B5A32">
              <w:rPr>
                <w:noProof/>
                <w:lang w:val="en-IE"/>
              </w:rPr>
              <w:t xml:space="preserve">Formation et reconversion </w:t>
            </w:r>
          </w:p>
          <w:p w:rsidR="00737FB8" w:rsidRPr="005B5A32" w:rsidRDefault="00737FB8" w:rsidP="00737FB8">
            <w:pPr>
              <w:spacing w:before="60" w:after="60"/>
              <w:jc w:val="left"/>
              <w:rPr>
                <w:i/>
                <w:iCs/>
                <w:noProof/>
                <w:lang w:val="en-IE"/>
              </w:rPr>
            </w:pPr>
            <w:r w:rsidRPr="005B5A32">
              <w:rPr>
                <w:i/>
                <w:noProof/>
                <w:lang w:val="en-IE"/>
              </w:rPr>
              <w:t xml:space="preserve">(Opleiding eigen beheer, opleiding SIF, opleiding bij partners)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5A3BB2" w:rsidRDefault="009D1AB4" w:rsidP="00737FB8">
            <w:pPr>
              <w:spacing w:before="60" w:after="60"/>
              <w:jc w:val="center"/>
              <w:rPr>
                <w:noProof/>
              </w:rPr>
            </w:pPr>
            <w:r w:rsidRPr="005A3BB2">
              <w:rPr>
                <w:noProof/>
              </w:rPr>
              <w:t>89</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5A3BB2" w:rsidRDefault="009D1AB4" w:rsidP="00737FB8">
            <w:pPr>
              <w:spacing w:before="60" w:after="60"/>
              <w:jc w:val="center"/>
              <w:rPr>
                <w:noProof/>
              </w:rPr>
            </w:pPr>
            <w:r w:rsidRPr="005A3BB2">
              <w:rPr>
                <w:noProof/>
              </w:rPr>
              <w:t>8 118</w:t>
            </w:r>
          </w:p>
        </w:tc>
        <w:tc>
          <w:tcPr>
            <w:tcW w:w="1548" w:type="dxa"/>
            <w:tcBorders>
              <w:top w:val="single" w:sz="4" w:space="0" w:color="auto"/>
              <w:left w:val="single" w:sz="4" w:space="0" w:color="auto"/>
              <w:bottom w:val="single" w:sz="4" w:space="0" w:color="auto"/>
              <w:right w:val="nil"/>
            </w:tcBorders>
            <w:vAlign w:val="center"/>
            <w:hideMark/>
          </w:tcPr>
          <w:p w:rsidR="00737FB8" w:rsidRPr="005A3BB2" w:rsidRDefault="00737FB8" w:rsidP="00737FB8">
            <w:pPr>
              <w:spacing w:before="60" w:after="60"/>
              <w:jc w:val="center"/>
              <w:rPr>
                <w:noProof/>
              </w:rPr>
            </w:pPr>
            <w:r w:rsidRPr="005A3BB2">
              <w:rPr>
                <w:noProof/>
              </w:rPr>
              <w:t>722 500</w:t>
            </w:r>
          </w:p>
        </w:tc>
      </w:tr>
      <w:tr w:rsidR="00737FB8" w:rsidRPr="005A3BB2" w:rsidTr="000F13D9">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5A3BB2" w:rsidRDefault="00737FB8" w:rsidP="00737FB8">
            <w:pPr>
              <w:spacing w:before="60" w:after="60"/>
              <w:jc w:val="left"/>
              <w:rPr>
                <w:noProof/>
              </w:rPr>
            </w:pPr>
            <w:r w:rsidRPr="005A3BB2">
              <w:rPr>
                <w:noProof/>
                <w:color w:val="000000"/>
              </w:rPr>
              <w:t>Formation sur le lieu de travail</w:t>
            </w:r>
            <w:r w:rsidRPr="005A3BB2">
              <w:rPr>
                <w:noProof/>
              </w:rPr>
              <w:br/>
            </w:r>
            <w:r w:rsidRPr="005A3BB2">
              <w:rPr>
                <w:i/>
                <w:noProof/>
                <w:color w:val="000000"/>
              </w:rPr>
              <w:t>(Opleidingen in onderneming — IBO)</w:t>
            </w:r>
            <w:r w:rsidRPr="005A3BB2">
              <w:rPr>
                <w:noProof/>
                <w:color w:val="000000"/>
              </w:rPr>
              <w:t xml:space="preserve"> </w:t>
            </w:r>
            <w:r w:rsidRPr="005A3BB2">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5A3BB2" w:rsidRDefault="00737FB8" w:rsidP="00737FB8">
            <w:pPr>
              <w:spacing w:before="60" w:after="60"/>
              <w:jc w:val="center"/>
              <w:rPr>
                <w:noProof/>
              </w:rPr>
            </w:pPr>
            <w:r w:rsidRPr="005A3BB2">
              <w:rPr>
                <w:noProof/>
              </w:rPr>
              <w:t>8</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5A3BB2" w:rsidRDefault="00737FB8" w:rsidP="00737FB8">
            <w:pPr>
              <w:spacing w:before="60" w:after="60"/>
              <w:jc w:val="center"/>
              <w:rPr>
                <w:noProof/>
              </w:rPr>
            </w:pPr>
            <w:r w:rsidRPr="005A3BB2">
              <w:rPr>
                <w:noProof/>
              </w:rPr>
              <w:t>960</w:t>
            </w:r>
          </w:p>
        </w:tc>
        <w:tc>
          <w:tcPr>
            <w:tcW w:w="1548" w:type="dxa"/>
            <w:tcBorders>
              <w:top w:val="single" w:sz="4" w:space="0" w:color="auto"/>
              <w:left w:val="single" w:sz="4" w:space="0" w:color="auto"/>
              <w:bottom w:val="single" w:sz="4" w:space="0" w:color="auto"/>
              <w:right w:val="nil"/>
            </w:tcBorders>
            <w:vAlign w:val="center"/>
            <w:hideMark/>
          </w:tcPr>
          <w:p w:rsidR="00737FB8" w:rsidRPr="005A3BB2" w:rsidRDefault="00737FB8" w:rsidP="00737FB8">
            <w:pPr>
              <w:spacing w:before="60" w:after="60"/>
              <w:jc w:val="center"/>
              <w:rPr>
                <w:noProof/>
              </w:rPr>
            </w:pPr>
            <w:r w:rsidRPr="005A3BB2">
              <w:rPr>
                <w:noProof/>
              </w:rPr>
              <w:t>7 680</w:t>
            </w:r>
          </w:p>
        </w:tc>
      </w:tr>
      <w:tr w:rsidR="00737FB8" w:rsidRPr="005A3BB2"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5A3BB2" w:rsidRDefault="00737FB8" w:rsidP="00737FB8">
            <w:pPr>
              <w:spacing w:before="60" w:after="60"/>
              <w:jc w:val="left"/>
              <w:rPr>
                <w:noProof/>
                <w:color w:val="000000"/>
              </w:rPr>
            </w:pPr>
            <w:r w:rsidRPr="005A3BB2">
              <w:rPr>
                <w:noProof/>
                <w:color w:val="000000"/>
              </w:rPr>
              <w:t>Salon de l’emploi</w:t>
            </w:r>
          </w:p>
          <w:p w:rsidR="00737FB8" w:rsidRPr="005A3BB2" w:rsidRDefault="00737FB8" w:rsidP="00737FB8">
            <w:pPr>
              <w:spacing w:before="60" w:after="60"/>
              <w:jc w:val="left"/>
              <w:rPr>
                <w:i/>
                <w:iCs/>
                <w:noProof/>
                <w:color w:val="000000"/>
              </w:rPr>
            </w:pPr>
            <w:r w:rsidRPr="005A3BB2">
              <w:rPr>
                <w:i/>
                <w:noProof/>
                <w:color w:val="000000"/>
              </w:rPr>
              <w:t>(Jobbeurs)</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5A3BB2" w:rsidRDefault="00737FB8" w:rsidP="00737FB8">
            <w:pPr>
              <w:spacing w:before="60" w:after="60"/>
              <w:jc w:val="center"/>
              <w:rPr>
                <w:noProof/>
              </w:rPr>
            </w:pPr>
            <w:r w:rsidRPr="005A3BB2">
              <w:rPr>
                <w:noProof/>
              </w:rPr>
              <w:t>96</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5A3BB2" w:rsidRDefault="00737FB8" w:rsidP="00737FB8">
            <w:pPr>
              <w:spacing w:before="60" w:after="60"/>
              <w:jc w:val="center"/>
              <w:rPr>
                <w:noProof/>
              </w:rPr>
            </w:pPr>
            <w:r w:rsidRPr="005A3BB2">
              <w:rPr>
                <w:noProof/>
              </w:rPr>
              <w:t>36</w:t>
            </w:r>
          </w:p>
        </w:tc>
        <w:tc>
          <w:tcPr>
            <w:tcW w:w="1548" w:type="dxa"/>
            <w:tcBorders>
              <w:top w:val="single" w:sz="4" w:space="0" w:color="auto"/>
              <w:left w:val="single" w:sz="4" w:space="0" w:color="auto"/>
              <w:bottom w:val="single" w:sz="4" w:space="0" w:color="auto"/>
              <w:right w:val="nil"/>
            </w:tcBorders>
            <w:vAlign w:val="center"/>
          </w:tcPr>
          <w:p w:rsidR="00737FB8" w:rsidRPr="005A3BB2" w:rsidRDefault="00737FB8" w:rsidP="00737FB8">
            <w:pPr>
              <w:spacing w:before="60" w:after="60"/>
              <w:jc w:val="center"/>
              <w:rPr>
                <w:noProof/>
              </w:rPr>
            </w:pPr>
            <w:r w:rsidRPr="005A3BB2">
              <w:rPr>
                <w:noProof/>
              </w:rPr>
              <w:t>3 500</w:t>
            </w:r>
          </w:p>
        </w:tc>
      </w:tr>
      <w:tr w:rsidR="00737FB8" w:rsidRPr="005A3BB2" w:rsidTr="001D5990">
        <w:trPr>
          <w:trHeight w:val="398"/>
        </w:trPr>
        <w:tc>
          <w:tcPr>
            <w:tcW w:w="4644" w:type="dxa"/>
            <w:vMerge w:val="restart"/>
            <w:shd w:val="clear" w:color="auto" w:fill="auto"/>
            <w:vAlign w:val="center"/>
          </w:tcPr>
          <w:p w:rsidR="00737FB8" w:rsidRPr="005A3BB2" w:rsidRDefault="00737FB8" w:rsidP="00737FB8">
            <w:pPr>
              <w:spacing w:before="60" w:after="60"/>
              <w:jc w:val="right"/>
              <w:rPr>
                <w:rFonts w:eastAsia="Times New Roman"/>
                <w:noProof/>
                <w:sz w:val="22"/>
              </w:rPr>
            </w:pPr>
            <w:r w:rsidRPr="005A3BB2">
              <w:rPr>
                <w:noProof/>
                <w:sz w:val="22"/>
              </w:rPr>
              <w:t>Sous-total a):</w:t>
            </w:r>
          </w:p>
          <w:p w:rsidR="00737FB8" w:rsidRPr="005A3BB2" w:rsidRDefault="00737FB8" w:rsidP="00737FB8">
            <w:pPr>
              <w:spacing w:before="60" w:after="60"/>
              <w:jc w:val="right"/>
              <w:rPr>
                <w:rFonts w:eastAsia="Times New Roman"/>
                <w:noProof/>
                <w:sz w:val="22"/>
              </w:rPr>
            </w:pPr>
            <w:r w:rsidRPr="005A3BB2">
              <w:rPr>
                <w:noProof/>
                <w:sz w:val="22"/>
              </w:rPr>
              <w:t xml:space="preserve">Pourcentage de l’ensemble coordonné de services personnalisés: </w:t>
            </w:r>
          </w:p>
        </w:tc>
        <w:tc>
          <w:tcPr>
            <w:tcW w:w="3096" w:type="dxa"/>
            <w:gridSpan w:val="2"/>
            <w:vMerge w:val="restart"/>
            <w:shd w:val="clear" w:color="auto" w:fill="D9D9D9"/>
            <w:vAlign w:val="center"/>
          </w:tcPr>
          <w:p w:rsidR="00737FB8" w:rsidRPr="005A3BB2" w:rsidRDefault="00737FB8" w:rsidP="00737FB8">
            <w:pPr>
              <w:spacing w:before="60" w:after="60"/>
              <w:jc w:val="center"/>
              <w:rPr>
                <w:rFonts w:eastAsia="Times New Roman"/>
                <w:noProof/>
                <w:sz w:val="22"/>
              </w:rPr>
            </w:pPr>
            <w:r w:rsidRPr="005A3BB2">
              <w:rPr>
                <w:noProof/>
                <w:sz w:val="22"/>
              </w:rPr>
              <w:t>—</w:t>
            </w:r>
          </w:p>
        </w:tc>
        <w:tc>
          <w:tcPr>
            <w:tcW w:w="1548" w:type="dxa"/>
            <w:tcBorders>
              <w:bottom w:val="nil"/>
            </w:tcBorders>
            <w:shd w:val="clear" w:color="auto" w:fill="auto"/>
            <w:vAlign w:val="center"/>
          </w:tcPr>
          <w:p w:rsidR="00737FB8" w:rsidRPr="005A3BB2" w:rsidRDefault="00737FB8" w:rsidP="00737FB8">
            <w:pPr>
              <w:spacing w:before="60" w:after="60"/>
              <w:jc w:val="center"/>
              <w:rPr>
                <w:rFonts w:eastAsia="Times New Roman"/>
                <w:noProof/>
                <w:sz w:val="22"/>
              </w:rPr>
            </w:pPr>
            <w:r w:rsidRPr="005A3BB2">
              <w:rPr>
                <w:noProof/>
              </w:rPr>
              <w:t>2 168 980</w:t>
            </w:r>
          </w:p>
        </w:tc>
      </w:tr>
      <w:tr w:rsidR="00737FB8" w:rsidRPr="005A3BB2" w:rsidTr="002F254E">
        <w:trPr>
          <w:trHeight w:val="780"/>
        </w:trPr>
        <w:tc>
          <w:tcPr>
            <w:tcW w:w="4644" w:type="dxa"/>
            <w:vMerge/>
            <w:shd w:val="clear" w:color="auto" w:fill="auto"/>
            <w:vAlign w:val="center"/>
          </w:tcPr>
          <w:p w:rsidR="00737FB8" w:rsidRPr="005A3BB2" w:rsidRDefault="00737FB8" w:rsidP="00737FB8">
            <w:pPr>
              <w:spacing w:before="60" w:after="60"/>
              <w:jc w:val="right"/>
              <w:rPr>
                <w:rFonts w:eastAsia="Times New Roman"/>
                <w:noProof/>
                <w:sz w:val="22"/>
              </w:rPr>
            </w:pPr>
          </w:p>
        </w:tc>
        <w:tc>
          <w:tcPr>
            <w:tcW w:w="3096" w:type="dxa"/>
            <w:gridSpan w:val="2"/>
            <w:vMerge/>
            <w:shd w:val="clear" w:color="auto" w:fill="D9D9D9"/>
            <w:vAlign w:val="center"/>
          </w:tcPr>
          <w:p w:rsidR="00737FB8" w:rsidRPr="005A3BB2" w:rsidRDefault="00737FB8" w:rsidP="00737FB8">
            <w:pPr>
              <w:spacing w:before="60" w:after="60"/>
              <w:jc w:val="center"/>
              <w:rPr>
                <w:rFonts w:eastAsia="Times New Roman"/>
                <w:noProof/>
                <w:sz w:val="22"/>
              </w:rPr>
            </w:pPr>
          </w:p>
        </w:tc>
        <w:tc>
          <w:tcPr>
            <w:tcW w:w="1548" w:type="dxa"/>
            <w:tcBorders>
              <w:top w:val="nil"/>
            </w:tcBorders>
            <w:shd w:val="clear" w:color="auto" w:fill="auto"/>
            <w:vAlign w:val="center"/>
          </w:tcPr>
          <w:p w:rsidR="00737FB8" w:rsidRPr="005A3BB2" w:rsidRDefault="00737FB8" w:rsidP="00737FB8">
            <w:pPr>
              <w:spacing w:before="60" w:after="60"/>
              <w:jc w:val="center"/>
              <w:rPr>
                <w:rFonts w:eastAsia="Times New Roman"/>
                <w:noProof/>
                <w:sz w:val="22"/>
              </w:rPr>
            </w:pPr>
            <w:r w:rsidRPr="005A3BB2">
              <w:rPr>
                <w:noProof/>
                <w:sz w:val="22"/>
              </w:rPr>
              <w:t>(</w:t>
            </w:r>
            <w:r w:rsidRPr="005A3BB2">
              <w:rPr>
                <w:noProof/>
              </w:rPr>
              <w:t>96,19 </w:t>
            </w:r>
            <w:r w:rsidRPr="005A3BB2">
              <w:rPr>
                <w:noProof/>
                <w:sz w:val="22"/>
              </w:rPr>
              <w:t>%)</w:t>
            </w:r>
          </w:p>
        </w:tc>
      </w:tr>
      <w:tr w:rsidR="00737FB8" w:rsidRPr="005A3BB2" w:rsidTr="001D5990">
        <w:tc>
          <w:tcPr>
            <w:tcW w:w="9288" w:type="dxa"/>
            <w:gridSpan w:val="4"/>
            <w:shd w:val="clear" w:color="auto" w:fill="auto"/>
            <w:vAlign w:val="center"/>
          </w:tcPr>
          <w:p w:rsidR="00737FB8" w:rsidRPr="005A3BB2" w:rsidRDefault="00737FB8" w:rsidP="00737FB8">
            <w:pPr>
              <w:spacing w:before="60" w:after="60"/>
              <w:jc w:val="left"/>
              <w:rPr>
                <w:rFonts w:eastAsia="Times New Roman"/>
                <w:noProof/>
                <w:sz w:val="22"/>
              </w:rPr>
            </w:pPr>
            <w:r w:rsidRPr="005A3BB2">
              <w:rPr>
                <w:noProof/>
                <w:sz w:val="22"/>
              </w:rPr>
              <w:t>Activités relevant de l’article 7, paragraphe 5, du règlement (UE) 2021/691</w:t>
            </w:r>
          </w:p>
        </w:tc>
      </w:tr>
      <w:tr w:rsidR="00737FB8" w:rsidRPr="005A3BB2" w:rsidTr="001D5990">
        <w:tc>
          <w:tcPr>
            <w:tcW w:w="4644" w:type="dxa"/>
            <w:shd w:val="clear" w:color="auto" w:fill="auto"/>
          </w:tcPr>
          <w:p w:rsidR="00737FB8" w:rsidRPr="005A3BB2" w:rsidRDefault="00737FB8" w:rsidP="00737FB8">
            <w:pPr>
              <w:spacing w:before="60" w:after="60"/>
              <w:ind w:left="284"/>
              <w:jc w:val="left"/>
              <w:rPr>
                <w:rFonts w:eastAsia="Times New Roman"/>
                <w:noProof/>
                <w:sz w:val="22"/>
              </w:rPr>
            </w:pPr>
            <w:r w:rsidRPr="005A3BB2">
              <w:rPr>
                <w:noProof/>
                <w:sz w:val="22"/>
              </w:rPr>
              <w:t>1. Activités préparatoires</w:t>
            </w:r>
          </w:p>
        </w:tc>
        <w:tc>
          <w:tcPr>
            <w:tcW w:w="3096" w:type="dxa"/>
            <w:gridSpan w:val="2"/>
            <w:shd w:val="clear" w:color="auto" w:fill="D9D9D9"/>
            <w:vAlign w:val="center"/>
          </w:tcPr>
          <w:p w:rsidR="00737FB8" w:rsidRPr="005A3BB2" w:rsidRDefault="00737FB8" w:rsidP="00737FB8">
            <w:pPr>
              <w:spacing w:before="60" w:after="60"/>
              <w:jc w:val="center"/>
              <w:rPr>
                <w:rFonts w:eastAsia="Times New Roman"/>
                <w:noProof/>
                <w:sz w:val="22"/>
              </w:rPr>
            </w:pPr>
            <w:r w:rsidRPr="005A3BB2">
              <w:rPr>
                <w:noProof/>
                <w:sz w:val="22"/>
              </w:rPr>
              <w:t>—</w:t>
            </w:r>
          </w:p>
        </w:tc>
        <w:tc>
          <w:tcPr>
            <w:tcW w:w="1548" w:type="dxa"/>
            <w:shd w:val="clear" w:color="auto" w:fill="auto"/>
          </w:tcPr>
          <w:p w:rsidR="00737FB8" w:rsidRPr="005A3BB2" w:rsidRDefault="00737FB8" w:rsidP="00737FB8">
            <w:pPr>
              <w:spacing w:before="60" w:after="60"/>
              <w:jc w:val="center"/>
              <w:rPr>
                <w:rFonts w:eastAsia="Times New Roman"/>
                <w:noProof/>
                <w:sz w:val="22"/>
              </w:rPr>
            </w:pPr>
            <w:r w:rsidRPr="005A3BB2">
              <w:rPr>
                <w:noProof/>
              </w:rPr>
              <w:t>2 500</w:t>
            </w:r>
          </w:p>
        </w:tc>
      </w:tr>
      <w:tr w:rsidR="00737FB8" w:rsidRPr="005A3BB2" w:rsidTr="001D5990">
        <w:tc>
          <w:tcPr>
            <w:tcW w:w="4644" w:type="dxa"/>
            <w:shd w:val="clear" w:color="auto" w:fill="auto"/>
          </w:tcPr>
          <w:p w:rsidR="00737FB8" w:rsidRPr="005A3BB2" w:rsidRDefault="00737FB8" w:rsidP="00737FB8">
            <w:pPr>
              <w:spacing w:before="60" w:after="60"/>
              <w:ind w:left="284"/>
              <w:jc w:val="left"/>
              <w:rPr>
                <w:rFonts w:eastAsia="Times New Roman"/>
                <w:noProof/>
                <w:sz w:val="22"/>
              </w:rPr>
            </w:pPr>
            <w:r w:rsidRPr="005A3BB2">
              <w:rPr>
                <w:noProof/>
                <w:sz w:val="22"/>
              </w:rPr>
              <w:t>2. Gestion</w:t>
            </w:r>
          </w:p>
        </w:tc>
        <w:tc>
          <w:tcPr>
            <w:tcW w:w="3096" w:type="dxa"/>
            <w:gridSpan w:val="2"/>
            <w:shd w:val="clear" w:color="auto" w:fill="D9D9D9"/>
            <w:vAlign w:val="center"/>
          </w:tcPr>
          <w:p w:rsidR="00737FB8" w:rsidRPr="005A3BB2" w:rsidRDefault="00737FB8" w:rsidP="00737FB8">
            <w:pPr>
              <w:spacing w:before="60" w:after="60"/>
              <w:jc w:val="center"/>
              <w:rPr>
                <w:rFonts w:eastAsia="Times New Roman"/>
                <w:noProof/>
                <w:sz w:val="22"/>
              </w:rPr>
            </w:pPr>
            <w:r w:rsidRPr="005A3BB2">
              <w:rPr>
                <w:noProof/>
                <w:sz w:val="22"/>
              </w:rPr>
              <w:t>—</w:t>
            </w:r>
          </w:p>
        </w:tc>
        <w:tc>
          <w:tcPr>
            <w:tcW w:w="1548" w:type="dxa"/>
            <w:shd w:val="clear" w:color="auto" w:fill="auto"/>
          </w:tcPr>
          <w:p w:rsidR="00737FB8" w:rsidRPr="005A3BB2" w:rsidRDefault="00737FB8" w:rsidP="00737FB8">
            <w:pPr>
              <w:spacing w:before="60" w:after="60"/>
              <w:jc w:val="center"/>
              <w:rPr>
                <w:rFonts w:eastAsia="Times New Roman"/>
                <w:noProof/>
                <w:sz w:val="22"/>
              </w:rPr>
            </w:pPr>
            <w:r w:rsidRPr="005A3BB2">
              <w:rPr>
                <w:noProof/>
              </w:rPr>
              <w:t>35 000</w:t>
            </w:r>
          </w:p>
        </w:tc>
      </w:tr>
      <w:tr w:rsidR="00737FB8" w:rsidRPr="005A3BB2" w:rsidTr="001D5990">
        <w:tc>
          <w:tcPr>
            <w:tcW w:w="4644" w:type="dxa"/>
            <w:shd w:val="clear" w:color="auto" w:fill="auto"/>
          </w:tcPr>
          <w:p w:rsidR="00737FB8" w:rsidRPr="005A3BB2" w:rsidRDefault="00737FB8" w:rsidP="00737FB8">
            <w:pPr>
              <w:spacing w:before="60" w:after="60"/>
              <w:ind w:left="284"/>
              <w:jc w:val="left"/>
              <w:rPr>
                <w:rFonts w:eastAsia="Times New Roman"/>
                <w:noProof/>
                <w:sz w:val="22"/>
              </w:rPr>
            </w:pPr>
            <w:r w:rsidRPr="005A3BB2">
              <w:rPr>
                <w:noProof/>
                <w:sz w:val="22"/>
              </w:rPr>
              <w:t>3. Information et publicité</w:t>
            </w:r>
          </w:p>
        </w:tc>
        <w:tc>
          <w:tcPr>
            <w:tcW w:w="3096" w:type="dxa"/>
            <w:gridSpan w:val="2"/>
            <w:shd w:val="clear" w:color="auto" w:fill="D9D9D9"/>
            <w:vAlign w:val="center"/>
          </w:tcPr>
          <w:p w:rsidR="00737FB8" w:rsidRPr="005A3BB2" w:rsidRDefault="00737FB8" w:rsidP="00737FB8">
            <w:pPr>
              <w:spacing w:before="60" w:after="60"/>
              <w:jc w:val="center"/>
              <w:rPr>
                <w:rFonts w:eastAsia="Times New Roman"/>
                <w:noProof/>
                <w:sz w:val="22"/>
              </w:rPr>
            </w:pPr>
            <w:r w:rsidRPr="005A3BB2">
              <w:rPr>
                <w:noProof/>
                <w:sz w:val="22"/>
              </w:rPr>
              <w:t>—</w:t>
            </w:r>
          </w:p>
        </w:tc>
        <w:tc>
          <w:tcPr>
            <w:tcW w:w="1548" w:type="dxa"/>
            <w:shd w:val="clear" w:color="auto" w:fill="auto"/>
          </w:tcPr>
          <w:p w:rsidR="00737FB8" w:rsidRPr="005A3BB2" w:rsidRDefault="00737FB8" w:rsidP="00737FB8">
            <w:pPr>
              <w:spacing w:before="60" w:after="60"/>
              <w:jc w:val="center"/>
              <w:rPr>
                <w:rFonts w:eastAsia="Times New Roman"/>
                <w:noProof/>
                <w:sz w:val="22"/>
              </w:rPr>
            </w:pPr>
            <w:r w:rsidRPr="005A3BB2">
              <w:rPr>
                <w:noProof/>
              </w:rPr>
              <w:t>3 500</w:t>
            </w:r>
          </w:p>
        </w:tc>
      </w:tr>
      <w:tr w:rsidR="00737FB8" w:rsidRPr="005A3BB2" w:rsidTr="001D5990">
        <w:tc>
          <w:tcPr>
            <w:tcW w:w="4644" w:type="dxa"/>
            <w:shd w:val="clear" w:color="auto" w:fill="auto"/>
          </w:tcPr>
          <w:p w:rsidR="00737FB8" w:rsidRPr="005A3BB2" w:rsidRDefault="00737FB8" w:rsidP="00737FB8">
            <w:pPr>
              <w:spacing w:before="60" w:after="60"/>
              <w:ind w:left="284"/>
              <w:jc w:val="left"/>
              <w:rPr>
                <w:rFonts w:eastAsia="Times New Roman"/>
                <w:noProof/>
                <w:sz w:val="22"/>
              </w:rPr>
            </w:pPr>
            <w:r w:rsidRPr="005A3BB2">
              <w:rPr>
                <w:noProof/>
                <w:sz w:val="22"/>
              </w:rPr>
              <w:t>4. Contrôle et rapport</w:t>
            </w:r>
          </w:p>
        </w:tc>
        <w:tc>
          <w:tcPr>
            <w:tcW w:w="3096" w:type="dxa"/>
            <w:gridSpan w:val="2"/>
            <w:shd w:val="clear" w:color="auto" w:fill="D9D9D9"/>
            <w:vAlign w:val="center"/>
          </w:tcPr>
          <w:p w:rsidR="00737FB8" w:rsidRPr="005A3BB2" w:rsidRDefault="00737FB8" w:rsidP="00737FB8">
            <w:pPr>
              <w:spacing w:before="60" w:after="60"/>
              <w:jc w:val="center"/>
              <w:rPr>
                <w:rFonts w:eastAsia="Times New Roman"/>
                <w:noProof/>
                <w:sz w:val="22"/>
              </w:rPr>
            </w:pPr>
            <w:r w:rsidRPr="005A3BB2">
              <w:rPr>
                <w:noProof/>
                <w:sz w:val="22"/>
              </w:rPr>
              <w:t>—</w:t>
            </w:r>
          </w:p>
        </w:tc>
        <w:tc>
          <w:tcPr>
            <w:tcW w:w="1548" w:type="dxa"/>
            <w:tcBorders>
              <w:bottom w:val="single" w:sz="4" w:space="0" w:color="auto"/>
            </w:tcBorders>
            <w:shd w:val="clear" w:color="auto" w:fill="auto"/>
          </w:tcPr>
          <w:p w:rsidR="00737FB8" w:rsidRPr="005A3BB2" w:rsidRDefault="00737FB8" w:rsidP="00737FB8">
            <w:pPr>
              <w:spacing w:before="60" w:after="60"/>
              <w:jc w:val="center"/>
              <w:rPr>
                <w:rFonts w:eastAsia="Times New Roman"/>
                <w:noProof/>
                <w:sz w:val="22"/>
              </w:rPr>
            </w:pPr>
            <w:r w:rsidRPr="005A3BB2">
              <w:rPr>
                <w:noProof/>
              </w:rPr>
              <w:t>45 000</w:t>
            </w:r>
          </w:p>
        </w:tc>
      </w:tr>
      <w:tr w:rsidR="00737FB8" w:rsidRPr="005A3BB2" w:rsidTr="001D5990">
        <w:trPr>
          <w:trHeight w:val="203"/>
        </w:trPr>
        <w:tc>
          <w:tcPr>
            <w:tcW w:w="4644" w:type="dxa"/>
            <w:vMerge w:val="restart"/>
            <w:shd w:val="clear" w:color="auto" w:fill="auto"/>
            <w:vAlign w:val="center"/>
          </w:tcPr>
          <w:p w:rsidR="00737FB8" w:rsidRPr="005A3BB2" w:rsidRDefault="00737FB8" w:rsidP="00737FB8">
            <w:pPr>
              <w:spacing w:before="60" w:after="60"/>
              <w:jc w:val="right"/>
              <w:rPr>
                <w:rFonts w:eastAsia="Times New Roman"/>
                <w:noProof/>
                <w:sz w:val="22"/>
              </w:rPr>
            </w:pPr>
            <w:r w:rsidRPr="005A3BB2">
              <w:rPr>
                <w:noProof/>
                <w:sz w:val="22"/>
              </w:rPr>
              <w:t>Sous-total b):</w:t>
            </w:r>
          </w:p>
          <w:p w:rsidR="00737FB8" w:rsidRPr="005A3BB2" w:rsidRDefault="00737FB8" w:rsidP="00737FB8">
            <w:pPr>
              <w:spacing w:before="60" w:after="60"/>
              <w:jc w:val="right"/>
              <w:rPr>
                <w:rFonts w:eastAsia="Times New Roman"/>
                <w:noProof/>
                <w:sz w:val="22"/>
              </w:rPr>
            </w:pPr>
            <w:r w:rsidRPr="005A3BB2">
              <w:rPr>
                <w:noProof/>
                <w:sz w:val="22"/>
              </w:rPr>
              <w:lastRenderedPageBreak/>
              <w:t>Pourcentage du coût total:</w:t>
            </w:r>
          </w:p>
        </w:tc>
        <w:tc>
          <w:tcPr>
            <w:tcW w:w="3096" w:type="dxa"/>
            <w:gridSpan w:val="2"/>
            <w:vMerge w:val="restart"/>
            <w:shd w:val="clear" w:color="auto" w:fill="D9D9D9"/>
            <w:vAlign w:val="center"/>
          </w:tcPr>
          <w:p w:rsidR="00737FB8" w:rsidRPr="005A3BB2" w:rsidRDefault="00737FB8" w:rsidP="00737FB8">
            <w:pPr>
              <w:spacing w:before="0" w:after="0"/>
              <w:jc w:val="center"/>
              <w:rPr>
                <w:rFonts w:eastAsia="Times New Roman"/>
                <w:noProof/>
                <w:sz w:val="22"/>
              </w:rPr>
            </w:pPr>
            <w:r w:rsidRPr="005A3BB2">
              <w:rPr>
                <w:noProof/>
                <w:sz w:val="22"/>
              </w:rPr>
              <w:lastRenderedPageBreak/>
              <w:t>—</w:t>
            </w:r>
          </w:p>
        </w:tc>
        <w:tc>
          <w:tcPr>
            <w:tcW w:w="1548" w:type="dxa"/>
            <w:tcBorders>
              <w:bottom w:val="nil"/>
            </w:tcBorders>
            <w:shd w:val="clear" w:color="auto" w:fill="auto"/>
            <w:vAlign w:val="center"/>
          </w:tcPr>
          <w:p w:rsidR="00737FB8" w:rsidRPr="005A3BB2" w:rsidRDefault="00737FB8" w:rsidP="00737FB8">
            <w:pPr>
              <w:spacing w:before="60" w:after="60"/>
              <w:jc w:val="center"/>
              <w:rPr>
                <w:rFonts w:eastAsia="Times New Roman"/>
                <w:noProof/>
                <w:sz w:val="22"/>
              </w:rPr>
            </w:pPr>
            <w:r w:rsidRPr="005A3BB2">
              <w:rPr>
                <w:noProof/>
              </w:rPr>
              <w:t>86 000</w:t>
            </w:r>
          </w:p>
        </w:tc>
      </w:tr>
      <w:tr w:rsidR="00737FB8" w:rsidRPr="005A3BB2" w:rsidTr="001D5990">
        <w:trPr>
          <w:trHeight w:val="202"/>
        </w:trPr>
        <w:tc>
          <w:tcPr>
            <w:tcW w:w="4644" w:type="dxa"/>
            <w:vMerge/>
            <w:shd w:val="clear" w:color="auto" w:fill="auto"/>
          </w:tcPr>
          <w:p w:rsidR="00737FB8" w:rsidRPr="005A3BB2" w:rsidRDefault="00737FB8" w:rsidP="00737FB8">
            <w:pPr>
              <w:spacing w:before="0" w:after="0"/>
              <w:jc w:val="right"/>
              <w:rPr>
                <w:rFonts w:eastAsia="Times New Roman"/>
                <w:noProof/>
                <w:sz w:val="22"/>
              </w:rPr>
            </w:pPr>
          </w:p>
        </w:tc>
        <w:tc>
          <w:tcPr>
            <w:tcW w:w="3096" w:type="dxa"/>
            <w:gridSpan w:val="2"/>
            <w:vMerge/>
            <w:shd w:val="clear" w:color="auto" w:fill="D9D9D9"/>
            <w:vAlign w:val="center"/>
          </w:tcPr>
          <w:p w:rsidR="00737FB8" w:rsidRPr="005A3BB2" w:rsidRDefault="00737FB8" w:rsidP="00737FB8">
            <w:pPr>
              <w:spacing w:before="0" w:after="0"/>
              <w:jc w:val="center"/>
              <w:rPr>
                <w:rFonts w:eastAsia="Times New Roman"/>
                <w:noProof/>
                <w:sz w:val="22"/>
              </w:rPr>
            </w:pPr>
          </w:p>
        </w:tc>
        <w:tc>
          <w:tcPr>
            <w:tcW w:w="1548" w:type="dxa"/>
            <w:tcBorders>
              <w:top w:val="nil"/>
            </w:tcBorders>
            <w:shd w:val="clear" w:color="auto" w:fill="auto"/>
            <w:vAlign w:val="center"/>
          </w:tcPr>
          <w:p w:rsidR="00737FB8" w:rsidRPr="005A3BB2" w:rsidRDefault="00737FB8" w:rsidP="00737FB8">
            <w:pPr>
              <w:spacing w:before="60" w:after="60"/>
              <w:jc w:val="center"/>
              <w:rPr>
                <w:rFonts w:eastAsia="Times New Roman"/>
                <w:noProof/>
                <w:sz w:val="22"/>
              </w:rPr>
            </w:pPr>
            <w:r w:rsidRPr="005A3BB2">
              <w:rPr>
                <w:noProof/>
                <w:sz w:val="22"/>
              </w:rPr>
              <w:t>(</w:t>
            </w:r>
            <w:r w:rsidRPr="005A3BB2">
              <w:rPr>
                <w:noProof/>
              </w:rPr>
              <w:t>3,81 </w:t>
            </w:r>
            <w:r w:rsidRPr="005A3BB2">
              <w:rPr>
                <w:noProof/>
                <w:sz w:val="22"/>
              </w:rPr>
              <w:t>%)</w:t>
            </w:r>
          </w:p>
        </w:tc>
      </w:tr>
      <w:tr w:rsidR="00737FB8" w:rsidRPr="005A3BB2" w:rsidTr="001D5990">
        <w:tc>
          <w:tcPr>
            <w:tcW w:w="4644" w:type="dxa"/>
            <w:shd w:val="clear" w:color="auto" w:fill="auto"/>
          </w:tcPr>
          <w:p w:rsidR="00737FB8" w:rsidRPr="005A3BB2" w:rsidRDefault="00737FB8" w:rsidP="00737FB8">
            <w:pPr>
              <w:spacing w:before="60" w:after="60"/>
              <w:jc w:val="left"/>
              <w:rPr>
                <w:rFonts w:eastAsia="Times New Roman"/>
                <w:noProof/>
                <w:sz w:val="22"/>
              </w:rPr>
            </w:pPr>
            <w:r w:rsidRPr="005A3BB2">
              <w:rPr>
                <w:noProof/>
                <w:sz w:val="22"/>
              </w:rPr>
              <w:t>Coût total (a + b):</w:t>
            </w:r>
          </w:p>
        </w:tc>
        <w:tc>
          <w:tcPr>
            <w:tcW w:w="3096" w:type="dxa"/>
            <w:gridSpan w:val="2"/>
            <w:shd w:val="clear" w:color="auto" w:fill="D9D9D9"/>
            <w:vAlign w:val="center"/>
          </w:tcPr>
          <w:p w:rsidR="00737FB8" w:rsidRPr="005A3BB2" w:rsidRDefault="00737FB8" w:rsidP="00737FB8">
            <w:pPr>
              <w:spacing w:before="60" w:after="60"/>
              <w:jc w:val="center"/>
              <w:rPr>
                <w:rFonts w:eastAsia="Times New Roman"/>
                <w:noProof/>
                <w:sz w:val="22"/>
              </w:rPr>
            </w:pPr>
            <w:r w:rsidRPr="005A3BB2">
              <w:rPr>
                <w:noProof/>
                <w:sz w:val="22"/>
              </w:rPr>
              <w:t>—</w:t>
            </w:r>
          </w:p>
        </w:tc>
        <w:tc>
          <w:tcPr>
            <w:tcW w:w="1548" w:type="dxa"/>
            <w:shd w:val="clear" w:color="auto" w:fill="auto"/>
          </w:tcPr>
          <w:p w:rsidR="00737FB8" w:rsidRPr="005A3BB2" w:rsidRDefault="00737FB8" w:rsidP="00737FB8">
            <w:pPr>
              <w:spacing w:before="60" w:after="60"/>
              <w:jc w:val="center"/>
              <w:rPr>
                <w:noProof/>
                <w:sz w:val="22"/>
              </w:rPr>
            </w:pPr>
            <w:r w:rsidRPr="005A3BB2">
              <w:rPr>
                <w:rFonts w:ascii="TimesNewRoman" w:hAnsi="TimesNewRoman"/>
                <w:noProof/>
                <w:color w:val="000000"/>
              </w:rPr>
              <w:t>2 254 980</w:t>
            </w:r>
          </w:p>
        </w:tc>
      </w:tr>
      <w:tr w:rsidR="00737FB8" w:rsidRPr="005A3BB2" w:rsidTr="001D5990">
        <w:tc>
          <w:tcPr>
            <w:tcW w:w="4644" w:type="dxa"/>
            <w:shd w:val="clear" w:color="auto" w:fill="auto"/>
          </w:tcPr>
          <w:p w:rsidR="00737FB8" w:rsidRPr="005A3BB2" w:rsidRDefault="00737FB8" w:rsidP="00737FB8">
            <w:pPr>
              <w:spacing w:before="60" w:after="60"/>
              <w:jc w:val="left"/>
              <w:rPr>
                <w:rFonts w:eastAsia="Times New Roman"/>
                <w:noProof/>
                <w:sz w:val="22"/>
              </w:rPr>
            </w:pPr>
            <w:r w:rsidRPr="005A3BB2">
              <w:rPr>
                <w:noProof/>
                <w:sz w:val="22"/>
              </w:rPr>
              <w:t>Contribution du FEM (85 % du coût total)</w:t>
            </w:r>
          </w:p>
        </w:tc>
        <w:tc>
          <w:tcPr>
            <w:tcW w:w="3096" w:type="dxa"/>
            <w:gridSpan w:val="2"/>
            <w:shd w:val="clear" w:color="auto" w:fill="D9D9D9"/>
            <w:vAlign w:val="center"/>
          </w:tcPr>
          <w:p w:rsidR="00737FB8" w:rsidRPr="005A3BB2" w:rsidRDefault="00737FB8" w:rsidP="00737FB8">
            <w:pPr>
              <w:spacing w:before="60" w:after="60"/>
              <w:jc w:val="center"/>
              <w:rPr>
                <w:rFonts w:eastAsia="Times New Roman"/>
                <w:noProof/>
                <w:sz w:val="22"/>
              </w:rPr>
            </w:pPr>
            <w:r w:rsidRPr="005A3BB2">
              <w:rPr>
                <w:noProof/>
                <w:sz w:val="22"/>
              </w:rPr>
              <w:t>—</w:t>
            </w:r>
          </w:p>
        </w:tc>
        <w:tc>
          <w:tcPr>
            <w:tcW w:w="1548" w:type="dxa"/>
            <w:shd w:val="clear" w:color="auto" w:fill="auto"/>
          </w:tcPr>
          <w:p w:rsidR="00737FB8" w:rsidRPr="005A3BB2" w:rsidRDefault="00737FB8" w:rsidP="00737FB8">
            <w:pPr>
              <w:spacing w:before="60" w:after="60"/>
              <w:jc w:val="center"/>
              <w:rPr>
                <w:rFonts w:eastAsia="Times New Roman"/>
                <w:noProof/>
                <w:sz w:val="22"/>
              </w:rPr>
            </w:pPr>
            <w:r w:rsidRPr="005A3BB2">
              <w:rPr>
                <w:rFonts w:ascii="TimesNewRoman" w:hAnsi="TimesNewRoman"/>
                <w:noProof/>
                <w:color w:val="000000"/>
              </w:rPr>
              <w:t>1 916 733</w:t>
            </w:r>
          </w:p>
        </w:tc>
      </w:tr>
    </w:tbl>
    <w:p w:rsidR="001A62D7" w:rsidRPr="005A3BB2" w:rsidRDefault="001A62D7" w:rsidP="001A62D7">
      <w:pPr>
        <w:pStyle w:val="ManualHeading3"/>
        <w:rPr>
          <w:noProof/>
        </w:rPr>
      </w:pPr>
      <w:r w:rsidRPr="005A3BB2">
        <w:rPr>
          <w:noProof/>
        </w:rPr>
        <w:t>Période d’éligibilité des dépenses</w:t>
      </w:r>
    </w:p>
    <w:p w:rsidR="007A26EC" w:rsidRPr="005A3BB2" w:rsidRDefault="007A26EC" w:rsidP="009C50F6">
      <w:pPr>
        <w:pStyle w:val="ManualNumPar1"/>
        <w:rPr>
          <w:noProof/>
        </w:rPr>
      </w:pPr>
      <w:r>
        <w:rPr>
          <w:noProof/>
        </w:rPr>
        <w:t>32.</w:t>
      </w:r>
      <w:r>
        <w:rPr>
          <w:noProof/>
        </w:rPr>
        <w:tab/>
      </w:r>
      <w:r w:rsidRPr="005A3BB2">
        <w:rPr>
          <w:noProof/>
        </w:rPr>
        <w:t>La Belgique a commencé à fournir les services personnalisés aux bénéficiaires visés le 14 mars 2025. Les dépenses relatives aux mesures seront donc éligibles à une contribution financière du FEM à partir du 14 mars 2025 et pendant 24 mois après la date d’entrée en vigueur de la décision de financement.</w:t>
      </w:r>
    </w:p>
    <w:p w:rsidR="007A26EC" w:rsidRPr="005A3BB2" w:rsidRDefault="007A26EC" w:rsidP="009C50F6">
      <w:pPr>
        <w:pStyle w:val="ManualNumPar1"/>
        <w:rPr>
          <w:noProof/>
        </w:rPr>
      </w:pPr>
      <w:r>
        <w:rPr>
          <w:noProof/>
        </w:rPr>
        <w:t>33.</w:t>
      </w:r>
      <w:r>
        <w:rPr>
          <w:noProof/>
        </w:rPr>
        <w:tab/>
      </w:r>
      <w:r w:rsidRPr="005A3BB2">
        <w:rPr>
          <w:noProof/>
        </w:rPr>
        <w:t xml:space="preserve">La Belgique a commencé à engager les dépenses administratives pour la mise en œuvre du FEM le 6 mars 2025. Les dépenses relatives aux activités de préparation, de gestion, d’information et de publicité, ainsi que de contrôle et de rapport, peuvent donc faire l’objet d’une contribution financière du FEM à partir du 6 mars 2025 et pendant 31 mois après la date d’entrée en vigueur de la décision de financement.  </w:t>
      </w:r>
    </w:p>
    <w:p w:rsidR="001A62D7" w:rsidRPr="005A3BB2" w:rsidRDefault="001A62D7" w:rsidP="001A62D7">
      <w:pPr>
        <w:pStyle w:val="ManualHeading2"/>
        <w:rPr>
          <w:noProof/>
        </w:rPr>
      </w:pPr>
      <w:r w:rsidRPr="005A3BB2">
        <w:rPr>
          <w:noProof/>
        </w:rPr>
        <w:t>Systèmes de gestion et de contrôle</w:t>
      </w:r>
    </w:p>
    <w:p w:rsidR="007A26EC" w:rsidRPr="005A3BB2" w:rsidRDefault="007A26EC" w:rsidP="009C50F6">
      <w:pPr>
        <w:pStyle w:val="ManualNumPar1"/>
        <w:rPr>
          <w:noProof/>
        </w:rPr>
      </w:pPr>
      <w:r>
        <w:rPr>
          <w:noProof/>
        </w:rPr>
        <w:t>34.</w:t>
      </w:r>
      <w:r>
        <w:rPr>
          <w:noProof/>
        </w:rPr>
        <w:tab/>
      </w:r>
      <w:r w:rsidRPr="005A3BB2">
        <w:rPr>
          <w:noProof/>
        </w:rPr>
        <w:t xml:space="preserve">La demande contient une description du système de gestion et de contrôle requis au titre de l’article 23 du règlement (UE) 2021/691, qui précise les responsabilités des organismes concernés. La Belgique a indiqué à la Commission que la contribution financière serait gérée par le VDAB. Les paiements seront effectués par le service financier du VDAB. L’autorité d’audit du FEM est le département des finances et du budget — unité d’audit de l’autorité d’audit flamande pour les Fonds structurels européens. </w:t>
      </w:r>
    </w:p>
    <w:p w:rsidR="001A62D7" w:rsidRPr="005A3BB2" w:rsidRDefault="001A62D7" w:rsidP="001A62D7">
      <w:pPr>
        <w:pStyle w:val="ManualHeading2"/>
        <w:rPr>
          <w:noProof/>
        </w:rPr>
      </w:pPr>
      <w:r w:rsidRPr="005A3BB2">
        <w:rPr>
          <w:noProof/>
        </w:rPr>
        <w:t>Engagements de l’État membre concerné</w:t>
      </w:r>
    </w:p>
    <w:p w:rsidR="001A62D7" w:rsidRPr="005A3BB2" w:rsidRDefault="007A26EC" w:rsidP="009C50F6">
      <w:pPr>
        <w:pStyle w:val="ManualNumPar1"/>
        <w:rPr>
          <w:noProof/>
        </w:rPr>
      </w:pPr>
      <w:r>
        <w:rPr>
          <w:noProof/>
        </w:rPr>
        <w:t>35.</w:t>
      </w:r>
      <w:r>
        <w:rPr>
          <w:noProof/>
        </w:rPr>
        <w:tab/>
      </w:r>
      <w:r w:rsidRPr="005A3BB2">
        <w:rPr>
          <w:noProof/>
        </w:rPr>
        <w:t xml:space="preserve">La Belgique a apporté toutes les assurances nécessaires concernant les aspects suivants: </w:t>
      </w:r>
    </w:p>
    <w:p w:rsidR="001A62D7" w:rsidRPr="005A3BB2" w:rsidRDefault="001A62D7" w:rsidP="001A62D7">
      <w:pPr>
        <w:pStyle w:val="Tiret1"/>
        <w:rPr>
          <w:noProof/>
        </w:rPr>
      </w:pPr>
      <w:r w:rsidRPr="005A3BB2">
        <w:rPr>
          <w:noProof/>
        </w:rPr>
        <w:t>les principes d’égalité de traitement et de non-discrimination seront respectés pour l’accès aux mesures proposées et leur réalisation;</w:t>
      </w:r>
    </w:p>
    <w:p w:rsidR="001A62D7" w:rsidRPr="005A3BB2" w:rsidRDefault="001A62D7" w:rsidP="001A62D7">
      <w:pPr>
        <w:pStyle w:val="Tiret1"/>
        <w:rPr>
          <w:noProof/>
        </w:rPr>
      </w:pPr>
      <w:r w:rsidRPr="005A3BB2">
        <w:rPr>
          <w:noProof/>
        </w:rPr>
        <w:t>les exigences fixées dans la législation nationale et dans celle de l’UE concernant les licenciements collectifs ont été respectées;</w:t>
      </w:r>
    </w:p>
    <w:p w:rsidR="001A62D7" w:rsidRPr="005A3BB2" w:rsidRDefault="001A62D7" w:rsidP="001A62D7">
      <w:pPr>
        <w:pStyle w:val="Tiret1"/>
        <w:rPr>
          <w:noProof/>
        </w:rPr>
      </w:pPr>
      <w:r w:rsidRPr="005A3BB2">
        <w:rPr>
          <w:noProof/>
        </w:rPr>
        <w:t>tout double financement sera évité;</w:t>
      </w:r>
    </w:p>
    <w:p w:rsidR="001A62D7" w:rsidRPr="005A3BB2" w:rsidRDefault="001A62D7" w:rsidP="001A62D7">
      <w:pPr>
        <w:pStyle w:val="Tiret1"/>
        <w:rPr>
          <w:noProof/>
        </w:rPr>
      </w:pPr>
      <w:r w:rsidRPr="005A3BB2">
        <w:rPr>
          <w:noProof/>
        </w:rPr>
        <w:t>la contribution financière du FEM sera conforme aux règles procédurales et aux règles de fond de l’UE en matière d’aides d’État.</w:t>
      </w:r>
    </w:p>
    <w:p w:rsidR="001A62D7" w:rsidRPr="005A3BB2" w:rsidRDefault="001A62D7" w:rsidP="001A62D7">
      <w:pPr>
        <w:pStyle w:val="ManualHeading1"/>
        <w:rPr>
          <w:noProof/>
        </w:rPr>
      </w:pPr>
      <w:r w:rsidRPr="005A3BB2">
        <w:rPr>
          <w:noProof/>
        </w:rPr>
        <w:t>INCIDENCE BUDGÉTAIRE</w:t>
      </w:r>
    </w:p>
    <w:p w:rsidR="001A62D7" w:rsidRPr="005A3BB2" w:rsidRDefault="001A62D7" w:rsidP="001A62D7">
      <w:pPr>
        <w:pStyle w:val="ManualHeading2"/>
        <w:rPr>
          <w:noProof/>
        </w:rPr>
      </w:pPr>
      <w:r w:rsidRPr="005A3BB2">
        <w:rPr>
          <w:noProof/>
        </w:rPr>
        <w:t>Proposition budgétaire</w:t>
      </w:r>
    </w:p>
    <w:p w:rsidR="001A62D7" w:rsidRPr="005A3BB2" w:rsidRDefault="001A62D7" w:rsidP="009C50F6">
      <w:pPr>
        <w:pStyle w:val="ManualNumPar1"/>
        <w:rPr>
          <w:noProof/>
        </w:rPr>
      </w:pPr>
      <w:r>
        <w:rPr>
          <w:noProof/>
        </w:rPr>
        <w:t>36.</w:t>
      </w:r>
      <w:r>
        <w:rPr>
          <w:noProof/>
        </w:rPr>
        <w:tab/>
      </w:r>
      <w:r w:rsidRPr="005A3BB2">
        <w:rPr>
          <w:noProof/>
        </w:rPr>
        <w:t>La dotation annuelle du FEM n’excède pas un montant maximal de 30 000 000 EUR (aux prix de 2018), comme le prévoit l’article 8 du règlement (UE, Euratom) 2020/2093 du Conseil du 17 décembre 2020 fixant le cadre financier pluriannuel pour les années 2021 à 2027</w:t>
      </w:r>
      <w:r w:rsidRPr="005A3BB2">
        <w:rPr>
          <w:rStyle w:val="FootnoteReference"/>
          <w:noProof/>
        </w:rPr>
        <w:footnoteReference w:id="20"/>
      </w:r>
      <w:r w:rsidRPr="005A3BB2">
        <w:rPr>
          <w:noProof/>
        </w:rPr>
        <w:t>, modifié par le règlement (UE, Euratom) 2024/765 du Conseil du 29 février 2024</w:t>
      </w:r>
      <w:r w:rsidRPr="005A3BB2">
        <w:rPr>
          <w:rStyle w:val="FootnoteReference"/>
          <w:noProof/>
        </w:rPr>
        <w:footnoteReference w:id="21"/>
      </w:r>
      <w:r w:rsidRPr="005A3BB2">
        <w:rPr>
          <w:noProof/>
        </w:rPr>
        <w:t>.</w:t>
      </w:r>
    </w:p>
    <w:p w:rsidR="001A62D7" w:rsidRPr="005A3BB2" w:rsidRDefault="001A62D7" w:rsidP="009C50F6">
      <w:pPr>
        <w:pStyle w:val="ManualNumPar1"/>
        <w:rPr>
          <w:rFonts w:eastAsia="Calibri"/>
          <w:noProof/>
        </w:rPr>
      </w:pPr>
      <w:r>
        <w:rPr>
          <w:noProof/>
        </w:rPr>
        <w:lastRenderedPageBreak/>
        <w:t>37.</w:t>
      </w:r>
      <w:r>
        <w:rPr>
          <w:noProof/>
        </w:rPr>
        <w:tab/>
      </w:r>
      <w:r w:rsidRPr="005A3BB2">
        <w:rPr>
          <w:noProof/>
        </w:rPr>
        <w:t xml:space="preserve">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w:t>
      </w:r>
      <w:r w:rsidRPr="005A3BB2">
        <w:rPr>
          <w:rFonts w:ascii="TimesNewRoman" w:hAnsi="TimesNewRoman"/>
          <w:noProof/>
          <w:color w:val="000000"/>
        </w:rPr>
        <w:t>1 916 733</w:t>
      </w:r>
      <w:r w:rsidRPr="005A3BB2">
        <w:rPr>
          <w:noProof/>
        </w:rPr>
        <w:t> EUR, soit 85 % du coût total des mesures proposées, afin d’apporter une contribution financière en réponse à la demande.</w:t>
      </w:r>
    </w:p>
    <w:p w:rsidR="001A62D7" w:rsidRPr="005A3BB2" w:rsidRDefault="001A62D7" w:rsidP="009C50F6">
      <w:pPr>
        <w:pStyle w:val="ManualNumPar1"/>
        <w:rPr>
          <w:rFonts w:eastAsia="Times New Roman"/>
          <w:noProof/>
        </w:rPr>
      </w:pPr>
      <w:r>
        <w:rPr>
          <w:noProof/>
        </w:rPr>
        <w:t>38.</w:t>
      </w:r>
      <w:r>
        <w:rPr>
          <w:noProof/>
        </w:rPr>
        <w:tab/>
      </w:r>
      <w:r w:rsidRPr="005A3BB2">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les nouvelles ressources propres, comportant une feuille de route en vue de la mise en place de nouvelles ressources propres</w:t>
      </w:r>
      <w:r w:rsidRPr="005A3BB2">
        <w:rPr>
          <w:rStyle w:val="FootnoteReference"/>
          <w:noProof/>
        </w:rPr>
        <w:footnoteReference w:id="22"/>
      </w:r>
      <w:r w:rsidRPr="005A3BB2">
        <w:rPr>
          <w:noProof/>
        </w:rPr>
        <w:t>.</w:t>
      </w:r>
    </w:p>
    <w:p w:rsidR="001A62D7" w:rsidRPr="005A3BB2" w:rsidRDefault="001A62D7" w:rsidP="001A62D7">
      <w:pPr>
        <w:pStyle w:val="ManualHeading2"/>
        <w:rPr>
          <w:noProof/>
        </w:rPr>
      </w:pPr>
      <w:r w:rsidRPr="005A3BB2">
        <w:rPr>
          <w:noProof/>
        </w:rPr>
        <w:t>Actes liés</w:t>
      </w:r>
    </w:p>
    <w:p w:rsidR="001A62D7" w:rsidRPr="005A3BB2" w:rsidRDefault="001A62D7" w:rsidP="009C50F6">
      <w:pPr>
        <w:pStyle w:val="ManualNumPar1"/>
        <w:rPr>
          <w:noProof/>
        </w:rPr>
      </w:pPr>
      <w:r>
        <w:rPr>
          <w:noProof/>
        </w:rPr>
        <w:t>39.</w:t>
      </w:r>
      <w:r>
        <w:rPr>
          <w:noProof/>
        </w:rPr>
        <w:tab/>
      </w:r>
      <w:r w:rsidRPr="005A3BB2">
        <w:rPr>
          <w:noProof/>
        </w:rPr>
        <w:t xml:space="preserve">En même temps que la présente proposition de décision de mobilisation du FEM, la Commission présentera au Parlement européen et au Conseil une proposition de virement à la ligne budgétaire concernée d’un montant de </w:t>
      </w:r>
      <w:r w:rsidRPr="005A3BB2">
        <w:rPr>
          <w:rFonts w:ascii="TimesNewRoman" w:hAnsi="TimesNewRoman"/>
          <w:noProof/>
          <w:color w:val="000000"/>
        </w:rPr>
        <w:t>1 916 733</w:t>
      </w:r>
      <w:r w:rsidRPr="005A3BB2">
        <w:rPr>
          <w:noProof/>
        </w:rPr>
        <w:t> EUR.</w:t>
      </w:r>
    </w:p>
    <w:p w:rsidR="001A62D7" w:rsidRPr="005A3BB2" w:rsidRDefault="001A62D7" w:rsidP="009C50F6">
      <w:pPr>
        <w:pStyle w:val="ManualNumPar1"/>
        <w:rPr>
          <w:noProof/>
        </w:rPr>
      </w:pPr>
      <w:r>
        <w:rPr>
          <w:noProof/>
        </w:rPr>
        <w:t>40.</w:t>
      </w:r>
      <w:r>
        <w:rPr>
          <w:noProof/>
        </w:rPr>
        <w:tab/>
      </w:r>
      <w:r w:rsidRPr="005A3BB2">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Pr="005A3BB2">
        <w:rPr>
          <w:rStyle w:val="FootnoteReference"/>
          <w:noProof/>
        </w:rPr>
        <w:footnoteReference w:id="23"/>
      </w:r>
      <w:r w:rsidRPr="005A3BB2">
        <w:rPr>
          <w:noProof/>
        </w:rPr>
        <w:t>. Cette décision de financement entre en vigueur à la date à laquelle la Commission est informée de l’approbation du virement budgétaire par le Parlement européen et le Conseil conformément à l’article 15, paragraphe 2, premier alinéa, du règlement (UE) 2021/691.</w:t>
      </w:r>
    </w:p>
    <w:p w:rsidR="001A62D7" w:rsidRPr="005A3BB2" w:rsidRDefault="001A62D7" w:rsidP="001A62D7">
      <w:pPr>
        <w:rPr>
          <w:noProof/>
        </w:rPr>
        <w:sectPr w:rsidR="001A62D7" w:rsidRPr="005A3BB2" w:rsidSect="00ED022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F631BC" w:rsidRDefault="00A952FA">
      <w:pPr>
        <w:pStyle w:val="Rfrenceinterinstitutionnelle"/>
        <w:rPr>
          <w:noProof/>
        </w:rPr>
      </w:pPr>
      <w:r>
        <w:rPr>
          <w:noProof/>
        </w:rPr>
        <w:lastRenderedPageBreak/>
        <w:t>2026/0038 (BUD)</w:t>
      </w:r>
    </w:p>
    <w:p w:rsidR="001A62D7" w:rsidRPr="005A3BB2" w:rsidRDefault="007A7CD1" w:rsidP="007A7CD1">
      <w:pPr>
        <w:pStyle w:val="Statut"/>
        <w:rPr>
          <w:noProof/>
        </w:rPr>
      </w:pPr>
      <w:r w:rsidRPr="007A7CD1">
        <w:rPr>
          <w:noProof/>
        </w:rPr>
        <w:t>Proposition de</w:t>
      </w:r>
    </w:p>
    <w:p w:rsidR="001A62D7" w:rsidRPr="005A3BB2" w:rsidRDefault="007A7CD1" w:rsidP="007A7CD1">
      <w:pPr>
        <w:pStyle w:val="Typedudocument"/>
        <w:rPr>
          <w:noProof/>
        </w:rPr>
      </w:pPr>
      <w:r w:rsidRPr="007A7CD1">
        <w:rPr>
          <w:noProof/>
        </w:rPr>
        <w:t>DÉCISION DU PARLEMENT EUROPÉEN ET DU CONSEIL</w:t>
      </w:r>
    </w:p>
    <w:p w:rsidR="001A62D7" w:rsidRPr="005A3BB2" w:rsidRDefault="007A7CD1" w:rsidP="007A7CD1">
      <w:pPr>
        <w:pStyle w:val="Titreobjet"/>
        <w:rPr>
          <w:noProof/>
        </w:rPr>
      </w:pPr>
      <w:r w:rsidRPr="007A7CD1">
        <w:rPr>
          <w:noProof/>
        </w:rPr>
        <w:t>relative à la mobilisation du Fonds européen d’ajustement à la mondialisation en faveur des travailleurs licenciés à la suite d’une demande de la Belgique (EGF/2025/007 BE/Casa)</w:t>
      </w:r>
    </w:p>
    <w:p w:rsidR="001A62D7" w:rsidRPr="005A3BB2" w:rsidRDefault="001A62D7" w:rsidP="001A62D7">
      <w:pPr>
        <w:pStyle w:val="Institutionquiagit"/>
        <w:rPr>
          <w:noProof/>
        </w:rPr>
      </w:pPr>
      <w:r w:rsidRPr="005A3BB2">
        <w:rPr>
          <w:noProof/>
        </w:rPr>
        <w:t>LE PARLEMENT EUROPÉEN ET LE CONSEIL DE L’UNION EUROPÉENNE,</w:t>
      </w:r>
    </w:p>
    <w:p w:rsidR="001A62D7" w:rsidRPr="005A3BB2" w:rsidRDefault="001A62D7" w:rsidP="001A62D7">
      <w:pPr>
        <w:rPr>
          <w:noProof/>
        </w:rPr>
      </w:pPr>
      <w:r w:rsidRPr="005A3BB2">
        <w:rPr>
          <w:noProof/>
        </w:rPr>
        <w:t>vu le traité sur le fonctionnement de l’Union européenne,</w:t>
      </w:r>
    </w:p>
    <w:p w:rsidR="001A62D7" w:rsidRPr="005A3BB2" w:rsidRDefault="001A62D7" w:rsidP="001A62D7">
      <w:pPr>
        <w:rPr>
          <w:noProof/>
        </w:rPr>
      </w:pPr>
      <w:r w:rsidRPr="005A3BB2">
        <w:rPr>
          <w:noProof/>
        </w:rPr>
        <w:t>vu le règlement (UE) 2021/691 du Parlement européen et du Conseil du 28 avril 2021 relatif au Fonds européen d’ajustement à la mondialisation en faveur des travailleurs licenciés (FEM) et abrogeant le règlement (UE) nº 1309/2013</w:t>
      </w:r>
      <w:r w:rsidRPr="005A3BB2">
        <w:rPr>
          <w:rStyle w:val="FootnoteReference"/>
          <w:noProof/>
        </w:rPr>
        <w:footnoteReference w:id="24"/>
      </w:r>
      <w:r w:rsidRPr="005A3BB2">
        <w:rPr>
          <w:noProof/>
        </w:rPr>
        <w:t>, et notamment son article 15, paragraphe 1, premier alinéa,</w:t>
      </w:r>
    </w:p>
    <w:p w:rsidR="001A62D7" w:rsidRPr="005A3BB2" w:rsidRDefault="001A62D7" w:rsidP="001A62D7">
      <w:pPr>
        <w:rPr>
          <w:noProof/>
        </w:rPr>
      </w:pPr>
      <w:r w:rsidRPr="005A3BB2">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5A3BB2">
        <w:rPr>
          <w:rStyle w:val="FootnoteReference"/>
          <w:noProof/>
        </w:rPr>
        <w:footnoteReference w:id="25"/>
      </w:r>
      <w:r w:rsidRPr="005A3BB2">
        <w:rPr>
          <w:noProof/>
        </w:rPr>
        <w:t>, et notamment son point 9,</w:t>
      </w:r>
    </w:p>
    <w:p w:rsidR="001A62D7" w:rsidRPr="005A3BB2" w:rsidRDefault="001A62D7" w:rsidP="001A62D7">
      <w:pPr>
        <w:rPr>
          <w:noProof/>
        </w:rPr>
      </w:pPr>
      <w:r w:rsidRPr="005A3BB2">
        <w:rPr>
          <w:noProof/>
        </w:rPr>
        <w:t>vu la proposition de la Commission européenne,</w:t>
      </w:r>
    </w:p>
    <w:p w:rsidR="001A62D7" w:rsidRPr="005A3BB2" w:rsidRDefault="001A62D7" w:rsidP="001A62D7">
      <w:pPr>
        <w:rPr>
          <w:noProof/>
        </w:rPr>
      </w:pPr>
      <w:r w:rsidRPr="005A3BB2">
        <w:rPr>
          <w:noProof/>
        </w:rPr>
        <w:t>considérant ce qui suit:</w:t>
      </w:r>
    </w:p>
    <w:p w:rsidR="001A62D7" w:rsidRPr="005A3BB2" w:rsidRDefault="001A62D7" w:rsidP="009C50F6">
      <w:pPr>
        <w:pStyle w:val="ManualConsidrant"/>
        <w:rPr>
          <w:noProof/>
        </w:rPr>
      </w:pPr>
      <w:r>
        <w:rPr>
          <w:noProof/>
        </w:rPr>
        <w:t>(1)</w:t>
      </w:r>
      <w:r>
        <w:rPr>
          <w:noProof/>
        </w:rPr>
        <w:tab/>
      </w:r>
      <w:r w:rsidRPr="005A3BB2">
        <w:rPr>
          <w:noProof/>
        </w:rPr>
        <w:t xml:space="preserve">Le Fonds européen d’ajustement à la mondialisation en faveur des travailleurs licenciés (FEM) vise à favoriser la solidarité et à promouvoir des emplois décents et durables dans l’Union en apportant un soutien aux travailleurs licenciés et aux travailleurs indépendants dont l’activité a cessé lors de restructurations de grande ampleur et en les aidant à retrouver, dès que possible, un emploi décent et durable. </w:t>
      </w:r>
    </w:p>
    <w:p w:rsidR="001A62D7" w:rsidRPr="005A3BB2" w:rsidRDefault="001A62D7" w:rsidP="009C50F6">
      <w:pPr>
        <w:pStyle w:val="ManualConsidrant"/>
        <w:rPr>
          <w:noProof/>
        </w:rPr>
      </w:pPr>
      <w:r>
        <w:rPr>
          <w:noProof/>
        </w:rPr>
        <w:t>(2)</w:t>
      </w:r>
      <w:r>
        <w:rPr>
          <w:noProof/>
        </w:rPr>
        <w:tab/>
      </w:r>
      <w:r w:rsidRPr="005A3BB2">
        <w:rPr>
          <w:noProof/>
        </w:rPr>
        <w:t>La dotation annuelle du FEM n’excède pas un montant maximal de 30 000 000 EUR (aux prix de 2018), comme le prévoient l’article 8 du règlement (UE, Euratom) 2020/2093 du Conseil</w:t>
      </w:r>
      <w:r w:rsidRPr="005A3BB2">
        <w:rPr>
          <w:rStyle w:val="FootnoteReference"/>
          <w:noProof/>
        </w:rPr>
        <w:footnoteReference w:id="26"/>
      </w:r>
      <w:r w:rsidRPr="005A3BB2">
        <w:rPr>
          <w:noProof/>
        </w:rPr>
        <w:t>, modifié par le règlement (UE, Euratom) 2024/765 du Conseil</w:t>
      </w:r>
      <w:r w:rsidRPr="005A3BB2">
        <w:rPr>
          <w:rStyle w:val="FootnoteReference"/>
          <w:noProof/>
        </w:rPr>
        <w:footnoteReference w:id="27"/>
      </w:r>
      <w:r w:rsidRPr="005A3BB2">
        <w:rPr>
          <w:noProof/>
        </w:rPr>
        <w:t>, et l’article 16 du règlement (UE) 2021/691.</w:t>
      </w:r>
    </w:p>
    <w:p w:rsidR="001A62D7" w:rsidRPr="005A3BB2" w:rsidRDefault="001A62D7" w:rsidP="009C50F6">
      <w:pPr>
        <w:pStyle w:val="ManualConsidrant"/>
        <w:rPr>
          <w:noProof/>
        </w:rPr>
      </w:pPr>
      <w:r>
        <w:rPr>
          <w:noProof/>
        </w:rPr>
        <w:t>(3)</w:t>
      </w:r>
      <w:r>
        <w:rPr>
          <w:noProof/>
        </w:rPr>
        <w:tab/>
      </w:r>
      <w:r w:rsidRPr="005A3BB2">
        <w:rPr>
          <w:noProof/>
        </w:rPr>
        <w:t xml:space="preserve">Le 23 septembre 2025, la Belgique a présenté, conformément à l’article 8, paragraphe 1, du règlement (UE) 2021/691, une demande d’intervention du FEM en ce qui concerne les licenciements survenus chez Casa en Belgique.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effectuée par la Commission </w:t>
      </w:r>
      <w:r w:rsidRPr="005A3BB2">
        <w:rPr>
          <w:noProof/>
        </w:rPr>
        <w:lastRenderedPageBreak/>
        <w:t>dans la proposition de décision du Parlement européen et du Conseil relative à la mobilisation du FEM</w:t>
      </w:r>
      <w:r w:rsidRPr="005A3BB2">
        <w:rPr>
          <w:rStyle w:val="FootnoteReference"/>
          <w:iCs/>
          <w:noProof/>
        </w:rPr>
        <w:footnoteReference w:id="28"/>
      </w:r>
      <w:r w:rsidRPr="005A3BB2">
        <w:rPr>
          <w:noProof/>
        </w:rPr>
        <w:t>.</w:t>
      </w:r>
    </w:p>
    <w:p w:rsidR="001A62D7" w:rsidRPr="005A3BB2" w:rsidRDefault="001A62D7" w:rsidP="009C50F6">
      <w:pPr>
        <w:pStyle w:val="ManualConsidrant"/>
        <w:rPr>
          <w:noProof/>
        </w:rPr>
      </w:pPr>
      <w:r>
        <w:rPr>
          <w:noProof/>
        </w:rPr>
        <w:t>(4)</w:t>
      </w:r>
      <w:r>
        <w:rPr>
          <w:noProof/>
        </w:rPr>
        <w:tab/>
      </w:r>
      <w:r w:rsidRPr="005A3BB2">
        <w:rPr>
          <w:noProof/>
        </w:rPr>
        <w:t xml:space="preserve">Il convient, par conséquent, de mobiliser le FEM en vue d’octroyer une contribution financière d’un montant de </w:t>
      </w:r>
      <w:r w:rsidRPr="005A3BB2">
        <w:rPr>
          <w:rFonts w:ascii="TimesNewRoman" w:hAnsi="TimesNewRoman"/>
          <w:noProof/>
          <w:color w:val="000000"/>
        </w:rPr>
        <w:t>1 916 733</w:t>
      </w:r>
      <w:r w:rsidRPr="005A3BB2">
        <w:rPr>
          <w:noProof/>
        </w:rPr>
        <w:t> EUR en réponse à la demande présentée par la Belgique.</w:t>
      </w:r>
    </w:p>
    <w:p w:rsidR="001A62D7" w:rsidRPr="005A3BB2" w:rsidRDefault="001A62D7" w:rsidP="009C50F6">
      <w:pPr>
        <w:pStyle w:val="ManualConsidrant"/>
        <w:rPr>
          <w:noProof/>
        </w:rPr>
      </w:pPr>
      <w:r>
        <w:rPr>
          <w:noProof/>
        </w:rPr>
        <w:t>(5)</w:t>
      </w:r>
      <w:r>
        <w:rPr>
          <w:noProof/>
        </w:rPr>
        <w:tab/>
      </w:r>
      <w:r w:rsidRPr="005A3BB2">
        <w:rPr>
          <w:noProof/>
        </w:rPr>
        <w:t>Afin de limiter au maximum le délai de mobilisation du FEM, il convient que la présente décision soit applicable à partir de la date de son adoption,</w:t>
      </w:r>
    </w:p>
    <w:p w:rsidR="001A62D7" w:rsidRPr="005A3BB2" w:rsidRDefault="001A62D7" w:rsidP="001A62D7">
      <w:pPr>
        <w:pStyle w:val="Formuledadoption"/>
        <w:rPr>
          <w:noProof/>
        </w:rPr>
      </w:pPr>
      <w:r w:rsidRPr="005A3BB2">
        <w:rPr>
          <w:noProof/>
        </w:rPr>
        <w:t xml:space="preserve">ONT ADOPTÉ LA PRÉSENTE DÉCISION: </w:t>
      </w:r>
    </w:p>
    <w:p w:rsidR="001A62D7" w:rsidRPr="005A3BB2" w:rsidRDefault="001A62D7" w:rsidP="001A62D7">
      <w:pPr>
        <w:pStyle w:val="Titrearticle"/>
        <w:rPr>
          <w:noProof/>
        </w:rPr>
      </w:pPr>
      <w:r w:rsidRPr="005A3BB2">
        <w:rPr>
          <w:noProof/>
        </w:rPr>
        <w:t>Article premier</w:t>
      </w:r>
    </w:p>
    <w:p w:rsidR="001A62D7" w:rsidRPr="005A3BB2" w:rsidRDefault="001A62D7" w:rsidP="001A62D7">
      <w:pPr>
        <w:rPr>
          <w:noProof/>
        </w:rPr>
      </w:pPr>
      <w:r w:rsidRPr="005A3BB2">
        <w:rPr>
          <w:noProof/>
        </w:rPr>
        <w:t xml:space="preserve">Dans le cadre du budget général de l’UE établi pour l’exercice 2026, un montant de </w:t>
      </w:r>
      <w:r w:rsidRPr="005A3BB2">
        <w:rPr>
          <w:rFonts w:ascii="TimesNewRoman" w:hAnsi="TimesNewRoman"/>
          <w:noProof/>
          <w:color w:val="000000"/>
        </w:rPr>
        <w:t>1 916 733</w:t>
      </w:r>
      <w:r w:rsidRPr="005A3BB2">
        <w:rPr>
          <w:noProof/>
        </w:rPr>
        <w:t> EUR en crédits d’engagement et de paiement est mobilisé au titre du Fonds européen d’ajustement à la mondialisation en faveur des travailleurs licenciés.</w:t>
      </w:r>
    </w:p>
    <w:p w:rsidR="001A62D7" w:rsidRPr="005A3BB2" w:rsidRDefault="001A62D7" w:rsidP="00FC043C">
      <w:pPr>
        <w:pStyle w:val="Titrearticle"/>
        <w:rPr>
          <w:noProof/>
        </w:rPr>
      </w:pPr>
      <w:r w:rsidRPr="005A3BB2">
        <w:rPr>
          <w:noProof/>
        </w:rPr>
        <w:t>Article 2</w:t>
      </w:r>
    </w:p>
    <w:p w:rsidR="001A62D7" w:rsidRPr="005A3BB2" w:rsidRDefault="001A62D7" w:rsidP="001A62D7">
      <w:pPr>
        <w:keepNext/>
        <w:keepLines/>
        <w:rPr>
          <w:noProof/>
        </w:rPr>
      </w:pPr>
      <w:r w:rsidRPr="005A3BB2">
        <w:rPr>
          <w:noProof/>
        </w:rPr>
        <w:t xml:space="preserve">La présente décision entre en vigueur le jour de sa publication au </w:t>
      </w:r>
      <w:r w:rsidRPr="005A3BB2">
        <w:rPr>
          <w:i/>
          <w:iCs/>
          <w:noProof/>
        </w:rPr>
        <w:t>Journal officiel de l’Union européenne</w:t>
      </w:r>
      <w:r w:rsidRPr="005A3BB2">
        <w:rPr>
          <w:noProof/>
        </w:rPr>
        <w:t>. Elle est applicable à partir du</w:t>
      </w:r>
      <w:r w:rsidRPr="005A3BB2">
        <w:rPr>
          <w:i/>
          <w:noProof/>
          <w:color w:val="FF0000"/>
        </w:rPr>
        <w:t xml:space="preserve"> [date de son adoption</w:t>
      </w:r>
      <w:r w:rsidR="008621D2" w:rsidRPr="008621D2">
        <w:rPr>
          <w:i/>
          <w:iCs/>
          <w:noProof/>
          <w:color w:val="FF0000"/>
        </w:rPr>
        <w:t>]</w:t>
      </w:r>
      <w:r w:rsidR="008621D2">
        <w:rPr>
          <w:rStyle w:val="FootnoteReference"/>
          <w:i/>
          <w:iCs/>
          <w:noProof/>
          <w:color w:val="FF0000"/>
        </w:rPr>
        <w:footnoteReference w:customMarkFollows="1" w:id="29"/>
        <w:t>*</w:t>
      </w:r>
      <w:r w:rsidRPr="005A3BB2">
        <w:rPr>
          <w:noProof/>
        </w:rPr>
        <w:t xml:space="preserve">. </w:t>
      </w:r>
    </w:p>
    <w:p w:rsidR="001A62D7" w:rsidRPr="005A3BB2" w:rsidRDefault="007A7CD1" w:rsidP="00FC043C">
      <w:pPr>
        <w:pStyle w:val="Fait"/>
        <w:rPr>
          <w:noProof/>
        </w:rPr>
      </w:pPr>
      <w:r>
        <w:rPr>
          <w:noProof/>
        </w:rPr>
        <w:t>Fait à Bruxelles, le</w:t>
      </w:r>
    </w:p>
    <w:p w:rsidR="001A62D7" w:rsidRPr="005A3BB2" w:rsidRDefault="001A62D7" w:rsidP="00FC043C">
      <w:pPr>
        <w:pStyle w:val="Institutionquisigne"/>
        <w:rPr>
          <w:noProof/>
        </w:rPr>
      </w:pPr>
      <w:r w:rsidRPr="005A3BB2">
        <w:rPr>
          <w:noProof/>
        </w:rPr>
        <w:t>Par le Parlement européen</w:t>
      </w:r>
      <w:r w:rsidRPr="005A3BB2">
        <w:rPr>
          <w:noProof/>
        </w:rPr>
        <w:tab/>
        <w:t>Par le Conseil</w:t>
      </w:r>
    </w:p>
    <w:p w:rsidR="001A62D7" w:rsidRPr="005A3BB2" w:rsidRDefault="001A62D7" w:rsidP="001A62D7">
      <w:pPr>
        <w:pStyle w:val="Personnequisigne"/>
        <w:rPr>
          <w:noProof/>
        </w:rPr>
      </w:pPr>
      <w:r w:rsidRPr="005A3BB2">
        <w:rPr>
          <w:noProof/>
        </w:rPr>
        <w:t>La présidente</w:t>
      </w:r>
      <w:r w:rsidRPr="005A3BB2">
        <w:rPr>
          <w:noProof/>
        </w:rPr>
        <w:tab/>
        <w:t xml:space="preserve">Le président/La présidente </w:t>
      </w:r>
      <w:r w:rsidRPr="005A3BB2">
        <w:rPr>
          <w:noProof/>
        </w:rPr>
        <w:br/>
      </w:r>
    </w:p>
    <w:sectPr w:rsidR="001A62D7" w:rsidRPr="005A3BB2" w:rsidSect="00ED022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C3" w:rsidRDefault="00CE63C3" w:rsidP="001A62D7">
      <w:pPr>
        <w:spacing w:before="0" w:after="0"/>
      </w:pPr>
      <w:r>
        <w:separator/>
      </w:r>
    </w:p>
  </w:endnote>
  <w:endnote w:type="continuationSeparator" w:id="0">
    <w:p w:rsidR="00CE63C3" w:rsidRDefault="00CE63C3"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2B" w:rsidRPr="00ED022B" w:rsidRDefault="00ED022B" w:rsidP="00ED022B">
    <w:pPr>
      <w:pStyle w:val="Footer"/>
      <w:rPr>
        <w:rFonts w:ascii="Arial" w:hAnsi="Arial" w:cs="Arial"/>
        <w:b/>
        <w:sz w:val="48"/>
      </w:rPr>
    </w:pPr>
    <w:r w:rsidRPr="00ED022B">
      <w:rPr>
        <w:rFonts w:ascii="Arial" w:hAnsi="Arial" w:cs="Arial"/>
        <w:b/>
        <w:sz w:val="48"/>
      </w:rPr>
      <w:t>FR</w:t>
    </w:r>
    <w:r w:rsidRPr="00ED022B">
      <w:rPr>
        <w:rFonts w:ascii="Arial" w:hAnsi="Arial" w:cs="Arial"/>
        <w:b/>
        <w:sz w:val="48"/>
      </w:rPr>
      <w:tab/>
    </w:r>
    <w:r w:rsidRPr="00ED022B">
      <w:rPr>
        <w:rFonts w:ascii="Arial" w:hAnsi="Arial" w:cs="Arial"/>
        <w:b/>
        <w:sz w:val="48"/>
      </w:rPr>
      <w:tab/>
    </w:r>
    <w:r w:rsidRPr="00ED022B">
      <w:tab/>
    </w:r>
    <w:r w:rsidRPr="00ED022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2B" w:rsidRPr="00ED022B" w:rsidRDefault="00ED022B" w:rsidP="00ED022B">
    <w:pPr>
      <w:pStyle w:val="Footer"/>
      <w:rPr>
        <w:rFonts w:ascii="Arial" w:hAnsi="Arial" w:cs="Arial"/>
        <w:b/>
        <w:sz w:val="48"/>
      </w:rPr>
    </w:pPr>
    <w:r w:rsidRPr="00ED022B">
      <w:rPr>
        <w:rFonts w:ascii="Arial" w:hAnsi="Arial" w:cs="Arial"/>
        <w:b/>
        <w:sz w:val="48"/>
      </w:rPr>
      <w:t>FR</w:t>
    </w:r>
    <w:r w:rsidRPr="00ED022B">
      <w:rPr>
        <w:rFonts w:ascii="Arial" w:hAnsi="Arial" w:cs="Arial"/>
        <w:b/>
        <w:sz w:val="48"/>
      </w:rPr>
      <w:tab/>
    </w:r>
    <w:r w:rsidRPr="00ED022B">
      <w:rPr>
        <w:rFonts w:ascii="Arial" w:hAnsi="Arial" w:cs="Arial"/>
        <w:b/>
        <w:sz w:val="48"/>
      </w:rPr>
      <w:tab/>
    </w:r>
    <w:r w:rsidRPr="00ED022B">
      <w:tab/>
    </w:r>
    <w:r w:rsidRPr="00ED022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2B" w:rsidRDefault="00ED02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2B" w:rsidRPr="00ED022B" w:rsidRDefault="00ED022B" w:rsidP="00ED022B">
    <w:pPr>
      <w:pStyle w:val="Footer"/>
      <w:rPr>
        <w:rFonts w:ascii="Arial" w:hAnsi="Arial" w:cs="Arial"/>
        <w:b/>
        <w:sz w:val="48"/>
      </w:rPr>
    </w:pPr>
    <w:r w:rsidRPr="00ED022B">
      <w:rPr>
        <w:rFonts w:ascii="Arial" w:hAnsi="Arial" w:cs="Arial"/>
        <w:b/>
        <w:sz w:val="48"/>
      </w:rPr>
      <w:t>FR</w:t>
    </w:r>
    <w:r w:rsidRPr="00ED022B">
      <w:rPr>
        <w:rFonts w:ascii="Arial" w:hAnsi="Arial" w:cs="Arial"/>
        <w:b/>
        <w:sz w:val="48"/>
      </w:rPr>
      <w:tab/>
    </w:r>
    <w:r>
      <w:fldChar w:fldCharType="begin"/>
    </w:r>
    <w:r>
      <w:instrText xml:space="preserve"> PAGE  \* MERGEFORMAT </w:instrText>
    </w:r>
    <w:r>
      <w:fldChar w:fldCharType="separate"/>
    </w:r>
    <w:r w:rsidR="00FC043C">
      <w:rPr>
        <w:noProof/>
      </w:rPr>
      <w:t>12</w:t>
    </w:r>
    <w:r>
      <w:fldChar w:fldCharType="end"/>
    </w:r>
    <w:r>
      <w:tab/>
    </w:r>
    <w:r w:rsidRPr="00ED022B">
      <w:tab/>
    </w:r>
    <w:r w:rsidRPr="00ED022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2B" w:rsidRDefault="00ED022B" w:rsidP="00ED0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C3" w:rsidRDefault="00CE63C3" w:rsidP="001A62D7">
      <w:pPr>
        <w:spacing w:before="0" w:after="0"/>
      </w:pPr>
      <w:r>
        <w:separator/>
      </w:r>
    </w:p>
  </w:footnote>
  <w:footnote w:type="continuationSeparator" w:id="0">
    <w:p w:rsidR="00CE63C3" w:rsidRDefault="00CE63C3" w:rsidP="001A62D7">
      <w:pPr>
        <w:spacing w:before="0" w:after="0"/>
      </w:pPr>
      <w:r>
        <w:continuationSeparator/>
      </w:r>
    </w:p>
  </w:footnote>
  <w:footnote w:id="1">
    <w:p w:rsidR="00D04DD1" w:rsidRPr="005A3BB2" w:rsidRDefault="00D04DD1">
      <w:pPr>
        <w:pStyle w:val="FootnoteText"/>
        <w:rPr>
          <w:lang w:val="fr-BE"/>
        </w:rPr>
      </w:pPr>
      <w:r>
        <w:rPr>
          <w:rStyle w:val="FootnoteReference"/>
        </w:rPr>
        <w:footnoteRef/>
      </w:r>
      <w:r w:rsidRPr="005A3BB2">
        <w:rPr>
          <w:lang w:val="fr-BE"/>
        </w:rPr>
        <w:tab/>
        <w:t>JO L 153 du 3.5.2021, p. 48.</w:t>
      </w:r>
    </w:p>
  </w:footnote>
  <w:footnote w:id="2">
    <w:p w:rsidR="00D04DD1" w:rsidRPr="005A3BB2" w:rsidRDefault="00D04DD1">
      <w:pPr>
        <w:pStyle w:val="FootnoteText"/>
        <w:rPr>
          <w:lang w:val="fr-BE"/>
        </w:rPr>
      </w:pPr>
      <w:r>
        <w:rPr>
          <w:rStyle w:val="FootnoteReference"/>
        </w:rPr>
        <w:footnoteRef/>
      </w:r>
      <w:r w:rsidRPr="005A3BB2">
        <w:rPr>
          <w:lang w:val="fr-BE"/>
        </w:rPr>
        <w:tab/>
        <w:t>Les licenciements ont eu lieu dans les deux sociétés du groupe Casa, Casa International et Casa Logistics.</w:t>
      </w:r>
    </w:p>
  </w:footnote>
  <w:footnote w:id="3">
    <w:p w:rsidR="00D04DD1" w:rsidRPr="005A3BB2" w:rsidRDefault="00D04DD1">
      <w:pPr>
        <w:pStyle w:val="FootnoteText"/>
        <w:rPr>
          <w:lang w:val="fr-BE"/>
        </w:rPr>
      </w:pPr>
      <w:r>
        <w:rPr>
          <w:rStyle w:val="FootnoteReference"/>
        </w:rPr>
        <w:footnoteRef/>
      </w:r>
      <w:r w:rsidRPr="005A3BB2">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4">
    <w:p w:rsidR="00D04DD1" w:rsidRPr="005A3BB2" w:rsidRDefault="00D04DD1">
      <w:pPr>
        <w:pStyle w:val="FootnoteText"/>
        <w:rPr>
          <w:lang w:val="fr-BE"/>
        </w:rPr>
      </w:pPr>
      <w:r>
        <w:rPr>
          <w:rStyle w:val="FootnoteReference"/>
        </w:rPr>
        <w:footnoteRef/>
      </w:r>
      <w:r w:rsidRPr="005A3BB2">
        <w:rPr>
          <w:lang w:val="fr-BE"/>
        </w:rPr>
        <w:tab/>
        <w:t>JO L 393 du 30.12.2006, p. 1.</w:t>
      </w:r>
    </w:p>
  </w:footnote>
  <w:footnote w:id="5">
    <w:p w:rsidR="00B45769" w:rsidRPr="005A3BB2" w:rsidRDefault="00B45769">
      <w:pPr>
        <w:pStyle w:val="FootnoteText"/>
        <w:rPr>
          <w:lang w:val="fr-BE"/>
        </w:rPr>
      </w:pPr>
      <w:r>
        <w:rPr>
          <w:rStyle w:val="FootnoteReference"/>
        </w:rPr>
        <w:footnoteRef/>
      </w:r>
      <w:r w:rsidRPr="005A3BB2">
        <w:rPr>
          <w:lang w:val="fr-BE"/>
        </w:rPr>
        <w:tab/>
        <w:t>Conformément à l’article 7, paragraphe 5, du règlement (UE) 2021/691.</w:t>
      </w:r>
    </w:p>
  </w:footnote>
  <w:footnote w:id="6">
    <w:p w:rsidR="00130162" w:rsidRPr="005A3BB2" w:rsidRDefault="00130162" w:rsidP="00130162">
      <w:pPr>
        <w:pStyle w:val="FootnoteText"/>
        <w:rPr>
          <w:lang w:val="fr-BE"/>
        </w:rPr>
      </w:pPr>
      <w:r>
        <w:rPr>
          <w:rStyle w:val="FootnoteReference"/>
        </w:rPr>
        <w:footnoteRef/>
      </w:r>
      <w:r w:rsidRPr="005A3BB2">
        <w:rPr>
          <w:lang w:val="fr-BE"/>
        </w:rPr>
        <w:tab/>
        <w:t xml:space="preserve">Source: </w:t>
      </w:r>
      <w:bookmarkStart w:id="4" w:name="_Hlk212740691"/>
      <w:r>
        <w:fldChar w:fldCharType="begin"/>
      </w:r>
      <w:r w:rsidRPr="005A3BB2">
        <w:rPr>
          <w:lang w:val="fr-BE"/>
        </w:rPr>
        <w:instrText>HYPERLINK "https://statbel.fgov.be/fr/nouvelles/11067-faillites-en-2024-resultats-regionaux-contrastes"</w:instrText>
      </w:r>
      <w:r>
        <w:fldChar w:fldCharType="separate"/>
      </w:r>
      <w:r w:rsidRPr="005A3BB2">
        <w:rPr>
          <w:rStyle w:val="Hyperlink"/>
          <w:lang w:val="fr-BE"/>
        </w:rPr>
        <w:t>Statbel (faillites en 2024).</w:t>
      </w:r>
      <w:r>
        <w:fldChar w:fldCharType="end"/>
      </w:r>
    </w:p>
    <w:bookmarkEnd w:id="4"/>
    <w:p w:rsidR="00130162" w:rsidRPr="005A3BB2" w:rsidRDefault="00130162">
      <w:pPr>
        <w:pStyle w:val="FootnoteText"/>
        <w:rPr>
          <w:lang w:val="fr-BE"/>
        </w:rPr>
      </w:pPr>
    </w:p>
  </w:footnote>
  <w:footnote w:id="7">
    <w:p w:rsidR="00130162" w:rsidRPr="005A3BB2" w:rsidRDefault="00130162">
      <w:pPr>
        <w:pStyle w:val="FootnoteText"/>
        <w:rPr>
          <w:lang w:val="fr-BE"/>
        </w:rPr>
      </w:pPr>
      <w:r>
        <w:rPr>
          <w:rStyle w:val="FootnoteReference"/>
        </w:rPr>
        <w:footnoteRef/>
      </w:r>
      <w:r w:rsidRPr="005A3BB2">
        <w:rPr>
          <w:lang w:val="fr-BE"/>
        </w:rPr>
        <w:tab/>
        <w:t xml:space="preserve">Source: </w:t>
      </w:r>
      <w:bookmarkStart w:id="5" w:name="_Hlk212741128"/>
      <w:r w:rsidRPr="005A3BB2">
        <w:rPr>
          <w:lang w:val="fr-BE"/>
        </w:rPr>
        <w:t>Statbel (</w:t>
      </w:r>
      <w:hyperlink r:id="rId1" w:history="1">
        <w:r w:rsidRPr="005A3BB2">
          <w:rPr>
            <w:rStyle w:val="Hyperlink"/>
            <w:lang w:val="fr-BE"/>
          </w:rPr>
          <w:t>faillites et pertes d’emplois en Belgique par mois</w:t>
        </w:r>
      </w:hyperlink>
      <w:r w:rsidRPr="005A3BB2">
        <w:rPr>
          <w:lang w:val="fr-BE"/>
        </w:rPr>
        <w:t>).</w:t>
      </w:r>
      <w:bookmarkEnd w:id="5"/>
      <w:r w:rsidRPr="005A3BB2">
        <w:rPr>
          <w:lang w:val="fr-BE"/>
        </w:rPr>
        <w:t xml:space="preserve"> </w:t>
      </w:r>
    </w:p>
  </w:footnote>
  <w:footnote w:id="8">
    <w:p w:rsidR="00225C7B" w:rsidRPr="005A3BB2" w:rsidRDefault="00225C7B">
      <w:pPr>
        <w:pStyle w:val="FootnoteText"/>
        <w:rPr>
          <w:lang w:val="fr-BE"/>
        </w:rPr>
      </w:pPr>
      <w:r>
        <w:rPr>
          <w:rStyle w:val="FootnoteReference"/>
        </w:rPr>
        <w:footnoteRef/>
      </w:r>
      <w:r w:rsidRPr="005A3BB2">
        <w:rPr>
          <w:lang w:val="fr-BE"/>
        </w:rPr>
        <w:tab/>
        <w:t xml:space="preserve">De </w:t>
      </w:r>
      <w:r w:rsidRPr="005A3BB2">
        <w:rPr>
          <w:color w:val="000000"/>
          <w:lang w:val="fr-BE"/>
        </w:rPr>
        <w:t xml:space="preserve">juin 2023 à mai 2024, le nombre de postes vacants a diminué de 11,4 % par rapport aux 12 mois précédents (source: VDAB). </w:t>
      </w:r>
    </w:p>
  </w:footnote>
  <w:footnote w:id="9">
    <w:p w:rsidR="00225C7B" w:rsidRPr="005A3BB2" w:rsidRDefault="00225C7B">
      <w:pPr>
        <w:pStyle w:val="FootnoteText"/>
        <w:rPr>
          <w:lang w:val="fr-BE"/>
        </w:rPr>
      </w:pPr>
      <w:r>
        <w:rPr>
          <w:rStyle w:val="FootnoteReference"/>
        </w:rPr>
        <w:footnoteRef/>
      </w:r>
      <w:r w:rsidRPr="005A3BB2">
        <w:rPr>
          <w:lang w:val="fr-BE"/>
        </w:rPr>
        <w:tab/>
      </w:r>
      <w:r w:rsidRPr="005A3BB2">
        <w:rPr>
          <w:color w:val="000000"/>
          <w:lang w:val="fr-BE"/>
        </w:rPr>
        <w:t xml:space="preserve">Entre juin 2024 et mai 2025, plus de 7 400 postes vacants ont été notifiés directement au VDAB dans toute la Flandre. </w:t>
      </w:r>
    </w:p>
  </w:footnote>
  <w:footnote w:id="10">
    <w:p w:rsidR="00B45769" w:rsidRPr="005A3BB2" w:rsidRDefault="00B45769">
      <w:pPr>
        <w:pStyle w:val="FootnoteText"/>
        <w:rPr>
          <w:lang w:val="fr-BE"/>
        </w:rPr>
      </w:pPr>
      <w:r>
        <w:rPr>
          <w:rStyle w:val="FootnoteReference"/>
        </w:rPr>
        <w:footnoteRef/>
      </w:r>
      <w:r w:rsidRPr="005A3BB2">
        <w:rPr>
          <w:lang w:val="fr-BE"/>
        </w:rPr>
        <w:tab/>
        <w:t>Arrêté royal du 10 novembre 2006 modifiant l’arrêté royal du 9 mars 2006.</w:t>
      </w:r>
    </w:p>
  </w:footnote>
  <w:footnote w:id="11">
    <w:p w:rsidR="00F15865" w:rsidRPr="005A3BB2" w:rsidRDefault="00F15865" w:rsidP="00F15865">
      <w:pPr>
        <w:pStyle w:val="FootnoteText"/>
        <w:rPr>
          <w:lang w:val="fr-BE"/>
        </w:rPr>
      </w:pPr>
      <w:r>
        <w:rPr>
          <w:rStyle w:val="FootnoteReference"/>
        </w:rPr>
        <w:footnoteRef/>
      </w:r>
      <w:r w:rsidRPr="005A3BB2">
        <w:rPr>
          <w:lang w:val="fr-BE"/>
        </w:rPr>
        <w:tab/>
      </w:r>
      <w:r w:rsidRPr="005A3BB2">
        <w:rPr>
          <w:color w:val="000000"/>
          <w:lang w:val="fr-BE"/>
        </w:rPr>
        <w:t>Arrêté du Gouvernement flamand du 18 mars 2011 portant exécution de l’article 5, § 1er, 2°, e), du décret du 7 mai 2004 relatif à la création de l’agence autonomisée externe de droit public «Vlaamse Dienst voor Arbeidsbemiddeling en Beroepsopleiding» (Office flamand de l’Emploi et de la Formation professionnelle).</w:t>
      </w:r>
    </w:p>
  </w:footnote>
  <w:footnote w:id="12">
    <w:p w:rsidR="00E13727" w:rsidRPr="005A3BB2" w:rsidRDefault="00E13727" w:rsidP="00E13727">
      <w:pPr>
        <w:pStyle w:val="FootnoteText"/>
        <w:rPr>
          <w:lang w:val="fr-BE"/>
        </w:rPr>
      </w:pPr>
      <w:r>
        <w:rPr>
          <w:rStyle w:val="FootnoteReference"/>
        </w:rPr>
        <w:footnoteRef/>
      </w:r>
      <w:r w:rsidRPr="005A3BB2">
        <w:rPr>
          <w:lang w:val="fr-BE"/>
        </w:rPr>
        <w:tab/>
        <w:t xml:space="preserve">Fédération générale du travail de Belgique. </w:t>
      </w:r>
    </w:p>
  </w:footnote>
  <w:footnote w:id="13">
    <w:p w:rsidR="00E13727" w:rsidRPr="005A3BB2" w:rsidRDefault="00E13727" w:rsidP="00E13727">
      <w:pPr>
        <w:pStyle w:val="FootnoteText"/>
        <w:rPr>
          <w:lang w:val="fr-BE"/>
        </w:rPr>
      </w:pPr>
      <w:r>
        <w:rPr>
          <w:rStyle w:val="FootnoteReference"/>
        </w:rPr>
        <w:footnoteRef/>
      </w:r>
      <w:r w:rsidRPr="005A3BB2">
        <w:rPr>
          <w:lang w:val="fr-BE"/>
        </w:rPr>
        <w:tab/>
        <w:t>Confédération des syndicats chrétiens.</w:t>
      </w:r>
    </w:p>
  </w:footnote>
  <w:footnote w:id="14">
    <w:p w:rsidR="00B45769" w:rsidRPr="005A3BB2" w:rsidRDefault="00B45769">
      <w:pPr>
        <w:pStyle w:val="FootnoteText"/>
        <w:rPr>
          <w:lang w:val="fr-BE"/>
        </w:rPr>
      </w:pPr>
      <w:r>
        <w:rPr>
          <w:rStyle w:val="FootnoteReference"/>
        </w:rPr>
        <w:footnoteRef/>
      </w:r>
      <w:r w:rsidRPr="005A3BB2">
        <w:rPr>
          <w:lang w:val="fr-BE"/>
        </w:rPr>
        <w:tab/>
        <w:t>CITE 0-2</w:t>
      </w:r>
    </w:p>
  </w:footnote>
  <w:footnote w:id="15">
    <w:p w:rsidR="00B45769" w:rsidRPr="005A3BB2" w:rsidRDefault="00B45769">
      <w:pPr>
        <w:pStyle w:val="FootnoteText"/>
        <w:rPr>
          <w:lang w:val="fr-BE"/>
        </w:rPr>
      </w:pPr>
      <w:r>
        <w:rPr>
          <w:rStyle w:val="FootnoteReference"/>
        </w:rPr>
        <w:footnoteRef/>
      </w:r>
      <w:r w:rsidRPr="005A3BB2">
        <w:rPr>
          <w:lang w:val="fr-BE"/>
        </w:rPr>
        <w:tab/>
        <w:t>CITE 3</w:t>
      </w:r>
    </w:p>
  </w:footnote>
  <w:footnote w:id="16">
    <w:p w:rsidR="00B45769" w:rsidRPr="005A3BB2" w:rsidRDefault="00B45769">
      <w:pPr>
        <w:pStyle w:val="FootnoteText"/>
        <w:rPr>
          <w:lang w:val="fr-BE"/>
        </w:rPr>
      </w:pPr>
      <w:r>
        <w:rPr>
          <w:rStyle w:val="FootnoteReference"/>
        </w:rPr>
        <w:footnoteRef/>
      </w:r>
      <w:r w:rsidRPr="005A3BB2">
        <w:rPr>
          <w:lang w:val="fr-BE"/>
        </w:rPr>
        <w:tab/>
        <w:t>CITE 4</w:t>
      </w:r>
    </w:p>
  </w:footnote>
  <w:footnote w:id="17">
    <w:p w:rsidR="00B45769" w:rsidRPr="005A3BB2" w:rsidRDefault="00B45769">
      <w:pPr>
        <w:pStyle w:val="FootnoteText"/>
        <w:rPr>
          <w:lang w:val="fr-BE"/>
        </w:rPr>
      </w:pPr>
      <w:r>
        <w:rPr>
          <w:rStyle w:val="FootnoteReference"/>
        </w:rPr>
        <w:footnoteRef/>
      </w:r>
      <w:r w:rsidRPr="005A3BB2">
        <w:rPr>
          <w:lang w:val="fr-BE"/>
        </w:rPr>
        <w:tab/>
        <w:t>CITE 5-8</w:t>
      </w:r>
    </w:p>
  </w:footnote>
  <w:footnote w:id="18">
    <w:p w:rsidR="001A62D7" w:rsidRPr="005A3BB2" w:rsidRDefault="001A62D7" w:rsidP="001A62D7">
      <w:pPr>
        <w:pStyle w:val="FootnoteText"/>
        <w:rPr>
          <w:lang w:val="fr-BE"/>
        </w:rPr>
      </w:pPr>
      <w:r>
        <w:rPr>
          <w:rStyle w:val="FootnoteReference"/>
        </w:rPr>
        <w:footnoteRef/>
      </w:r>
      <w:r w:rsidRPr="005A3BB2">
        <w:rPr>
          <w:lang w:val="fr-BE"/>
        </w:rPr>
        <w:tab/>
        <w:t>Afin d’éviter les décimales, les coûts estimés par travailleur ont été arrondis. Cela n’a néanmoins aucune incidence sur le coût total de chaque mesure, qui reste identique à celui indiqué dans la demande introduite par la Belgique.</w:t>
      </w:r>
    </w:p>
  </w:footnote>
  <w:footnote w:id="19">
    <w:p w:rsidR="001A62D7" w:rsidRPr="005A3BB2" w:rsidRDefault="001A62D7" w:rsidP="001A62D7">
      <w:pPr>
        <w:pStyle w:val="FootnoteText"/>
        <w:rPr>
          <w:lang w:val="fr-BE"/>
        </w:rPr>
      </w:pPr>
      <w:r>
        <w:rPr>
          <w:rStyle w:val="FootnoteReference"/>
        </w:rPr>
        <w:footnoteRef/>
      </w:r>
      <w:r w:rsidRPr="005A3BB2">
        <w:rPr>
          <w:lang w:val="fr-BE"/>
        </w:rPr>
        <w:tab/>
        <w:t>Les totaux ne correspondent pas à la somme des rubriques en raison de l’arrondi.</w:t>
      </w:r>
    </w:p>
  </w:footnote>
  <w:footnote w:id="20">
    <w:p w:rsidR="001A62D7" w:rsidRPr="005A3BB2" w:rsidRDefault="001A62D7" w:rsidP="001A62D7">
      <w:pPr>
        <w:pStyle w:val="FootnoteText"/>
        <w:rPr>
          <w:lang w:val="pt-PT"/>
        </w:rPr>
      </w:pPr>
      <w:r>
        <w:rPr>
          <w:rStyle w:val="FootnoteReference"/>
        </w:rPr>
        <w:footnoteRef/>
      </w:r>
      <w:r w:rsidRPr="005A3BB2">
        <w:rPr>
          <w:lang w:val="pt-PT"/>
        </w:rPr>
        <w:tab/>
        <w:t>JO L 433 I du 22.12.2020, p. 11.</w:t>
      </w:r>
    </w:p>
  </w:footnote>
  <w:footnote w:id="21">
    <w:p w:rsidR="001A62D7" w:rsidRPr="005A3BB2" w:rsidRDefault="001A62D7" w:rsidP="001A62D7">
      <w:pPr>
        <w:pStyle w:val="FootnoteText"/>
        <w:rPr>
          <w:lang w:val="pt-PT"/>
        </w:rPr>
      </w:pPr>
      <w:r>
        <w:rPr>
          <w:rStyle w:val="FootnoteReference"/>
        </w:rPr>
        <w:footnoteRef/>
      </w:r>
      <w:r w:rsidRPr="005A3BB2">
        <w:rPr>
          <w:lang w:val="pt-PT"/>
        </w:rPr>
        <w:tab/>
        <w:t xml:space="preserve">JO L, 2024/765, 29.2.2024, ELI: http://data.europa.eu/eli/reg/2024/765/oj. </w:t>
      </w:r>
    </w:p>
  </w:footnote>
  <w:footnote w:id="22">
    <w:p w:rsidR="001A62D7" w:rsidRPr="005A3BB2" w:rsidRDefault="001A62D7" w:rsidP="001A62D7">
      <w:pPr>
        <w:pStyle w:val="FootnoteText"/>
        <w:rPr>
          <w:lang w:val="fr-BE"/>
        </w:rPr>
      </w:pPr>
      <w:r>
        <w:rPr>
          <w:rStyle w:val="FootnoteReference"/>
        </w:rPr>
        <w:footnoteRef/>
      </w:r>
      <w:r w:rsidRPr="005A3BB2">
        <w:rPr>
          <w:lang w:val="fr-BE"/>
        </w:rPr>
        <w:tab/>
        <w:t>JO L 433 I du 22.12.2020, p. 28.</w:t>
      </w:r>
    </w:p>
  </w:footnote>
  <w:footnote w:id="23">
    <w:p w:rsidR="001A62D7" w:rsidRPr="005A3BB2" w:rsidRDefault="001A62D7" w:rsidP="001A62D7">
      <w:pPr>
        <w:pStyle w:val="FootnoteText"/>
        <w:rPr>
          <w:lang w:val="fr-BE"/>
        </w:rPr>
      </w:pPr>
      <w:r>
        <w:rPr>
          <w:rStyle w:val="FootnoteReference"/>
        </w:rPr>
        <w:footnoteRef/>
      </w:r>
      <w:r w:rsidRPr="005A3BB2">
        <w:rPr>
          <w:lang w:val="fr-BE"/>
        </w:rPr>
        <w:tab/>
        <w:t xml:space="preserve">Règlement (UE, Euratom) 2024/2509 du Parlement européen et du Conseil du 23 septembre 2024 relatif aux règles financières applicables au budget général de l’Union (refonte) (JO L, 2024/2509, 26.9.2024, ELI: http://data.europa.eu/eli/reg/2024/2509/oj). </w:t>
      </w:r>
    </w:p>
  </w:footnote>
  <w:footnote w:id="24">
    <w:p w:rsidR="001A62D7" w:rsidRPr="005A3BB2" w:rsidRDefault="001A62D7" w:rsidP="001A62D7">
      <w:pPr>
        <w:pStyle w:val="FootnoteText"/>
        <w:rPr>
          <w:lang w:val="fr-BE"/>
        </w:rPr>
      </w:pPr>
      <w:r>
        <w:rPr>
          <w:rStyle w:val="FootnoteReference"/>
        </w:rPr>
        <w:footnoteRef/>
      </w:r>
      <w:r w:rsidRPr="005A3BB2">
        <w:rPr>
          <w:lang w:val="fr-BE"/>
        </w:rPr>
        <w:tab/>
        <w:t>JO L 153 du 3.5.2021, p. 48.</w:t>
      </w:r>
    </w:p>
  </w:footnote>
  <w:footnote w:id="25">
    <w:p w:rsidR="001A62D7" w:rsidRPr="005A3BB2" w:rsidRDefault="001A62D7" w:rsidP="001A62D7">
      <w:pPr>
        <w:pStyle w:val="FootnoteText"/>
        <w:rPr>
          <w:lang w:val="fr-BE"/>
        </w:rPr>
      </w:pPr>
      <w:r>
        <w:rPr>
          <w:rStyle w:val="FootnoteReference"/>
        </w:rPr>
        <w:footnoteRef/>
      </w:r>
      <w:r w:rsidRPr="005A3BB2">
        <w:rPr>
          <w:lang w:val="fr-BE"/>
        </w:rPr>
        <w:tab/>
        <w:t>JO L 433 I du 22.12.2020, p. 28.</w:t>
      </w:r>
    </w:p>
  </w:footnote>
  <w:footnote w:id="26">
    <w:p w:rsidR="001A62D7" w:rsidRPr="005A3BB2" w:rsidRDefault="001A62D7" w:rsidP="001A62D7">
      <w:pPr>
        <w:pStyle w:val="FootnoteText"/>
        <w:rPr>
          <w:lang w:val="fr-BE"/>
        </w:rPr>
      </w:pPr>
      <w:r>
        <w:rPr>
          <w:rStyle w:val="FootnoteReference"/>
        </w:rPr>
        <w:footnoteRef/>
      </w:r>
      <w:r w:rsidRPr="005A3BB2">
        <w:rPr>
          <w:lang w:val="fr-BE"/>
        </w:rPr>
        <w:tab/>
        <w:t>Règlement (UE, Euratom) 2020/2093 du Conseil du 17 décembre 2020 fixant le cadre financier pluriannuel pour les années 2021 à 2027 (JO L 433 I du 22.12.2020, p. 11).</w:t>
      </w:r>
    </w:p>
  </w:footnote>
  <w:footnote w:id="27">
    <w:p w:rsidR="001A62D7" w:rsidRPr="005A3BB2" w:rsidRDefault="001A62D7" w:rsidP="001A62D7">
      <w:pPr>
        <w:pStyle w:val="FootnoteText"/>
        <w:rPr>
          <w:lang w:val="pt-PT"/>
        </w:rPr>
      </w:pPr>
      <w:r>
        <w:rPr>
          <w:rStyle w:val="FootnoteReference"/>
        </w:rPr>
        <w:footnoteRef/>
      </w:r>
      <w:r w:rsidRPr="005A3BB2">
        <w:rPr>
          <w:lang w:val="pt-PT"/>
        </w:rPr>
        <w:tab/>
        <w:t>JO L, 2024/765, 29.2.2024, ELI: http://data.europa.eu/eli/reg/2024/765/oj.</w:t>
      </w:r>
    </w:p>
  </w:footnote>
  <w:footnote w:id="28">
    <w:p w:rsidR="001A62D7" w:rsidRPr="005A3BB2" w:rsidRDefault="001A62D7" w:rsidP="001A62D7">
      <w:pPr>
        <w:pStyle w:val="FootnoteText"/>
        <w:rPr>
          <w:lang w:val="fr-BE"/>
        </w:rPr>
      </w:pPr>
      <w:r>
        <w:rPr>
          <w:rStyle w:val="FootnoteReference"/>
        </w:rPr>
        <w:footnoteRef/>
      </w:r>
      <w:r w:rsidRPr="005A3BB2">
        <w:rPr>
          <w:lang w:val="fr-BE"/>
        </w:rPr>
        <w:tab/>
        <w:t>COM(2026) 3.</w:t>
      </w:r>
    </w:p>
  </w:footnote>
  <w:footnote w:id="29">
    <w:p w:rsidR="008621D2" w:rsidRPr="005011D0" w:rsidRDefault="008621D2">
      <w:pPr>
        <w:pStyle w:val="FootnoteText"/>
        <w:rPr>
          <w:lang w:val="fr-BE"/>
        </w:rPr>
      </w:pPr>
      <w:r w:rsidRPr="005011D0">
        <w:rPr>
          <w:rStyle w:val="FootnoteReference"/>
          <w:lang w:val="fr-BE"/>
        </w:rPr>
        <w:t>*</w:t>
      </w:r>
      <w:r w:rsidRPr="005011D0">
        <w:rPr>
          <w:lang w:val="fr-BE"/>
        </w:rPr>
        <w:tab/>
      </w:r>
      <w:r w:rsidR="005011D0" w:rsidRPr="007F3386">
        <w:rPr>
          <w:color w:val="FF0000"/>
          <w:lang w:val="fr-BE"/>
        </w:rPr>
        <w:t>Date à insérer par le Parlement européen avant la publication au JO</w:t>
      </w:r>
      <w:r w:rsidR="005011D0">
        <w:rPr>
          <w:color w:val="FF0000"/>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2B" w:rsidRDefault="00ED0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2B" w:rsidRDefault="00ED0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10: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7E934F7-4474-4A0E-ABBC-D253CAFBD19F"/>
    <w:docVar w:name="LW_COVERPAGE_TYPE" w:val="1"/>
    <w:docVar w:name="LW_CreatedUtc" w:val="2025-02-03T12:09:04.7855178Z"/>
    <w:docVar w:name="LW_CROSSREFERENCE" w:val="&lt;UNUSED&gt;"/>
    <w:docVar w:name="LW_DocType" w:val="COM"/>
    <w:docVar w:name="LW_EMISSION" w:val="6.2.2026"/>
    <w:docVar w:name="LW_EMISSION_ISODATE" w:val="2026-02-06"/>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038"/>
    <w:docVar w:name="LW_REF.II.NEW.CP_YEAR" w:val="2026"/>
    <w:docVar w:name="LW_REF.INST.NEW" w:val="COM"/>
    <w:docVar w:name="LW_REF.INST.NEW_ADOPTED" w:val="final"/>
    <w:docVar w:name="LW_REF.INST.NEW_TEXT" w:val="(2026) 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ition de"/>
    <w:docVar w:name="LW_STATUT.CP" w:val="Proposition de"/>
    <w:docVar w:name="LW_SUPERTITRE" w:val="&lt;UNUSED&gt;"/>
    <w:docVar w:name="LW_TITRE.OBJ" w:val="relative à la mobilisation du Fonds européen d\u8217?ajustement à la mondialisation en faveur des travailleurs licenciés à la suite d\u8217?une demande de la Belgique (EGF/2025/007 BE/Casa)"/>
    <w:docVar w:name="LW_TITRE.OBJ.CP" w:val="relative à la mobilisation du Fonds européen d\u8217?ajustement à la mondialisation en faveur des travailleurs licenciés à la suite d\u8217?une demande de la Belgique (EGF/2025/007 BE/Casa)"/>
    <w:docVar w:name="LW_TYPE.DOC" w:val="DÉCISION DU PARLEMENT EUROPÉEN ET DU CONSEIL"/>
    <w:docVar w:name="LW_TYPE.DOC.CP" w:val="DÉCISION DU PARLEMENT EUROPÉEN ET DU CONSEIL"/>
    <w:docVar w:name="LwApiVersions" w:val="LW4CoDe 1.24.5.0; LW 9.2, Build 20251112"/>
  </w:docVars>
  <w:rsids>
    <w:rsidRoot w:val="001A62D7"/>
    <w:rsid w:val="00004EB3"/>
    <w:rsid w:val="00023F90"/>
    <w:rsid w:val="00024087"/>
    <w:rsid w:val="000269AE"/>
    <w:rsid w:val="00030AE7"/>
    <w:rsid w:val="00051AD2"/>
    <w:rsid w:val="000609C3"/>
    <w:rsid w:val="00061791"/>
    <w:rsid w:val="00070B81"/>
    <w:rsid w:val="00072208"/>
    <w:rsid w:val="000A20E1"/>
    <w:rsid w:val="000B44A2"/>
    <w:rsid w:val="000B7C62"/>
    <w:rsid w:val="000D1507"/>
    <w:rsid w:val="000E1A08"/>
    <w:rsid w:val="000E6932"/>
    <w:rsid w:val="000F3FBB"/>
    <w:rsid w:val="001065F5"/>
    <w:rsid w:val="001238EF"/>
    <w:rsid w:val="00125A6E"/>
    <w:rsid w:val="00130162"/>
    <w:rsid w:val="001425E8"/>
    <w:rsid w:val="00147C69"/>
    <w:rsid w:val="001501F1"/>
    <w:rsid w:val="00160671"/>
    <w:rsid w:val="001635F4"/>
    <w:rsid w:val="0016531C"/>
    <w:rsid w:val="0016558E"/>
    <w:rsid w:val="00173D49"/>
    <w:rsid w:val="00175BF1"/>
    <w:rsid w:val="001765F3"/>
    <w:rsid w:val="00181DB4"/>
    <w:rsid w:val="00184ABC"/>
    <w:rsid w:val="00197613"/>
    <w:rsid w:val="001A0466"/>
    <w:rsid w:val="001A35CA"/>
    <w:rsid w:val="001A62D7"/>
    <w:rsid w:val="001B1932"/>
    <w:rsid w:val="001B6735"/>
    <w:rsid w:val="001C0746"/>
    <w:rsid w:val="001C5556"/>
    <w:rsid w:val="001E1B79"/>
    <w:rsid w:val="00214F50"/>
    <w:rsid w:val="002156AF"/>
    <w:rsid w:val="00225C7B"/>
    <w:rsid w:val="00233DC7"/>
    <w:rsid w:val="002344E7"/>
    <w:rsid w:val="00241A60"/>
    <w:rsid w:val="00247779"/>
    <w:rsid w:val="00261F2A"/>
    <w:rsid w:val="00266CE5"/>
    <w:rsid w:val="00285BEE"/>
    <w:rsid w:val="0029533F"/>
    <w:rsid w:val="00297D5D"/>
    <w:rsid w:val="002B30AF"/>
    <w:rsid w:val="002C22A1"/>
    <w:rsid w:val="002C32FA"/>
    <w:rsid w:val="002C7E98"/>
    <w:rsid w:val="002F24C0"/>
    <w:rsid w:val="002F6AC0"/>
    <w:rsid w:val="003038E0"/>
    <w:rsid w:val="00330C89"/>
    <w:rsid w:val="0033344A"/>
    <w:rsid w:val="00343014"/>
    <w:rsid w:val="00346FE2"/>
    <w:rsid w:val="0036303C"/>
    <w:rsid w:val="0036684B"/>
    <w:rsid w:val="00370469"/>
    <w:rsid w:val="00373CEB"/>
    <w:rsid w:val="00391E94"/>
    <w:rsid w:val="003A4EE2"/>
    <w:rsid w:val="003B342B"/>
    <w:rsid w:val="003B4A79"/>
    <w:rsid w:val="003D0A5F"/>
    <w:rsid w:val="003D261D"/>
    <w:rsid w:val="003E20C4"/>
    <w:rsid w:val="003E3B3A"/>
    <w:rsid w:val="003F6FCC"/>
    <w:rsid w:val="0041603A"/>
    <w:rsid w:val="004203B2"/>
    <w:rsid w:val="004223ED"/>
    <w:rsid w:val="0042648E"/>
    <w:rsid w:val="004302CE"/>
    <w:rsid w:val="0043146A"/>
    <w:rsid w:val="00434E5B"/>
    <w:rsid w:val="00437F72"/>
    <w:rsid w:val="00443B2E"/>
    <w:rsid w:val="0044569F"/>
    <w:rsid w:val="00447FE9"/>
    <w:rsid w:val="00467D58"/>
    <w:rsid w:val="00492DDE"/>
    <w:rsid w:val="004936D2"/>
    <w:rsid w:val="004A18A9"/>
    <w:rsid w:val="004A22F7"/>
    <w:rsid w:val="004A2CAB"/>
    <w:rsid w:val="004A7C1A"/>
    <w:rsid w:val="004B6215"/>
    <w:rsid w:val="004C3C5B"/>
    <w:rsid w:val="004D0B3C"/>
    <w:rsid w:val="004D6C79"/>
    <w:rsid w:val="004E39EE"/>
    <w:rsid w:val="004F5528"/>
    <w:rsid w:val="005011D0"/>
    <w:rsid w:val="005028D6"/>
    <w:rsid w:val="005141C0"/>
    <w:rsid w:val="005277E4"/>
    <w:rsid w:val="00537A4D"/>
    <w:rsid w:val="00541CE5"/>
    <w:rsid w:val="00545AD1"/>
    <w:rsid w:val="00546FB3"/>
    <w:rsid w:val="00547343"/>
    <w:rsid w:val="005520A5"/>
    <w:rsid w:val="0055444B"/>
    <w:rsid w:val="00561E81"/>
    <w:rsid w:val="00564A03"/>
    <w:rsid w:val="005831B7"/>
    <w:rsid w:val="00592B95"/>
    <w:rsid w:val="00594365"/>
    <w:rsid w:val="005A158F"/>
    <w:rsid w:val="005A356F"/>
    <w:rsid w:val="005A3BB2"/>
    <w:rsid w:val="005A40BF"/>
    <w:rsid w:val="005A7F9F"/>
    <w:rsid w:val="005B1EB6"/>
    <w:rsid w:val="005B5A32"/>
    <w:rsid w:val="005E047F"/>
    <w:rsid w:val="005E07A3"/>
    <w:rsid w:val="005E6250"/>
    <w:rsid w:val="00605A59"/>
    <w:rsid w:val="0064043B"/>
    <w:rsid w:val="006443EB"/>
    <w:rsid w:val="00655010"/>
    <w:rsid w:val="006741F5"/>
    <w:rsid w:val="006905BD"/>
    <w:rsid w:val="006A04E8"/>
    <w:rsid w:val="006B015D"/>
    <w:rsid w:val="006D046C"/>
    <w:rsid w:val="006D1663"/>
    <w:rsid w:val="006F170C"/>
    <w:rsid w:val="006F274D"/>
    <w:rsid w:val="006F3D6A"/>
    <w:rsid w:val="0070088B"/>
    <w:rsid w:val="007215B4"/>
    <w:rsid w:val="00731699"/>
    <w:rsid w:val="00731F25"/>
    <w:rsid w:val="00737F90"/>
    <w:rsid w:val="00737FB8"/>
    <w:rsid w:val="0074158B"/>
    <w:rsid w:val="007452BA"/>
    <w:rsid w:val="00745B3E"/>
    <w:rsid w:val="007462FA"/>
    <w:rsid w:val="0075483B"/>
    <w:rsid w:val="00773331"/>
    <w:rsid w:val="00784BFE"/>
    <w:rsid w:val="00791943"/>
    <w:rsid w:val="007932EF"/>
    <w:rsid w:val="007A1355"/>
    <w:rsid w:val="007A26EC"/>
    <w:rsid w:val="007A3244"/>
    <w:rsid w:val="007A7CD1"/>
    <w:rsid w:val="007D02B4"/>
    <w:rsid w:val="007E05B0"/>
    <w:rsid w:val="007E0D46"/>
    <w:rsid w:val="007F5F1C"/>
    <w:rsid w:val="00802C8A"/>
    <w:rsid w:val="0081439C"/>
    <w:rsid w:val="008171BD"/>
    <w:rsid w:val="008179C7"/>
    <w:rsid w:val="00825362"/>
    <w:rsid w:val="00842DE2"/>
    <w:rsid w:val="00856DAE"/>
    <w:rsid w:val="008621D2"/>
    <w:rsid w:val="00874D22"/>
    <w:rsid w:val="00883BBD"/>
    <w:rsid w:val="00886CAA"/>
    <w:rsid w:val="008875E5"/>
    <w:rsid w:val="00891B7E"/>
    <w:rsid w:val="0089565D"/>
    <w:rsid w:val="008A2914"/>
    <w:rsid w:val="008A443E"/>
    <w:rsid w:val="008A792E"/>
    <w:rsid w:val="008B19CB"/>
    <w:rsid w:val="008B2B26"/>
    <w:rsid w:val="008D2433"/>
    <w:rsid w:val="008D3624"/>
    <w:rsid w:val="008E4D8E"/>
    <w:rsid w:val="008E569A"/>
    <w:rsid w:val="008E6DE5"/>
    <w:rsid w:val="008F04F1"/>
    <w:rsid w:val="008F0EA0"/>
    <w:rsid w:val="008F3FFD"/>
    <w:rsid w:val="008F50D6"/>
    <w:rsid w:val="008F5FE1"/>
    <w:rsid w:val="00900D9C"/>
    <w:rsid w:val="009020F6"/>
    <w:rsid w:val="009027EB"/>
    <w:rsid w:val="00904CED"/>
    <w:rsid w:val="00910A62"/>
    <w:rsid w:val="00912C2F"/>
    <w:rsid w:val="0091490B"/>
    <w:rsid w:val="00921A89"/>
    <w:rsid w:val="0092772A"/>
    <w:rsid w:val="00931AD2"/>
    <w:rsid w:val="009432D6"/>
    <w:rsid w:val="0095785B"/>
    <w:rsid w:val="00962972"/>
    <w:rsid w:val="00971957"/>
    <w:rsid w:val="00984952"/>
    <w:rsid w:val="0098603A"/>
    <w:rsid w:val="00997C74"/>
    <w:rsid w:val="009A476A"/>
    <w:rsid w:val="009A5C2E"/>
    <w:rsid w:val="009C2DEC"/>
    <w:rsid w:val="009C50F6"/>
    <w:rsid w:val="009D1AB4"/>
    <w:rsid w:val="009D6A18"/>
    <w:rsid w:val="009D7BF4"/>
    <w:rsid w:val="009F458A"/>
    <w:rsid w:val="00A10D3E"/>
    <w:rsid w:val="00A20A08"/>
    <w:rsid w:val="00A22553"/>
    <w:rsid w:val="00A256BF"/>
    <w:rsid w:val="00A31E6D"/>
    <w:rsid w:val="00A33965"/>
    <w:rsid w:val="00A417A1"/>
    <w:rsid w:val="00A50DD1"/>
    <w:rsid w:val="00A66F09"/>
    <w:rsid w:val="00A746AB"/>
    <w:rsid w:val="00AA088C"/>
    <w:rsid w:val="00AC3AEF"/>
    <w:rsid w:val="00AC69F6"/>
    <w:rsid w:val="00AD62A8"/>
    <w:rsid w:val="00AE2ED5"/>
    <w:rsid w:val="00AE446F"/>
    <w:rsid w:val="00AF2836"/>
    <w:rsid w:val="00B04911"/>
    <w:rsid w:val="00B126CD"/>
    <w:rsid w:val="00B16D40"/>
    <w:rsid w:val="00B33A23"/>
    <w:rsid w:val="00B44AFA"/>
    <w:rsid w:val="00B45769"/>
    <w:rsid w:val="00B46720"/>
    <w:rsid w:val="00B53F62"/>
    <w:rsid w:val="00B71ACA"/>
    <w:rsid w:val="00B72C22"/>
    <w:rsid w:val="00B75014"/>
    <w:rsid w:val="00B75419"/>
    <w:rsid w:val="00B76851"/>
    <w:rsid w:val="00B83D1B"/>
    <w:rsid w:val="00B958F2"/>
    <w:rsid w:val="00BA76D1"/>
    <w:rsid w:val="00BC0F8C"/>
    <w:rsid w:val="00BD4AB4"/>
    <w:rsid w:val="00BD7438"/>
    <w:rsid w:val="00BE58D3"/>
    <w:rsid w:val="00BF0DB9"/>
    <w:rsid w:val="00C06C7D"/>
    <w:rsid w:val="00C12301"/>
    <w:rsid w:val="00C129C8"/>
    <w:rsid w:val="00C17426"/>
    <w:rsid w:val="00C22D01"/>
    <w:rsid w:val="00C3424D"/>
    <w:rsid w:val="00C3491B"/>
    <w:rsid w:val="00C440FE"/>
    <w:rsid w:val="00C8368A"/>
    <w:rsid w:val="00C84B39"/>
    <w:rsid w:val="00C84E77"/>
    <w:rsid w:val="00C973E2"/>
    <w:rsid w:val="00CA2EA2"/>
    <w:rsid w:val="00CB1E54"/>
    <w:rsid w:val="00CB6D22"/>
    <w:rsid w:val="00CC17D6"/>
    <w:rsid w:val="00CC41A9"/>
    <w:rsid w:val="00CC78E1"/>
    <w:rsid w:val="00CE2FB0"/>
    <w:rsid w:val="00CE63C3"/>
    <w:rsid w:val="00D04DD1"/>
    <w:rsid w:val="00D20381"/>
    <w:rsid w:val="00D235E6"/>
    <w:rsid w:val="00D25904"/>
    <w:rsid w:val="00D32A53"/>
    <w:rsid w:val="00D54F1D"/>
    <w:rsid w:val="00D67714"/>
    <w:rsid w:val="00DA2419"/>
    <w:rsid w:val="00DA7337"/>
    <w:rsid w:val="00DB0AF1"/>
    <w:rsid w:val="00DB1DD2"/>
    <w:rsid w:val="00DC21DC"/>
    <w:rsid w:val="00DC322C"/>
    <w:rsid w:val="00DD5180"/>
    <w:rsid w:val="00DE7CBA"/>
    <w:rsid w:val="00DF1166"/>
    <w:rsid w:val="00DF1A65"/>
    <w:rsid w:val="00DF20CB"/>
    <w:rsid w:val="00DF4E7E"/>
    <w:rsid w:val="00DF797F"/>
    <w:rsid w:val="00DF7AA4"/>
    <w:rsid w:val="00E035DE"/>
    <w:rsid w:val="00E1163B"/>
    <w:rsid w:val="00E13727"/>
    <w:rsid w:val="00E13FA6"/>
    <w:rsid w:val="00E20FCD"/>
    <w:rsid w:val="00E21255"/>
    <w:rsid w:val="00E2169E"/>
    <w:rsid w:val="00E22EAF"/>
    <w:rsid w:val="00E346FB"/>
    <w:rsid w:val="00E355E4"/>
    <w:rsid w:val="00E36FCE"/>
    <w:rsid w:val="00E5301D"/>
    <w:rsid w:val="00E80EA5"/>
    <w:rsid w:val="00E83703"/>
    <w:rsid w:val="00E914FA"/>
    <w:rsid w:val="00EA4057"/>
    <w:rsid w:val="00EA5827"/>
    <w:rsid w:val="00EC0935"/>
    <w:rsid w:val="00EC0CDD"/>
    <w:rsid w:val="00EC30D5"/>
    <w:rsid w:val="00EC6F00"/>
    <w:rsid w:val="00ED022B"/>
    <w:rsid w:val="00EE2A20"/>
    <w:rsid w:val="00EE2D3F"/>
    <w:rsid w:val="00EE768D"/>
    <w:rsid w:val="00EF7072"/>
    <w:rsid w:val="00F01C2E"/>
    <w:rsid w:val="00F027DD"/>
    <w:rsid w:val="00F03387"/>
    <w:rsid w:val="00F15865"/>
    <w:rsid w:val="00F2491B"/>
    <w:rsid w:val="00F25749"/>
    <w:rsid w:val="00F25CC3"/>
    <w:rsid w:val="00F40349"/>
    <w:rsid w:val="00F52B95"/>
    <w:rsid w:val="00F6213D"/>
    <w:rsid w:val="00F631BC"/>
    <w:rsid w:val="00F71369"/>
    <w:rsid w:val="00F74C55"/>
    <w:rsid w:val="00F80C79"/>
    <w:rsid w:val="00FA1B23"/>
    <w:rsid w:val="00FB2121"/>
    <w:rsid w:val="00FC043C"/>
    <w:rsid w:val="00FC38F8"/>
    <w:rsid w:val="00FD42B2"/>
    <w:rsid w:val="00FE0A29"/>
    <w:rsid w:val="00FF5313"/>
    <w:rsid w:val="00FF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rynqvb">
    <w:name w:val="rynqvb"/>
    <w:basedOn w:val="DefaultParagraphFont"/>
    <w:rsid w:val="008D3624"/>
  </w:style>
  <w:style w:type="paragraph" w:styleId="EndnoteText">
    <w:name w:val="endnote text"/>
    <w:basedOn w:val="Normal"/>
    <w:link w:val="EndnoteTextChar"/>
    <w:uiPriority w:val="99"/>
    <w:semiHidden/>
    <w:unhideWhenUsed/>
    <w:rsid w:val="000B7C62"/>
    <w:pPr>
      <w:spacing w:before="0" w:after="0"/>
    </w:pPr>
    <w:rPr>
      <w:sz w:val="20"/>
      <w:szCs w:val="20"/>
    </w:rPr>
  </w:style>
  <w:style w:type="character" w:customStyle="1" w:styleId="EndnoteTextChar">
    <w:name w:val="Endnote Text Char"/>
    <w:basedOn w:val="DefaultParagraphFont"/>
    <w:link w:val="EndnoteText"/>
    <w:uiPriority w:val="99"/>
    <w:semiHidden/>
    <w:rsid w:val="000B7C6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0B7C62"/>
    <w:rPr>
      <w:vertAlign w:val="superscript"/>
    </w:rPr>
  </w:style>
  <w:style w:type="character" w:customStyle="1" w:styleId="HeaderChar">
    <w:name w:val="Header Char"/>
    <w:basedOn w:val="DefaultParagraphFont"/>
    <w:link w:val="Header"/>
    <w:uiPriority w:val="99"/>
    <w:rsid w:val="00ED022B"/>
    <w:rPr>
      <w:rFonts w:ascii="Times New Roman" w:hAnsi="Times New Roman" w:cs="Times New Roman"/>
      <w:sz w:val="24"/>
      <w:lang w:val="fr-FR"/>
    </w:rPr>
  </w:style>
  <w:style w:type="character" w:customStyle="1" w:styleId="FooterChar">
    <w:name w:val="Footer Char"/>
    <w:basedOn w:val="DefaultParagraphFont"/>
    <w:link w:val="Footer"/>
    <w:uiPriority w:val="99"/>
    <w:rsid w:val="00ED022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D022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D022B"/>
    <w:pPr>
      <w:spacing w:before="0"/>
      <w:jc w:val="right"/>
    </w:pPr>
    <w:rPr>
      <w:sz w:val="28"/>
    </w:rPr>
  </w:style>
  <w:style w:type="paragraph" w:customStyle="1" w:styleId="FooterSensitivity">
    <w:name w:val="Footer Sensitivity"/>
    <w:basedOn w:val="Normal"/>
    <w:rsid w:val="00ED022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D022B"/>
    <w:pPr>
      <w:tabs>
        <w:tab w:val="center" w:pos="4535"/>
        <w:tab w:val="right" w:pos="9071"/>
      </w:tabs>
      <w:spacing w:before="0"/>
    </w:pPr>
  </w:style>
  <w:style w:type="paragraph" w:customStyle="1" w:styleId="HeaderLandscape">
    <w:name w:val="HeaderLandscape"/>
    <w:basedOn w:val="Normal"/>
    <w:rsid w:val="00ED022B"/>
    <w:pPr>
      <w:tabs>
        <w:tab w:val="center" w:pos="7285"/>
        <w:tab w:val="right" w:pos="14003"/>
      </w:tabs>
      <w:spacing w:before="0"/>
    </w:pPr>
  </w:style>
  <w:style w:type="paragraph" w:styleId="Footer">
    <w:name w:val="footer"/>
    <w:basedOn w:val="Normal"/>
    <w:link w:val="FooterChar"/>
    <w:uiPriority w:val="99"/>
    <w:unhideWhenUsed/>
    <w:rsid w:val="00ED022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D022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estat.statbel.fgov.be/bestat/crosstable.xhtml?view=bf348576-546f-4008-8a02-48c1736adc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7199ac-8122-4f91-9e0c-0acc8ca412f4" xsi:nil="true"/>
    <lcf76f155ced4ddcb4097134ff3c332f xmlns="ffa05dec-e383-4a36-a526-3e801466923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12" ma:contentTypeDescription="Create a new document." ma:contentTypeScope="" ma:versionID="0cf3564fd553e4d9c70a333ce59bf57a">
  <xsd:schema xmlns:xsd="http://www.w3.org/2001/XMLSchema" xmlns:xs="http://www.w3.org/2001/XMLSchema" xmlns:p="http://schemas.microsoft.com/office/2006/metadata/properties" xmlns:ns2="ffa05dec-e383-4a36-a526-3e8014669239" xmlns:ns3="727199ac-8122-4f91-9e0c-0acc8ca412f4" targetNamespace="http://schemas.microsoft.com/office/2006/metadata/properties" ma:root="true" ma:fieldsID="a4146b1c3ada04d2241e8f424fb0b47f" ns2:_="" ns3:_="">
    <xsd:import namespace="ffa05dec-e383-4a36-a526-3e8014669239"/>
    <xsd:import namespace="727199ac-8122-4f91-9e0c-0acc8ca41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199ac-8122-4f91-9e0c-0acc8ca412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ddf2c2-eec8-4c19-bc55-0ffcb3d14a8c}" ma:internalName="TaxCatchAll" ma:showField="CatchAllData" ma:web="727199ac-8122-4f91-9e0c-0acc8ca41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72419-DC9D-4AEE-A23B-812EF74FCBE2}">
  <ds:schemaRefs>
    <ds:schemaRef ds:uri="http://schemas.microsoft.com/office/2006/metadata/properties"/>
    <ds:schemaRef ds:uri="http://schemas.microsoft.com/office/infopath/2007/PartnerControls"/>
    <ds:schemaRef ds:uri="727199ac-8122-4f91-9e0c-0acc8ca412f4"/>
    <ds:schemaRef ds:uri="ffa05dec-e383-4a36-a526-3e8014669239"/>
  </ds:schemaRefs>
</ds:datastoreItem>
</file>

<file path=customXml/itemProps2.xml><?xml version="1.0" encoding="utf-8"?>
<ds:datastoreItem xmlns:ds="http://schemas.openxmlformats.org/officeDocument/2006/customXml" ds:itemID="{2E7D53B0-B5E2-47EA-B0A1-738745A01AB3}">
  <ds:schemaRefs>
    <ds:schemaRef ds:uri="http://schemas.microsoft.com/sharepoint/v3/contenttype/forms"/>
  </ds:schemaRefs>
</ds:datastoreItem>
</file>

<file path=customXml/itemProps3.xml><?xml version="1.0" encoding="utf-8"?>
<ds:datastoreItem xmlns:ds="http://schemas.openxmlformats.org/officeDocument/2006/customXml" ds:itemID="{BCBA0EE1-0C4B-4ED6-82CD-4B0727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727199ac-8122-4f91-9e0c-0acc8ca4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BC6A5B-EA3F-4F76-8A76-51EB5B2BA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13</Pages>
  <Words>3935</Words>
  <Characters>22436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2026-01-09T07:30:00Z</dcterms:created>
  <dcterms:modified xsi:type="dcterms:W3CDTF">2026-01-30T08:10:00Z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0x010100CD92FCBF67B53A4EB1060DF04C43C986</vt:lpwstr>
  </property>
  <property fmtid="{D5CDD505-2E9C-101B-9397-08002B2CF9AE}" pid="18" name="DQCStatus">
    <vt:lpwstr>Green (DQC version 03)</vt:lpwstr>
  </property>
</Properties>
</file>