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D02CE2" w:rsidRDefault="00EE6DC3" w:rsidP="00EE6DC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A0E98B-6660-44A1-8B9E-C1BD72B8FDC1" style="width:455.25pt;height:342.75pt">
            <v:imagedata r:id="rId11" o:title=""/>
          </v:shape>
        </w:pict>
      </w:r>
    </w:p>
    <w:p w:rsidR="001A62D7" w:rsidRPr="00D02CE2" w:rsidRDefault="001A62D7" w:rsidP="001A62D7">
      <w:pPr>
        <w:rPr>
          <w:noProof/>
        </w:rPr>
        <w:sectPr w:rsidR="001A62D7" w:rsidRPr="00D02CE2" w:rsidSect="00EE6DC3">
          <w:footerReference w:type="even" r:id="rId12"/>
          <w:footerReference w:type="default" r:id="rId13"/>
          <w:pgSz w:w="11907" w:h="16839"/>
          <w:pgMar w:top="1134" w:right="1417" w:bottom="1134" w:left="1417" w:header="709" w:footer="709" w:gutter="0"/>
          <w:pgNumType w:start="0"/>
          <w:cols w:space="720"/>
          <w:docGrid w:linePitch="360"/>
        </w:sectPr>
      </w:pPr>
    </w:p>
    <w:p w:rsidR="001A62D7" w:rsidRPr="00D22A6D" w:rsidRDefault="001A62D7" w:rsidP="001A62D7">
      <w:pPr>
        <w:pStyle w:val="Exposdesmotifstitre"/>
        <w:rPr>
          <w:noProof/>
        </w:rPr>
      </w:pPr>
      <w:bookmarkStart w:id="0" w:name="_GoBack"/>
      <w:bookmarkEnd w:id="0"/>
      <w:r w:rsidRPr="00D22A6D">
        <w:rPr>
          <w:noProof/>
        </w:rPr>
        <w:lastRenderedPageBreak/>
        <w:t>EXPUNERE DE MOTIVE</w:t>
      </w:r>
    </w:p>
    <w:p w:rsidR="001A62D7" w:rsidRPr="00D22A6D" w:rsidRDefault="001A62D7" w:rsidP="001A62D7">
      <w:pPr>
        <w:pStyle w:val="ManualHeading1"/>
        <w:rPr>
          <w:noProof/>
        </w:rPr>
      </w:pPr>
      <w:r w:rsidRPr="00D22A6D">
        <w:rPr>
          <w:noProof/>
        </w:rPr>
        <w:t>CONTEXTUL PROPUNERII</w:t>
      </w:r>
    </w:p>
    <w:p w:rsidR="001A62D7" w:rsidRPr="00D02CE2" w:rsidRDefault="001A62D7" w:rsidP="009C50F6">
      <w:pPr>
        <w:pStyle w:val="ManualNumPar1"/>
        <w:rPr>
          <w:noProof/>
        </w:rPr>
      </w:pPr>
      <w:r>
        <w:rPr>
          <w:noProof/>
        </w:rPr>
        <w:t>1.</w:t>
      </w:r>
      <w:r>
        <w:rPr>
          <w:noProof/>
        </w:rPr>
        <w:tab/>
      </w:r>
      <w:r w:rsidRPr="00D02CE2">
        <w:rPr>
          <w:noProof/>
        </w:rPr>
        <w:t>Normele aplicabile contribuțiilor financiare din partea Fondului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sidRPr="00D02CE2">
        <w:rPr>
          <w:rStyle w:val="FootnoteReference"/>
          <w:noProof/>
        </w:rPr>
        <w:footnoteReference w:id="1"/>
      </w:r>
      <w:r w:rsidRPr="00D02CE2">
        <w:rPr>
          <w:noProof/>
        </w:rPr>
        <w:t>.</w:t>
      </w:r>
    </w:p>
    <w:p w:rsidR="001A62D7" w:rsidRPr="00D02CE2" w:rsidRDefault="001A62D7" w:rsidP="009C50F6">
      <w:pPr>
        <w:pStyle w:val="ManualNumPar1"/>
        <w:rPr>
          <w:noProof/>
        </w:rPr>
      </w:pPr>
      <w:r>
        <w:rPr>
          <w:noProof/>
        </w:rPr>
        <w:t>2.</w:t>
      </w:r>
      <w:r>
        <w:rPr>
          <w:noProof/>
        </w:rPr>
        <w:tab/>
      </w:r>
      <w:r w:rsidRPr="00D02CE2">
        <w:rPr>
          <w:noProof/>
        </w:rPr>
        <w:t>La 23 septembrie 2025, Belgia a depus cererea EGF/2025/007 BE/Casa pentru a obține o contribuție financiară din partea FEG, ca urmare a disponibilizărilor de la Casa</w:t>
      </w:r>
      <w:r w:rsidRPr="00D02CE2">
        <w:rPr>
          <w:rStyle w:val="FootnoteReference"/>
          <w:noProof/>
        </w:rPr>
        <w:footnoteReference w:id="2"/>
      </w:r>
      <w:r w:rsidRPr="00D02CE2">
        <w:rPr>
          <w:noProof/>
        </w:rPr>
        <w:t xml:space="preserve"> din Belgia.</w:t>
      </w:r>
    </w:p>
    <w:p w:rsidR="001A62D7" w:rsidRPr="00D02CE2" w:rsidRDefault="001A62D7" w:rsidP="009C50F6">
      <w:pPr>
        <w:pStyle w:val="ManualNumPar1"/>
        <w:rPr>
          <w:noProof/>
        </w:rPr>
      </w:pPr>
      <w:r>
        <w:rPr>
          <w:noProof/>
        </w:rPr>
        <w:t>3.</w:t>
      </w:r>
      <w:r>
        <w:rPr>
          <w:noProof/>
        </w:rPr>
        <w:tab/>
      </w:r>
      <w:r w:rsidRPr="00D02CE2">
        <w:rPr>
          <w:noProof/>
        </w:rPr>
        <w:t xml:space="preserve">După evaluarea acestei cereri, Comisia a concluzionat, în conformitate cu toate dispozițiile aplicabile ale Regulamentului (UE) 2021/691, că sunt îndeplinite condițiile pentru acordarea unei contribuții financiare din partea FEG. </w:t>
      </w:r>
    </w:p>
    <w:p w:rsidR="001A62D7" w:rsidRPr="00D22A6D" w:rsidRDefault="001A62D7" w:rsidP="001A62D7">
      <w:pPr>
        <w:pStyle w:val="ManualHeading1"/>
        <w:rPr>
          <w:noProof/>
        </w:rPr>
      </w:pPr>
      <w:r w:rsidRPr="00D22A6D">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6F274D" w:rsidRPr="00D02CE2" w:rsidTr="001D5990">
        <w:tc>
          <w:tcPr>
            <w:tcW w:w="4908" w:type="dxa"/>
            <w:shd w:val="clear" w:color="auto" w:fill="auto"/>
          </w:tcPr>
          <w:p w:rsidR="006F274D" w:rsidRPr="00D02CE2" w:rsidRDefault="006F274D" w:rsidP="006F274D">
            <w:pPr>
              <w:spacing w:before="60" w:after="60"/>
              <w:jc w:val="left"/>
              <w:rPr>
                <w:rFonts w:eastAsia="Calibri"/>
                <w:noProof/>
              </w:rPr>
            </w:pPr>
            <w:r w:rsidRPr="00D02CE2">
              <w:rPr>
                <w:noProof/>
              </w:rPr>
              <w:t>Cererea FEG</w:t>
            </w:r>
          </w:p>
        </w:tc>
        <w:tc>
          <w:tcPr>
            <w:tcW w:w="4379" w:type="dxa"/>
            <w:shd w:val="clear" w:color="auto" w:fill="auto"/>
          </w:tcPr>
          <w:p w:rsidR="006F274D" w:rsidRPr="00D02CE2" w:rsidRDefault="006F274D" w:rsidP="006F274D">
            <w:pPr>
              <w:spacing w:before="60" w:after="60"/>
              <w:ind w:rightChars="192" w:right="461"/>
              <w:jc w:val="left"/>
              <w:rPr>
                <w:rFonts w:eastAsia="Calibri"/>
                <w:noProof/>
              </w:rPr>
            </w:pPr>
            <w:bookmarkStart w:id="1" w:name="_Hlk212110034"/>
            <w:r w:rsidRPr="00D02CE2">
              <w:rPr>
                <w:noProof/>
              </w:rPr>
              <w:t>EGF/2025/007 BE/Casa</w:t>
            </w:r>
            <w:bookmarkEnd w:id="1"/>
          </w:p>
        </w:tc>
      </w:tr>
      <w:tr w:rsidR="006F274D" w:rsidRPr="00D02CE2" w:rsidTr="001D5990">
        <w:tc>
          <w:tcPr>
            <w:tcW w:w="4908" w:type="dxa"/>
            <w:shd w:val="clear" w:color="auto" w:fill="auto"/>
          </w:tcPr>
          <w:p w:rsidR="006F274D" w:rsidRPr="00D02CE2" w:rsidRDefault="006F274D" w:rsidP="006F274D">
            <w:pPr>
              <w:spacing w:before="60" w:after="60"/>
              <w:jc w:val="left"/>
              <w:rPr>
                <w:rFonts w:eastAsia="Calibri"/>
                <w:noProof/>
              </w:rPr>
            </w:pPr>
            <w:r w:rsidRPr="00D02CE2">
              <w:rPr>
                <w:noProof/>
              </w:rPr>
              <w:t>Stat membru</w:t>
            </w:r>
          </w:p>
        </w:tc>
        <w:tc>
          <w:tcPr>
            <w:tcW w:w="4379" w:type="dxa"/>
            <w:shd w:val="clear" w:color="auto" w:fill="auto"/>
          </w:tcPr>
          <w:p w:rsidR="006F274D" w:rsidRPr="00D02CE2" w:rsidRDefault="006F274D" w:rsidP="006F274D">
            <w:pPr>
              <w:spacing w:before="60" w:after="60"/>
              <w:ind w:rightChars="192" w:right="461"/>
              <w:jc w:val="left"/>
              <w:rPr>
                <w:rFonts w:eastAsia="Calibri"/>
                <w:noProof/>
              </w:rPr>
            </w:pPr>
            <w:r w:rsidRPr="00D02CE2">
              <w:rPr>
                <w:noProof/>
              </w:rPr>
              <w:t>Belgia</w:t>
            </w:r>
          </w:p>
        </w:tc>
      </w:tr>
      <w:tr w:rsidR="006F274D" w:rsidRPr="00D02CE2" w:rsidTr="001D5990">
        <w:tc>
          <w:tcPr>
            <w:tcW w:w="4908" w:type="dxa"/>
            <w:tcBorders>
              <w:bottom w:val="single" w:sz="4" w:space="0" w:color="auto"/>
            </w:tcBorders>
            <w:shd w:val="clear" w:color="auto" w:fill="auto"/>
          </w:tcPr>
          <w:p w:rsidR="006F274D" w:rsidRPr="00D02CE2" w:rsidRDefault="006F274D" w:rsidP="006F274D">
            <w:pPr>
              <w:spacing w:before="60" w:after="60"/>
              <w:jc w:val="left"/>
              <w:rPr>
                <w:rFonts w:eastAsia="Calibri"/>
                <w:noProof/>
              </w:rPr>
            </w:pPr>
            <w:r w:rsidRPr="00D02CE2">
              <w:rPr>
                <w:noProof/>
              </w:rPr>
              <w:t>Regiunea sau regiunile vizate (nivel NUTS 2</w:t>
            </w:r>
            <w:r w:rsidRPr="00D02CE2">
              <w:rPr>
                <w:rStyle w:val="FootnoteReference"/>
                <w:rFonts w:eastAsia="Calibri"/>
                <w:noProof/>
              </w:rPr>
              <w:footnoteReference w:id="3"/>
            </w:r>
            <w:r w:rsidRPr="00D02CE2">
              <w:rPr>
                <w:noProof/>
              </w:rPr>
              <w:t>)</w:t>
            </w:r>
          </w:p>
        </w:tc>
        <w:tc>
          <w:tcPr>
            <w:tcW w:w="4379" w:type="dxa"/>
            <w:tcBorders>
              <w:bottom w:val="single" w:sz="4" w:space="0" w:color="auto"/>
            </w:tcBorders>
            <w:shd w:val="clear" w:color="auto" w:fill="auto"/>
          </w:tcPr>
          <w:p w:rsidR="006F274D" w:rsidRPr="00D02CE2" w:rsidRDefault="006F274D" w:rsidP="006F274D">
            <w:pPr>
              <w:spacing w:before="0" w:after="0"/>
              <w:ind w:rightChars="192" w:right="461"/>
              <w:jc w:val="left"/>
              <w:rPr>
                <w:noProof/>
                <w:szCs w:val="24"/>
              </w:rPr>
            </w:pPr>
            <w:r w:rsidRPr="00D02CE2">
              <w:rPr>
                <w:noProof/>
              </w:rPr>
              <w:t>Provincia Anvers (BE21)</w:t>
            </w:r>
          </w:p>
        </w:tc>
      </w:tr>
      <w:tr w:rsidR="006F274D" w:rsidRPr="00D02CE2" w:rsidTr="001D5990">
        <w:tc>
          <w:tcPr>
            <w:tcW w:w="4908" w:type="dxa"/>
            <w:tcBorders>
              <w:bottom w:val="dotted" w:sz="4" w:space="0" w:color="auto"/>
            </w:tcBorders>
            <w:shd w:val="clear" w:color="auto" w:fill="auto"/>
          </w:tcPr>
          <w:p w:rsidR="006F274D" w:rsidRPr="00D02CE2" w:rsidRDefault="006F274D" w:rsidP="006F274D">
            <w:pPr>
              <w:spacing w:before="60" w:after="60"/>
              <w:jc w:val="left"/>
              <w:rPr>
                <w:rFonts w:eastAsia="Calibri"/>
                <w:noProof/>
              </w:rPr>
            </w:pPr>
            <w:r w:rsidRPr="00D02CE2">
              <w:rPr>
                <w:noProof/>
              </w:rPr>
              <w:t>Data depunerii cererii</w:t>
            </w:r>
          </w:p>
        </w:tc>
        <w:tc>
          <w:tcPr>
            <w:tcW w:w="4379" w:type="dxa"/>
            <w:tcBorders>
              <w:bottom w:val="dotted" w:sz="4" w:space="0" w:color="auto"/>
            </w:tcBorders>
            <w:shd w:val="clear" w:color="auto" w:fill="auto"/>
          </w:tcPr>
          <w:p w:rsidR="006F274D" w:rsidRPr="00D02CE2" w:rsidRDefault="006F274D" w:rsidP="006F274D">
            <w:pPr>
              <w:spacing w:before="60" w:after="60"/>
              <w:ind w:rightChars="192" w:right="461"/>
              <w:jc w:val="left"/>
              <w:rPr>
                <w:rFonts w:eastAsia="Calibri"/>
                <w:noProof/>
              </w:rPr>
            </w:pPr>
            <w:r w:rsidRPr="00D02CE2">
              <w:rPr>
                <w:noProof/>
              </w:rPr>
              <w:t>23 septembrie 2025</w:t>
            </w:r>
          </w:p>
        </w:tc>
      </w:tr>
      <w:tr w:rsidR="006F274D" w:rsidRPr="00D02CE2" w:rsidTr="001D5990">
        <w:tc>
          <w:tcPr>
            <w:tcW w:w="4908" w:type="dxa"/>
            <w:tcBorders>
              <w:top w:val="dotted" w:sz="4" w:space="0" w:color="auto"/>
              <w:bottom w:val="dotted" w:sz="4" w:space="0" w:color="auto"/>
            </w:tcBorders>
            <w:shd w:val="clear" w:color="auto" w:fill="auto"/>
          </w:tcPr>
          <w:p w:rsidR="006F274D" w:rsidRPr="00D02CE2" w:rsidRDefault="006F274D" w:rsidP="006F274D">
            <w:pPr>
              <w:spacing w:before="60" w:after="60"/>
              <w:jc w:val="left"/>
              <w:rPr>
                <w:rFonts w:eastAsia="Calibri"/>
                <w:noProof/>
              </w:rPr>
            </w:pPr>
            <w:r w:rsidRPr="00D02CE2">
              <w:rPr>
                <w:noProof/>
              </w:rPr>
              <w:t>Data confirmării primirii cererii</w:t>
            </w:r>
          </w:p>
        </w:tc>
        <w:tc>
          <w:tcPr>
            <w:tcW w:w="4379" w:type="dxa"/>
            <w:tcBorders>
              <w:top w:val="dotted" w:sz="4" w:space="0" w:color="auto"/>
              <w:bottom w:val="dotted" w:sz="4" w:space="0" w:color="auto"/>
            </w:tcBorders>
            <w:shd w:val="clear" w:color="auto" w:fill="auto"/>
          </w:tcPr>
          <w:p w:rsidR="006F274D" w:rsidRPr="00D02CE2" w:rsidRDefault="006F274D" w:rsidP="006F274D">
            <w:pPr>
              <w:spacing w:before="60" w:after="60"/>
              <w:ind w:rightChars="192" w:right="461"/>
              <w:jc w:val="left"/>
              <w:rPr>
                <w:rFonts w:eastAsia="Calibri"/>
                <w:noProof/>
              </w:rPr>
            </w:pPr>
            <w:r w:rsidRPr="00D02CE2">
              <w:rPr>
                <w:noProof/>
              </w:rPr>
              <w:t>23 septembrie 2025</w:t>
            </w:r>
          </w:p>
        </w:tc>
      </w:tr>
      <w:tr w:rsidR="001E1B79" w:rsidRPr="00D02CE2" w:rsidTr="001D5990">
        <w:tc>
          <w:tcPr>
            <w:tcW w:w="4908" w:type="dxa"/>
            <w:tcBorders>
              <w:top w:val="dotted" w:sz="4" w:space="0" w:color="auto"/>
              <w:bottom w:val="dotted" w:sz="4" w:space="0" w:color="auto"/>
            </w:tcBorders>
            <w:shd w:val="clear" w:color="auto" w:fill="auto"/>
          </w:tcPr>
          <w:p w:rsidR="001E1B79" w:rsidRPr="00D02CE2" w:rsidRDefault="001E1B79" w:rsidP="001E1B79">
            <w:pPr>
              <w:spacing w:before="60" w:after="60"/>
              <w:jc w:val="left"/>
              <w:rPr>
                <w:rFonts w:eastAsia="Calibri"/>
                <w:noProof/>
              </w:rPr>
            </w:pPr>
            <w:r w:rsidRPr="00D02CE2">
              <w:rPr>
                <w:noProof/>
              </w:rPr>
              <w:t>Data la care a fost disponibilă traducerea</w:t>
            </w:r>
          </w:p>
        </w:tc>
        <w:tc>
          <w:tcPr>
            <w:tcW w:w="4379" w:type="dxa"/>
            <w:tcBorders>
              <w:top w:val="dotted" w:sz="4" w:space="0" w:color="auto"/>
              <w:bottom w:val="dotted" w:sz="4" w:space="0" w:color="auto"/>
            </w:tcBorders>
            <w:shd w:val="clear" w:color="auto" w:fill="auto"/>
          </w:tcPr>
          <w:p w:rsidR="001E1B79" w:rsidRPr="00D02CE2" w:rsidRDefault="001E1B79" w:rsidP="001E1B79">
            <w:pPr>
              <w:spacing w:before="60" w:after="60"/>
              <w:ind w:rightChars="192" w:right="461"/>
              <w:jc w:val="left"/>
              <w:rPr>
                <w:noProof/>
              </w:rPr>
            </w:pPr>
            <w:r w:rsidRPr="00D02CE2">
              <w:rPr>
                <w:noProof/>
              </w:rPr>
              <w:t>22 octombrie 2025</w:t>
            </w:r>
          </w:p>
        </w:tc>
      </w:tr>
      <w:tr w:rsidR="001E1B79" w:rsidRPr="00D02CE2" w:rsidTr="001D5990">
        <w:tc>
          <w:tcPr>
            <w:tcW w:w="4908" w:type="dxa"/>
            <w:tcBorders>
              <w:top w:val="dotted" w:sz="4" w:space="0" w:color="auto"/>
              <w:bottom w:val="dotted" w:sz="4" w:space="0" w:color="auto"/>
            </w:tcBorders>
            <w:shd w:val="clear" w:color="auto" w:fill="auto"/>
          </w:tcPr>
          <w:p w:rsidR="001E1B79" w:rsidRPr="00D02CE2" w:rsidRDefault="001E1B79" w:rsidP="001E1B79">
            <w:pPr>
              <w:spacing w:before="60" w:after="60"/>
              <w:jc w:val="left"/>
              <w:rPr>
                <w:rFonts w:eastAsia="Calibri"/>
                <w:noProof/>
              </w:rPr>
            </w:pPr>
            <w:r w:rsidRPr="00D02CE2">
              <w:rPr>
                <w:noProof/>
              </w:rPr>
              <w:t>Data cererii de informații suplimentare</w:t>
            </w:r>
          </w:p>
        </w:tc>
        <w:tc>
          <w:tcPr>
            <w:tcW w:w="4379" w:type="dxa"/>
            <w:tcBorders>
              <w:top w:val="dotted" w:sz="4" w:space="0" w:color="auto"/>
              <w:bottom w:val="dotted" w:sz="4" w:space="0" w:color="auto"/>
            </w:tcBorders>
            <w:shd w:val="clear" w:color="auto" w:fill="auto"/>
          </w:tcPr>
          <w:p w:rsidR="001E1B79" w:rsidRPr="00D02CE2" w:rsidRDefault="001E1B79" w:rsidP="001E1B79">
            <w:pPr>
              <w:spacing w:before="60" w:after="60"/>
              <w:ind w:rightChars="192" w:right="461"/>
              <w:jc w:val="left"/>
              <w:rPr>
                <w:rFonts w:eastAsia="Calibri"/>
                <w:noProof/>
              </w:rPr>
            </w:pPr>
            <w:r w:rsidRPr="00D02CE2">
              <w:rPr>
                <w:noProof/>
              </w:rPr>
              <w:t>5 noiembrie 2025</w:t>
            </w:r>
          </w:p>
        </w:tc>
      </w:tr>
      <w:tr w:rsidR="001E1B79" w:rsidRPr="00D02CE2" w:rsidTr="001D5990">
        <w:tc>
          <w:tcPr>
            <w:tcW w:w="4908" w:type="dxa"/>
            <w:tcBorders>
              <w:top w:val="dotted" w:sz="4" w:space="0" w:color="auto"/>
              <w:bottom w:val="dotted" w:sz="4" w:space="0" w:color="auto"/>
            </w:tcBorders>
            <w:shd w:val="clear" w:color="auto" w:fill="auto"/>
          </w:tcPr>
          <w:p w:rsidR="001E1B79" w:rsidRPr="00D02CE2" w:rsidRDefault="001E1B79" w:rsidP="001E1B79">
            <w:pPr>
              <w:spacing w:before="60" w:after="60"/>
              <w:jc w:val="left"/>
              <w:rPr>
                <w:rFonts w:eastAsia="Calibri"/>
                <w:noProof/>
              </w:rPr>
            </w:pPr>
            <w:r w:rsidRPr="00D02CE2">
              <w:rPr>
                <w:noProof/>
              </w:rPr>
              <w:t>Termenul pentru furnizarea informațiilor suplimentare</w:t>
            </w:r>
          </w:p>
        </w:tc>
        <w:tc>
          <w:tcPr>
            <w:tcW w:w="4379" w:type="dxa"/>
            <w:tcBorders>
              <w:top w:val="dotted" w:sz="4" w:space="0" w:color="auto"/>
              <w:bottom w:val="dotted" w:sz="4" w:space="0" w:color="auto"/>
            </w:tcBorders>
            <w:shd w:val="clear" w:color="auto" w:fill="auto"/>
          </w:tcPr>
          <w:p w:rsidR="001E1B79" w:rsidRPr="00D02CE2" w:rsidRDefault="001E1B79" w:rsidP="001E1B79">
            <w:pPr>
              <w:spacing w:before="60" w:after="60"/>
              <w:ind w:rightChars="192" w:right="461"/>
              <w:jc w:val="left"/>
              <w:rPr>
                <w:rFonts w:eastAsia="Calibri"/>
                <w:noProof/>
              </w:rPr>
            </w:pPr>
            <w:r w:rsidRPr="00D02CE2">
              <w:rPr>
                <w:noProof/>
              </w:rPr>
              <w:t>27 noiembrie 2025</w:t>
            </w:r>
          </w:p>
        </w:tc>
      </w:tr>
      <w:tr w:rsidR="001E1B79" w:rsidRPr="00D02CE2" w:rsidTr="001D5990">
        <w:tc>
          <w:tcPr>
            <w:tcW w:w="4908" w:type="dxa"/>
            <w:tcBorders>
              <w:top w:val="dotted" w:sz="4" w:space="0" w:color="auto"/>
            </w:tcBorders>
            <w:shd w:val="clear" w:color="auto" w:fill="auto"/>
          </w:tcPr>
          <w:p w:rsidR="001E1B79" w:rsidRPr="00D02CE2" w:rsidRDefault="001E1B79" w:rsidP="001E1B79">
            <w:pPr>
              <w:spacing w:before="60" w:after="60"/>
              <w:jc w:val="left"/>
              <w:rPr>
                <w:rFonts w:eastAsia="Calibri"/>
                <w:noProof/>
              </w:rPr>
            </w:pPr>
            <w:r w:rsidRPr="00D02CE2">
              <w:rPr>
                <w:noProof/>
              </w:rPr>
              <w:t>Termenul pentru finalizarea evaluării</w:t>
            </w:r>
          </w:p>
        </w:tc>
        <w:tc>
          <w:tcPr>
            <w:tcW w:w="4379" w:type="dxa"/>
            <w:tcBorders>
              <w:top w:val="dotted" w:sz="4" w:space="0" w:color="auto"/>
            </w:tcBorders>
            <w:shd w:val="clear" w:color="auto" w:fill="auto"/>
          </w:tcPr>
          <w:p w:rsidR="001E1B79" w:rsidRPr="00D02CE2" w:rsidRDefault="001E1B79" w:rsidP="001E1B79">
            <w:pPr>
              <w:spacing w:before="60" w:after="60"/>
              <w:ind w:rightChars="192" w:right="461"/>
              <w:jc w:val="left"/>
              <w:rPr>
                <w:rFonts w:eastAsia="Calibri"/>
                <w:noProof/>
              </w:rPr>
            </w:pPr>
            <w:r w:rsidRPr="00D02CE2">
              <w:rPr>
                <w:noProof/>
              </w:rPr>
              <w:t>17 februarie 2026</w:t>
            </w:r>
          </w:p>
        </w:tc>
      </w:tr>
      <w:tr w:rsidR="001E1B79" w:rsidRPr="00D02CE2" w:rsidTr="001D5990">
        <w:tc>
          <w:tcPr>
            <w:tcW w:w="4908" w:type="dxa"/>
            <w:shd w:val="clear" w:color="auto" w:fill="auto"/>
          </w:tcPr>
          <w:p w:rsidR="001E1B79" w:rsidRPr="00D02CE2" w:rsidRDefault="001E1B79" w:rsidP="001E1B79">
            <w:pPr>
              <w:spacing w:before="60" w:after="60"/>
              <w:jc w:val="left"/>
              <w:rPr>
                <w:rFonts w:eastAsia="Calibri"/>
                <w:noProof/>
              </w:rPr>
            </w:pPr>
            <w:r w:rsidRPr="00D02CE2">
              <w:rPr>
                <w:noProof/>
              </w:rPr>
              <w:t>Criteriul de intervenție</w:t>
            </w:r>
          </w:p>
        </w:tc>
        <w:tc>
          <w:tcPr>
            <w:tcW w:w="4379" w:type="dxa"/>
            <w:shd w:val="clear" w:color="auto" w:fill="auto"/>
          </w:tcPr>
          <w:p w:rsidR="001E1B79" w:rsidRPr="00D02CE2" w:rsidRDefault="001E1B79" w:rsidP="001E1B79">
            <w:pPr>
              <w:spacing w:before="60" w:after="60"/>
              <w:ind w:rightChars="192" w:right="461"/>
              <w:jc w:val="left"/>
              <w:rPr>
                <w:rFonts w:eastAsia="Calibri"/>
                <w:noProof/>
              </w:rPr>
            </w:pPr>
            <w:r w:rsidRPr="00D02CE2">
              <w:rPr>
                <w:noProof/>
              </w:rPr>
              <w:t>Articolul 4 alineatul (2) litera (a) din Regulamentul (UE) 2021/691</w:t>
            </w:r>
          </w:p>
        </w:tc>
      </w:tr>
      <w:tr w:rsidR="000B7C62" w:rsidRPr="00D02CE2" w:rsidTr="001D5990">
        <w:tc>
          <w:tcPr>
            <w:tcW w:w="4908" w:type="dxa"/>
            <w:tcBorders>
              <w:top w:val="single" w:sz="4" w:space="0" w:color="auto"/>
              <w:bottom w:val="single" w:sz="4" w:space="0" w:color="auto"/>
              <w:right w:val="single" w:sz="4" w:space="0" w:color="auto"/>
            </w:tcBorders>
            <w:shd w:val="clear" w:color="auto" w:fill="auto"/>
          </w:tcPr>
          <w:p w:rsidR="000B7C62" w:rsidRPr="00D02CE2" w:rsidRDefault="000B7C62" w:rsidP="001E1B79">
            <w:pPr>
              <w:spacing w:before="60" w:after="60"/>
              <w:jc w:val="left"/>
              <w:rPr>
                <w:noProof/>
              </w:rPr>
            </w:pPr>
            <w:r w:rsidRPr="00D02CE2">
              <w:rPr>
                <w:noProof/>
              </w:rPr>
              <w:t>Întreprinderea principală</w:t>
            </w:r>
          </w:p>
        </w:tc>
        <w:tc>
          <w:tcPr>
            <w:tcW w:w="4379" w:type="dxa"/>
            <w:tcBorders>
              <w:top w:val="single" w:sz="4" w:space="0" w:color="auto"/>
              <w:left w:val="single" w:sz="4" w:space="0" w:color="auto"/>
              <w:bottom w:val="single" w:sz="4" w:space="0" w:color="auto"/>
            </w:tcBorders>
            <w:shd w:val="clear" w:color="auto" w:fill="auto"/>
          </w:tcPr>
          <w:p w:rsidR="000B7C62" w:rsidRPr="00D02CE2" w:rsidRDefault="000B7C62" w:rsidP="001E1B79">
            <w:pPr>
              <w:spacing w:before="60" w:after="60"/>
              <w:ind w:rightChars="192" w:right="461"/>
              <w:jc w:val="left"/>
              <w:rPr>
                <w:noProof/>
              </w:rPr>
            </w:pPr>
            <w:r w:rsidRPr="00D02CE2">
              <w:rPr>
                <w:noProof/>
              </w:rPr>
              <w:t>Casa International NV</w:t>
            </w:r>
          </w:p>
        </w:tc>
      </w:tr>
      <w:tr w:rsidR="001E1B79" w:rsidRPr="00D02CE2" w:rsidTr="001D5990">
        <w:tc>
          <w:tcPr>
            <w:tcW w:w="4908" w:type="dxa"/>
            <w:tcBorders>
              <w:top w:val="single" w:sz="4" w:space="0" w:color="auto"/>
              <w:bottom w:val="single" w:sz="4" w:space="0" w:color="auto"/>
              <w:right w:val="single" w:sz="4" w:space="0" w:color="auto"/>
            </w:tcBorders>
            <w:shd w:val="clear" w:color="auto" w:fill="auto"/>
          </w:tcPr>
          <w:p w:rsidR="001E1B79" w:rsidRPr="00D02CE2" w:rsidRDefault="001E1B79" w:rsidP="001E1B79">
            <w:pPr>
              <w:spacing w:before="60" w:after="60"/>
              <w:jc w:val="left"/>
              <w:rPr>
                <w:rFonts w:eastAsia="Calibri"/>
                <w:noProof/>
              </w:rPr>
            </w:pPr>
            <w:r w:rsidRPr="00D02CE2">
              <w:rPr>
                <w:noProof/>
              </w:rPr>
              <w:br w:type="page"/>
              <w:t>Numărul de întreprinderi vizate</w:t>
            </w:r>
          </w:p>
        </w:tc>
        <w:tc>
          <w:tcPr>
            <w:tcW w:w="4379" w:type="dxa"/>
            <w:tcBorders>
              <w:top w:val="single" w:sz="4" w:space="0" w:color="auto"/>
              <w:left w:val="single" w:sz="4" w:space="0" w:color="auto"/>
              <w:bottom w:val="single" w:sz="4" w:space="0" w:color="auto"/>
            </w:tcBorders>
            <w:shd w:val="clear" w:color="auto" w:fill="auto"/>
          </w:tcPr>
          <w:p w:rsidR="001E1B79" w:rsidRPr="00D02CE2" w:rsidRDefault="001E1B79" w:rsidP="001E1B79">
            <w:pPr>
              <w:spacing w:before="60" w:after="60"/>
              <w:ind w:rightChars="192" w:right="461"/>
              <w:jc w:val="left"/>
              <w:rPr>
                <w:noProof/>
                <w:szCs w:val="24"/>
              </w:rPr>
            </w:pPr>
            <w:r w:rsidRPr="00D02CE2">
              <w:rPr>
                <w:noProof/>
              </w:rPr>
              <w:t>2</w:t>
            </w:r>
          </w:p>
        </w:tc>
      </w:tr>
      <w:tr w:rsidR="001E1B79" w:rsidRPr="00D02CE2" w:rsidTr="001D5990">
        <w:tc>
          <w:tcPr>
            <w:tcW w:w="4908" w:type="dxa"/>
            <w:shd w:val="clear" w:color="auto" w:fill="auto"/>
          </w:tcPr>
          <w:p w:rsidR="001E1B79" w:rsidRPr="00D02CE2" w:rsidRDefault="001E1B79" w:rsidP="001E1B79">
            <w:pPr>
              <w:spacing w:before="60" w:after="60"/>
              <w:jc w:val="left"/>
              <w:rPr>
                <w:rFonts w:eastAsia="Calibri"/>
                <w:noProof/>
              </w:rPr>
            </w:pPr>
            <w:r w:rsidRPr="00D02CE2">
              <w:rPr>
                <w:noProof/>
              </w:rPr>
              <w:t>Sectorul (sectoarele) de activitate economică</w:t>
            </w:r>
          </w:p>
          <w:p w:rsidR="001E1B79" w:rsidRPr="00D02CE2" w:rsidRDefault="001E1B79" w:rsidP="001E1B79">
            <w:pPr>
              <w:spacing w:before="60" w:after="60"/>
              <w:jc w:val="left"/>
              <w:rPr>
                <w:rFonts w:eastAsia="Calibri"/>
                <w:noProof/>
              </w:rPr>
            </w:pPr>
            <w:r w:rsidRPr="00D02CE2">
              <w:rPr>
                <w:noProof/>
              </w:rPr>
              <w:t>(Diviziunea NACE Rev. 2)</w:t>
            </w:r>
            <w:r w:rsidRPr="00D02CE2">
              <w:rPr>
                <w:rStyle w:val="FootnoteReference"/>
                <w:rFonts w:eastAsia="Calibri"/>
                <w:noProof/>
              </w:rPr>
              <w:footnoteReference w:id="4"/>
            </w:r>
          </w:p>
        </w:tc>
        <w:tc>
          <w:tcPr>
            <w:tcW w:w="4379" w:type="dxa"/>
            <w:shd w:val="clear" w:color="auto" w:fill="auto"/>
          </w:tcPr>
          <w:p w:rsidR="001E1B79" w:rsidRPr="00D02CE2" w:rsidRDefault="001E1B79" w:rsidP="001E1B79">
            <w:pPr>
              <w:spacing w:before="60" w:after="60"/>
              <w:ind w:rightChars="192" w:right="461"/>
              <w:jc w:val="left"/>
              <w:rPr>
                <w:rFonts w:eastAsia="Calibri"/>
                <w:noProof/>
              </w:rPr>
            </w:pPr>
            <w:r w:rsidRPr="00D02CE2">
              <w:rPr>
                <w:noProof/>
              </w:rPr>
              <w:t>Diviziunea 47 (Comerț cu amănuntul, cu excepția autovehiculelor și motocicletelor) și diviziunea 52 (Antrepozitare și activități auxiliare pentru transporturi)</w:t>
            </w:r>
          </w:p>
        </w:tc>
      </w:tr>
      <w:tr w:rsidR="001E1B79" w:rsidRPr="00D02CE2" w:rsidTr="001D5990">
        <w:tc>
          <w:tcPr>
            <w:tcW w:w="4908" w:type="dxa"/>
            <w:tcBorders>
              <w:bottom w:val="single" w:sz="4" w:space="0" w:color="auto"/>
            </w:tcBorders>
            <w:shd w:val="clear" w:color="auto" w:fill="auto"/>
          </w:tcPr>
          <w:p w:rsidR="001E1B79" w:rsidRPr="00D02CE2" w:rsidRDefault="001E1B79" w:rsidP="001E1B79">
            <w:pPr>
              <w:spacing w:before="60" w:after="60"/>
              <w:jc w:val="left"/>
              <w:rPr>
                <w:rFonts w:eastAsia="Calibri"/>
                <w:noProof/>
              </w:rPr>
            </w:pPr>
            <w:r w:rsidRPr="00D02CE2">
              <w:rPr>
                <w:noProof/>
              </w:rPr>
              <w:lastRenderedPageBreak/>
              <w:t>Perioada de referință (patru luni):</w:t>
            </w:r>
          </w:p>
        </w:tc>
        <w:tc>
          <w:tcPr>
            <w:tcW w:w="4379" w:type="dxa"/>
            <w:tcBorders>
              <w:bottom w:val="single" w:sz="4" w:space="0" w:color="auto"/>
            </w:tcBorders>
            <w:shd w:val="clear" w:color="auto" w:fill="auto"/>
          </w:tcPr>
          <w:p w:rsidR="001E1B79" w:rsidRPr="00D02CE2" w:rsidRDefault="001E1B79" w:rsidP="001E1B79">
            <w:pPr>
              <w:spacing w:before="60" w:after="60"/>
              <w:ind w:rightChars="192" w:right="461"/>
              <w:jc w:val="left"/>
              <w:rPr>
                <w:rFonts w:eastAsia="Calibri"/>
                <w:noProof/>
              </w:rPr>
            </w:pPr>
            <w:r w:rsidRPr="00D02CE2">
              <w:rPr>
                <w:noProof/>
              </w:rPr>
              <w:t>6 martie 2025 – 6 iulie 2025</w:t>
            </w:r>
          </w:p>
        </w:tc>
      </w:tr>
      <w:tr w:rsidR="001E1B79" w:rsidRPr="00D02CE2" w:rsidTr="001D5990">
        <w:tc>
          <w:tcPr>
            <w:tcW w:w="4908" w:type="dxa"/>
            <w:tcBorders>
              <w:bottom w:val="dotted" w:sz="4" w:space="0" w:color="auto"/>
            </w:tcBorders>
            <w:shd w:val="clear" w:color="auto" w:fill="auto"/>
          </w:tcPr>
          <w:p w:rsidR="001E1B79" w:rsidRPr="00D02CE2" w:rsidRDefault="001E1B79" w:rsidP="001E1B79">
            <w:pPr>
              <w:spacing w:before="60" w:after="60"/>
              <w:jc w:val="left"/>
              <w:rPr>
                <w:rFonts w:eastAsia="Calibri"/>
                <w:noProof/>
                <w:highlight w:val="magenta"/>
              </w:rPr>
            </w:pPr>
            <w:r w:rsidRPr="00D02CE2">
              <w:rPr>
                <w:noProof/>
              </w:rPr>
              <w:t>Numărul de disponibilizări în perioada de referință (</w:t>
            </w:r>
            <w:r w:rsidRPr="00D22A6D">
              <w:rPr>
                <w:i/>
                <w:noProof/>
              </w:rPr>
              <w:t>a</w:t>
            </w:r>
            <w:r w:rsidRPr="00D02CE2">
              <w:rPr>
                <w:noProof/>
              </w:rPr>
              <w:t>)</w:t>
            </w:r>
          </w:p>
        </w:tc>
        <w:tc>
          <w:tcPr>
            <w:tcW w:w="4379" w:type="dxa"/>
            <w:tcBorders>
              <w:bottom w:val="dotted" w:sz="4" w:space="0" w:color="auto"/>
            </w:tcBorders>
            <w:shd w:val="clear" w:color="auto" w:fill="auto"/>
          </w:tcPr>
          <w:p w:rsidR="001E1B79" w:rsidRPr="00D02CE2" w:rsidRDefault="001E1B79" w:rsidP="001E1B79">
            <w:pPr>
              <w:spacing w:before="60" w:after="60"/>
              <w:ind w:rightChars="192" w:right="461"/>
              <w:jc w:val="left"/>
              <w:rPr>
                <w:rFonts w:eastAsia="Calibri"/>
                <w:noProof/>
                <w:highlight w:val="magenta"/>
              </w:rPr>
            </w:pPr>
            <w:r w:rsidRPr="00D02CE2">
              <w:rPr>
                <w:noProof/>
              </w:rPr>
              <w:t>416</w:t>
            </w:r>
          </w:p>
        </w:tc>
      </w:tr>
      <w:tr w:rsidR="001E1B79" w:rsidRPr="00D02CE2" w:rsidTr="001D5990">
        <w:tc>
          <w:tcPr>
            <w:tcW w:w="4908" w:type="dxa"/>
            <w:tcBorders>
              <w:bottom w:val="dotted" w:sz="4" w:space="0" w:color="auto"/>
            </w:tcBorders>
            <w:shd w:val="clear" w:color="auto" w:fill="auto"/>
          </w:tcPr>
          <w:p w:rsidR="001E1B79" w:rsidRPr="00D02CE2" w:rsidRDefault="001E1B79" w:rsidP="001E1B79">
            <w:pPr>
              <w:spacing w:before="60" w:after="60"/>
              <w:jc w:val="left"/>
              <w:rPr>
                <w:rFonts w:eastAsia="Calibri"/>
                <w:noProof/>
              </w:rPr>
            </w:pPr>
            <w:r w:rsidRPr="00D02CE2">
              <w:rPr>
                <w:noProof/>
              </w:rPr>
              <w:t>Numărul total de beneficiari eligibili</w:t>
            </w:r>
          </w:p>
        </w:tc>
        <w:tc>
          <w:tcPr>
            <w:tcW w:w="4379" w:type="dxa"/>
            <w:tcBorders>
              <w:bottom w:val="dotted" w:sz="4" w:space="0" w:color="auto"/>
            </w:tcBorders>
            <w:shd w:val="clear" w:color="auto" w:fill="auto"/>
          </w:tcPr>
          <w:p w:rsidR="001E1B79" w:rsidRPr="00D02CE2" w:rsidRDefault="001E1B79" w:rsidP="001E1B79">
            <w:pPr>
              <w:spacing w:before="60" w:after="60"/>
              <w:ind w:rightChars="192" w:right="461"/>
              <w:jc w:val="left"/>
              <w:rPr>
                <w:rFonts w:eastAsia="Calibri"/>
                <w:noProof/>
              </w:rPr>
            </w:pPr>
            <w:r w:rsidRPr="00D02CE2">
              <w:rPr>
                <w:noProof/>
              </w:rPr>
              <w:t>416</w:t>
            </w:r>
          </w:p>
        </w:tc>
      </w:tr>
      <w:tr w:rsidR="001E1B79" w:rsidRPr="00D02CE2" w:rsidTr="001D5990">
        <w:tc>
          <w:tcPr>
            <w:tcW w:w="4908" w:type="dxa"/>
            <w:tcBorders>
              <w:top w:val="dotted" w:sz="4" w:space="0" w:color="auto"/>
              <w:bottom w:val="dotted" w:sz="4" w:space="0" w:color="auto"/>
            </w:tcBorders>
            <w:shd w:val="clear" w:color="auto" w:fill="auto"/>
          </w:tcPr>
          <w:p w:rsidR="001E1B79" w:rsidRPr="00D02CE2" w:rsidRDefault="001E1B79" w:rsidP="001E1B79">
            <w:pPr>
              <w:spacing w:before="60" w:after="60"/>
              <w:jc w:val="left"/>
              <w:rPr>
                <w:rFonts w:eastAsia="Calibri"/>
                <w:noProof/>
              </w:rPr>
            </w:pPr>
            <w:r w:rsidRPr="00D02CE2">
              <w:rPr>
                <w:noProof/>
              </w:rPr>
              <w:t>Numărul total de beneficiari vizați</w:t>
            </w:r>
          </w:p>
        </w:tc>
        <w:tc>
          <w:tcPr>
            <w:tcW w:w="4379" w:type="dxa"/>
            <w:tcBorders>
              <w:top w:val="dotted" w:sz="4" w:space="0" w:color="auto"/>
              <w:bottom w:val="dotted" w:sz="4" w:space="0" w:color="auto"/>
            </w:tcBorders>
            <w:shd w:val="clear" w:color="auto" w:fill="auto"/>
          </w:tcPr>
          <w:p w:rsidR="001E1B79" w:rsidRPr="00D02CE2" w:rsidRDefault="001E1B79" w:rsidP="001E1B79">
            <w:pPr>
              <w:spacing w:before="60" w:after="60"/>
              <w:ind w:rightChars="192" w:right="461"/>
              <w:jc w:val="left"/>
              <w:rPr>
                <w:rFonts w:eastAsia="Calibri"/>
                <w:noProof/>
              </w:rPr>
            </w:pPr>
            <w:r w:rsidRPr="00D02CE2">
              <w:rPr>
                <w:noProof/>
              </w:rPr>
              <w:t>416</w:t>
            </w:r>
          </w:p>
        </w:tc>
      </w:tr>
      <w:tr w:rsidR="001E1B79" w:rsidRPr="00D02CE2" w:rsidTr="001D5990">
        <w:tc>
          <w:tcPr>
            <w:tcW w:w="4908" w:type="dxa"/>
            <w:tcBorders>
              <w:bottom w:val="dotted" w:sz="4" w:space="0" w:color="auto"/>
            </w:tcBorders>
            <w:shd w:val="clear" w:color="auto" w:fill="auto"/>
            <w:vAlign w:val="center"/>
          </w:tcPr>
          <w:p w:rsidR="001E1B79" w:rsidRPr="00D02CE2" w:rsidRDefault="001E1B79" w:rsidP="001E1B79">
            <w:pPr>
              <w:spacing w:before="0" w:after="0"/>
              <w:jc w:val="left"/>
              <w:rPr>
                <w:noProof/>
              </w:rPr>
            </w:pPr>
            <w:r w:rsidRPr="00D02CE2">
              <w:rPr>
                <w:noProof/>
              </w:rPr>
              <w:t>Bugetul pentru servicii personalizate (EUR)</w:t>
            </w:r>
          </w:p>
        </w:tc>
        <w:tc>
          <w:tcPr>
            <w:tcW w:w="4379" w:type="dxa"/>
            <w:tcBorders>
              <w:bottom w:val="dotted" w:sz="4" w:space="0" w:color="auto"/>
            </w:tcBorders>
            <w:shd w:val="clear" w:color="auto" w:fill="auto"/>
            <w:vAlign w:val="center"/>
          </w:tcPr>
          <w:p w:rsidR="001E1B79" w:rsidRPr="00D02CE2" w:rsidRDefault="00030AE7" w:rsidP="001E1B79">
            <w:pPr>
              <w:spacing w:before="0" w:after="0"/>
              <w:ind w:rightChars="192" w:right="461"/>
              <w:jc w:val="left"/>
              <w:rPr>
                <w:noProof/>
              </w:rPr>
            </w:pPr>
            <w:r w:rsidRPr="00D02CE2">
              <w:rPr>
                <w:noProof/>
              </w:rPr>
              <w:t xml:space="preserve">2 168 </w:t>
            </w:r>
            <w:r w:rsidRPr="00D02CE2">
              <w:rPr>
                <w:rFonts w:ascii="TimesNewRoman" w:hAnsi="TimesNewRoman"/>
                <w:noProof/>
                <w:color w:val="000000"/>
              </w:rPr>
              <w:t>980</w:t>
            </w:r>
          </w:p>
        </w:tc>
      </w:tr>
      <w:tr w:rsidR="001E1B79" w:rsidRPr="00D02CE2" w:rsidTr="00030AE7">
        <w:trPr>
          <w:trHeight w:val="389"/>
        </w:trPr>
        <w:tc>
          <w:tcPr>
            <w:tcW w:w="4908" w:type="dxa"/>
            <w:tcBorders>
              <w:top w:val="dotted" w:sz="4" w:space="0" w:color="auto"/>
              <w:bottom w:val="dotted" w:sz="4" w:space="0" w:color="auto"/>
            </w:tcBorders>
            <w:shd w:val="clear" w:color="auto" w:fill="auto"/>
            <w:vAlign w:val="center"/>
          </w:tcPr>
          <w:p w:rsidR="001E1B79" w:rsidRPr="00D02CE2" w:rsidRDefault="001E1B79" w:rsidP="001E1B79">
            <w:pPr>
              <w:spacing w:before="0" w:after="0"/>
              <w:jc w:val="left"/>
              <w:rPr>
                <w:noProof/>
              </w:rPr>
            </w:pPr>
            <w:r w:rsidRPr="00D02CE2">
              <w:rPr>
                <w:noProof/>
              </w:rPr>
              <w:t>Bugetul pentru implementarea FEG</w:t>
            </w:r>
            <w:r w:rsidRPr="00D02CE2">
              <w:rPr>
                <w:rStyle w:val="FootnoteReference"/>
                <w:noProof/>
              </w:rPr>
              <w:footnoteReference w:id="5"/>
            </w:r>
            <w:r w:rsidRPr="00D02CE2">
              <w:rPr>
                <w:noProof/>
              </w:rPr>
              <w:t xml:space="preserve"> (EUR)</w:t>
            </w:r>
          </w:p>
        </w:tc>
        <w:tc>
          <w:tcPr>
            <w:tcW w:w="4379" w:type="dxa"/>
            <w:tcBorders>
              <w:top w:val="dotted" w:sz="4" w:space="0" w:color="auto"/>
              <w:bottom w:val="dotted" w:sz="4" w:space="0" w:color="auto"/>
            </w:tcBorders>
            <w:shd w:val="clear" w:color="auto" w:fill="auto"/>
            <w:vAlign w:val="center"/>
          </w:tcPr>
          <w:p w:rsidR="001E1B79" w:rsidRPr="00D02CE2" w:rsidRDefault="00030AE7" w:rsidP="001E1B79">
            <w:pPr>
              <w:spacing w:before="0" w:after="0"/>
              <w:ind w:rightChars="192" w:right="461"/>
              <w:jc w:val="left"/>
              <w:rPr>
                <w:noProof/>
              </w:rPr>
            </w:pPr>
            <w:r w:rsidRPr="00D02CE2">
              <w:rPr>
                <w:noProof/>
              </w:rPr>
              <w:t>86 000</w:t>
            </w:r>
          </w:p>
        </w:tc>
      </w:tr>
      <w:tr w:rsidR="001E1B79" w:rsidRPr="00D02CE2" w:rsidTr="001D5990">
        <w:tc>
          <w:tcPr>
            <w:tcW w:w="4908" w:type="dxa"/>
            <w:tcBorders>
              <w:top w:val="dotted" w:sz="4" w:space="0" w:color="auto"/>
              <w:bottom w:val="dotted" w:sz="4" w:space="0" w:color="auto"/>
            </w:tcBorders>
            <w:shd w:val="clear" w:color="auto" w:fill="auto"/>
            <w:vAlign w:val="center"/>
          </w:tcPr>
          <w:p w:rsidR="001E1B79" w:rsidRPr="00D02CE2" w:rsidRDefault="001E1B79" w:rsidP="001E1B79">
            <w:pPr>
              <w:spacing w:before="0" w:after="0"/>
              <w:jc w:val="left"/>
              <w:rPr>
                <w:noProof/>
              </w:rPr>
            </w:pPr>
            <w:r w:rsidRPr="00D02CE2">
              <w:rPr>
                <w:noProof/>
              </w:rPr>
              <w:t>Bugetul total (EUR)</w:t>
            </w:r>
          </w:p>
        </w:tc>
        <w:tc>
          <w:tcPr>
            <w:tcW w:w="4379" w:type="dxa"/>
            <w:tcBorders>
              <w:top w:val="dotted" w:sz="4" w:space="0" w:color="auto"/>
              <w:bottom w:val="dotted" w:sz="4" w:space="0" w:color="auto"/>
            </w:tcBorders>
            <w:shd w:val="clear" w:color="auto" w:fill="auto"/>
            <w:vAlign w:val="center"/>
          </w:tcPr>
          <w:p w:rsidR="001E1B79" w:rsidRPr="00D02CE2" w:rsidRDefault="00030AE7" w:rsidP="001E1B79">
            <w:pPr>
              <w:spacing w:before="0" w:after="0"/>
              <w:ind w:rightChars="192" w:right="461"/>
              <w:jc w:val="left"/>
              <w:rPr>
                <w:noProof/>
              </w:rPr>
            </w:pPr>
            <w:r w:rsidRPr="00D02CE2">
              <w:rPr>
                <w:rFonts w:ascii="TimesNewRoman" w:hAnsi="TimesNewRoman"/>
                <w:noProof/>
                <w:color w:val="000000"/>
              </w:rPr>
              <w:t>2 254 980</w:t>
            </w:r>
          </w:p>
        </w:tc>
      </w:tr>
      <w:tr w:rsidR="001E1B79" w:rsidRPr="00D02CE2" w:rsidTr="001D5990">
        <w:tc>
          <w:tcPr>
            <w:tcW w:w="4908" w:type="dxa"/>
            <w:tcBorders>
              <w:top w:val="dotted" w:sz="4" w:space="0" w:color="auto"/>
            </w:tcBorders>
            <w:shd w:val="clear" w:color="auto" w:fill="auto"/>
            <w:vAlign w:val="center"/>
          </w:tcPr>
          <w:p w:rsidR="001E1B79" w:rsidRPr="00D02CE2" w:rsidRDefault="001E1B79" w:rsidP="001E1B79">
            <w:pPr>
              <w:spacing w:before="0" w:after="0"/>
              <w:jc w:val="left"/>
              <w:rPr>
                <w:noProof/>
              </w:rPr>
            </w:pPr>
            <w:r w:rsidRPr="00D02CE2">
              <w:rPr>
                <w:noProof/>
              </w:rPr>
              <w:t>Contribuția FEG (85 %) (EUR)</w:t>
            </w:r>
          </w:p>
        </w:tc>
        <w:tc>
          <w:tcPr>
            <w:tcW w:w="4379" w:type="dxa"/>
            <w:tcBorders>
              <w:top w:val="dotted" w:sz="4" w:space="0" w:color="auto"/>
            </w:tcBorders>
            <w:shd w:val="clear" w:color="auto" w:fill="auto"/>
            <w:vAlign w:val="center"/>
          </w:tcPr>
          <w:p w:rsidR="001E1B79" w:rsidRPr="00D02CE2" w:rsidRDefault="00030AE7" w:rsidP="001E1B79">
            <w:pPr>
              <w:spacing w:before="0" w:after="0"/>
              <w:ind w:rightChars="192" w:right="461"/>
              <w:jc w:val="left"/>
              <w:rPr>
                <w:noProof/>
              </w:rPr>
            </w:pPr>
            <w:r w:rsidRPr="00D02CE2">
              <w:rPr>
                <w:rFonts w:ascii="TimesNewRoman" w:hAnsi="TimesNewRoman"/>
                <w:noProof/>
                <w:color w:val="000000"/>
              </w:rPr>
              <w:t>1 916 733</w:t>
            </w:r>
          </w:p>
        </w:tc>
      </w:tr>
    </w:tbl>
    <w:p w:rsidR="001A62D7" w:rsidRPr="00D22A6D" w:rsidRDefault="001A62D7" w:rsidP="001A62D7">
      <w:pPr>
        <w:pStyle w:val="ManualHeading1"/>
        <w:rPr>
          <w:noProof/>
        </w:rPr>
      </w:pPr>
      <w:r w:rsidRPr="00D22A6D">
        <w:rPr>
          <w:noProof/>
        </w:rPr>
        <w:t>EVALUAREA CERERII</w:t>
      </w:r>
    </w:p>
    <w:p w:rsidR="001A62D7" w:rsidRPr="00D22A6D" w:rsidRDefault="001A62D7" w:rsidP="001A62D7">
      <w:pPr>
        <w:pStyle w:val="ManualHeading2"/>
        <w:rPr>
          <w:noProof/>
        </w:rPr>
      </w:pPr>
      <w:r w:rsidRPr="00D22A6D">
        <w:rPr>
          <w:noProof/>
        </w:rPr>
        <w:t>Procedura</w:t>
      </w:r>
    </w:p>
    <w:p w:rsidR="001A62D7" w:rsidRPr="00D02CE2" w:rsidRDefault="00B72C22" w:rsidP="009C50F6">
      <w:pPr>
        <w:pStyle w:val="ManualNumPar1"/>
        <w:rPr>
          <w:noProof/>
        </w:rPr>
      </w:pPr>
      <w:r>
        <w:rPr>
          <w:noProof/>
        </w:rPr>
        <w:t>4.</w:t>
      </w:r>
      <w:r>
        <w:rPr>
          <w:noProof/>
        </w:rPr>
        <w:tab/>
      </w:r>
      <w:r w:rsidRPr="00D02CE2">
        <w:rPr>
          <w:noProof/>
        </w:rPr>
        <w:t xml:space="preserve">La 23 septembrie 2025, Belgia a depus cererea EGF/2025/007 BE/Casa în termen de 12 săptămâni de la data la care au fost îndeplinite criteriile de intervenție prevăzute la articolul 4 alineatul (2) litera (a) din Regulamentul (UE) 2021/691. Comisia a confirmat primirea cererii la aceeași dată. Comisia a intrat în posesia traducerii cererii la 22 octombrie 2025 și </w:t>
      </w:r>
      <w:bookmarkStart w:id="2" w:name="_Hlk176343556"/>
      <w:r w:rsidRPr="00D02CE2">
        <w:rPr>
          <w:noProof/>
        </w:rPr>
        <w:t>a solicitat Belgiei informații suplimentare la 5 noiembrie 2025. Aceste informații suplimentare au fost furnizate în termen de 15 zile lucrătoare de la data cererii. Termenul de 50 de zile lucrătoare de la data primirii cererii complete, în cursul căruia Comisia trebuie să finalizeze evaluarea conformității cererii cu condițiile de acordare a unei contribuții financiare, expiră la 17 februarie 2026.</w:t>
      </w:r>
      <w:bookmarkEnd w:id="2"/>
    </w:p>
    <w:p w:rsidR="001A62D7" w:rsidRPr="00D22A6D" w:rsidRDefault="001A62D7" w:rsidP="001A62D7">
      <w:pPr>
        <w:pStyle w:val="ManualHeading2"/>
        <w:rPr>
          <w:noProof/>
        </w:rPr>
      </w:pPr>
      <w:r w:rsidRPr="00D22A6D">
        <w:rPr>
          <w:noProof/>
        </w:rPr>
        <w:t>Eligibilitatea cererii</w:t>
      </w:r>
    </w:p>
    <w:p w:rsidR="001A62D7" w:rsidRPr="00D22A6D" w:rsidRDefault="001A62D7" w:rsidP="001A62D7">
      <w:pPr>
        <w:pStyle w:val="ManualHeading3"/>
        <w:rPr>
          <w:noProof/>
        </w:rPr>
      </w:pPr>
      <w:r w:rsidRPr="00D22A6D">
        <w:rPr>
          <w:noProof/>
        </w:rPr>
        <w:t>Întreprinderile și beneficiarii vizați</w:t>
      </w:r>
    </w:p>
    <w:p w:rsidR="00AC3AEF" w:rsidRPr="00D02CE2" w:rsidRDefault="00181DB4" w:rsidP="009C50F6">
      <w:pPr>
        <w:pStyle w:val="ManualNumPar1"/>
        <w:rPr>
          <w:noProof/>
          <w:szCs w:val="24"/>
        </w:rPr>
      </w:pPr>
      <w:r>
        <w:rPr>
          <w:noProof/>
        </w:rPr>
        <w:t>5.</w:t>
      </w:r>
      <w:r>
        <w:rPr>
          <w:noProof/>
        </w:rPr>
        <w:tab/>
      </w:r>
      <w:r w:rsidRPr="00D02CE2">
        <w:rPr>
          <w:noProof/>
        </w:rPr>
        <w:t>Cererea se referă la 416 lucrători disponibilizați, a căror activitate în cadrul Casa a încetat. Întreprinderea își desfășoară activitatea în sectoarele economice clasificate în diviziunea 47</w:t>
      </w:r>
      <w:r w:rsidR="00D22A6D">
        <w:rPr>
          <w:noProof/>
        </w:rPr>
        <w:t xml:space="preserve"> </w:t>
      </w:r>
      <w:r w:rsidRPr="00D02CE2">
        <w:rPr>
          <w:noProof/>
        </w:rPr>
        <w:t>din NACE Rev. 2 (Comerț cu amănuntul, cu excepția autovehiculelor și motocicletelor) și în diviziunea 52 (Antrepozitare și activități auxiliare pentru transporturi). Disponibilizările au avut loc în regiunea NUTS 2 din provincia Anvers (BE21).</w:t>
      </w:r>
    </w:p>
    <w:tbl>
      <w:tblPr>
        <w:tblW w:w="8232"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3117"/>
        <w:gridCol w:w="183"/>
        <w:gridCol w:w="1092"/>
      </w:tblGrid>
      <w:tr w:rsidR="00AC3AEF" w:rsidRPr="00D02CE2" w:rsidTr="00AC3AEF">
        <w:trPr>
          <w:trHeight w:val="284"/>
          <w:tblHeader/>
        </w:trPr>
        <w:tc>
          <w:tcPr>
            <w:tcW w:w="823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C3AEF" w:rsidRPr="00D22A6D" w:rsidRDefault="00AC3AEF" w:rsidP="003E3147">
            <w:pPr>
              <w:spacing w:beforeLines="20" w:before="48" w:afterLines="20" w:after="48" w:line="276" w:lineRule="auto"/>
              <w:ind w:left="57"/>
              <w:jc w:val="center"/>
              <w:rPr>
                <w:rFonts w:eastAsia="Calibri"/>
                <w:b/>
                <w:noProof/>
                <w:szCs w:val="24"/>
              </w:rPr>
            </w:pPr>
            <w:r w:rsidRPr="00D22A6D">
              <w:rPr>
                <w:b/>
                <w:noProof/>
              </w:rPr>
              <w:t>Întreprinderile și numărul disponibilizărilor în perioada de referință</w:t>
            </w:r>
          </w:p>
        </w:tc>
      </w:tr>
      <w:tr w:rsidR="00AC3AEF" w:rsidRPr="00D02CE2" w:rsidTr="00AC3AEF">
        <w:tc>
          <w:tcPr>
            <w:tcW w:w="6957" w:type="dxa"/>
            <w:gridSpan w:val="2"/>
            <w:tcBorders>
              <w:bottom w:val="single" w:sz="4" w:space="0" w:color="auto"/>
              <w:right w:val="single" w:sz="4" w:space="0" w:color="auto"/>
            </w:tcBorders>
            <w:shd w:val="clear" w:color="auto" w:fill="auto"/>
            <w:vAlign w:val="center"/>
          </w:tcPr>
          <w:p w:rsidR="00AC3AEF" w:rsidRPr="00D02CE2" w:rsidRDefault="00AC3AEF" w:rsidP="003E3147">
            <w:pPr>
              <w:spacing w:before="0" w:after="0"/>
              <w:ind w:right="252"/>
              <w:jc w:val="left"/>
              <w:rPr>
                <w:noProof/>
                <w:szCs w:val="24"/>
              </w:rPr>
            </w:pPr>
            <w:r w:rsidRPr="00D02CE2">
              <w:rPr>
                <w:noProof/>
              </w:rPr>
              <w:t>Casa International NV (comerț cu amănuntul)</w:t>
            </w:r>
          </w:p>
        </w:tc>
        <w:tc>
          <w:tcPr>
            <w:tcW w:w="1275" w:type="dxa"/>
            <w:gridSpan w:val="2"/>
            <w:tcBorders>
              <w:left w:val="single" w:sz="4" w:space="0" w:color="auto"/>
              <w:bottom w:val="single" w:sz="4" w:space="0" w:color="auto"/>
            </w:tcBorders>
            <w:shd w:val="clear" w:color="auto" w:fill="auto"/>
            <w:vAlign w:val="center"/>
          </w:tcPr>
          <w:p w:rsidR="00AC3AEF" w:rsidRPr="00D02CE2" w:rsidRDefault="00AC3AEF" w:rsidP="003E3147">
            <w:pPr>
              <w:spacing w:before="0" w:after="0"/>
              <w:ind w:left="-828"/>
              <w:jc w:val="right"/>
              <w:rPr>
                <w:noProof/>
                <w:szCs w:val="24"/>
              </w:rPr>
            </w:pPr>
            <w:r w:rsidRPr="00D02CE2">
              <w:rPr>
                <w:noProof/>
              </w:rPr>
              <w:t>257</w:t>
            </w:r>
          </w:p>
        </w:tc>
      </w:tr>
      <w:tr w:rsidR="00AC3AEF" w:rsidRPr="00D02CE2" w:rsidTr="00AC3AEF">
        <w:tc>
          <w:tcPr>
            <w:tcW w:w="6957" w:type="dxa"/>
            <w:gridSpan w:val="2"/>
            <w:tcBorders>
              <w:bottom w:val="single" w:sz="4" w:space="0" w:color="auto"/>
              <w:right w:val="single" w:sz="4" w:space="0" w:color="auto"/>
            </w:tcBorders>
            <w:shd w:val="clear" w:color="auto" w:fill="auto"/>
            <w:vAlign w:val="center"/>
          </w:tcPr>
          <w:p w:rsidR="00AC3AEF" w:rsidRPr="00D02CE2" w:rsidRDefault="00AC3AEF" w:rsidP="003E3147">
            <w:pPr>
              <w:spacing w:before="0" w:after="0"/>
              <w:ind w:right="252"/>
              <w:jc w:val="left"/>
              <w:rPr>
                <w:noProof/>
                <w:szCs w:val="24"/>
              </w:rPr>
            </w:pPr>
            <w:r w:rsidRPr="00D02CE2">
              <w:rPr>
                <w:noProof/>
              </w:rPr>
              <w:t xml:space="preserve">Casa Logistics NV (antrepozitare) </w:t>
            </w:r>
          </w:p>
        </w:tc>
        <w:tc>
          <w:tcPr>
            <w:tcW w:w="1275" w:type="dxa"/>
            <w:gridSpan w:val="2"/>
            <w:tcBorders>
              <w:left w:val="single" w:sz="4" w:space="0" w:color="auto"/>
              <w:bottom w:val="single" w:sz="4" w:space="0" w:color="auto"/>
            </w:tcBorders>
            <w:shd w:val="clear" w:color="auto" w:fill="auto"/>
            <w:vAlign w:val="center"/>
          </w:tcPr>
          <w:p w:rsidR="00AC3AEF" w:rsidRPr="00D02CE2" w:rsidRDefault="00AC3AEF" w:rsidP="003E3147">
            <w:pPr>
              <w:spacing w:before="0" w:after="0"/>
              <w:ind w:left="-828"/>
              <w:jc w:val="right"/>
              <w:rPr>
                <w:noProof/>
                <w:szCs w:val="24"/>
              </w:rPr>
            </w:pPr>
            <w:r w:rsidRPr="00D02CE2">
              <w:rPr>
                <w:noProof/>
              </w:rPr>
              <w:t>159</w:t>
            </w:r>
          </w:p>
        </w:tc>
      </w:tr>
      <w:tr w:rsidR="00AC3AEF" w:rsidRPr="00D02CE2" w:rsidTr="00AC3AEF">
        <w:trPr>
          <w:trHeight w:val="284"/>
        </w:trPr>
        <w:tc>
          <w:tcPr>
            <w:tcW w:w="3840" w:type="dxa"/>
            <w:tcBorders>
              <w:top w:val="single" w:sz="4" w:space="0" w:color="auto"/>
              <w:bottom w:val="nil"/>
              <w:right w:val="nil"/>
            </w:tcBorders>
            <w:shd w:val="clear" w:color="auto" w:fill="E6E6E6"/>
            <w:vAlign w:val="center"/>
          </w:tcPr>
          <w:p w:rsidR="00AC3AEF" w:rsidRPr="00D02CE2" w:rsidRDefault="00AC3AEF" w:rsidP="003E3147">
            <w:pPr>
              <w:spacing w:beforeLines="20" w:before="48" w:afterLines="20" w:after="48" w:line="276" w:lineRule="auto"/>
              <w:ind w:left="57"/>
              <w:jc w:val="left"/>
              <w:rPr>
                <w:rFonts w:eastAsia="Calibri"/>
                <w:b/>
                <w:noProof/>
                <w:szCs w:val="24"/>
              </w:rPr>
            </w:pPr>
            <w:r w:rsidRPr="00D02CE2">
              <w:rPr>
                <w:noProof/>
              </w:rPr>
              <w:br w:type="page"/>
            </w:r>
            <w:r w:rsidRPr="00D22A6D">
              <w:rPr>
                <w:b/>
                <w:noProof/>
              </w:rPr>
              <w:t>Numărul total de întreprinderi:</w:t>
            </w:r>
            <w:r w:rsidRPr="00D22A6D">
              <w:rPr>
                <w:b/>
                <w:noProof/>
                <w:sz w:val="22"/>
              </w:rPr>
              <w:t xml:space="preserve"> </w:t>
            </w:r>
            <w:r w:rsidRPr="00D22A6D">
              <w:rPr>
                <w:b/>
                <w:noProof/>
              </w:rPr>
              <w:t>2</w:t>
            </w:r>
          </w:p>
        </w:tc>
        <w:tc>
          <w:tcPr>
            <w:tcW w:w="3300" w:type="dxa"/>
            <w:gridSpan w:val="2"/>
            <w:tcBorders>
              <w:top w:val="single" w:sz="4" w:space="0" w:color="auto"/>
              <w:left w:val="nil"/>
              <w:bottom w:val="nil"/>
              <w:right w:val="nil"/>
            </w:tcBorders>
            <w:shd w:val="clear" w:color="auto" w:fill="E6E6E6"/>
            <w:vAlign w:val="center"/>
          </w:tcPr>
          <w:p w:rsidR="00AC3AEF" w:rsidRPr="00D02CE2" w:rsidRDefault="00AC3AEF" w:rsidP="003E3147">
            <w:pPr>
              <w:spacing w:beforeLines="20" w:before="48" w:afterLines="20" w:after="48" w:line="276" w:lineRule="auto"/>
              <w:ind w:left="57" w:right="227"/>
              <w:jc w:val="left"/>
              <w:rPr>
                <w:rFonts w:eastAsia="Calibri"/>
                <w:b/>
                <w:noProof/>
                <w:szCs w:val="24"/>
              </w:rPr>
            </w:pPr>
            <w:r w:rsidRPr="00D22A6D">
              <w:rPr>
                <w:b/>
                <w:noProof/>
              </w:rPr>
              <w:t>Numărul total de disponibilizări:</w:t>
            </w:r>
            <w:r w:rsidRPr="00D22A6D">
              <w:rPr>
                <w:b/>
                <w:noProof/>
                <w:sz w:val="22"/>
              </w:rPr>
              <w:t xml:space="preserve"> </w:t>
            </w:r>
          </w:p>
        </w:tc>
        <w:tc>
          <w:tcPr>
            <w:tcW w:w="1092" w:type="dxa"/>
            <w:tcBorders>
              <w:top w:val="single" w:sz="4" w:space="0" w:color="auto"/>
              <w:left w:val="nil"/>
              <w:bottom w:val="nil"/>
            </w:tcBorders>
            <w:shd w:val="clear" w:color="auto" w:fill="E6E6E6"/>
            <w:vAlign w:val="center"/>
          </w:tcPr>
          <w:p w:rsidR="00AC3AEF" w:rsidRPr="00D22A6D" w:rsidRDefault="00AC3AEF" w:rsidP="003E3147">
            <w:pPr>
              <w:spacing w:beforeLines="20" w:before="48" w:afterLines="20" w:after="48" w:line="276" w:lineRule="auto"/>
              <w:ind w:left="57" w:right="227"/>
              <w:jc w:val="right"/>
              <w:rPr>
                <w:rFonts w:eastAsia="Calibri"/>
                <w:b/>
                <w:noProof/>
                <w:szCs w:val="24"/>
              </w:rPr>
            </w:pPr>
            <w:r w:rsidRPr="00D22A6D">
              <w:rPr>
                <w:b/>
                <w:noProof/>
              </w:rPr>
              <w:t>416</w:t>
            </w:r>
          </w:p>
        </w:tc>
      </w:tr>
      <w:tr w:rsidR="00AC3AEF" w:rsidRPr="00D02CE2" w:rsidTr="00AC3AEF">
        <w:trPr>
          <w:trHeight w:val="284"/>
        </w:trPr>
        <w:tc>
          <w:tcPr>
            <w:tcW w:w="7140" w:type="dxa"/>
            <w:gridSpan w:val="3"/>
            <w:tcBorders>
              <w:top w:val="nil"/>
              <w:bottom w:val="nil"/>
              <w:right w:val="nil"/>
            </w:tcBorders>
            <w:shd w:val="clear" w:color="auto" w:fill="E6E6E6"/>
            <w:vAlign w:val="center"/>
          </w:tcPr>
          <w:p w:rsidR="00AC3AEF" w:rsidRPr="00D02CE2" w:rsidRDefault="00AC3AEF" w:rsidP="003E3147">
            <w:pPr>
              <w:spacing w:beforeLines="20" w:before="48" w:afterLines="20" w:after="48" w:line="276" w:lineRule="auto"/>
              <w:ind w:left="57" w:right="227"/>
              <w:jc w:val="left"/>
              <w:rPr>
                <w:rFonts w:eastAsia="Calibri"/>
                <w:b/>
                <w:noProof/>
                <w:szCs w:val="24"/>
              </w:rPr>
            </w:pPr>
            <w:r w:rsidRPr="00D22A6D">
              <w:rPr>
                <w:b/>
                <w:noProof/>
              </w:rPr>
              <w:t>Numărul total de persoane a căror activitate independentă a încetat:</w:t>
            </w:r>
            <w:r w:rsidRPr="00D02CE2">
              <w:rPr>
                <w:noProof/>
              </w:rPr>
              <w:t xml:space="preserve"> </w:t>
            </w:r>
          </w:p>
        </w:tc>
        <w:tc>
          <w:tcPr>
            <w:tcW w:w="1092" w:type="dxa"/>
            <w:tcBorders>
              <w:top w:val="nil"/>
              <w:left w:val="nil"/>
              <w:bottom w:val="nil"/>
            </w:tcBorders>
            <w:shd w:val="clear" w:color="auto" w:fill="E6E6E6"/>
            <w:vAlign w:val="center"/>
          </w:tcPr>
          <w:p w:rsidR="00AC3AEF" w:rsidRPr="00D22A6D" w:rsidRDefault="00AC3AEF" w:rsidP="003E3147">
            <w:pPr>
              <w:spacing w:beforeLines="20" w:before="48" w:afterLines="20" w:after="48" w:line="276" w:lineRule="auto"/>
              <w:ind w:left="57" w:right="227"/>
              <w:jc w:val="right"/>
              <w:rPr>
                <w:rFonts w:eastAsia="Calibri"/>
                <w:b/>
                <w:noProof/>
                <w:szCs w:val="24"/>
              </w:rPr>
            </w:pPr>
            <w:r w:rsidRPr="00D22A6D">
              <w:rPr>
                <w:b/>
                <w:noProof/>
              </w:rPr>
              <w:t>0</w:t>
            </w:r>
          </w:p>
        </w:tc>
      </w:tr>
      <w:tr w:rsidR="00AC3AEF" w:rsidRPr="00D02CE2" w:rsidTr="00AC3AEF">
        <w:trPr>
          <w:trHeight w:val="284"/>
        </w:trPr>
        <w:tc>
          <w:tcPr>
            <w:tcW w:w="7140" w:type="dxa"/>
            <w:gridSpan w:val="3"/>
            <w:tcBorders>
              <w:top w:val="nil"/>
              <w:right w:val="nil"/>
            </w:tcBorders>
            <w:shd w:val="clear" w:color="auto" w:fill="E6E6E6"/>
            <w:vAlign w:val="center"/>
          </w:tcPr>
          <w:p w:rsidR="00AC3AEF" w:rsidRPr="00D02CE2" w:rsidRDefault="00AC3AEF" w:rsidP="003E3147">
            <w:pPr>
              <w:spacing w:beforeLines="20" w:before="48" w:afterLines="20" w:after="48" w:line="276" w:lineRule="auto"/>
              <w:ind w:left="57"/>
              <w:jc w:val="left"/>
              <w:rPr>
                <w:rFonts w:eastAsia="Calibri"/>
                <w:b/>
                <w:noProof/>
                <w:szCs w:val="24"/>
              </w:rPr>
            </w:pPr>
            <w:r w:rsidRPr="00D22A6D">
              <w:rPr>
                <w:b/>
                <w:noProof/>
              </w:rPr>
              <w:t xml:space="preserve">Numărul total de lucrători eligibili și de persoane care desfășoară activități independente eligibile: </w:t>
            </w:r>
          </w:p>
        </w:tc>
        <w:tc>
          <w:tcPr>
            <w:tcW w:w="1092" w:type="dxa"/>
            <w:tcBorders>
              <w:top w:val="nil"/>
              <w:left w:val="nil"/>
            </w:tcBorders>
            <w:shd w:val="clear" w:color="auto" w:fill="E6E6E6"/>
            <w:vAlign w:val="center"/>
          </w:tcPr>
          <w:p w:rsidR="00AC3AEF" w:rsidRPr="00D22A6D" w:rsidRDefault="00AC3AEF" w:rsidP="003E3147">
            <w:pPr>
              <w:spacing w:beforeLines="20" w:before="48" w:afterLines="20" w:after="48" w:line="276" w:lineRule="auto"/>
              <w:ind w:left="57" w:right="227"/>
              <w:jc w:val="right"/>
              <w:rPr>
                <w:rFonts w:eastAsia="Calibri"/>
                <w:b/>
                <w:noProof/>
                <w:szCs w:val="24"/>
              </w:rPr>
            </w:pPr>
            <w:r w:rsidRPr="00D22A6D">
              <w:rPr>
                <w:b/>
                <w:noProof/>
              </w:rPr>
              <w:t>416</w:t>
            </w:r>
          </w:p>
        </w:tc>
      </w:tr>
    </w:tbl>
    <w:p w:rsidR="001A62D7" w:rsidRPr="00D22A6D" w:rsidRDefault="001A62D7" w:rsidP="001A62D7">
      <w:pPr>
        <w:pStyle w:val="ManualHeading3"/>
        <w:rPr>
          <w:noProof/>
        </w:rPr>
      </w:pPr>
      <w:r w:rsidRPr="00D22A6D">
        <w:rPr>
          <w:noProof/>
        </w:rPr>
        <w:lastRenderedPageBreak/>
        <w:t>Criteriile de intervenție</w:t>
      </w:r>
    </w:p>
    <w:p w:rsidR="00A50DD1" w:rsidRPr="00D02CE2" w:rsidRDefault="00A50DD1" w:rsidP="00A50DD1">
      <w:pPr>
        <w:pStyle w:val="ManualNumPar1"/>
        <w:rPr>
          <w:noProof/>
        </w:rPr>
      </w:pPr>
      <w:r>
        <w:rPr>
          <w:noProof/>
        </w:rPr>
        <w:t>6.</w:t>
      </w:r>
      <w:r>
        <w:rPr>
          <w:noProof/>
        </w:rPr>
        <w:tab/>
      </w:r>
      <w:bookmarkStart w:id="3" w:name="_Ref372189348"/>
      <w:r w:rsidRPr="00D02CE2">
        <w:rPr>
          <w:noProof/>
        </w:rPr>
        <w:t>Belgia a depus cererea în temeiul criteriilor de intervenție prevăzute la articolul 4 alineatul (2) litera (a) din Regulamentul (UE) 2021/691, care prevede drept condiție încetarea activității a cel puțin 200 de lucrători disponibilizați, într-o perioadă de referință de patru luni, într-o întreprindere dintr-un stat membru, inclusiv lucrători disponibilizați de furnizorii și producătorii din aval și/sau lucrători independenți a căror activitate a încetat.</w:t>
      </w:r>
    </w:p>
    <w:bookmarkEnd w:id="3"/>
    <w:p w:rsidR="00545AD1" w:rsidRPr="00D02CE2" w:rsidRDefault="00545AD1" w:rsidP="00545AD1">
      <w:pPr>
        <w:pStyle w:val="ManualNumPar1"/>
        <w:rPr>
          <w:noProof/>
        </w:rPr>
      </w:pPr>
      <w:r>
        <w:rPr>
          <w:noProof/>
        </w:rPr>
        <w:t>7.</w:t>
      </w:r>
      <w:r>
        <w:rPr>
          <w:noProof/>
        </w:rPr>
        <w:tab/>
      </w:r>
      <w:r w:rsidRPr="00D02CE2">
        <w:rPr>
          <w:noProof/>
        </w:rPr>
        <w:t>Perioada de referință de patru luni pentru cerere este cuprinsă între 6 martie 2025 și 6 iulie 2025.</w:t>
      </w:r>
    </w:p>
    <w:p w:rsidR="00545AD1" w:rsidRPr="00D02CE2" w:rsidRDefault="00A50DD1" w:rsidP="00545AD1">
      <w:pPr>
        <w:pStyle w:val="ManualNumPar1"/>
        <w:rPr>
          <w:noProof/>
        </w:rPr>
      </w:pPr>
      <w:r>
        <w:rPr>
          <w:noProof/>
        </w:rPr>
        <w:t>8.</w:t>
      </w:r>
      <w:r>
        <w:rPr>
          <w:noProof/>
        </w:rPr>
        <w:tab/>
      </w:r>
      <w:r w:rsidRPr="00D02CE2">
        <w:rPr>
          <w:noProof/>
        </w:rPr>
        <w:t>Încetarea activității în perioada de referință a avut loc după cum urmează:</w:t>
      </w:r>
    </w:p>
    <w:p w:rsidR="00545AD1" w:rsidRPr="00D02CE2" w:rsidRDefault="00545AD1" w:rsidP="009C50F6">
      <w:pPr>
        <w:pStyle w:val="Tiret1"/>
        <w:numPr>
          <w:ilvl w:val="0"/>
          <w:numId w:val="19"/>
        </w:numPr>
        <w:rPr>
          <w:noProof/>
        </w:rPr>
      </w:pPr>
      <w:r w:rsidRPr="00D02CE2">
        <w:rPr>
          <w:noProof/>
        </w:rPr>
        <w:t>257 de lucrători disponibilizați de Casa International,</w:t>
      </w:r>
    </w:p>
    <w:p w:rsidR="00545AD1" w:rsidRPr="00D02CE2" w:rsidRDefault="00545AD1" w:rsidP="009C50F6">
      <w:pPr>
        <w:pStyle w:val="Tiret1"/>
        <w:numPr>
          <w:ilvl w:val="0"/>
          <w:numId w:val="19"/>
        </w:numPr>
        <w:rPr>
          <w:noProof/>
        </w:rPr>
      </w:pPr>
      <w:r w:rsidRPr="00D02CE2">
        <w:rPr>
          <w:noProof/>
        </w:rPr>
        <w:t>159 de lucrători disponibilizați de Casa Logistics.</w:t>
      </w:r>
    </w:p>
    <w:p w:rsidR="001A62D7" w:rsidRPr="00D22A6D" w:rsidRDefault="001A62D7" w:rsidP="001A62D7">
      <w:pPr>
        <w:pStyle w:val="ManualHeading3"/>
        <w:rPr>
          <w:noProof/>
        </w:rPr>
      </w:pPr>
      <w:r w:rsidRPr="00D22A6D">
        <w:rPr>
          <w:noProof/>
        </w:rPr>
        <w:t>Calcularea disponibilizărilor și a cazurilor de încetare a activității</w:t>
      </w:r>
    </w:p>
    <w:p w:rsidR="00A50DD1" w:rsidRPr="00D02CE2" w:rsidRDefault="00A50DD1" w:rsidP="00A50DD1">
      <w:pPr>
        <w:pStyle w:val="ManualNumPar1"/>
        <w:rPr>
          <w:noProof/>
        </w:rPr>
      </w:pPr>
      <w:r>
        <w:rPr>
          <w:noProof/>
        </w:rPr>
        <w:t>9.</w:t>
      </w:r>
      <w:r>
        <w:rPr>
          <w:noProof/>
        </w:rPr>
        <w:tab/>
      </w:r>
      <w:r w:rsidRPr="00D02CE2">
        <w:rPr>
          <w:noProof/>
        </w:rPr>
        <w:t>În temeiul articolului 6 primul paragraf litera (a) coroborat cu articolul 5 primul paragraf litera (c) din Regulamentul (UE) 2021/691, încetarea activității lucrătorilor disponibilizați în cursul perioadei de referință a fost calculată de la data încetării de facto a contractului de muncă sau de la data expirării acestuia.</w:t>
      </w:r>
    </w:p>
    <w:p w:rsidR="001A62D7" w:rsidRPr="00D22A6D" w:rsidRDefault="001A62D7" w:rsidP="001A62D7">
      <w:pPr>
        <w:pStyle w:val="ManualHeading3"/>
        <w:rPr>
          <w:noProof/>
        </w:rPr>
      </w:pPr>
      <w:r w:rsidRPr="00D22A6D">
        <w:rPr>
          <w:noProof/>
        </w:rPr>
        <w:t>Beneficiari eligibili</w:t>
      </w:r>
    </w:p>
    <w:p w:rsidR="001A62D7" w:rsidRPr="00D02CE2" w:rsidRDefault="001A62D7" w:rsidP="009C50F6">
      <w:pPr>
        <w:pStyle w:val="ManualNumPar1"/>
        <w:rPr>
          <w:noProof/>
        </w:rPr>
      </w:pPr>
      <w:r>
        <w:rPr>
          <w:noProof/>
        </w:rPr>
        <w:t>10.</w:t>
      </w:r>
      <w:r>
        <w:rPr>
          <w:noProof/>
        </w:rPr>
        <w:tab/>
      </w:r>
      <w:r w:rsidRPr="00D02CE2">
        <w:rPr>
          <w:noProof/>
        </w:rPr>
        <w:t>Numărul total de beneficiari eligibili este de 416.</w:t>
      </w:r>
    </w:p>
    <w:p w:rsidR="001A62D7" w:rsidRPr="00D22A6D" w:rsidRDefault="001A62D7" w:rsidP="001A62D7">
      <w:pPr>
        <w:pStyle w:val="ManualHeading3"/>
        <w:rPr>
          <w:noProof/>
        </w:rPr>
      </w:pPr>
      <w:r w:rsidRPr="00D22A6D">
        <w:rPr>
          <w:noProof/>
        </w:rPr>
        <w:t>Descrierea evenimentelor care au determinat disponibilizările și încetarea activității</w:t>
      </w:r>
    </w:p>
    <w:p w:rsidR="00CE2FB0" w:rsidRPr="00D02CE2" w:rsidRDefault="00CE2FB0" w:rsidP="00CE2FB0">
      <w:pPr>
        <w:pStyle w:val="ManualNumPar1"/>
        <w:spacing w:before="100"/>
        <w:rPr>
          <w:noProof/>
          <w:color w:val="000000"/>
        </w:rPr>
      </w:pPr>
      <w:r>
        <w:rPr>
          <w:noProof/>
        </w:rPr>
        <w:t>11.</w:t>
      </w:r>
      <w:r>
        <w:rPr>
          <w:noProof/>
        </w:rPr>
        <w:tab/>
      </w:r>
      <w:r w:rsidRPr="00D02CE2">
        <w:rPr>
          <w:noProof/>
          <w:color w:val="000000"/>
        </w:rPr>
        <w:t>Casa cuprinde două societăți: Casa International, cu 65 de puncte de vânzare cu amănuntul pe întreg teritoriul Belgiei, și Casa Logistics, responsabilă cu depozitarea și distribuția către aceste puncte de vânzare.</w:t>
      </w:r>
    </w:p>
    <w:p w:rsidR="008D3624" w:rsidRPr="00D02CE2" w:rsidRDefault="008D3624" w:rsidP="009C50F6">
      <w:pPr>
        <w:pStyle w:val="ManualNumPar1"/>
        <w:rPr>
          <w:noProof/>
        </w:rPr>
      </w:pPr>
      <w:r>
        <w:rPr>
          <w:noProof/>
        </w:rPr>
        <w:t>12.</w:t>
      </w:r>
      <w:r>
        <w:rPr>
          <w:noProof/>
        </w:rPr>
        <w:tab/>
      </w:r>
      <w:r w:rsidRPr="00D02CE2">
        <w:rPr>
          <w:noProof/>
        </w:rPr>
        <w:t>Disponibilizările sunt rezultatul d</w:t>
      </w:r>
      <w:r w:rsidRPr="00D02CE2">
        <w:rPr>
          <w:noProof/>
          <w:color w:val="000000"/>
        </w:rPr>
        <w:t>ificultăților financiare cu care se confruntă Casa de mai mulți ani, parțial din cauza rolului care a crescut mult al comerțului electronic</w:t>
      </w:r>
      <w:r w:rsidRPr="00D02CE2">
        <w:rPr>
          <w:noProof/>
        </w:rPr>
        <w:t xml:space="preserve">. Concurența internațională s-a intensificat, de asemenea, </w:t>
      </w:r>
      <w:r w:rsidRPr="00D02CE2">
        <w:rPr>
          <w:noProof/>
          <w:color w:val="000000"/>
        </w:rPr>
        <w:t>ceea ce a dus la solicitarea unei protecții în raport cu creditorii în 2020</w:t>
      </w:r>
      <w:r w:rsidRPr="00D02CE2">
        <w:rPr>
          <w:noProof/>
        </w:rPr>
        <w:t>.</w:t>
      </w:r>
      <w:r w:rsidRPr="00D02CE2">
        <w:rPr>
          <w:noProof/>
          <w:color w:val="000000"/>
        </w:rPr>
        <w:t xml:space="preserve"> Casa a fost vândută societății Globitas în 2021 și revândută societății suedeze AAS Retail în 2024. </w:t>
      </w:r>
    </w:p>
    <w:p w:rsidR="0036684B" w:rsidRPr="00D02CE2" w:rsidRDefault="0036684B" w:rsidP="009C50F6">
      <w:pPr>
        <w:pStyle w:val="ManualNumPar1"/>
        <w:spacing w:before="100"/>
        <w:rPr>
          <w:noProof/>
          <w:color w:val="000000"/>
        </w:rPr>
      </w:pPr>
      <w:r>
        <w:rPr>
          <w:noProof/>
        </w:rPr>
        <w:t>13.</w:t>
      </w:r>
      <w:r>
        <w:rPr>
          <w:noProof/>
        </w:rPr>
        <w:tab/>
      </w:r>
      <w:r w:rsidRPr="00D02CE2">
        <w:rPr>
          <w:noProof/>
          <w:color w:val="000000"/>
        </w:rPr>
        <w:t>Casa s-a confruntat apoi din nou cu dificultăți financiare din cauza unui deficit acut de lichidități, care a dus la vânzări de lichidare în magazine în vara anului 2024 și la pierderea mai multor locuri de muncă în departamentul de marketing de la sediul central din Olen. La sfârșitul lunii octombrie 2024, Casa a sesizat din nou Tribunalul Comercial pentru șase luni de protecție în raport cu creditorii, în vederea unei posibile reluări a procedurii.</w:t>
      </w:r>
    </w:p>
    <w:p w:rsidR="008D3624" w:rsidRPr="00D02CE2" w:rsidRDefault="003B342B" w:rsidP="008D3624">
      <w:pPr>
        <w:pStyle w:val="ManualNumPar1"/>
        <w:rPr>
          <w:noProof/>
        </w:rPr>
      </w:pPr>
      <w:r>
        <w:rPr>
          <w:noProof/>
        </w:rPr>
        <w:t>14.</w:t>
      </w:r>
      <w:r>
        <w:rPr>
          <w:noProof/>
        </w:rPr>
        <w:tab/>
      </w:r>
      <w:r w:rsidRPr="00D02CE2">
        <w:rPr>
          <w:noProof/>
          <w:color w:val="000000"/>
        </w:rPr>
        <w:t>Nu au existat cumpărători potențiali serioși ai societății, iar Casa International și Casa Logistics</w:t>
      </w:r>
      <w:r w:rsidRPr="00D02CE2">
        <w:rPr>
          <w:noProof/>
        </w:rPr>
        <w:t xml:space="preserve"> au fost declarate falimentare de către Tribunalul Comercial din Anvers la 6 martie 2025, ceea ce a dus la pierderea locurilor de muncă pentru 416 lucrători. </w:t>
      </w:r>
    </w:p>
    <w:p w:rsidR="001A62D7" w:rsidRPr="00D22A6D" w:rsidRDefault="001A62D7" w:rsidP="001A62D7">
      <w:pPr>
        <w:pStyle w:val="ManualHeading3"/>
        <w:tabs>
          <w:tab w:val="clear" w:pos="850"/>
          <w:tab w:val="left" w:pos="0"/>
        </w:tabs>
        <w:ind w:left="0" w:firstLine="0"/>
        <w:rPr>
          <w:noProof/>
        </w:rPr>
      </w:pPr>
      <w:r w:rsidRPr="00D22A6D">
        <w:rPr>
          <w:noProof/>
        </w:rPr>
        <w:t xml:space="preserve">Impactul preconizat al disponibilizărilor asupra economiei și a ocupării forței de muncă la nivel local, regional sau național </w:t>
      </w:r>
    </w:p>
    <w:p w:rsidR="00886CAA" w:rsidRPr="00D02CE2" w:rsidRDefault="00886CAA" w:rsidP="008D3624">
      <w:pPr>
        <w:pStyle w:val="ManualNumPar1"/>
        <w:rPr>
          <w:noProof/>
          <w:color w:val="000000"/>
        </w:rPr>
      </w:pPr>
      <w:r>
        <w:rPr>
          <w:noProof/>
        </w:rPr>
        <w:t>15.</w:t>
      </w:r>
      <w:r>
        <w:rPr>
          <w:noProof/>
        </w:rPr>
        <w:tab/>
      </w:r>
      <w:r w:rsidRPr="00D02CE2">
        <w:rPr>
          <w:noProof/>
          <w:color w:val="000000"/>
        </w:rPr>
        <w:t>În 2024, peste 11 000 de întreprinderi au dat faliment în Belgia, ceea ce reprezintă o creștere de 8 % față de 2023 și cel mai mare număr după 2013</w:t>
      </w:r>
      <w:r w:rsidRPr="00D02CE2">
        <w:rPr>
          <w:rStyle w:val="FootnoteReference"/>
          <w:noProof/>
          <w:color w:val="000000"/>
        </w:rPr>
        <w:footnoteReference w:id="6"/>
      </w:r>
      <w:r w:rsidRPr="00D02CE2">
        <w:rPr>
          <w:noProof/>
          <w:color w:val="000000"/>
        </w:rPr>
        <w:t xml:space="preserve">. </w:t>
      </w:r>
      <w:r w:rsidRPr="00D02CE2">
        <w:rPr>
          <w:noProof/>
        </w:rPr>
        <w:t xml:space="preserve">Numai în Flandra, </w:t>
      </w:r>
      <w:r w:rsidRPr="00D02CE2">
        <w:rPr>
          <w:noProof/>
        </w:rPr>
        <w:lastRenderedPageBreak/>
        <w:t>peste 6 000 de întreprinderi au fost declarate falimentare.</w:t>
      </w:r>
      <w:r w:rsidRPr="00D02CE2">
        <w:rPr>
          <w:noProof/>
          <w:color w:val="000000"/>
        </w:rPr>
        <w:t xml:space="preserve"> Numărul de locuri de muncă pierdute în urma falimentelor în 2024 a fost estimat la un total de 29 245, din care 60 % în Flandra. Iar în prima jumătate a anului 2025, falimentele din Belgia au cauzat pierderea a peste 15 000 de locuri de muncă, dintre care 51 % în Flandra</w:t>
      </w:r>
      <w:r w:rsidRPr="00D02CE2">
        <w:rPr>
          <w:rStyle w:val="FootnoteReference"/>
          <w:noProof/>
          <w:color w:val="000000"/>
        </w:rPr>
        <w:footnoteReference w:id="7"/>
      </w:r>
      <w:r w:rsidRPr="00D02CE2">
        <w:rPr>
          <w:noProof/>
          <w:color w:val="000000"/>
        </w:rPr>
        <w:t xml:space="preserve">. </w:t>
      </w:r>
    </w:p>
    <w:p w:rsidR="00910A62" w:rsidRPr="00D02CE2" w:rsidRDefault="00BA76D1" w:rsidP="008D3624">
      <w:pPr>
        <w:pStyle w:val="ManualNumPar1"/>
        <w:rPr>
          <w:noProof/>
          <w:color w:val="000000"/>
        </w:rPr>
      </w:pPr>
      <w:r>
        <w:rPr>
          <w:noProof/>
        </w:rPr>
        <w:t>16.</w:t>
      </w:r>
      <w:r>
        <w:rPr>
          <w:noProof/>
        </w:rPr>
        <w:tab/>
      </w:r>
      <w:r w:rsidRPr="00D02CE2">
        <w:rPr>
          <w:noProof/>
          <w:color w:val="000000"/>
        </w:rPr>
        <w:t>Cele 63 de magazine ale Casa sunt răspândite în Flandra și Bruxelles, dar atât sediul central, cât și centrul de distribuție se află în Olen (provincia Anvers). Aproximativ jumătate dintre angajații afectați se află în jurul Belgiei, iar cealaltă jumătate este concentrată la centrul de distribuție și la sediul central. Ca urmare a acestei concentrări, ocuparea forței de muncă în regiunea Olen a fost deosebit de afectată.</w:t>
      </w:r>
    </w:p>
    <w:p w:rsidR="00910A62" w:rsidRPr="00D02CE2" w:rsidRDefault="00561E81" w:rsidP="00910A62">
      <w:pPr>
        <w:pStyle w:val="ManualNumPar1"/>
        <w:rPr>
          <w:noProof/>
        </w:rPr>
      </w:pPr>
      <w:r>
        <w:rPr>
          <w:noProof/>
        </w:rPr>
        <w:t>17.</w:t>
      </w:r>
      <w:r>
        <w:rPr>
          <w:noProof/>
        </w:rPr>
        <w:tab/>
      </w:r>
      <w:r w:rsidRPr="00D02CE2">
        <w:rPr>
          <w:noProof/>
        </w:rPr>
        <w:t>În regiunea Neteland, din care face parte și Olen, numărul locurilor de muncă vacante raportate serviciilor publice de ocupare a forței de muncă a scăzut cu 11 % în perioada iunie 2024 - mai 2025 comparativ cu ultimele 12 luni, iar numărul persoanelor aflate în căutarea unui loc de muncă a crescut cu 7 % în august 2025 comparativ cu aprilie 2024.</w:t>
      </w:r>
      <w:r w:rsidRPr="00D02CE2">
        <w:rPr>
          <w:noProof/>
          <w:color w:val="000000"/>
        </w:rPr>
        <w:t xml:space="preserve"> </w:t>
      </w:r>
    </w:p>
    <w:p w:rsidR="00175BF1" w:rsidRPr="00D02CE2" w:rsidRDefault="00175BF1" w:rsidP="008D3624">
      <w:pPr>
        <w:pStyle w:val="ManualNumPar1"/>
        <w:rPr>
          <w:noProof/>
        </w:rPr>
      </w:pPr>
      <w:r>
        <w:rPr>
          <w:noProof/>
        </w:rPr>
        <w:t>18.</w:t>
      </w:r>
      <w:r>
        <w:rPr>
          <w:noProof/>
        </w:rPr>
        <w:tab/>
      </w:r>
      <w:r w:rsidRPr="00D02CE2">
        <w:rPr>
          <w:noProof/>
          <w:color w:val="000000"/>
        </w:rPr>
        <w:t>Lucrătorii care și-au pierdut locul de muncă sunt în principal asistenți de vânzări și personal din depozite. În pofida faptului că numărul locurilor de muncă vacante pentru locuri de muncă directe în sectorul comerțului cu amănuntul (inclusiv al comerțului cu ridicata) a scăzut în Flandra în ultimii ani</w:t>
      </w:r>
      <w:r w:rsidRPr="00D02CE2">
        <w:rPr>
          <w:rStyle w:val="FootnoteReference"/>
          <w:noProof/>
          <w:color w:val="000000"/>
        </w:rPr>
        <w:footnoteReference w:id="8"/>
      </w:r>
      <w:r w:rsidRPr="00D02CE2">
        <w:rPr>
          <w:noProof/>
          <w:color w:val="000000"/>
        </w:rPr>
        <w:t>, există în continuare un deficit de forță de muncă în sectorul comerțului cu amănuntul</w:t>
      </w:r>
      <w:r w:rsidRPr="00D02CE2">
        <w:rPr>
          <w:rStyle w:val="FootnoteReference"/>
          <w:noProof/>
          <w:color w:val="000000"/>
        </w:rPr>
        <w:footnoteReference w:id="9"/>
      </w:r>
      <w:r w:rsidRPr="00D02CE2">
        <w:rPr>
          <w:noProof/>
          <w:color w:val="000000"/>
        </w:rPr>
        <w:t>. Prin urmare, cei mai afectați asistenți de vânzări au șanse mari de a găsi un loc de muncă.</w:t>
      </w:r>
    </w:p>
    <w:p w:rsidR="0092772A" w:rsidRPr="00D02CE2" w:rsidRDefault="0092772A" w:rsidP="008D3624">
      <w:pPr>
        <w:pStyle w:val="ManualNumPar1"/>
        <w:rPr>
          <w:noProof/>
        </w:rPr>
      </w:pPr>
      <w:r>
        <w:rPr>
          <w:noProof/>
        </w:rPr>
        <w:t>19.</w:t>
      </w:r>
      <w:r>
        <w:rPr>
          <w:noProof/>
        </w:rPr>
        <w:tab/>
      </w:r>
      <w:r w:rsidRPr="00D02CE2">
        <w:rPr>
          <w:noProof/>
          <w:color w:val="000000"/>
        </w:rPr>
        <w:t xml:space="preserve">Găsirea unui nou loc de muncă va fi mai dificilă pentru personalul numeros din depozite afectați de la centrul de distribuție. Există multe persoane aflate în căutarea unui loc de muncă care caută acest tip de muncă. Și, deși există cerere de lucrători în depozite, multe dintre persoanele aflate în căutarea unui loc de muncă nu au competențele sau calificările adecvate (de exemplu, pentru motostivuitor, stivuitor cu catarg retractabil) și vor avea nevoie fie de perfecționare și/sau de muncă într-o altă regiune, fie de trecerea la o ocupație diferită. </w:t>
      </w:r>
    </w:p>
    <w:p w:rsidR="001A62D7" w:rsidRPr="00D22A6D" w:rsidRDefault="001A62D7" w:rsidP="001A62D7">
      <w:pPr>
        <w:pStyle w:val="ManualHeading2"/>
        <w:rPr>
          <w:noProof/>
        </w:rPr>
      </w:pPr>
      <w:r w:rsidRPr="00D22A6D">
        <w:rPr>
          <w:noProof/>
        </w:rPr>
        <w:t xml:space="preserve">Aplicarea Cadrului de calitate al UE pentru anticiparea schimbărilor și restructurare (QFR) </w:t>
      </w:r>
    </w:p>
    <w:p w:rsidR="00297D5D" w:rsidRPr="00D02CE2" w:rsidRDefault="00070B81" w:rsidP="009C50F6">
      <w:pPr>
        <w:pStyle w:val="ManualNumPar1"/>
        <w:rPr>
          <w:noProof/>
        </w:rPr>
      </w:pPr>
      <w:r>
        <w:rPr>
          <w:noProof/>
        </w:rPr>
        <w:t>20.</w:t>
      </w:r>
      <w:r>
        <w:rPr>
          <w:noProof/>
        </w:rPr>
        <w:tab/>
      </w:r>
      <w:r w:rsidRPr="00D02CE2">
        <w:rPr>
          <w:noProof/>
        </w:rPr>
        <w:t>Belgia a descris modul în care au fost luate în considerare recomandările prevăzute în Cadrul de calitate al UE pentru anticiparea schimbărilor și a restructurării. Legislația națională a muncii</w:t>
      </w:r>
      <w:r w:rsidRPr="00D02CE2">
        <w:rPr>
          <w:rStyle w:val="FootnoteReference"/>
          <w:noProof/>
        </w:rPr>
        <w:footnoteReference w:id="10"/>
      </w:r>
      <w:r w:rsidRPr="00D02CE2">
        <w:rPr>
          <w:noProof/>
        </w:rPr>
        <w:t xml:space="preserve"> privind gestionarea activă a restructurării impune întreprinderilor în curs de restructurare să înființeze o unitate de ocupare a forței de muncă, care să furnizeze servicii de plasare pe piața muncii a personalului disponibilizat în contextul concedierilor colective.</w:t>
      </w:r>
      <w:r w:rsidRPr="00D02CE2">
        <w:rPr>
          <w:noProof/>
          <w:color w:val="FF0000"/>
        </w:rPr>
        <w:t xml:space="preserve"> </w:t>
      </w:r>
      <w:r w:rsidRPr="00D02CE2">
        <w:rPr>
          <w:noProof/>
        </w:rPr>
        <w:t xml:space="preserve">Cu toate acestea, în caz de faliment, această obligație legală nu se aplică. În schimb, </w:t>
      </w:r>
      <w:r w:rsidRPr="00D02CE2">
        <w:rPr>
          <w:noProof/>
          <w:color w:val="000000"/>
        </w:rPr>
        <w:t>în Flandra</w:t>
      </w:r>
      <w:r w:rsidRPr="00D02CE2">
        <w:rPr>
          <w:rStyle w:val="FootnoteReference"/>
          <w:noProof/>
          <w:color w:val="000000"/>
        </w:rPr>
        <w:footnoteReference w:id="11"/>
      </w:r>
      <w:r w:rsidRPr="00D02CE2">
        <w:rPr>
          <w:noProof/>
          <w:color w:val="000000"/>
        </w:rPr>
        <w:t xml:space="preserve"> este prevăzută o plasă de siguranță, care implică finanțarea de către stat a parcursului de plasare a personalului disponibilizat</w:t>
      </w:r>
      <w:r w:rsidRPr="00D02CE2">
        <w:rPr>
          <w:noProof/>
        </w:rPr>
        <w:t xml:space="preserve"> descris mai jos la punctul 26, înlocuind serviciile de </w:t>
      </w:r>
      <w:r w:rsidRPr="00D02CE2">
        <w:rPr>
          <w:noProof/>
        </w:rPr>
        <w:lastRenderedPageBreak/>
        <w:t xml:space="preserve">consiliere și de plasare a personalului disponibilizat de care acești lucrători disponibilizați nu beneficiază. </w:t>
      </w:r>
    </w:p>
    <w:p w:rsidR="00297D5D" w:rsidRPr="00D02CE2" w:rsidRDefault="00297D5D" w:rsidP="009C50F6">
      <w:pPr>
        <w:pStyle w:val="ManualNumPar1"/>
        <w:rPr>
          <w:noProof/>
        </w:rPr>
      </w:pPr>
      <w:r>
        <w:rPr>
          <w:noProof/>
        </w:rPr>
        <w:t>21.</w:t>
      </w:r>
      <w:r>
        <w:rPr>
          <w:noProof/>
        </w:rPr>
        <w:tab/>
      </w:r>
      <w:r w:rsidRPr="00D02CE2">
        <w:rPr>
          <w:noProof/>
        </w:rPr>
        <w:t xml:space="preserve">În ceea ce privește activitățile întreprinse pentru a sprijini lucrătorii disponibilizați, Belgia a raportat că au fost organizate mai multe sesiuni de informare la scurt timp după faliment, între 28 martie și 4 aprilie 2025. Serviciile de plasare a personalului disponibilizat au început la începutul lunii aprilie, iar la 17 iunie 2025 a fost organizat un târg al locurilor de muncă la Westerlo. </w:t>
      </w:r>
    </w:p>
    <w:p w:rsidR="001A62D7" w:rsidRPr="00D22A6D" w:rsidRDefault="001A62D7" w:rsidP="001A62D7">
      <w:pPr>
        <w:pStyle w:val="ManualHeading3"/>
        <w:rPr>
          <w:noProof/>
        </w:rPr>
      </w:pPr>
      <w:r w:rsidRPr="00D22A6D">
        <w:rPr>
          <w:noProof/>
        </w:rPr>
        <w:t>Complementaritatea cu acțiuni finanțate din fonduri naționale sau din fonduri ale Uniunii</w:t>
      </w:r>
    </w:p>
    <w:p w:rsidR="00070B81" w:rsidRPr="00D02CE2" w:rsidRDefault="00070B81" w:rsidP="009C50F6">
      <w:pPr>
        <w:pStyle w:val="ManualNumPar1"/>
        <w:rPr>
          <w:noProof/>
        </w:rPr>
      </w:pPr>
      <w:r>
        <w:rPr>
          <w:noProof/>
        </w:rPr>
        <w:t>22.</w:t>
      </w:r>
      <w:r>
        <w:rPr>
          <w:noProof/>
        </w:rPr>
        <w:tab/>
      </w:r>
      <w:r w:rsidRPr="00D02CE2">
        <w:rPr>
          <w:noProof/>
        </w:rPr>
        <w:t>Belgia a confirmat faptul că măsurile descrise mai jos care primesc o contribuție financiară din partea FEG nu vor beneficia și de contribuții financiare din partea altor instrumente financiare ale Uniunii.</w:t>
      </w:r>
    </w:p>
    <w:p w:rsidR="00070B81" w:rsidRPr="00D02CE2" w:rsidRDefault="00070B81" w:rsidP="009C50F6">
      <w:pPr>
        <w:pStyle w:val="ManualNumPar1"/>
        <w:rPr>
          <w:noProof/>
        </w:rPr>
      </w:pPr>
      <w:r>
        <w:rPr>
          <w:noProof/>
        </w:rPr>
        <w:t>23.</w:t>
      </w:r>
      <w:r>
        <w:rPr>
          <w:noProof/>
        </w:rPr>
        <w:tab/>
      </w:r>
      <w:r w:rsidRPr="00D02CE2">
        <w:rPr>
          <w:noProof/>
        </w:rPr>
        <w:t>Pachetul coordonat de servicii personalizate completează acțiunile finanțate prin alte fonduri naționale sau ale UE.</w:t>
      </w:r>
    </w:p>
    <w:p w:rsidR="001A62D7" w:rsidRPr="00D22A6D" w:rsidRDefault="001A62D7" w:rsidP="001A62D7">
      <w:pPr>
        <w:pStyle w:val="ManualHeading3"/>
        <w:tabs>
          <w:tab w:val="clear" w:pos="850"/>
          <w:tab w:val="left" w:pos="0"/>
        </w:tabs>
        <w:ind w:left="0" w:firstLine="0"/>
        <w:rPr>
          <w:noProof/>
          <w:u w:val="single"/>
        </w:rPr>
      </w:pPr>
      <w:r w:rsidRPr="00D22A6D">
        <w:rPr>
          <w:noProof/>
        </w:rPr>
        <w:t>Proceduri de consultare a beneficiarilor vizați sau a reprezentanților acestora ori a partenerilor sociali, precum și a autorităților locale și regionale</w:t>
      </w:r>
    </w:p>
    <w:p w:rsidR="00070B81" w:rsidRPr="00D02CE2" w:rsidRDefault="00070B81" w:rsidP="009C50F6">
      <w:pPr>
        <w:pStyle w:val="ManualNumPar1"/>
        <w:rPr>
          <w:noProof/>
        </w:rPr>
      </w:pPr>
      <w:r>
        <w:rPr>
          <w:noProof/>
        </w:rPr>
        <w:t>24.</w:t>
      </w:r>
      <w:r>
        <w:rPr>
          <w:noProof/>
        </w:rPr>
        <w:tab/>
      </w:r>
      <w:r w:rsidRPr="00D02CE2">
        <w:rPr>
          <w:noProof/>
        </w:rPr>
        <w:t>Belgia a indicat că pachetul coordonat de servicii personalizate a fost elaborat în consultare cu experți și cu partenerii sociali, în conformitate cu articolul 7 alineatul (4) din Regulamentul (UE) 2021/691. Pachetul final de măsuri a fost prezentat sindicatelor ABVV</w:t>
      </w:r>
      <w:r w:rsidRPr="00D02CE2">
        <w:rPr>
          <w:rStyle w:val="FootnoteReference"/>
          <w:noProof/>
        </w:rPr>
        <w:footnoteReference w:id="12"/>
      </w:r>
      <w:r w:rsidRPr="00D02CE2">
        <w:rPr>
          <w:noProof/>
        </w:rPr>
        <w:t xml:space="preserve"> și ACV</w:t>
      </w:r>
      <w:r w:rsidRPr="00D02CE2">
        <w:rPr>
          <w:rStyle w:val="FootnoteReference"/>
          <w:noProof/>
        </w:rPr>
        <w:footnoteReference w:id="13"/>
      </w:r>
      <w:r w:rsidRPr="00D02CE2">
        <w:rPr>
          <w:noProof/>
        </w:rPr>
        <w:t xml:space="preserve"> la 2 iulie 2025.</w:t>
      </w:r>
    </w:p>
    <w:p w:rsidR="001A62D7" w:rsidRPr="00D22A6D" w:rsidRDefault="001A62D7" w:rsidP="001A62D7">
      <w:pPr>
        <w:pStyle w:val="ManualHeading2"/>
        <w:rPr>
          <w:noProof/>
        </w:rPr>
      </w:pPr>
      <w:r w:rsidRPr="00D22A6D">
        <w:rPr>
          <w:noProof/>
        </w:rPr>
        <w:t>Beneficiarii vizați și măsurile propuse</w:t>
      </w:r>
    </w:p>
    <w:p w:rsidR="001A62D7" w:rsidRPr="00D22A6D" w:rsidRDefault="001A62D7" w:rsidP="001A62D7">
      <w:pPr>
        <w:pStyle w:val="ManualHeading3"/>
        <w:rPr>
          <w:noProof/>
        </w:rPr>
      </w:pPr>
      <w:r w:rsidRPr="00D22A6D">
        <w:rPr>
          <w:noProof/>
        </w:rPr>
        <w:t>Beneficiarii vizați</w:t>
      </w:r>
    </w:p>
    <w:p w:rsidR="001A62D7" w:rsidRPr="00D02CE2" w:rsidRDefault="007F5F1C" w:rsidP="009C50F6">
      <w:pPr>
        <w:pStyle w:val="ManualNumPar1"/>
        <w:rPr>
          <w:noProof/>
        </w:rPr>
      </w:pPr>
      <w:r>
        <w:rPr>
          <w:noProof/>
        </w:rPr>
        <w:t>25.</w:t>
      </w:r>
      <w:r>
        <w:rPr>
          <w:noProof/>
        </w:rPr>
        <w:tab/>
      </w:r>
      <w:r w:rsidRPr="00D02CE2">
        <w:rPr>
          <w:noProof/>
        </w:rPr>
        <w:t>Se preconizează că vor participa la măsuri toți cei 416 lucrători disponibilizați. În conformitate cu articolul 8 alineatul (7) litera (f) din Regulamentul (UE) 2021/691, defalcarea acestor lucrători în funcție de gen, grupă de vârstă și nivel de studii este următoarea:</w:t>
      </w:r>
    </w:p>
    <w:tbl>
      <w:tblPr>
        <w:tblW w:w="0" w:type="auto"/>
        <w:jc w:val="center"/>
        <w:tblLook w:val="04A0" w:firstRow="1" w:lastRow="0" w:firstColumn="1" w:lastColumn="0" w:noHBand="0" w:noVBand="1"/>
      </w:tblPr>
      <w:tblGrid>
        <w:gridCol w:w="1496"/>
        <w:gridCol w:w="2063"/>
        <w:gridCol w:w="1176"/>
        <w:gridCol w:w="1176"/>
      </w:tblGrid>
      <w:tr w:rsidR="001A62D7" w:rsidRPr="00D02CE2" w:rsidTr="001D5990">
        <w:trPr>
          <w:jc w:val="center"/>
        </w:trPr>
        <w:tc>
          <w:tcPr>
            <w:tcW w:w="3559" w:type="dxa"/>
            <w:gridSpan w:val="2"/>
            <w:tcBorders>
              <w:top w:val="single" w:sz="4" w:space="0" w:color="auto"/>
              <w:left w:val="nil"/>
              <w:bottom w:val="single" w:sz="4" w:space="0" w:color="auto"/>
              <w:right w:val="nil"/>
            </w:tcBorders>
            <w:hideMark/>
          </w:tcPr>
          <w:p w:rsidR="001A62D7" w:rsidRPr="00D02CE2" w:rsidRDefault="001A62D7" w:rsidP="001D5990">
            <w:pPr>
              <w:spacing w:before="60" w:after="60"/>
              <w:jc w:val="center"/>
              <w:rPr>
                <w:noProof/>
              </w:rPr>
            </w:pPr>
            <w:r w:rsidRPr="00D02CE2">
              <w:rPr>
                <w:noProof/>
              </w:rPr>
              <w:t>Categorie</w:t>
            </w:r>
          </w:p>
        </w:tc>
        <w:tc>
          <w:tcPr>
            <w:tcW w:w="2352" w:type="dxa"/>
            <w:gridSpan w:val="2"/>
            <w:tcBorders>
              <w:top w:val="single" w:sz="4" w:space="0" w:color="auto"/>
              <w:left w:val="nil"/>
              <w:bottom w:val="single" w:sz="4" w:space="0" w:color="auto"/>
              <w:right w:val="nil"/>
            </w:tcBorders>
            <w:hideMark/>
          </w:tcPr>
          <w:p w:rsidR="001A62D7" w:rsidRPr="00D02CE2" w:rsidRDefault="001A62D7" w:rsidP="001D5990">
            <w:pPr>
              <w:spacing w:before="60" w:after="60"/>
              <w:jc w:val="center"/>
              <w:rPr>
                <w:noProof/>
              </w:rPr>
            </w:pPr>
            <w:r w:rsidRPr="00D02CE2">
              <w:rPr>
                <w:noProof/>
              </w:rPr>
              <w:t xml:space="preserve">Numărul </w:t>
            </w:r>
            <w:r w:rsidRPr="00D02CE2">
              <w:rPr>
                <w:noProof/>
              </w:rPr>
              <w:br/>
              <w:t>beneficiarilor preconizați</w:t>
            </w:r>
          </w:p>
        </w:tc>
      </w:tr>
      <w:tr w:rsidR="001A62D7" w:rsidRPr="00D02CE2" w:rsidTr="001D5990">
        <w:trPr>
          <w:jc w:val="center"/>
        </w:trPr>
        <w:tc>
          <w:tcPr>
            <w:tcW w:w="1496" w:type="dxa"/>
            <w:tcBorders>
              <w:top w:val="single" w:sz="4" w:space="0" w:color="auto"/>
              <w:left w:val="nil"/>
              <w:right w:val="nil"/>
            </w:tcBorders>
            <w:hideMark/>
          </w:tcPr>
          <w:p w:rsidR="001A62D7" w:rsidRPr="00D02CE2" w:rsidRDefault="001A62D7" w:rsidP="001D5990">
            <w:pPr>
              <w:spacing w:before="60" w:after="60"/>
              <w:rPr>
                <w:noProof/>
              </w:rPr>
            </w:pPr>
            <w:r w:rsidRPr="00D02CE2">
              <w:rPr>
                <w:noProof/>
              </w:rPr>
              <w:t>Gen:</w:t>
            </w:r>
          </w:p>
        </w:tc>
        <w:tc>
          <w:tcPr>
            <w:tcW w:w="2063" w:type="dxa"/>
            <w:tcBorders>
              <w:top w:val="single" w:sz="4" w:space="0" w:color="auto"/>
              <w:left w:val="nil"/>
              <w:right w:val="nil"/>
            </w:tcBorders>
            <w:hideMark/>
          </w:tcPr>
          <w:p w:rsidR="001A62D7" w:rsidRPr="00D02CE2" w:rsidRDefault="001A62D7" w:rsidP="001D5990">
            <w:pPr>
              <w:spacing w:before="60" w:after="60"/>
              <w:rPr>
                <w:noProof/>
              </w:rPr>
            </w:pPr>
            <w:r w:rsidRPr="00D02CE2">
              <w:rPr>
                <w:noProof/>
              </w:rPr>
              <w:t>Bărbați:</w:t>
            </w:r>
          </w:p>
        </w:tc>
        <w:tc>
          <w:tcPr>
            <w:tcW w:w="1176" w:type="dxa"/>
            <w:tcBorders>
              <w:top w:val="single" w:sz="4" w:space="0" w:color="auto"/>
              <w:left w:val="nil"/>
              <w:right w:val="nil"/>
            </w:tcBorders>
            <w:hideMark/>
          </w:tcPr>
          <w:p w:rsidR="001A62D7" w:rsidRPr="00D02CE2" w:rsidRDefault="007452BA" w:rsidP="001D5990">
            <w:pPr>
              <w:spacing w:before="60" w:after="60"/>
              <w:jc w:val="right"/>
              <w:rPr>
                <w:noProof/>
              </w:rPr>
            </w:pPr>
            <w:r w:rsidRPr="00D02CE2">
              <w:rPr>
                <w:noProof/>
              </w:rPr>
              <w:t>135</w:t>
            </w:r>
          </w:p>
        </w:tc>
        <w:tc>
          <w:tcPr>
            <w:tcW w:w="1176" w:type="dxa"/>
            <w:tcBorders>
              <w:top w:val="single" w:sz="4" w:space="0" w:color="auto"/>
              <w:left w:val="nil"/>
              <w:right w:val="nil"/>
            </w:tcBorders>
            <w:hideMark/>
          </w:tcPr>
          <w:p w:rsidR="001A62D7" w:rsidRPr="00D02CE2" w:rsidRDefault="001A62D7" w:rsidP="001D5990">
            <w:pPr>
              <w:spacing w:before="60" w:after="60"/>
              <w:jc w:val="right"/>
              <w:rPr>
                <w:noProof/>
              </w:rPr>
            </w:pPr>
            <w:r w:rsidRPr="00D02CE2">
              <w:rPr>
                <w:noProof/>
              </w:rPr>
              <w:t>(32,5 %)</w:t>
            </w:r>
          </w:p>
        </w:tc>
      </w:tr>
      <w:tr w:rsidR="001A62D7" w:rsidRPr="00D02CE2" w:rsidTr="001D5990">
        <w:trPr>
          <w:jc w:val="center"/>
        </w:trPr>
        <w:tc>
          <w:tcPr>
            <w:tcW w:w="1496" w:type="dxa"/>
            <w:tcBorders>
              <w:top w:val="nil"/>
              <w:left w:val="nil"/>
              <w:right w:val="nil"/>
            </w:tcBorders>
          </w:tcPr>
          <w:p w:rsidR="001A62D7" w:rsidRPr="00D02CE2" w:rsidRDefault="001A62D7" w:rsidP="001D5990">
            <w:pPr>
              <w:spacing w:before="60" w:after="60"/>
              <w:rPr>
                <w:noProof/>
              </w:rPr>
            </w:pPr>
          </w:p>
        </w:tc>
        <w:tc>
          <w:tcPr>
            <w:tcW w:w="2063" w:type="dxa"/>
            <w:tcBorders>
              <w:top w:val="nil"/>
              <w:left w:val="nil"/>
              <w:right w:val="nil"/>
            </w:tcBorders>
          </w:tcPr>
          <w:p w:rsidR="001A62D7" w:rsidRPr="00D02CE2" w:rsidRDefault="001A62D7" w:rsidP="001D5990">
            <w:pPr>
              <w:spacing w:before="60" w:after="60"/>
              <w:rPr>
                <w:rFonts w:eastAsia="Calibri"/>
                <w:noProof/>
              </w:rPr>
            </w:pPr>
            <w:r w:rsidRPr="00D02CE2">
              <w:rPr>
                <w:noProof/>
              </w:rPr>
              <w:t>Femei:</w:t>
            </w:r>
          </w:p>
        </w:tc>
        <w:tc>
          <w:tcPr>
            <w:tcW w:w="1176" w:type="dxa"/>
          </w:tcPr>
          <w:p w:rsidR="001A62D7" w:rsidRPr="00D02CE2" w:rsidRDefault="007452BA" w:rsidP="001D5990">
            <w:pPr>
              <w:spacing w:before="60" w:after="60"/>
              <w:jc w:val="right"/>
              <w:rPr>
                <w:noProof/>
              </w:rPr>
            </w:pPr>
            <w:r w:rsidRPr="00D02CE2">
              <w:rPr>
                <w:noProof/>
              </w:rPr>
              <w:t>281</w:t>
            </w:r>
          </w:p>
        </w:tc>
        <w:tc>
          <w:tcPr>
            <w:tcW w:w="1176" w:type="dxa"/>
          </w:tcPr>
          <w:p w:rsidR="001A62D7" w:rsidRPr="00D02CE2" w:rsidRDefault="001A62D7" w:rsidP="001D5990">
            <w:pPr>
              <w:spacing w:before="60" w:after="60"/>
              <w:jc w:val="right"/>
              <w:rPr>
                <w:rFonts w:eastAsia="Calibri"/>
                <w:noProof/>
              </w:rPr>
            </w:pPr>
            <w:r w:rsidRPr="00D02CE2">
              <w:rPr>
                <w:noProof/>
              </w:rPr>
              <w:t>(67,5 %)</w:t>
            </w:r>
          </w:p>
        </w:tc>
      </w:tr>
      <w:tr w:rsidR="001A62D7" w:rsidRPr="00D02CE2" w:rsidTr="001D5990">
        <w:trPr>
          <w:jc w:val="center"/>
        </w:trPr>
        <w:tc>
          <w:tcPr>
            <w:tcW w:w="1496" w:type="dxa"/>
            <w:tcBorders>
              <w:left w:val="nil"/>
              <w:bottom w:val="single" w:sz="4" w:space="0" w:color="auto"/>
              <w:right w:val="nil"/>
            </w:tcBorders>
          </w:tcPr>
          <w:p w:rsidR="001A62D7" w:rsidRPr="00D02CE2" w:rsidRDefault="001A62D7" w:rsidP="001D5990">
            <w:pPr>
              <w:spacing w:before="60" w:after="60"/>
              <w:rPr>
                <w:noProof/>
              </w:rPr>
            </w:pPr>
          </w:p>
        </w:tc>
        <w:tc>
          <w:tcPr>
            <w:tcW w:w="2063" w:type="dxa"/>
            <w:tcBorders>
              <w:left w:val="nil"/>
              <w:bottom w:val="single" w:sz="4" w:space="0" w:color="auto"/>
              <w:right w:val="nil"/>
            </w:tcBorders>
          </w:tcPr>
          <w:p w:rsidR="001A62D7" w:rsidRPr="00D02CE2" w:rsidRDefault="001A62D7" w:rsidP="001D5990">
            <w:pPr>
              <w:spacing w:before="60" w:after="60"/>
              <w:rPr>
                <w:noProof/>
              </w:rPr>
            </w:pPr>
            <w:r w:rsidRPr="00D02CE2">
              <w:rPr>
                <w:noProof/>
              </w:rPr>
              <w:t>Persoane non-binare</w:t>
            </w:r>
          </w:p>
        </w:tc>
        <w:tc>
          <w:tcPr>
            <w:tcW w:w="1176" w:type="dxa"/>
            <w:tcBorders>
              <w:bottom w:val="single" w:sz="4" w:space="0" w:color="auto"/>
            </w:tcBorders>
            <w:hideMark/>
          </w:tcPr>
          <w:p w:rsidR="001A62D7" w:rsidRPr="00D02CE2" w:rsidRDefault="007452BA" w:rsidP="001D5990">
            <w:pPr>
              <w:spacing w:before="60" w:after="60"/>
              <w:jc w:val="right"/>
              <w:rPr>
                <w:noProof/>
              </w:rPr>
            </w:pPr>
            <w:r w:rsidRPr="00D02CE2">
              <w:rPr>
                <w:noProof/>
              </w:rPr>
              <w:t>0</w:t>
            </w:r>
          </w:p>
        </w:tc>
        <w:tc>
          <w:tcPr>
            <w:tcW w:w="1176" w:type="dxa"/>
            <w:tcBorders>
              <w:bottom w:val="single" w:sz="4" w:space="0" w:color="auto"/>
            </w:tcBorders>
            <w:hideMark/>
          </w:tcPr>
          <w:p w:rsidR="001A62D7" w:rsidRPr="00D02CE2" w:rsidRDefault="001A62D7" w:rsidP="001D5990">
            <w:pPr>
              <w:spacing w:before="60" w:after="60"/>
              <w:jc w:val="right"/>
              <w:rPr>
                <w:noProof/>
              </w:rPr>
            </w:pPr>
            <w:r w:rsidRPr="00D02CE2">
              <w:rPr>
                <w:noProof/>
              </w:rPr>
              <w:t>(0,0 %)</w:t>
            </w:r>
          </w:p>
        </w:tc>
      </w:tr>
      <w:tr w:rsidR="001A62D7" w:rsidRPr="00D02CE2" w:rsidTr="001D5990">
        <w:trPr>
          <w:jc w:val="center"/>
        </w:trPr>
        <w:tc>
          <w:tcPr>
            <w:tcW w:w="1496" w:type="dxa"/>
            <w:tcBorders>
              <w:top w:val="single" w:sz="4" w:space="0" w:color="auto"/>
              <w:left w:val="nil"/>
              <w:bottom w:val="nil"/>
              <w:right w:val="nil"/>
            </w:tcBorders>
            <w:hideMark/>
          </w:tcPr>
          <w:p w:rsidR="001A62D7" w:rsidRPr="00D02CE2" w:rsidRDefault="001A62D7" w:rsidP="001D5990">
            <w:pPr>
              <w:spacing w:before="60" w:after="60"/>
              <w:rPr>
                <w:noProof/>
              </w:rPr>
            </w:pPr>
            <w:r w:rsidRPr="00D02CE2">
              <w:rPr>
                <w:noProof/>
              </w:rPr>
              <w:t>Grupa de vârstă:</w:t>
            </w:r>
          </w:p>
        </w:tc>
        <w:tc>
          <w:tcPr>
            <w:tcW w:w="2063" w:type="dxa"/>
            <w:tcBorders>
              <w:top w:val="single" w:sz="4" w:space="0" w:color="auto"/>
              <w:left w:val="nil"/>
              <w:bottom w:val="nil"/>
              <w:right w:val="nil"/>
            </w:tcBorders>
            <w:hideMark/>
          </w:tcPr>
          <w:p w:rsidR="001A62D7" w:rsidRPr="00D02CE2" w:rsidRDefault="001A62D7" w:rsidP="001D5990">
            <w:pPr>
              <w:spacing w:before="60" w:after="60"/>
              <w:rPr>
                <w:noProof/>
              </w:rPr>
            </w:pPr>
            <w:r w:rsidRPr="00D02CE2">
              <w:rPr>
                <w:noProof/>
              </w:rPr>
              <w:t>Sub 30 de ani:</w:t>
            </w:r>
          </w:p>
        </w:tc>
        <w:tc>
          <w:tcPr>
            <w:tcW w:w="1176" w:type="dxa"/>
            <w:tcBorders>
              <w:top w:val="single" w:sz="4" w:space="0" w:color="auto"/>
            </w:tcBorders>
            <w:hideMark/>
          </w:tcPr>
          <w:p w:rsidR="001A62D7" w:rsidRPr="00D02CE2" w:rsidRDefault="007452BA" w:rsidP="001D5990">
            <w:pPr>
              <w:spacing w:before="60" w:after="60"/>
              <w:jc w:val="right"/>
              <w:rPr>
                <w:noProof/>
              </w:rPr>
            </w:pPr>
            <w:r w:rsidRPr="00D02CE2">
              <w:rPr>
                <w:noProof/>
              </w:rPr>
              <w:t>61</w:t>
            </w:r>
          </w:p>
        </w:tc>
        <w:tc>
          <w:tcPr>
            <w:tcW w:w="1176" w:type="dxa"/>
            <w:tcBorders>
              <w:top w:val="single" w:sz="4" w:space="0" w:color="auto"/>
            </w:tcBorders>
            <w:hideMark/>
          </w:tcPr>
          <w:p w:rsidR="001A62D7" w:rsidRPr="00D02CE2" w:rsidRDefault="001A62D7" w:rsidP="001D5990">
            <w:pPr>
              <w:spacing w:before="60" w:after="60"/>
              <w:jc w:val="right"/>
              <w:rPr>
                <w:noProof/>
              </w:rPr>
            </w:pPr>
            <w:r w:rsidRPr="00D02CE2">
              <w:rPr>
                <w:noProof/>
              </w:rPr>
              <w:t>(14,7 %)</w:t>
            </w:r>
          </w:p>
        </w:tc>
      </w:tr>
      <w:tr w:rsidR="001A62D7" w:rsidRPr="00D02CE2" w:rsidTr="001D5990">
        <w:trPr>
          <w:jc w:val="center"/>
        </w:trPr>
        <w:tc>
          <w:tcPr>
            <w:tcW w:w="1496" w:type="dxa"/>
          </w:tcPr>
          <w:p w:rsidR="001A62D7" w:rsidRPr="00D02CE2" w:rsidRDefault="001A62D7" w:rsidP="001D5990">
            <w:pPr>
              <w:spacing w:before="60" w:after="60"/>
              <w:rPr>
                <w:noProof/>
              </w:rPr>
            </w:pPr>
          </w:p>
        </w:tc>
        <w:tc>
          <w:tcPr>
            <w:tcW w:w="2063" w:type="dxa"/>
            <w:hideMark/>
          </w:tcPr>
          <w:p w:rsidR="001A62D7" w:rsidRPr="00D02CE2" w:rsidRDefault="001A62D7" w:rsidP="001D5990">
            <w:pPr>
              <w:spacing w:before="60" w:after="60"/>
              <w:rPr>
                <w:noProof/>
              </w:rPr>
            </w:pPr>
            <w:r w:rsidRPr="00D02CE2">
              <w:rPr>
                <w:noProof/>
              </w:rPr>
              <w:t>30-54 de ani:</w:t>
            </w:r>
          </w:p>
        </w:tc>
        <w:tc>
          <w:tcPr>
            <w:tcW w:w="1176" w:type="dxa"/>
            <w:hideMark/>
          </w:tcPr>
          <w:p w:rsidR="001A62D7" w:rsidRPr="00D02CE2" w:rsidRDefault="007452BA" w:rsidP="001D5990">
            <w:pPr>
              <w:spacing w:before="60" w:after="60"/>
              <w:jc w:val="right"/>
              <w:rPr>
                <w:noProof/>
              </w:rPr>
            </w:pPr>
            <w:r w:rsidRPr="00D02CE2">
              <w:rPr>
                <w:noProof/>
              </w:rPr>
              <w:t>234</w:t>
            </w:r>
          </w:p>
        </w:tc>
        <w:tc>
          <w:tcPr>
            <w:tcW w:w="1176" w:type="dxa"/>
            <w:hideMark/>
          </w:tcPr>
          <w:p w:rsidR="001A62D7" w:rsidRPr="00D02CE2" w:rsidRDefault="001A62D7" w:rsidP="001D5990">
            <w:pPr>
              <w:spacing w:before="60" w:after="60"/>
              <w:jc w:val="right"/>
              <w:rPr>
                <w:noProof/>
              </w:rPr>
            </w:pPr>
            <w:r w:rsidRPr="00D02CE2">
              <w:rPr>
                <w:noProof/>
              </w:rPr>
              <w:t>(56,3 %)</w:t>
            </w:r>
          </w:p>
        </w:tc>
      </w:tr>
      <w:tr w:rsidR="001A62D7" w:rsidRPr="00D02CE2" w:rsidTr="001D5990">
        <w:trPr>
          <w:jc w:val="center"/>
        </w:trPr>
        <w:tc>
          <w:tcPr>
            <w:tcW w:w="1496" w:type="dxa"/>
          </w:tcPr>
          <w:p w:rsidR="001A62D7" w:rsidRPr="00D02CE2" w:rsidRDefault="001A62D7" w:rsidP="001D5990">
            <w:pPr>
              <w:spacing w:before="60" w:after="60"/>
              <w:rPr>
                <w:noProof/>
              </w:rPr>
            </w:pPr>
          </w:p>
        </w:tc>
        <w:tc>
          <w:tcPr>
            <w:tcW w:w="2063" w:type="dxa"/>
            <w:hideMark/>
          </w:tcPr>
          <w:p w:rsidR="001A62D7" w:rsidRPr="00D02CE2" w:rsidRDefault="001A62D7" w:rsidP="001D5990">
            <w:pPr>
              <w:spacing w:before="60" w:after="60"/>
              <w:jc w:val="left"/>
              <w:rPr>
                <w:noProof/>
              </w:rPr>
            </w:pPr>
            <w:r w:rsidRPr="00D02CE2">
              <w:rPr>
                <w:noProof/>
              </w:rPr>
              <w:t>Peste 54 de ani:</w:t>
            </w:r>
          </w:p>
        </w:tc>
        <w:tc>
          <w:tcPr>
            <w:tcW w:w="1176" w:type="dxa"/>
            <w:hideMark/>
          </w:tcPr>
          <w:p w:rsidR="001A62D7" w:rsidRPr="00D02CE2" w:rsidRDefault="007452BA" w:rsidP="001D5990">
            <w:pPr>
              <w:spacing w:before="60" w:after="60"/>
              <w:jc w:val="right"/>
              <w:rPr>
                <w:noProof/>
              </w:rPr>
            </w:pPr>
            <w:r w:rsidRPr="00D02CE2">
              <w:rPr>
                <w:noProof/>
              </w:rPr>
              <w:t>121</w:t>
            </w:r>
          </w:p>
        </w:tc>
        <w:tc>
          <w:tcPr>
            <w:tcW w:w="1176" w:type="dxa"/>
            <w:hideMark/>
          </w:tcPr>
          <w:p w:rsidR="001A62D7" w:rsidRPr="00D02CE2" w:rsidRDefault="001A62D7" w:rsidP="001D5990">
            <w:pPr>
              <w:spacing w:before="60" w:after="60"/>
              <w:jc w:val="right"/>
              <w:rPr>
                <w:noProof/>
              </w:rPr>
            </w:pPr>
            <w:r w:rsidRPr="00D02CE2">
              <w:rPr>
                <w:noProof/>
              </w:rPr>
              <w:t>(29,1 %)</w:t>
            </w:r>
          </w:p>
        </w:tc>
      </w:tr>
      <w:tr w:rsidR="001A62D7" w:rsidRPr="00D02CE2" w:rsidTr="001D5990">
        <w:trPr>
          <w:jc w:val="center"/>
        </w:trPr>
        <w:tc>
          <w:tcPr>
            <w:tcW w:w="1496" w:type="dxa"/>
            <w:tcBorders>
              <w:top w:val="single" w:sz="4" w:space="0" w:color="auto"/>
              <w:left w:val="nil"/>
              <w:bottom w:val="nil"/>
              <w:right w:val="nil"/>
            </w:tcBorders>
          </w:tcPr>
          <w:p w:rsidR="001A62D7" w:rsidRPr="00D02CE2" w:rsidRDefault="001A62D7" w:rsidP="001D5990">
            <w:pPr>
              <w:spacing w:before="60" w:after="60"/>
              <w:rPr>
                <w:noProof/>
              </w:rPr>
            </w:pPr>
            <w:r w:rsidRPr="00D02CE2">
              <w:rPr>
                <w:noProof/>
              </w:rPr>
              <w:t>Nivelul de instruire</w:t>
            </w:r>
          </w:p>
        </w:tc>
        <w:tc>
          <w:tcPr>
            <w:tcW w:w="2063" w:type="dxa"/>
            <w:tcBorders>
              <w:top w:val="single" w:sz="4" w:space="0" w:color="auto"/>
              <w:left w:val="nil"/>
              <w:bottom w:val="nil"/>
              <w:right w:val="nil"/>
            </w:tcBorders>
          </w:tcPr>
          <w:p w:rsidR="001A62D7" w:rsidRPr="00D02CE2" w:rsidRDefault="001A62D7" w:rsidP="001D5990">
            <w:pPr>
              <w:spacing w:before="60" w:after="60"/>
              <w:rPr>
                <w:noProof/>
              </w:rPr>
            </w:pPr>
            <w:r w:rsidRPr="00D02CE2">
              <w:rPr>
                <w:noProof/>
              </w:rPr>
              <w:t xml:space="preserve">Învățământ secundar inferior sau sub acest </w:t>
            </w:r>
            <w:r w:rsidRPr="00D02CE2">
              <w:rPr>
                <w:noProof/>
              </w:rPr>
              <w:lastRenderedPageBreak/>
              <w:t>nivel</w:t>
            </w:r>
            <w:r w:rsidRPr="00D02CE2">
              <w:rPr>
                <w:rStyle w:val="FootnoteReference"/>
                <w:noProof/>
              </w:rPr>
              <w:footnoteReference w:id="14"/>
            </w:r>
            <w:r w:rsidRPr="00D02CE2">
              <w:rPr>
                <w:noProof/>
              </w:rPr>
              <w:t xml:space="preserve"> </w:t>
            </w:r>
          </w:p>
        </w:tc>
        <w:tc>
          <w:tcPr>
            <w:tcW w:w="1176" w:type="dxa"/>
            <w:tcBorders>
              <w:top w:val="single" w:sz="4" w:space="0" w:color="auto"/>
              <w:left w:val="nil"/>
              <w:bottom w:val="nil"/>
              <w:right w:val="nil"/>
            </w:tcBorders>
          </w:tcPr>
          <w:p w:rsidR="001A62D7" w:rsidRPr="00D02CE2" w:rsidRDefault="007452BA" w:rsidP="001D5990">
            <w:pPr>
              <w:spacing w:before="60" w:after="60"/>
              <w:jc w:val="right"/>
              <w:rPr>
                <w:noProof/>
              </w:rPr>
            </w:pPr>
            <w:r w:rsidRPr="00D02CE2">
              <w:rPr>
                <w:noProof/>
              </w:rPr>
              <w:lastRenderedPageBreak/>
              <w:t>95</w:t>
            </w:r>
          </w:p>
        </w:tc>
        <w:tc>
          <w:tcPr>
            <w:tcW w:w="1176" w:type="dxa"/>
            <w:tcBorders>
              <w:top w:val="single" w:sz="4" w:space="0" w:color="auto"/>
              <w:left w:val="nil"/>
              <w:bottom w:val="nil"/>
              <w:right w:val="nil"/>
            </w:tcBorders>
          </w:tcPr>
          <w:p w:rsidR="001A62D7" w:rsidRPr="00D02CE2" w:rsidRDefault="001A62D7" w:rsidP="001D5990">
            <w:pPr>
              <w:spacing w:before="60" w:after="60"/>
              <w:jc w:val="right"/>
              <w:rPr>
                <w:rFonts w:eastAsia="Calibri"/>
                <w:noProof/>
              </w:rPr>
            </w:pPr>
            <w:r w:rsidRPr="00D02CE2">
              <w:rPr>
                <w:noProof/>
              </w:rPr>
              <w:t>(22,8 %)</w:t>
            </w:r>
          </w:p>
        </w:tc>
      </w:tr>
      <w:tr w:rsidR="001A62D7" w:rsidRPr="00D02CE2" w:rsidTr="001D5990">
        <w:trPr>
          <w:jc w:val="center"/>
        </w:trPr>
        <w:tc>
          <w:tcPr>
            <w:tcW w:w="1496" w:type="dxa"/>
            <w:tcBorders>
              <w:top w:val="nil"/>
              <w:left w:val="nil"/>
              <w:right w:val="nil"/>
            </w:tcBorders>
          </w:tcPr>
          <w:p w:rsidR="001A62D7" w:rsidRPr="00D02CE2" w:rsidRDefault="001A62D7" w:rsidP="001D5990">
            <w:pPr>
              <w:spacing w:before="60" w:after="60"/>
              <w:rPr>
                <w:noProof/>
              </w:rPr>
            </w:pPr>
          </w:p>
        </w:tc>
        <w:tc>
          <w:tcPr>
            <w:tcW w:w="2063" w:type="dxa"/>
            <w:tcBorders>
              <w:top w:val="nil"/>
              <w:left w:val="nil"/>
              <w:right w:val="nil"/>
            </w:tcBorders>
          </w:tcPr>
          <w:p w:rsidR="001A62D7" w:rsidRPr="00D02CE2" w:rsidRDefault="001A62D7" w:rsidP="001D5990">
            <w:pPr>
              <w:spacing w:before="60" w:after="60"/>
              <w:rPr>
                <w:noProof/>
              </w:rPr>
            </w:pPr>
            <w:r w:rsidRPr="00D02CE2">
              <w:rPr>
                <w:noProof/>
              </w:rPr>
              <w:t>Învățământ liceal</w:t>
            </w:r>
            <w:r w:rsidRPr="00D02CE2">
              <w:rPr>
                <w:rStyle w:val="FootnoteReference"/>
                <w:noProof/>
              </w:rPr>
              <w:footnoteReference w:id="15"/>
            </w:r>
            <w:r w:rsidRPr="00D02CE2">
              <w:rPr>
                <w:noProof/>
              </w:rPr>
              <w:t xml:space="preserve"> sau postliceal</w:t>
            </w:r>
            <w:r w:rsidRPr="00D02CE2">
              <w:rPr>
                <w:rStyle w:val="FootnoteReference"/>
                <w:noProof/>
              </w:rPr>
              <w:footnoteReference w:id="16"/>
            </w:r>
          </w:p>
        </w:tc>
        <w:tc>
          <w:tcPr>
            <w:tcW w:w="1176" w:type="dxa"/>
            <w:tcBorders>
              <w:top w:val="nil"/>
              <w:left w:val="nil"/>
              <w:right w:val="nil"/>
            </w:tcBorders>
          </w:tcPr>
          <w:p w:rsidR="001A62D7" w:rsidRPr="00D02CE2" w:rsidRDefault="007452BA" w:rsidP="001D5990">
            <w:pPr>
              <w:spacing w:before="60" w:after="60"/>
              <w:jc w:val="right"/>
              <w:rPr>
                <w:noProof/>
              </w:rPr>
            </w:pPr>
            <w:r w:rsidRPr="00D02CE2">
              <w:rPr>
                <w:noProof/>
              </w:rPr>
              <w:t>245</w:t>
            </w:r>
          </w:p>
        </w:tc>
        <w:tc>
          <w:tcPr>
            <w:tcW w:w="1176" w:type="dxa"/>
            <w:tcBorders>
              <w:top w:val="nil"/>
              <w:left w:val="nil"/>
              <w:right w:val="nil"/>
            </w:tcBorders>
          </w:tcPr>
          <w:p w:rsidR="001A62D7" w:rsidRPr="00D02CE2" w:rsidRDefault="001A62D7" w:rsidP="001D5990">
            <w:pPr>
              <w:spacing w:before="60" w:after="60"/>
              <w:jc w:val="right"/>
              <w:rPr>
                <w:rFonts w:eastAsia="Calibri"/>
                <w:noProof/>
              </w:rPr>
            </w:pPr>
            <w:r w:rsidRPr="00D02CE2">
              <w:rPr>
                <w:noProof/>
              </w:rPr>
              <w:t>(58,9 %)</w:t>
            </w:r>
          </w:p>
        </w:tc>
      </w:tr>
      <w:tr w:rsidR="001A62D7" w:rsidRPr="00D02CE2" w:rsidTr="001D5990">
        <w:trPr>
          <w:jc w:val="center"/>
        </w:trPr>
        <w:tc>
          <w:tcPr>
            <w:tcW w:w="1496" w:type="dxa"/>
            <w:tcBorders>
              <w:top w:val="nil"/>
              <w:left w:val="nil"/>
              <w:bottom w:val="single" w:sz="4" w:space="0" w:color="auto"/>
              <w:right w:val="nil"/>
            </w:tcBorders>
          </w:tcPr>
          <w:p w:rsidR="001A62D7" w:rsidRPr="00D02CE2" w:rsidRDefault="001A62D7" w:rsidP="001D5990">
            <w:pPr>
              <w:spacing w:before="60" w:after="60"/>
              <w:rPr>
                <w:noProof/>
              </w:rPr>
            </w:pPr>
          </w:p>
        </w:tc>
        <w:tc>
          <w:tcPr>
            <w:tcW w:w="2063" w:type="dxa"/>
            <w:tcBorders>
              <w:top w:val="nil"/>
              <w:left w:val="nil"/>
              <w:bottom w:val="single" w:sz="4" w:space="0" w:color="auto"/>
              <w:right w:val="nil"/>
            </w:tcBorders>
          </w:tcPr>
          <w:p w:rsidR="001A62D7" w:rsidRPr="00D02CE2" w:rsidRDefault="001A62D7" w:rsidP="001D5990">
            <w:pPr>
              <w:spacing w:before="60" w:after="60"/>
              <w:rPr>
                <w:noProof/>
              </w:rPr>
            </w:pPr>
            <w:r w:rsidRPr="00D02CE2">
              <w:rPr>
                <w:noProof/>
              </w:rPr>
              <w:t>Învățământ terțiar</w:t>
            </w:r>
            <w:r w:rsidRPr="00D02CE2">
              <w:rPr>
                <w:rStyle w:val="FootnoteReference"/>
                <w:noProof/>
              </w:rPr>
              <w:footnoteReference w:id="17"/>
            </w:r>
          </w:p>
        </w:tc>
        <w:tc>
          <w:tcPr>
            <w:tcW w:w="1176" w:type="dxa"/>
            <w:tcBorders>
              <w:top w:val="nil"/>
              <w:left w:val="nil"/>
              <w:bottom w:val="single" w:sz="4" w:space="0" w:color="auto"/>
              <w:right w:val="nil"/>
            </w:tcBorders>
          </w:tcPr>
          <w:p w:rsidR="001A62D7" w:rsidRPr="00D02CE2" w:rsidRDefault="007452BA" w:rsidP="001D5990">
            <w:pPr>
              <w:spacing w:before="60" w:after="60"/>
              <w:jc w:val="right"/>
              <w:rPr>
                <w:noProof/>
              </w:rPr>
            </w:pPr>
            <w:r w:rsidRPr="00D02CE2">
              <w:rPr>
                <w:noProof/>
              </w:rPr>
              <w:t>76</w:t>
            </w:r>
          </w:p>
        </w:tc>
        <w:tc>
          <w:tcPr>
            <w:tcW w:w="1176" w:type="dxa"/>
            <w:tcBorders>
              <w:top w:val="nil"/>
              <w:left w:val="nil"/>
              <w:bottom w:val="single" w:sz="4" w:space="0" w:color="auto"/>
              <w:right w:val="nil"/>
            </w:tcBorders>
          </w:tcPr>
          <w:p w:rsidR="001A62D7" w:rsidRPr="00D02CE2" w:rsidRDefault="001A62D7" w:rsidP="001D5990">
            <w:pPr>
              <w:spacing w:before="60" w:after="60"/>
              <w:jc w:val="right"/>
              <w:rPr>
                <w:rFonts w:eastAsia="Calibri"/>
                <w:noProof/>
              </w:rPr>
            </w:pPr>
            <w:r w:rsidRPr="00D02CE2">
              <w:rPr>
                <w:noProof/>
              </w:rPr>
              <w:t>(18,3 %)</w:t>
            </w:r>
          </w:p>
        </w:tc>
      </w:tr>
    </w:tbl>
    <w:p w:rsidR="001A62D7" w:rsidRPr="00D22A6D" w:rsidRDefault="001A62D7" w:rsidP="001A62D7">
      <w:pPr>
        <w:pStyle w:val="ManualHeading3"/>
        <w:rPr>
          <w:noProof/>
          <w:u w:val="single"/>
        </w:rPr>
      </w:pPr>
      <w:r w:rsidRPr="00D22A6D">
        <w:rPr>
          <w:noProof/>
        </w:rPr>
        <w:t>Măsurile propuse</w:t>
      </w:r>
    </w:p>
    <w:p w:rsidR="001A62D7" w:rsidRPr="00D02CE2" w:rsidRDefault="001A62D7" w:rsidP="009C50F6">
      <w:pPr>
        <w:pStyle w:val="ManualNumPar1"/>
        <w:rPr>
          <w:noProof/>
        </w:rPr>
      </w:pPr>
      <w:r>
        <w:rPr>
          <w:noProof/>
        </w:rPr>
        <w:t>26.</w:t>
      </w:r>
      <w:r>
        <w:rPr>
          <w:noProof/>
        </w:rPr>
        <w:tab/>
      </w:r>
      <w:bookmarkStart w:id="6" w:name="_Ref372214239"/>
      <w:r w:rsidRPr="00D02CE2">
        <w:rPr>
          <w:noProof/>
        </w:rPr>
        <w:t>În conformitate cu articolul 8 alineatul (7) litera (h) din Regulamentul (UE) 2021/691, pachetul coordonat personalizat care urmează să fie pus la dispoziția lucrătorilor disponibilizați constă în următoarele măsuri:</w:t>
      </w:r>
      <w:bookmarkEnd w:id="6"/>
      <w:r w:rsidRPr="00D02CE2">
        <w:rPr>
          <w:noProof/>
        </w:rPr>
        <w:t xml:space="preserve"> </w:t>
      </w:r>
    </w:p>
    <w:p w:rsidR="001A62D7" w:rsidRPr="00D02CE2" w:rsidRDefault="00F03387" w:rsidP="00E83703">
      <w:pPr>
        <w:pStyle w:val="Tiret1"/>
        <w:rPr>
          <w:noProof/>
        </w:rPr>
      </w:pPr>
      <w:r w:rsidRPr="00D02CE2">
        <w:rPr>
          <w:noProof/>
          <w:u w:val="single"/>
        </w:rPr>
        <w:t>Grupul operativ</w:t>
      </w:r>
      <w:r w:rsidRPr="00D02CE2">
        <w:rPr>
          <w:noProof/>
        </w:rPr>
        <w:t xml:space="preserve">: Un grup operativ compus din experți cu experiență în furnizarea de orientări privind procesele de concediere colectivă și cunoștințe aprofundate privind piața locală a muncii va organiza și va desfășura sesiuni de informare, va defini parcursuri personalizate împreună cu lucrătorii pentru reîncadrarea în muncă și le va reajusta, dacă este necesar. </w:t>
      </w:r>
    </w:p>
    <w:p w:rsidR="00A746AB" w:rsidRPr="00D02CE2" w:rsidRDefault="006905BD" w:rsidP="00E83703">
      <w:pPr>
        <w:pStyle w:val="Tiret1"/>
        <w:rPr>
          <w:noProof/>
        </w:rPr>
      </w:pPr>
      <w:r w:rsidRPr="00D02CE2">
        <w:rPr>
          <w:noProof/>
          <w:u w:val="single"/>
        </w:rPr>
        <w:t>Plasarea pe piața muncii a personalului disponibilizat</w:t>
      </w:r>
      <w:r w:rsidRPr="00D02CE2">
        <w:rPr>
          <w:noProof/>
        </w:rPr>
        <w:t>: Serviciile de plasare pe piața muncii a personalului disponibilizat includ atât activități colective, cât și activități individuale, cum ar fi un interviu inițial și orientare individuală, certificarea competențelor dobândite, orientări privind utilizarea platformei digitale „My Career” (</w:t>
      </w:r>
      <w:r w:rsidRPr="00D22A6D">
        <w:rPr>
          <w:i/>
          <w:noProof/>
        </w:rPr>
        <w:t>Mijn Loopbaan</w:t>
      </w:r>
      <w:r w:rsidRPr="00D02CE2">
        <w:rPr>
          <w:noProof/>
        </w:rPr>
        <w:t xml:space="preserve">) a VDAB (Serviciile publice de ocupare a forței de muncă din Flandra) pentru căutarea unui loc de muncă, precum și orientări înainte, în timpul și după târgul de locuri de muncă. De asemenea, se oferă sprijin în cadrul sesiunilor „Job-up”, în cadrul cărora lucrătorii se pot deplasa pentru a primi ajutor cu întrebări referitoare la candidatura lor pentru un loc de muncă. </w:t>
      </w:r>
    </w:p>
    <w:p w:rsidR="00A746AB" w:rsidRPr="00D02CE2" w:rsidRDefault="00A746AB" w:rsidP="001A62D7">
      <w:pPr>
        <w:pStyle w:val="Tiret1"/>
        <w:rPr>
          <w:noProof/>
        </w:rPr>
      </w:pPr>
      <w:bookmarkStart w:id="7" w:name="_Hlk215479487"/>
      <w:bookmarkEnd w:id="7"/>
      <w:r w:rsidRPr="00D02CE2">
        <w:rPr>
          <w:noProof/>
          <w:u w:val="single"/>
        </w:rPr>
        <w:t xml:space="preserve">Medierea activă: </w:t>
      </w:r>
      <w:r w:rsidRPr="00D02CE2">
        <w:rPr>
          <w:noProof/>
        </w:rPr>
        <w:t>Mediatorii VDAB estimează potențialul persoanelor aflate în căutarea unui loc de muncă, le îndrumă, încearcă să le coreleze cu angajatori potriviți și le îndrumă către măsuri de perfecționare, dacă este necesar. De asemenea, se acordă sprijin în ceea ce privește pregătirea lucrătorilor pentru viitoarele cereri de locuri de muncă, redactarea unor CV-uri atractive și dobândirea competențelor necesare pentru desfășurarea cu încredere a unui interviu de angajare.</w:t>
      </w:r>
    </w:p>
    <w:p w:rsidR="00DA7337" w:rsidRPr="00D02CE2" w:rsidRDefault="00CC41A9" w:rsidP="008A792E">
      <w:pPr>
        <w:pStyle w:val="Tiret1"/>
        <w:rPr>
          <w:noProof/>
        </w:rPr>
      </w:pPr>
      <w:r w:rsidRPr="00D02CE2">
        <w:rPr>
          <w:noProof/>
          <w:u w:val="single"/>
        </w:rPr>
        <w:t>Orientări:</w:t>
      </w:r>
      <w:r w:rsidR="00D22A6D">
        <w:rPr>
          <w:noProof/>
          <w:u w:val="single"/>
        </w:rPr>
        <w:t xml:space="preserve"> </w:t>
      </w:r>
      <w:r w:rsidRPr="00D02CE2">
        <w:rPr>
          <w:noProof/>
        </w:rPr>
        <w:t xml:space="preserve">VDAB poate îndruma o persoană aflată în căutarea unui loc de muncă către o organizație parteneră atunci când acest lucru este considerat util în funcție de nevoile, profilul și stadiul carierei persoanei respective. Fiecare organizație oferă un program personalizat, care include orientări, căutarea de locuri de muncă vacante, evaluarea și consolidarea competențelor digitale, ajutor în utilizarea instrumentelor digitale pentru căutarea unui loc de muncă și sprijin mental. Aceste servicii sunt furnizate prin intermediul unui sistem de cupoane valorice pentru a asigura libertatea de alegere a lucrătorilor. </w:t>
      </w:r>
    </w:p>
    <w:p w:rsidR="0089565D" w:rsidRPr="00D02CE2" w:rsidRDefault="0089565D" w:rsidP="001A62D7">
      <w:pPr>
        <w:pStyle w:val="Tiret1"/>
        <w:rPr>
          <w:noProof/>
        </w:rPr>
      </w:pPr>
      <w:r w:rsidRPr="00D02CE2">
        <w:rPr>
          <w:noProof/>
          <w:u w:val="single"/>
        </w:rPr>
        <w:t xml:space="preserve">Formare și recalificare: </w:t>
      </w:r>
      <w:r w:rsidRPr="00D02CE2">
        <w:rPr>
          <w:noProof/>
        </w:rPr>
        <w:t xml:space="preserve">Lucrătorii au acces la o gamă largă de cursuri de formare, furnizate de VDAB sau de furnizori externi de formare. Aceștia pot alege fie să își dezvolte în continuare competențele în propriul domeniu, fie să </w:t>
      </w:r>
      <w:r w:rsidRPr="00D02CE2">
        <w:rPr>
          <w:noProof/>
        </w:rPr>
        <w:lastRenderedPageBreak/>
        <w:t xml:space="preserve">se recalifice complet în ocupații cu deficit de forță de muncă. Înainte de programul de formare, un mediator VDAB efectuează un screening individual pentru a adapta parcursul de învățare la motivația, competențele și oportunitățile de dezvoltare personală ale fiecărui participant. Nivelul de formare în domeniul competențelor digitale este adaptat la obiectivul profesional al persoanei aflate în căutarea unui loc de muncă. Se pune un accent deosebit pe consolidarea competențelor tehnice și digitale ale participanților prin metodologii de învățare hibridă – o combinație de învățare în clasă, digitală și bazată pe experiență. Participanții selecționați vor primi un certificat sau o diplomă oficială. </w:t>
      </w:r>
    </w:p>
    <w:p w:rsidR="008A792E" w:rsidRPr="00D02CE2" w:rsidRDefault="008A792E" w:rsidP="001A62D7">
      <w:pPr>
        <w:pStyle w:val="Tiret1"/>
        <w:rPr>
          <w:noProof/>
        </w:rPr>
      </w:pPr>
      <w:r w:rsidRPr="00D02CE2">
        <w:rPr>
          <w:noProof/>
          <w:u w:val="single"/>
        </w:rPr>
        <w:t>Formare la locul de muncă</w:t>
      </w:r>
      <w:r w:rsidRPr="00D02CE2">
        <w:rPr>
          <w:noProof/>
        </w:rPr>
        <w:t xml:space="preserve">: Lucrătorii beneficiază de formare individuală la locul de muncă în cadrul întreprinderii care trebuie să îi recruteze după formare. Contractul de muncă este fie pe durată nedeterminată, fie pe durată determinată, cu o durată cel puțin egală cu cea a formării. </w:t>
      </w:r>
    </w:p>
    <w:p w:rsidR="00241A60" w:rsidRPr="00D02CE2" w:rsidRDefault="00241A60" w:rsidP="001A62D7">
      <w:pPr>
        <w:pStyle w:val="Tiret1"/>
        <w:rPr>
          <w:noProof/>
        </w:rPr>
      </w:pPr>
      <w:r w:rsidRPr="00D02CE2">
        <w:rPr>
          <w:noProof/>
          <w:u w:val="single"/>
        </w:rPr>
        <w:t>Târgul de locuri de muncă</w:t>
      </w:r>
      <w:r w:rsidRPr="00D02CE2">
        <w:rPr>
          <w:noProof/>
        </w:rPr>
        <w:t>: Acest eveniment de recrutare reunește persoane aflate în căutarea unui loc de muncă și angajatori. Înainte de a participa la eveniment, participanților li se oferă îndrumare pentru a pregăti întâlnirea cu potențialii angajatori. Evenimentul contribuie, de asemenea, la cunoașterea întreprinderilor, la consolidarea încrederii pentru a se angaja în conversații și la încurajarea efectuării de cursuri de formare pe baza informațiilor furnizate de angajatori.</w:t>
      </w:r>
    </w:p>
    <w:p w:rsidR="001A62D7" w:rsidRPr="00D02CE2" w:rsidRDefault="008F04F1" w:rsidP="001A62D7">
      <w:pPr>
        <w:pStyle w:val="ManualNumPar1"/>
        <w:rPr>
          <w:noProof/>
        </w:rPr>
      </w:pPr>
      <w:r>
        <w:rPr>
          <w:noProof/>
        </w:rPr>
        <w:t>27.</w:t>
      </w:r>
      <w:r>
        <w:rPr>
          <w:noProof/>
        </w:rPr>
        <w:tab/>
      </w:r>
      <w:r w:rsidRPr="00D02CE2">
        <w:rPr>
          <w:noProof/>
        </w:rPr>
        <w:t xml:space="preserve">Formarea TIC și sprijinul suplimentar prevăzut în cadrul măsurilor de îndrumare și de plasare pe piața muncii a personalului disponibilizat permit diseminarea competențelor necesare în era industrială digitală și într-o economie eficientă din punctul de vedere al utilizării resurselor, astfel cum se prevede la articolul 7 alineatul (2) din Regulamentul (UE) 2021/691. </w:t>
      </w:r>
    </w:p>
    <w:p w:rsidR="001A62D7" w:rsidRPr="00D02CE2" w:rsidRDefault="001A62D7" w:rsidP="009C50F6">
      <w:pPr>
        <w:pStyle w:val="ManualNumPar1"/>
        <w:rPr>
          <w:noProof/>
        </w:rPr>
      </w:pPr>
      <w:r>
        <w:rPr>
          <w:noProof/>
        </w:rPr>
        <w:t>28.</w:t>
      </w:r>
      <w:r>
        <w:rPr>
          <w:noProof/>
        </w:rPr>
        <w:tab/>
      </w:r>
      <w:bookmarkStart w:id="8" w:name="_Ref372214242"/>
      <w:r w:rsidRPr="00D02CE2">
        <w:rPr>
          <w:noProof/>
        </w:rPr>
        <w:t xml:space="preserve">Acțiunile propuse, descrise în prezentul document, constituie măsuri active de ocupare a forței de muncă ce se încadrează la acțiunile eligibile prevăzute la articolul 7 din Regulamentul (UE) 2021/691. Aceste acțiuni nu înlocuiesc măsurile pasive de protecție socială. </w:t>
      </w:r>
    </w:p>
    <w:p w:rsidR="001A62D7" w:rsidRPr="00D02CE2" w:rsidRDefault="00061791" w:rsidP="009C50F6">
      <w:pPr>
        <w:pStyle w:val="ManualNumPar1"/>
        <w:rPr>
          <w:noProof/>
        </w:rPr>
      </w:pPr>
      <w:r>
        <w:rPr>
          <w:noProof/>
        </w:rPr>
        <w:t>29.</w:t>
      </w:r>
      <w:r>
        <w:rPr>
          <w:noProof/>
        </w:rPr>
        <w:tab/>
      </w:r>
      <w:r w:rsidRPr="00D02CE2">
        <w:rPr>
          <w:noProof/>
        </w:rPr>
        <w:t>Belgia a furnizat informațiile necesare privind măsurile de care este responsabilă întreprinderea vizată în temeiul legislației naționale sau al contractelor colective de muncă. În conformitate cu articolul 9 alineatul (1) din Regulamentul (UE) 2021/691, Belgia a confirmat că măsurile respective nu vor fi înlocuite cu o contribuție financiară din partea FEG.</w:t>
      </w:r>
      <w:bookmarkEnd w:id="8"/>
    </w:p>
    <w:p w:rsidR="001A62D7" w:rsidRPr="00D22A6D" w:rsidRDefault="001A62D7" w:rsidP="001A62D7">
      <w:pPr>
        <w:pStyle w:val="ManualHeading3"/>
        <w:rPr>
          <w:noProof/>
        </w:rPr>
      </w:pPr>
      <w:r w:rsidRPr="00D22A6D">
        <w:rPr>
          <w:noProof/>
        </w:rPr>
        <w:t>Buget estimat</w:t>
      </w:r>
    </w:p>
    <w:p w:rsidR="001A62D7" w:rsidRPr="00D02CE2" w:rsidRDefault="001A62D7" w:rsidP="00C8368A">
      <w:pPr>
        <w:pStyle w:val="Text1"/>
        <w:rPr>
          <w:noProof/>
        </w:rPr>
      </w:pPr>
      <w:r w:rsidRPr="00D02CE2">
        <w:rPr>
          <w:noProof/>
        </w:rPr>
        <w:t>Costurile totale estimate sunt de 2 254 980 EUR, incluzând cheltuieli pentru servicii personalizate de 2 168 980 EUR și cheltuieli pentru activitățile de pregătire, gestionare, informare și publicitate, control și raportare de 86 000 EUR.</w:t>
      </w:r>
    </w:p>
    <w:p w:rsidR="001A62D7" w:rsidRPr="00D02CE2" w:rsidRDefault="001A62D7" w:rsidP="009C50F6">
      <w:pPr>
        <w:pStyle w:val="ManualNumPar1"/>
        <w:rPr>
          <w:noProof/>
        </w:rPr>
      </w:pPr>
      <w:r>
        <w:rPr>
          <w:noProof/>
        </w:rPr>
        <w:t>30.</w:t>
      </w:r>
      <w:r>
        <w:rPr>
          <w:noProof/>
        </w:rPr>
        <w:tab/>
      </w:r>
      <w:bookmarkStart w:id="9" w:name="_Ref372550770"/>
      <w:r w:rsidRPr="00D02CE2">
        <w:rPr>
          <w:noProof/>
        </w:rPr>
        <w:t>Contribuția financiară totală solicitată din partea FEG este de 1 916 733 EUR (85 % din totalul costurilor).</w:t>
      </w:r>
      <w:bookmarkEnd w:id="9"/>
    </w:p>
    <w:p w:rsidR="00D25904" w:rsidRPr="00D02CE2" w:rsidRDefault="00D25904" w:rsidP="009C50F6">
      <w:pPr>
        <w:pStyle w:val="ManualNumPar1"/>
        <w:spacing w:after="600"/>
        <w:ind w:left="851" w:hanging="851"/>
        <w:rPr>
          <w:noProof/>
        </w:rPr>
      </w:pPr>
      <w:r>
        <w:rPr>
          <w:noProof/>
        </w:rPr>
        <w:t>31.</w:t>
      </w:r>
      <w:r>
        <w:rPr>
          <w:noProof/>
        </w:rPr>
        <w:tab/>
      </w:r>
      <w:r w:rsidRPr="00D02CE2">
        <w:rPr>
          <w:noProof/>
        </w:rPr>
        <w:t>În conformitate cu articolul 8 alineatul (7) litera (m) din Regulamentul (UE) 2021/691, Belgia a precizat că prefinanțarea și cofinanțarea națională sunt asigurate de VDAB.</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D02CE2" w:rsidTr="001D5990">
        <w:tc>
          <w:tcPr>
            <w:tcW w:w="4644" w:type="dxa"/>
            <w:shd w:val="clear" w:color="auto" w:fill="auto"/>
            <w:vAlign w:val="center"/>
          </w:tcPr>
          <w:p w:rsidR="001A62D7" w:rsidRPr="00D02CE2" w:rsidRDefault="001A62D7" w:rsidP="001D5990">
            <w:pPr>
              <w:spacing w:before="60" w:after="60"/>
              <w:jc w:val="center"/>
              <w:rPr>
                <w:rFonts w:eastAsia="Times New Roman"/>
                <w:noProof/>
                <w:sz w:val="22"/>
              </w:rPr>
            </w:pPr>
            <w:r w:rsidRPr="00D02CE2">
              <w:rPr>
                <w:noProof/>
                <w:sz w:val="22"/>
              </w:rPr>
              <w:lastRenderedPageBreak/>
              <w:t>Măsuri</w:t>
            </w:r>
          </w:p>
        </w:tc>
        <w:tc>
          <w:tcPr>
            <w:tcW w:w="1548" w:type="dxa"/>
            <w:shd w:val="clear" w:color="auto" w:fill="auto"/>
            <w:vAlign w:val="center"/>
          </w:tcPr>
          <w:p w:rsidR="001A62D7" w:rsidRPr="00D02CE2" w:rsidRDefault="001A62D7" w:rsidP="001D5990">
            <w:pPr>
              <w:spacing w:before="60" w:after="60"/>
              <w:jc w:val="center"/>
              <w:rPr>
                <w:rFonts w:eastAsia="Times New Roman"/>
                <w:noProof/>
                <w:sz w:val="22"/>
              </w:rPr>
            </w:pPr>
            <w:r w:rsidRPr="00D02CE2">
              <w:rPr>
                <w:noProof/>
                <w:sz w:val="22"/>
              </w:rPr>
              <w:t>Numărul de participanți estimat</w:t>
            </w:r>
          </w:p>
        </w:tc>
        <w:tc>
          <w:tcPr>
            <w:tcW w:w="1548" w:type="dxa"/>
            <w:shd w:val="clear" w:color="auto" w:fill="auto"/>
            <w:vAlign w:val="center"/>
          </w:tcPr>
          <w:p w:rsidR="001A62D7" w:rsidRPr="00D02CE2" w:rsidRDefault="001A62D7" w:rsidP="001D5990">
            <w:pPr>
              <w:spacing w:before="60" w:after="60"/>
              <w:jc w:val="center"/>
              <w:rPr>
                <w:rFonts w:eastAsia="Times New Roman"/>
                <w:noProof/>
                <w:sz w:val="22"/>
              </w:rPr>
            </w:pPr>
            <w:r w:rsidRPr="00D02CE2">
              <w:rPr>
                <w:noProof/>
                <w:sz w:val="22"/>
              </w:rPr>
              <w:t>Costul estimat per participant</w:t>
            </w:r>
            <w:r w:rsidRPr="00D02CE2">
              <w:rPr>
                <w:noProof/>
              </w:rPr>
              <w:t xml:space="preserve"> </w:t>
            </w:r>
            <w:r w:rsidRPr="00D02CE2">
              <w:rPr>
                <w:noProof/>
              </w:rPr>
              <w:br/>
            </w:r>
            <w:r w:rsidRPr="00D22A6D">
              <w:rPr>
                <w:i/>
                <w:noProof/>
                <w:sz w:val="22"/>
              </w:rPr>
              <w:t>(EUR)</w:t>
            </w:r>
            <w:r w:rsidRPr="00D22A6D">
              <w:rPr>
                <w:rStyle w:val="FootnoteReference"/>
                <w:rFonts w:eastAsia="Times New Roman"/>
                <w:i/>
                <w:noProof/>
                <w:sz w:val="22"/>
              </w:rPr>
              <w:footnoteReference w:id="18"/>
            </w:r>
          </w:p>
        </w:tc>
        <w:tc>
          <w:tcPr>
            <w:tcW w:w="1548" w:type="dxa"/>
            <w:shd w:val="clear" w:color="auto" w:fill="auto"/>
            <w:vAlign w:val="center"/>
          </w:tcPr>
          <w:p w:rsidR="001A62D7" w:rsidRPr="00D02CE2" w:rsidRDefault="001A62D7" w:rsidP="001D5990">
            <w:pPr>
              <w:spacing w:before="60" w:after="60"/>
              <w:jc w:val="center"/>
              <w:rPr>
                <w:rFonts w:eastAsia="Times New Roman"/>
                <w:noProof/>
                <w:sz w:val="22"/>
              </w:rPr>
            </w:pPr>
            <w:r w:rsidRPr="00D02CE2">
              <w:rPr>
                <w:noProof/>
                <w:sz w:val="22"/>
              </w:rPr>
              <w:t>Costuri totale estimate</w:t>
            </w:r>
          </w:p>
          <w:p w:rsidR="001A62D7" w:rsidRPr="00D02CE2" w:rsidRDefault="001A62D7" w:rsidP="001D5990">
            <w:pPr>
              <w:spacing w:before="60" w:after="60"/>
              <w:jc w:val="center"/>
              <w:rPr>
                <w:rFonts w:eastAsia="Times New Roman"/>
                <w:noProof/>
                <w:sz w:val="22"/>
              </w:rPr>
            </w:pPr>
            <w:r w:rsidRPr="00D22A6D">
              <w:rPr>
                <w:i/>
                <w:noProof/>
                <w:sz w:val="22"/>
              </w:rPr>
              <w:t>(EUR)</w:t>
            </w:r>
            <w:r w:rsidRPr="00D22A6D">
              <w:rPr>
                <w:rStyle w:val="FootnoteReference"/>
                <w:rFonts w:eastAsia="Times New Roman"/>
                <w:i/>
                <w:noProof/>
                <w:sz w:val="22"/>
              </w:rPr>
              <w:footnoteReference w:id="19"/>
            </w:r>
            <w:r w:rsidRPr="00D22A6D">
              <w:rPr>
                <w:i/>
                <w:noProof/>
                <w:sz w:val="22"/>
              </w:rPr>
              <w:t xml:space="preserve"> </w:t>
            </w:r>
          </w:p>
        </w:tc>
      </w:tr>
      <w:tr w:rsidR="001A62D7" w:rsidRPr="00D02CE2" w:rsidTr="001D5990">
        <w:tc>
          <w:tcPr>
            <w:tcW w:w="9288" w:type="dxa"/>
            <w:gridSpan w:val="4"/>
            <w:shd w:val="clear" w:color="auto" w:fill="auto"/>
          </w:tcPr>
          <w:p w:rsidR="001A62D7" w:rsidRPr="00D02CE2" w:rsidRDefault="001A62D7" w:rsidP="001D5990">
            <w:pPr>
              <w:spacing w:before="60" w:after="60"/>
              <w:jc w:val="left"/>
              <w:rPr>
                <w:rFonts w:eastAsia="Times New Roman"/>
                <w:noProof/>
                <w:sz w:val="22"/>
              </w:rPr>
            </w:pPr>
            <w:r w:rsidRPr="00D02CE2">
              <w:rPr>
                <w:noProof/>
              </w:rPr>
              <w:t>Servicii personalizate [măsuri în temeiul articolului 7 alineatul (2) al doilea paragraf litera (a) din Regulamentul (UE) 2021/691]</w:t>
            </w:r>
          </w:p>
        </w:tc>
      </w:tr>
      <w:tr w:rsidR="001A62D7" w:rsidRPr="00D02CE2"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02CE2" w:rsidRDefault="00D25904" w:rsidP="001D5990">
            <w:pPr>
              <w:spacing w:before="60" w:after="60"/>
              <w:jc w:val="left"/>
              <w:rPr>
                <w:noProof/>
              </w:rPr>
            </w:pPr>
            <w:r w:rsidRPr="00D02CE2">
              <w:rPr>
                <w:noProof/>
                <w:color w:val="000000"/>
              </w:rPr>
              <w:t>Grupul operativ</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02CE2" w:rsidRDefault="00D25904" w:rsidP="001D5990">
            <w:pPr>
              <w:spacing w:before="60" w:after="60"/>
              <w:jc w:val="center"/>
              <w:rPr>
                <w:noProof/>
              </w:rPr>
            </w:pPr>
            <w:r w:rsidRPr="00D02CE2">
              <w:rPr>
                <w:noProof/>
              </w:rPr>
              <w:t>416</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02CE2" w:rsidRDefault="00D25904" w:rsidP="001D5990">
            <w:pPr>
              <w:spacing w:before="60" w:after="60"/>
              <w:jc w:val="center"/>
              <w:rPr>
                <w:noProof/>
              </w:rPr>
            </w:pPr>
            <w:r w:rsidRPr="00D02CE2">
              <w:rPr>
                <w:noProof/>
              </w:rPr>
              <w:t>956</w:t>
            </w:r>
          </w:p>
        </w:tc>
        <w:tc>
          <w:tcPr>
            <w:tcW w:w="1548" w:type="dxa"/>
            <w:tcBorders>
              <w:top w:val="single" w:sz="4" w:space="0" w:color="auto"/>
              <w:left w:val="single" w:sz="4" w:space="0" w:color="auto"/>
              <w:bottom w:val="single" w:sz="4" w:space="0" w:color="auto"/>
              <w:right w:val="nil"/>
            </w:tcBorders>
            <w:vAlign w:val="center"/>
            <w:hideMark/>
          </w:tcPr>
          <w:p w:rsidR="001A62D7" w:rsidRPr="00D02CE2" w:rsidRDefault="00D25904" w:rsidP="001D5990">
            <w:pPr>
              <w:spacing w:before="60" w:after="60"/>
              <w:jc w:val="center"/>
              <w:rPr>
                <w:noProof/>
              </w:rPr>
            </w:pPr>
            <w:r w:rsidRPr="00D02CE2">
              <w:rPr>
                <w:noProof/>
              </w:rPr>
              <w:t>397 500</w:t>
            </w:r>
          </w:p>
        </w:tc>
      </w:tr>
      <w:tr w:rsidR="00737FB8" w:rsidRPr="00D02CE2"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D02CE2" w:rsidRDefault="00737FB8" w:rsidP="00737FB8">
            <w:pPr>
              <w:spacing w:before="60" w:after="60"/>
              <w:jc w:val="left"/>
              <w:rPr>
                <w:noProof/>
              </w:rPr>
            </w:pPr>
            <w:r w:rsidRPr="00D02CE2">
              <w:rPr>
                <w:noProof/>
                <w:color w:val="000000"/>
              </w:rPr>
              <w:t>Plasarea pe piața muncii a personalului disponibilizat</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D02CE2" w:rsidRDefault="00737FB8" w:rsidP="00737FB8">
            <w:pPr>
              <w:spacing w:before="60" w:after="60"/>
              <w:jc w:val="center"/>
              <w:rPr>
                <w:noProof/>
              </w:rPr>
            </w:pPr>
            <w:r w:rsidRPr="00D02CE2">
              <w:rPr>
                <w:noProof/>
              </w:rPr>
              <w:t>222</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D02CE2" w:rsidRDefault="00737FB8" w:rsidP="00737FB8">
            <w:pPr>
              <w:spacing w:before="60" w:after="60"/>
              <w:jc w:val="center"/>
              <w:rPr>
                <w:noProof/>
              </w:rPr>
            </w:pPr>
            <w:r w:rsidRPr="00D02CE2">
              <w:rPr>
                <w:noProof/>
              </w:rPr>
              <w:t>2 290</w:t>
            </w:r>
          </w:p>
        </w:tc>
        <w:tc>
          <w:tcPr>
            <w:tcW w:w="1548" w:type="dxa"/>
            <w:tcBorders>
              <w:top w:val="single" w:sz="4" w:space="0" w:color="auto"/>
              <w:left w:val="single" w:sz="4" w:space="0" w:color="auto"/>
              <w:bottom w:val="single" w:sz="4" w:space="0" w:color="auto"/>
              <w:right w:val="nil"/>
            </w:tcBorders>
            <w:vAlign w:val="center"/>
          </w:tcPr>
          <w:p w:rsidR="00737FB8" w:rsidRPr="00D02CE2" w:rsidRDefault="00737FB8" w:rsidP="00737FB8">
            <w:pPr>
              <w:spacing w:before="60" w:after="60"/>
              <w:jc w:val="center"/>
              <w:rPr>
                <w:noProof/>
              </w:rPr>
            </w:pPr>
            <w:r w:rsidRPr="00D02CE2">
              <w:rPr>
                <w:noProof/>
              </w:rPr>
              <w:t>508 300</w:t>
            </w:r>
          </w:p>
        </w:tc>
      </w:tr>
      <w:tr w:rsidR="00737FB8" w:rsidRPr="00D02CE2"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D02CE2" w:rsidRDefault="00737FB8" w:rsidP="00737FB8">
            <w:pPr>
              <w:spacing w:before="60" w:after="60"/>
              <w:jc w:val="left"/>
              <w:rPr>
                <w:noProof/>
              </w:rPr>
            </w:pPr>
            <w:r w:rsidRPr="00D02CE2">
              <w:rPr>
                <w:noProof/>
              </w:rPr>
              <w:t xml:space="preserve">Medierea activă </w:t>
            </w:r>
            <w:r w:rsidRPr="00D02CE2">
              <w:rPr>
                <w:noProof/>
              </w:rPr>
              <w:br/>
            </w:r>
            <w:r w:rsidRPr="00D22A6D">
              <w:rPr>
                <w:i/>
                <w:noProof/>
                <w:color w:val="000000"/>
              </w:rPr>
              <w:t>(Actieve bemiddeling)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D02CE2" w:rsidRDefault="00737FB8" w:rsidP="00737FB8">
            <w:pPr>
              <w:spacing w:before="60" w:after="60"/>
              <w:jc w:val="center"/>
              <w:rPr>
                <w:noProof/>
              </w:rPr>
            </w:pPr>
            <w:r w:rsidRPr="00D02CE2">
              <w:rPr>
                <w:noProof/>
              </w:rPr>
              <w:t>168</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D02CE2" w:rsidRDefault="00737FB8" w:rsidP="00737FB8">
            <w:pPr>
              <w:spacing w:before="60" w:after="60"/>
              <w:jc w:val="center"/>
              <w:rPr>
                <w:noProof/>
              </w:rPr>
            </w:pPr>
            <w:r w:rsidRPr="00D02CE2">
              <w:rPr>
                <w:noProof/>
              </w:rPr>
              <w:t>1 813</w:t>
            </w:r>
          </w:p>
        </w:tc>
        <w:tc>
          <w:tcPr>
            <w:tcW w:w="1548" w:type="dxa"/>
            <w:tcBorders>
              <w:top w:val="single" w:sz="4" w:space="0" w:color="auto"/>
              <w:left w:val="single" w:sz="4" w:space="0" w:color="auto"/>
              <w:bottom w:val="single" w:sz="4" w:space="0" w:color="auto"/>
              <w:right w:val="nil"/>
            </w:tcBorders>
            <w:vAlign w:val="center"/>
            <w:hideMark/>
          </w:tcPr>
          <w:p w:rsidR="00737FB8" w:rsidRPr="00D02CE2" w:rsidRDefault="00737FB8" w:rsidP="00737FB8">
            <w:pPr>
              <w:spacing w:before="60" w:after="60"/>
              <w:jc w:val="center"/>
              <w:rPr>
                <w:noProof/>
              </w:rPr>
            </w:pPr>
            <w:r w:rsidRPr="00D02CE2">
              <w:rPr>
                <w:noProof/>
              </w:rPr>
              <w:t>304 500</w:t>
            </w:r>
          </w:p>
        </w:tc>
      </w:tr>
      <w:tr w:rsidR="00737FB8" w:rsidRPr="00D02CE2"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D02CE2" w:rsidRDefault="00737FB8" w:rsidP="00737FB8">
            <w:pPr>
              <w:spacing w:before="60" w:after="60"/>
              <w:jc w:val="left"/>
              <w:rPr>
                <w:noProof/>
                <w:color w:val="000000"/>
              </w:rPr>
            </w:pPr>
            <w:r w:rsidRPr="00D02CE2">
              <w:rPr>
                <w:noProof/>
                <w:color w:val="000000"/>
              </w:rPr>
              <w:t>Orientări</w:t>
            </w:r>
          </w:p>
          <w:p w:rsidR="00737FB8" w:rsidRPr="00D02CE2" w:rsidRDefault="00737FB8" w:rsidP="00737FB8">
            <w:pPr>
              <w:spacing w:before="60" w:after="60"/>
              <w:jc w:val="left"/>
              <w:rPr>
                <w:noProof/>
                <w:color w:val="000000"/>
              </w:rPr>
            </w:pPr>
            <w:r w:rsidRPr="00D22A6D">
              <w:rPr>
                <w:i/>
                <w:noProof/>
                <w:color w:val="000000"/>
              </w:rPr>
              <w:t>(Begeleiding door partners)</w:t>
            </w:r>
            <w:r w:rsidR="00D22A6D">
              <w:rPr>
                <w:i/>
                <w:noProof/>
                <w:color w:val="000000"/>
              </w:rPr>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D02CE2" w:rsidRDefault="00737FB8" w:rsidP="00737FB8">
            <w:pPr>
              <w:spacing w:before="60" w:after="60"/>
              <w:jc w:val="center"/>
              <w:rPr>
                <w:noProof/>
              </w:rPr>
            </w:pPr>
            <w:r w:rsidRPr="00D02CE2">
              <w:rPr>
                <w:noProof/>
              </w:rPr>
              <w:t>50</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D02CE2" w:rsidRDefault="00737FB8" w:rsidP="00737FB8">
            <w:pPr>
              <w:spacing w:before="60" w:after="60"/>
              <w:jc w:val="center"/>
              <w:rPr>
                <w:noProof/>
              </w:rPr>
            </w:pPr>
            <w:r w:rsidRPr="00D02CE2">
              <w:rPr>
                <w:noProof/>
              </w:rPr>
              <w:t>4 500</w:t>
            </w:r>
          </w:p>
        </w:tc>
        <w:tc>
          <w:tcPr>
            <w:tcW w:w="1548" w:type="dxa"/>
            <w:tcBorders>
              <w:top w:val="single" w:sz="4" w:space="0" w:color="auto"/>
              <w:left w:val="single" w:sz="4" w:space="0" w:color="auto"/>
              <w:bottom w:val="single" w:sz="4" w:space="0" w:color="auto"/>
              <w:right w:val="nil"/>
            </w:tcBorders>
            <w:vAlign w:val="center"/>
          </w:tcPr>
          <w:p w:rsidR="00737FB8" w:rsidRPr="00D02CE2" w:rsidRDefault="00737FB8" w:rsidP="00737FB8">
            <w:pPr>
              <w:spacing w:before="60" w:after="60"/>
              <w:jc w:val="center"/>
              <w:rPr>
                <w:noProof/>
              </w:rPr>
            </w:pPr>
            <w:r w:rsidRPr="00D02CE2">
              <w:rPr>
                <w:noProof/>
              </w:rPr>
              <w:t>225 000</w:t>
            </w:r>
          </w:p>
        </w:tc>
      </w:tr>
      <w:tr w:rsidR="00737FB8" w:rsidRPr="00D02CE2"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D02CE2" w:rsidRDefault="00737FB8" w:rsidP="00737FB8">
            <w:pPr>
              <w:spacing w:before="60" w:after="60"/>
              <w:jc w:val="left"/>
              <w:rPr>
                <w:noProof/>
              </w:rPr>
            </w:pPr>
            <w:r w:rsidRPr="00D02CE2">
              <w:rPr>
                <w:noProof/>
              </w:rPr>
              <w:t xml:space="preserve">Formare și recalificare </w:t>
            </w:r>
          </w:p>
          <w:p w:rsidR="00737FB8" w:rsidRPr="00D22A6D" w:rsidRDefault="00737FB8" w:rsidP="00737FB8">
            <w:pPr>
              <w:spacing w:before="60" w:after="60"/>
              <w:jc w:val="left"/>
              <w:rPr>
                <w:i/>
                <w:iCs/>
                <w:noProof/>
              </w:rPr>
            </w:pPr>
            <w:r w:rsidRPr="00D02CE2">
              <w:rPr>
                <w:noProof/>
              </w:rPr>
              <w:t>(</w:t>
            </w:r>
            <w:r w:rsidRPr="00D22A6D">
              <w:rPr>
                <w:i/>
                <w:noProof/>
              </w:rPr>
              <w:t xml:space="preserve">Opleiding eigen beheer, opleiding SIF, opleiding bij partners)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D02CE2" w:rsidRDefault="009D1AB4" w:rsidP="00737FB8">
            <w:pPr>
              <w:spacing w:before="60" w:after="60"/>
              <w:jc w:val="center"/>
              <w:rPr>
                <w:noProof/>
              </w:rPr>
            </w:pPr>
            <w:r w:rsidRPr="00D02CE2">
              <w:rPr>
                <w:noProof/>
              </w:rPr>
              <w:t>89</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D02CE2" w:rsidRDefault="009D1AB4" w:rsidP="00737FB8">
            <w:pPr>
              <w:spacing w:before="60" w:after="60"/>
              <w:jc w:val="center"/>
              <w:rPr>
                <w:noProof/>
              </w:rPr>
            </w:pPr>
            <w:r w:rsidRPr="00D02CE2">
              <w:rPr>
                <w:noProof/>
              </w:rPr>
              <w:t>8 118</w:t>
            </w:r>
          </w:p>
        </w:tc>
        <w:tc>
          <w:tcPr>
            <w:tcW w:w="1548" w:type="dxa"/>
            <w:tcBorders>
              <w:top w:val="single" w:sz="4" w:space="0" w:color="auto"/>
              <w:left w:val="single" w:sz="4" w:space="0" w:color="auto"/>
              <w:bottom w:val="single" w:sz="4" w:space="0" w:color="auto"/>
              <w:right w:val="nil"/>
            </w:tcBorders>
            <w:vAlign w:val="center"/>
            <w:hideMark/>
          </w:tcPr>
          <w:p w:rsidR="00737FB8" w:rsidRPr="00D02CE2" w:rsidRDefault="00737FB8" w:rsidP="00737FB8">
            <w:pPr>
              <w:spacing w:before="60" w:after="60"/>
              <w:jc w:val="center"/>
              <w:rPr>
                <w:noProof/>
              </w:rPr>
            </w:pPr>
            <w:r w:rsidRPr="00D02CE2">
              <w:rPr>
                <w:noProof/>
              </w:rPr>
              <w:t>722 500</w:t>
            </w:r>
          </w:p>
        </w:tc>
      </w:tr>
      <w:tr w:rsidR="00737FB8" w:rsidRPr="00D02CE2" w:rsidTr="000F13D9">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D02CE2" w:rsidRDefault="00737FB8" w:rsidP="00737FB8">
            <w:pPr>
              <w:spacing w:before="60" w:after="60"/>
              <w:jc w:val="left"/>
              <w:rPr>
                <w:noProof/>
              </w:rPr>
            </w:pPr>
            <w:r w:rsidRPr="00D02CE2">
              <w:rPr>
                <w:noProof/>
                <w:color w:val="000000"/>
              </w:rPr>
              <w:t>Formare la locul de muncă</w:t>
            </w:r>
            <w:r w:rsidRPr="00D02CE2">
              <w:rPr>
                <w:noProof/>
              </w:rPr>
              <w:br/>
            </w:r>
            <w:r w:rsidRPr="00D22A6D">
              <w:rPr>
                <w:i/>
                <w:noProof/>
                <w:color w:val="000000"/>
              </w:rPr>
              <w:t>[Opleidingen in onderneming (IBO)]</w:t>
            </w:r>
            <w:r w:rsidR="00D22A6D">
              <w:rPr>
                <w:noProof/>
                <w:color w:val="000000"/>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D02CE2" w:rsidRDefault="00737FB8" w:rsidP="00737FB8">
            <w:pPr>
              <w:spacing w:before="60" w:after="60"/>
              <w:jc w:val="center"/>
              <w:rPr>
                <w:noProof/>
              </w:rPr>
            </w:pPr>
            <w:r w:rsidRPr="00D02CE2">
              <w:rPr>
                <w:noProof/>
              </w:rPr>
              <w:t>8</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D02CE2" w:rsidRDefault="00737FB8" w:rsidP="00737FB8">
            <w:pPr>
              <w:spacing w:before="60" w:after="60"/>
              <w:jc w:val="center"/>
              <w:rPr>
                <w:noProof/>
              </w:rPr>
            </w:pPr>
            <w:r w:rsidRPr="00D02CE2">
              <w:rPr>
                <w:noProof/>
              </w:rPr>
              <w:t>960</w:t>
            </w:r>
          </w:p>
        </w:tc>
        <w:tc>
          <w:tcPr>
            <w:tcW w:w="1548" w:type="dxa"/>
            <w:tcBorders>
              <w:top w:val="single" w:sz="4" w:space="0" w:color="auto"/>
              <w:left w:val="single" w:sz="4" w:space="0" w:color="auto"/>
              <w:bottom w:val="single" w:sz="4" w:space="0" w:color="auto"/>
              <w:right w:val="nil"/>
            </w:tcBorders>
            <w:vAlign w:val="center"/>
            <w:hideMark/>
          </w:tcPr>
          <w:p w:rsidR="00737FB8" w:rsidRPr="00D02CE2" w:rsidRDefault="00737FB8" w:rsidP="00737FB8">
            <w:pPr>
              <w:spacing w:before="60" w:after="60"/>
              <w:jc w:val="center"/>
              <w:rPr>
                <w:noProof/>
              </w:rPr>
            </w:pPr>
            <w:r w:rsidRPr="00D02CE2">
              <w:rPr>
                <w:noProof/>
              </w:rPr>
              <w:t>7 680</w:t>
            </w:r>
          </w:p>
        </w:tc>
      </w:tr>
      <w:tr w:rsidR="00737FB8" w:rsidRPr="00D02CE2"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D02CE2" w:rsidRDefault="00737FB8" w:rsidP="00737FB8">
            <w:pPr>
              <w:spacing w:before="60" w:after="60"/>
              <w:jc w:val="left"/>
              <w:rPr>
                <w:noProof/>
                <w:color w:val="000000"/>
              </w:rPr>
            </w:pPr>
            <w:r w:rsidRPr="00D02CE2">
              <w:rPr>
                <w:noProof/>
                <w:color w:val="000000"/>
              </w:rPr>
              <w:t>Târgul de locuri de muncă</w:t>
            </w:r>
          </w:p>
          <w:p w:rsidR="00737FB8" w:rsidRPr="00D22A6D" w:rsidRDefault="00737FB8" w:rsidP="00737FB8">
            <w:pPr>
              <w:spacing w:before="60" w:after="60"/>
              <w:jc w:val="left"/>
              <w:rPr>
                <w:i/>
                <w:iCs/>
                <w:noProof/>
                <w:color w:val="000000"/>
              </w:rPr>
            </w:pPr>
            <w:r w:rsidRPr="00D22A6D">
              <w:rPr>
                <w:i/>
                <w:noProof/>
                <w:color w:val="000000"/>
              </w:rPr>
              <w:t>(Jobbeurs)</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D02CE2" w:rsidRDefault="00737FB8" w:rsidP="00737FB8">
            <w:pPr>
              <w:spacing w:before="60" w:after="60"/>
              <w:jc w:val="center"/>
              <w:rPr>
                <w:noProof/>
              </w:rPr>
            </w:pPr>
            <w:r w:rsidRPr="00D02CE2">
              <w:rPr>
                <w:noProof/>
              </w:rPr>
              <w:t>96</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D02CE2" w:rsidRDefault="00737FB8" w:rsidP="00737FB8">
            <w:pPr>
              <w:spacing w:before="60" w:after="60"/>
              <w:jc w:val="center"/>
              <w:rPr>
                <w:noProof/>
              </w:rPr>
            </w:pPr>
            <w:r w:rsidRPr="00D02CE2">
              <w:rPr>
                <w:noProof/>
              </w:rPr>
              <w:t>36</w:t>
            </w:r>
          </w:p>
        </w:tc>
        <w:tc>
          <w:tcPr>
            <w:tcW w:w="1548" w:type="dxa"/>
            <w:tcBorders>
              <w:top w:val="single" w:sz="4" w:space="0" w:color="auto"/>
              <w:left w:val="single" w:sz="4" w:space="0" w:color="auto"/>
              <w:bottom w:val="single" w:sz="4" w:space="0" w:color="auto"/>
              <w:right w:val="nil"/>
            </w:tcBorders>
            <w:vAlign w:val="center"/>
          </w:tcPr>
          <w:p w:rsidR="00737FB8" w:rsidRPr="00D02CE2" w:rsidRDefault="00737FB8" w:rsidP="00737FB8">
            <w:pPr>
              <w:spacing w:before="60" w:after="60"/>
              <w:jc w:val="center"/>
              <w:rPr>
                <w:noProof/>
              </w:rPr>
            </w:pPr>
            <w:r w:rsidRPr="00D02CE2">
              <w:rPr>
                <w:noProof/>
              </w:rPr>
              <w:t>3 500</w:t>
            </w:r>
          </w:p>
        </w:tc>
      </w:tr>
      <w:tr w:rsidR="00737FB8" w:rsidRPr="00D02CE2" w:rsidTr="001D5990">
        <w:trPr>
          <w:trHeight w:val="398"/>
        </w:trPr>
        <w:tc>
          <w:tcPr>
            <w:tcW w:w="4644" w:type="dxa"/>
            <w:vMerge w:val="restart"/>
            <w:shd w:val="clear" w:color="auto" w:fill="auto"/>
            <w:vAlign w:val="center"/>
          </w:tcPr>
          <w:p w:rsidR="00737FB8" w:rsidRPr="00D02CE2" w:rsidRDefault="00737FB8" w:rsidP="00737FB8">
            <w:pPr>
              <w:spacing w:before="60" w:after="60"/>
              <w:jc w:val="right"/>
              <w:rPr>
                <w:rFonts w:eastAsia="Times New Roman"/>
                <w:noProof/>
                <w:sz w:val="22"/>
              </w:rPr>
            </w:pPr>
            <w:r w:rsidRPr="00D02CE2">
              <w:rPr>
                <w:noProof/>
                <w:sz w:val="22"/>
              </w:rPr>
              <w:t>Subtotal (a):</w:t>
            </w:r>
          </w:p>
          <w:p w:rsidR="00737FB8" w:rsidRPr="00D02CE2" w:rsidRDefault="00737FB8" w:rsidP="00737FB8">
            <w:pPr>
              <w:spacing w:before="60" w:after="60"/>
              <w:jc w:val="right"/>
              <w:rPr>
                <w:rFonts w:eastAsia="Times New Roman"/>
                <w:noProof/>
                <w:sz w:val="22"/>
              </w:rPr>
            </w:pPr>
            <w:r w:rsidRPr="00D02CE2">
              <w:rPr>
                <w:noProof/>
                <w:sz w:val="22"/>
              </w:rPr>
              <w:t xml:space="preserve">Procentaj din pachetul de servicii personalizate </w:t>
            </w:r>
          </w:p>
        </w:tc>
        <w:tc>
          <w:tcPr>
            <w:tcW w:w="3096" w:type="dxa"/>
            <w:gridSpan w:val="2"/>
            <w:vMerge w:val="restart"/>
            <w:shd w:val="clear" w:color="auto" w:fill="D9D9D9"/>
            <w:vAlign w:val="center"/>
          </w:tcPr>
          <w:p w:rsidR="00737FB8" w:rsidRPr="00D02CE2" w:rsidRDefault="00737FB8" w:rsidP="00737FB8">
            <w:pPr>
              <w:spacing w:before="60" w:after="60"/>
              <w:jc w:val="center"/>
              <w:rPr>
                <w:rFonts w:eastAsia="Times New Roman"/>
                <w:noProof/>
                <w:sz w:val="22"/>
              </w:rPr>
            </w:pPr>
            <w:r w:rsidRPr="00D02CE2">
              <w:rPr>
                <w:noProof/>
                <w:sz w:val="22"/>
              </w:rPr>
              <w:t>–</w:t>
            </w:r>
          </w:p>
        </w:tc>
        <w:tc>
          <w:tcPr>
            <w:tcW w:w="1548" w:type="dxa"/>
            <w:tcBorders>
              <w:bottom w:val="nil"/>
            </w:tcBorders>
            <w:shd w:val="clear" w:color="auto" w:fill="auto"/>
            <w:vAlign w:val="center"/>
          </w:tcPr>
          <w:p w:rsidR="00737FB8" w:rsidRPr="00D02CE2" w:rsidRDefault="00737FB8" w:rsidP="00737FB8">
            <w:pPr>
              <w:spacing w:before="60" w:after="60"/>
              <w:jc w:val="center"/>
              <w:rPr>
                <w:rFonts w:eastAsia="Times New Roman"/>
                <w:noProof/>
                <w:sz w:val="22"/>
              </w:rPr>
            </w:pPr>
            <w:r w:rsidRPr="00D02CE2">
              <w:rPr>
                <w:noProof/>
              </w:rPr>
              <w:t>2 168 980</w:t>
            </w:r>
          </w:p>
        </w:tc>
      </w:tr>
      <w:tr w:rsidR="00737FB8" w:rsidRPr="00D02CE2" w:rsidTr="002F254E">
        <w:trPr>
          <w:trHeight w:val="780"/>
        </w:trPr>
        <w:tc>
          <w:tcPr>
            <w:tcW w:w="4644" w:type="dxa"/>
            <w:vMerge/>
            <w:shd w:val="clear" w:color="auto" w:fill="auto"/>
            <w:vAlign w:val="center"/>
          </w:tcPr>
          <w:p w:rsidR="00737FB8" w:rsidRPr="00D02CE2" w:rsidRDefault="00737FB8" w:rsidP="00737FB8">
            <w:pPr>
              <w:spacing w:before="60" w:after="60"/>
              <w:jc w:val="right"/>
              <w:rPr>
                <w:rFonts w:eastAsia="Times New Roman"/>
                <w:noProof/>
                <w:sz w:val="22"/>
              </w:rPr>
            </w:pPr>
          </w:p>
        </w:tc>
        <w:tc>
          <w:tcPr>
            <w:tcW w:w="3096" w:type="dxa"/>
            <w:gridSpan w:val="2"/>
            <w:vMerge/>
            <w:shd w:val="clear" w:color="auto" w:fill="D9D9D9"/>
            <w:vAlign w:val="center"/>
          </w:tcPr>
          <w:p w:rsidR="00737FB8" w:rsidRPr="00D02CE2" w:rsidRDefault="00737FB8" w:rsidP="00737FB8">
            <w:pPr>
              <w:spacing w:before="60" w:after="60"/>
              <w:jc w:val="center"/>
              <w:rPr>
                <w:rFonts w:eastAsia="Times New Roman"/>
                <w:noProof/>
                <w:sz w:val="22"/>
              </w:rPr>
            </w:pPr>
          </w:p>
        </w:tc>
        <w:tc>
          <w:tcPr>
            <w:tcW w:w="1548" w:type="dxa"/>
            <w:tcBorders>
              <w:top w:val="nil"/>
            </w:tcBorders>
            <w:shd w:val="clear" w:color="auto" w:fill="auto"/>
            <w:vAlign w:val="center"/>
          </w:tcPr>
          <w:p w:rsidR="00737FB8" w:rsidRPr="00D02CE2" w:rsidRDefault="00737FB8" w:rsidP="00737FB8">
            <w:pPr>
              <w:spacing w:before="60" w:after="60"/>
              <w:jc w:val="center"/>
              <w:rPr>
                <w:rFonts w:eastAsia="Times New Roman"/>
                <w:noProof/>
                <w:sz w:val="22"/>
              </w:rPr>
            </w:pPr>
            <w:r w:rsidRPr="00D02CE2">
              <w:rPr>
                <w:noProof/>
                <w:sz w:val="22"/>
              </w:rPr>
              <w:t>(</w:t>
            </w:r>
            <w:r w:rsidRPr="00D02CE2">
              <w:rPr>
                <w:noProof/>
              </w:rPr>
              <w:t xml:space="preserve">96,19 </w:t>
            </w:r>
            <w:r w:rsidRPr="00D02CE2">
              <w:rPr>
                <w:noProof/>
                <w:sz w:val="22"/>
              </w:rPr>
              <w:t>%)</w:t>
            </w:r>
          </w:p>
        </w:tc>
      </w:tr>
      <w:tr w:rsidR="00737FB8" w:rsidRPr="00D02CE2" w:rsidTr="001D5990">
        <w:tc>
          <w:tcPr>
            <w:tcW w:w="9288" w:type="dxa"/>
            <w:gridSpan w:val="4"/>
            <w:shd w:val="clear" w:color="auto" w:fill="auto"/>
            <w:vAlign w:val="center"/>
          </w:tcPr>
          <w:p w:rsidR="00737FB8" w:rsidRPr="00D02CE2" w:rsidRDefault="00737FB8" w:rsidP="00737FB8">
            <w:pPr>
              <w:spacing w:before="60" w:after="60"/>
              <w:jc w:val="left"/>
              <w:rPr>
                <w:rFonts w:eastAsia="Times New Roman"/>
                <w:noProof/>
                <w:sz w:val="22"/>
              </w:rPr>
            </w:pPr>
            <w:r w:rsidRPr="00D02CE2">
              <w:rPr>
                <w:noProof/>
                <w:sz w:val="22"/>
              </w:rPr>
              <w:t>Activități în temeiul articolului 7 alineatul (5) din Regulamentul (UE) 2021/691</w:t>
            </w:r>
          </w:p>
        </w:tc>
      </w:tr>
      <w:tr w:rsidR="00737FB8" w:rsidRPr="00D02CE2" w:rsidTr="001D5990">
        <w:tc>
          <w:tcPr>
            <w:tcW w:w="4644" w:type="dxa"/>
            <w:shd w:val="clear" w:color="auto" w:fill="auto"/>
          </w:tcPr>
          <w:p w:rsidR="00737FB8" w:rsidRPr="00D02CE2" w:rsidRDefault="00737FB8" w:rsidP="00737FB8">
            <w:pPr>
              <w:spacing w:before="60" w:after="60"/>
              <w:ind w:left="284"/>
              <w:jc w:val="left"/>
              <w:rPr>
                <w:rFonts w:eastAsia="Times New Roman"/>
                <w:noProof/>
                <w:sz w:val="22"/>
              </w:rPr>
            </w:pPr>
            <w:r w:rsidRPr="00D02CE2">
              <w:rPr>
                <w:noProof/>
                <w:sz w:val="22"/>
              </w:rPr>
              <w:t>1. Activități de pregătire</w:t>
            </w:r>
          </w:p>
        </w:tc>
        <w:tc>
          <w:tcPr>
            <w:tcW w:w="3096" w:type="dxa"/>
            <w:gridSpan w:val="2"/>
            <w:shd w:val="clear" w:color="auto" w:fill="D9D9D9"/>
            <w:vAlign w:val="center"/>
          </w:tcPr>
          <w:p w:rsidR="00737FB8" w:rsidRPr="00D02CE2" w:rsidRDefault="00737FB8" w:rsidP="00737FB8">
            <w:pPr>
              <w:spacing w:before="60" w:after="60"/>
              <w:jc w:val="center"/>
              <w:rPr>
                <w:rFonts w:eastAsia="Times New Roman"/>
                <w:noProof/>
                <w:sz w:val="22"/>
              </w:rPr>
            </w:pPr>
            <w:r w:rsidRPr="00D02CE2">
              <w:rPr>
                <w:noProof/>
                <w:sz w:val="22"/>
              </w:rPr>
              <w:t>–</w:t>
            </w:r>
          </w:p>
        </w:tc>
        <w:tc>
          <w:tcPr>
            <w:tcW w:w="1548" w:type="dxa"/>
            <w:shd w:val="clear" w:color="auto" w:fill="auto"/>
          </w:tcPr>
          <w:p w:rsidR="00737FB8" w:rsidRPr="00D02CE2" w:rsidRDefault="00737FB8" w:rsidP="00737FB8">
            <w:pPr>
              <w:spacing w:before="60" w:after="60"/>
              <w:jc w:val="center"/>
              <w:rPr>
                <w:rFonts w:eastAsia="Times New Roman"/>
                <w:noProof/>
                <w:sz w:val="22"/>
              </w:rPr>
            </w:pPr>
            <w:r w:rsidRPr="00D02CE2">
              <w:rPr>
                <w:noProof/>
              </w:rPr>
              <w:t>2 500</w:t>
            </w:r>
          </w:p>
        </w:tc>
      </w:tr>
      <w:tr w:rsidR="00737FB8" w:rsidRPr="00D02CE2" w:rsidTr="001D5990">
        <w:tc>
          <w:tcPr>
            <w:tcW w:w="4644" w:type="dxa"/>
            <w:shd w:val="clear" w:color="auto" w:fill="auto"/>
          </w:tcPr>
          <w:p w:rsidR="00737FB8" w:rsidRPr="00D02CE2" w:rsidRDefault="00737FB8" w:rsidP="00737FB8">
            <w:pPr>
              <w:spacing w:before="60" w:after="60"/>
              <w:ind w:left="284"/>
              <w:jc w:val="left"/>
              <w:rPr>
                <w:rFonts w:eastAsia="Times New Roman"/>
                <w:noProof/>
                <w:sz w:val="22"/>
              </w:rPr>
            </w:pPr>
            <w:r w:rsidRPr="00D02CE2">
              <w:rPr>
                <w:noProof/>
                <w:sz w:val="22"/>
              </w:rPr>
              <w:t>2. Gestionare</w:t>
            </w:r>
          </w:p>
        </w:tc>
        <w:tc>
          <w:tcPr>
            <w:tcW w:w="3096" w:type="dxa"/>
            <w:gridSpan w:val="2"/>
            <w:shd w:val="clear" w:color="auto" w:fill="D9D9D9"/>
            <w:vAlign w:val="center"/>
          </w:tcPr>
          <w:p w:rsidR="00737FB8" w:rsidRPr="00D02CE2" w:rsidRDefault="00737FB8" w:rsidP="00737FB8">
            <w:pPr>
              <w:spacing w:before="60" w:after="60"/>
              <w:jc w:val="center"/>
              <w:rPr>
                <w:rFonts w:eastAsia="Times New Roman"/>
                <w:noProof/>
                <w:sz w:val="22"/>
              </w:rPr>
            </w:pPr>
            <w:r w:rsidRPr="00D02CE2">
              <w:rPr>
                <w:noProof/>
                <w:sz w:val="22"/>
              </w:rPr>
              <w:t>–</w:t>
            </w:r>
          </w:p>
        </w:tc>
        <w:tc>
          <w:tcPr>
            <w:tcW w:w="1548" w:type="dxa"/>
            <w:shd w:val="clear" w:color="auto" w:fill="auto"/>
          </w:tcPr>
          <w:p w:rsidR="00737FB8" w:rsidRPr="00D02CE2" w:rsidRDefault="00737FB8" w:rsidP="00737FB8">
            <w:pPr>
              <w:spacing w:before="60" w:after="60"/>
              <w:jc w:val="center"/>
              <w:rPr>
                <w:rFonts w:eastAsia="Times New Roman"/>
                <w:noProof/>
                <w:sz w:val="22"/>
              </w:rPr>
            </w:pPr>
            <w:r w:rsidRPr="00D02CE2">
              <w:rPr>
                <w:noProof/>
              </w:rPr>
              <w:t>35 000</w:t>
            </w:r>
          </w:p>
        </w:tc>
      </w:tr>
      <w:tr w:rsidR="00737FB8" w:rsidRPr="00D02CE2" w:rsidTr="001D5990">
        <w:tc>
          <w:tcPr>
            <w:tcW w:w="4644" w:type="dxa"/>
            <w:shd w:val="clear" w:color="auto" w:fill="auto"/>
          </w:tcPr>
          <w:p w:rsidR="00737FB8" w:rsidRPr="00D02CE2" w:rsidRDefault="00737FB8" w:rsidP="00737FB8">
            <w:pPr>
              <w:spacing w:before="60" w:after="60"/>
              <w:ind w:left="284"/>
              <w:jc w:val="left"/>
              <w:rPr>
                <w:rFonts w:eastAsia="Times New Roman"/>
                <w:noProof/>
                <w:sz w:val="22"/>
              </w:rPr>
            </w:pPr>
            <w:r w:rsidRPr="00D02CE2">
              <w:rPr>
                <w:noProof/>
                <w:sz w:val="22"/>
              </w:rPr>
              <w:t>3. Informare și publicitate</w:t>
            </w:r>
          </w:p>
        </w:tc>
        <w:tc>
          <w:tcPr>
            <w:tcW w:w="3096" w:type="dxa"/>
            <w:gridSpan w:val="2"/>
            <w:shd w:val="clear" w:color="auto" w:fill="D9D9D9"/>
            <w:vAlign w:val="center"/>
          </w:tcPr>
          <w:p w:rsidR="00737FB8" w:rsidRPr="00D02CE2" w:rsidRDefault="00737FB8" w:rsidP="00737FB8">
            <w:pPr>
              <w:spacing w:before="60" w:after="60"/>
              <w:jc w:val="center"/>
              <w:rPr>
                <w:rFonts w:eastAsia="Times New Roman"/>
                <w:noProof/>
                <w:sz w:val="22"/>
              </w:rPr>
            </w:pPr>
            <w:r w:rsidRPr="00D02CE2">
              <w:rPr>
                <w:noProof/>
                <w:sz w:val="22"/>
              </w:rPr>
              <w:t>–</w:t>
            </w:r>
          </w:p>
        </w:tc>
        <w:tc>
          <w:tcPr>
            <w:tcW w:w="1548" w:type="dxa"/>
            <w:shd w:val="clear" w:color="auto" w:fill="auto"/>
          </w:tcPr>
          <w:p w:rsidR="00737FB8" w:rsidRPr="00D02CE2" w:rsidRDefault="00737FB8" w:rsidP="00737FB8">
            <w:pPr>
              <w:spacing w:before="60" w:after="60"/>
              <w:jc w:val="center"/>
              <w:rPr>
                <w:rFonts w:eastAsia="Times New Roman"/>
                <w:noProof/>
                <w:sz w:val="22"/>
              </w:rPr>
            </w:pPr>
            <w:r w:rsidRPr="00D02CE2">
              <w:rPr>
                <w:noProof/>
              </w:rPr>
              <w:t>3 500</w:t>
            </w:r>
          </w:p>
        </w:tc>
      </w:tr>
      <w:tr w:rsidR="00737FB8" w:rsidRPr="00D02CE2" w:rsidTr="001D5990">
        <w:tc>
          <w:tcPr>
            <w:tcW w:w="4644" w:type="dxa"/>
            <w:shd w:val="clear" w:color="auto" w:fill="auto"/>
          </w:tcPr>
          <w:p w:rsidR="00737FB8" w:rsidRPr="00D02CE2" w:rsidRDefault="00737FB8" w:rsidP="00737FB8">
            <w:pPr>
              <w:spacing w:before="60" w:after="60"/>
              <w:ind w:left="284"/>
              <w:jc w:val="left"/>
              <w:rPr>
                <w:rFonts w:eastAsia="Times New Roman"/>
                <w:noProof/>
                <w:sz w:val="22"/>
              </w:rPr>
            </w:pPr>
            <w:r w:rsidRPr="00D02CE2">
              <w:rPr>
                <w:noProof/>
                <w:sz w:val="22"/>
              </w:rPr>
              <w:t>4. Control și raportare</w:t>
            </w:r>
          </w:p>
        </w:tc>
        <w:tc>
          <w:tcPr>
            <w:tcW w:w="3096" w:type="dxa"/>
            <w:gridSpan w:val="2"/>
            <w:shd w:val="clear" w:color="auto" w:fill="D9D9D9"/>
            <w:vAlign w:val="center"/>
          </w:tcPr>
          <w:p w:rsidR="00737FB8" w:rsidRPr="00D02CE2" w:rsidRDefault="00737FB8" w:rsidP="00737FB8">
            <w:pPr>
              <w:spacing w:before="60" w:after="60"/>
              <w:jc w:val="center"/>
              <w:rPr>
                <w:rFonts w:eastAsia="Times New Roman"/>
                <w:noProof/>
                <w:sz w:val="22"/>
              </w:rPr>
            </w:pPr>
            <w:r w:rsidRPr="00D02CE2">
              <w:rPr>
                <w:noProof/>
                <w:sz w:val="22"/>
              </w:rPr>
              <w:t>–</w:t>
            </w:r>
          </w:p>
        </w:tc>
        <w:tc>
          <w:tcPr>
            <w:tcW w:w="1548" w:type="dxa"/>
            <w:tcBorders>
              <w:bottom w:val="single" w:sz="4" w:space="0" w:color="auto"/>
            </w:tcBorders>
            <w:shd w:val="clear" w:color="auto" w:fill="auto"/>
          </w:tcPr>
          <w:p w:rsidR="00737FB8" w:rsidRPr="00D02CE2" w:rsidRDefault="00737FB8" w:rsidP="00737FB8">
            <w:pPr>
              <w:spacing w:before="60" w:after="60"/>
              <w:jc w:val="center"/>
              <w:rPr>
                <w:rFonts w:eastAsia="Times New Roman"/>
                <w:noProof/>
                <w:sz w:val="22"/>
              </w:rPr>
            </w:pPr>
            <w:r w:rsidRPr="00D02CE2">
              <w:rPr>
                <w:noProof/>
              </w:rPr>
              <w:t>45 000</w:t>
            </w:r>
          </w:p>
        </w:tc>
      </w:tr>
      <w:tr w:rsidR="00737FB8" w:rsidRPr="00D02CE2" w:rsidTr="001D5990">
        <w:trPr>
          <w:trHeight w:val="203"/>
        </w:trPr>
        <w:tc>
          <w:tcPr>
            <w:tcW w:w="4644" w:type="dxa"/>
            <w:vMerge w:val="restart"/>
            <w:shd w:val="clear" w:color="auto" w:fill="auto"/>
            <w:vAlign w:val="center"/>
          </w:tcPr>
          <w:p w:rsidR="00737FB8" w:rsidRPr="00D02CE2" w:rsidRDefault="00737FB8" w:rsidP="00737FB8">
            <w:pPr>
              <w:spacing w:before="60" w:after="60"/>
              <w:jc w:val="right"/>
              <w:rPr>
                <w:rFonts w:eastAsia="Times New Roman"/>
                <w:noProof/>
                <w:sz w:val="22"/>
              </w:rPr>
            </w:pPr>
            <w:r w:rsidRPr="00D02CE2">
              <w:rPr>
                <w:noProof/>
                <w:sz w:val="22"/>
              </w:rPr>
              <w:t>Subtotal (b):</w:t>
            </w:r>
          </w:p>
          <w:p w:rsidR="00737FB8" w:rsidRPr="00D02CE2" w:rsidRDefault="00737FB8" w:rsidP="00737FB8">
            <w:pPr>
              <w:spacing w:before="60" w:after="60"/>
              <w:jc w:val="right"/>
              <w:rPr>
                <w:rFonts w:eastAsia="Times New Roman"/>
                <w:noProof/>
                <w:sz w:val="22"/>
              </w:rPr>
            </w:pPr>
            <w:r w:rsidRPr="00D02CE2">
              <w:rPr>
                <w:noProof/>
                <w:sz w:val="22"/>
              </w:rPr>
              <w:t>Procentaj din costurile totale:</w:t>
            </w:r>
          </w:p>
        </w:tc>
        <w:tc>
          <w:tcPr>
            <w:tcW w:w="3096" w:type="dxa"/>
            <w:gridSpan w:val="2"/>
            <w:vMerge w:val="restart"/>
            <w:shd w:val="clear" w:color="auto" w:fill="D9D9D9"/>
            <w:vAlign w:val="center"/>
          </w:tcPr>
          <w:p w:rsidR="00737FB8" w:rsidRPr="00D02CE2" w:rsidRDefault="00737FB8" w:rsidP="00737FB8">
            <w:pPr>
              <w:spacing w:before="0" w:after="0"/>
              <w:jc w:val="center"/>
              <w:rPr>
                <w:rFonts w:eastAsia="Times New Roman"/>
                <w:noProof/>
                <w:sz w:val="22"/>
              </w:rPr>
            </w:pPr>
            <w:r w:rsidRPr="00D02CE2">
              <w:rPr>
                <w:noProof/>
                <w:sz w:val="22"/>
              </w:rPr>
              <w:t>–</w:t>
            </w:r>
          </w:p>
        </w:tc>
        <w:tc>
          <w:tcPr>
            <w:tcW w:w="1548" w:type="dxa"/>
            <w:tcBorders>
              <w:bottom w:val="nil"/>
            </w:tcBorders>
            <w:shd w:val="clear" w:color="auto" w:fill="auto"/>
            <w:vAlign w:val="center"/>
          </w:tcPr>
          <w:p w:rsidR="00737FB8" w:rsidRPr="00D02CE2" w:rsidRDefault="00737FB8" w:rsidP="00737FB8">
            <w:pPr>
              <w:spacing w:before="60" w:after="60"/>
              <w:jc w:val="center"/>
              <w:rPr>
                <w:rFonts w:eastAsia="Times New Roman"/>
                <w:noProof/>
                <w:sz w:val="22"/>
              </w:rPr>
            </w:pPr>
            <w:r w:rsidRPr="00D02CE2">
              <w:rPr>
                <w:noProof/>
              </w:rPr>
              <w:t>86 000</w:t>
            </w:r>
          </w:p>
        </w:tc>
      </w:tr>
      <w:tr w:rsidR="00737FB8" w:rsidRPr="00D02CE2" w:rsidTr="001D5990">
        <w:trPr>
          <w:trHeight w:val="202"/>
        </w:trPr>
        <w:tc>
          <w:tcPr>
            <w:tcW w:w="4644" w:type="dxa"/>
            <w:vMerge/>
            <w:shd w:val="clear" w:color="auto" w:fill="auto"/>
          </w:tcPr>
          <w:p w:rsidR="00737FB8" w:rsidRPr="00D02CE2" w:rsidRDefault="00737FB8" w:rsidP="00737FB8">
            <w:pPr>
              <w:spacing w:before="0" w:after="0"/>
              <w:jc w:val="right"/>
              <w:rPr>
                <w:rFonts w:eastAsia="Times New Roman"/>
                <w:noProof/>
                <w:sz w:val="22"/>
              </w:rPr>
            </w:pPr>
          </w:p>
        </w:tc>
        <w:tc>
          <w:tcPr>
            <w:tcW w:w="3096" w:type="dxa"/>
            <w:gridSpan w:val="2"/>
            <w:vMerge/>
            <w:shd w:val="clear" w:color="auto" w:fill="D9D9D9"/>
            <w:vAlign w:val="center"/>
          </w:tcPr>
          <w:p w:rsidR="00737FB8" w:rsidRPr="00D02CE2" w:rsidRDefault="00737FB8" w:rsidP="00737FB8">
            <w:pPr>
              <w:spacing w:before="0" w:after="0"/>
              <w:jc w:val="center"/>
              <w:rPr>
                <w:rFonts w:eastAsia="Times New Roman"/>
                <w:noProof/>
                <w:sz w:val="22"/>
              </w:rPr>
            </w:pPr>
          </w:p>
        </w:tc>
        <w:tc>
          <w:tcPr>
            <w:tcW w:w="1548" w:type="dxa"/>
            <w:tcBorders>
              <w:top w:val="nil"/>
            </w:tcBorders>
            <w:shd w:val="clear" w:color="auto" w:fill="auto"/>
            <w:vAlign w:val="center"/>
          </w:tcPr>
          <w:p w:rsidR="00737FB8" w:rsidRPr="00D02CE2" w:rsidRDefault="00737FB8" w:rsidP="00737FB8">
            <w:pPr>
              <w:spacing w:before="60" w:after="60"/>
              <w:jc w:val="center"/>
              <w:rPr>
                <w:rFonts w:eastAsia="Times New Roman"/>
                <w:noProof/>
                <w:sz w:val="22"/>
              </w:rPr>
            </w:pPr>
            <w:r w:rsidRPr="00D02CE2">
              <w:rPr>
                <w:noProof/>
                <w:sz w:val="22"/>
              </w:rPr>
              <w:t>(</w:t>
            </w:r>
            <w:r w:rsidRPr="00D02CE2">
              <w:rPr>
                <w:noProof/>
              </w:rPr>
              <w:t>3,81 </w:t>
            </w:r>
            <w:r w:rsidRPr="00D02CE2">
              <w:rPr>
                <w:noProof/>
                <w:sz w:val="22"/>
              </w:rPr>
              <w:t>%)</w:t>
            </w:r>
          </w:p>
        </w:tc>
      </w:tr>
      <w:tr w:rsidR="00737FB8" w:rsidRPr="00D02CE2" w:rsidTr="001D5990">
        <w:tc>
          <w:tcPr>
            <w:tcW w:w="4644" w:type="dxa"/>
            <w:shd w:val="clear" w:color="auto" w:fill="auto"/>
          </w:tcPr>
          <w:p w:rsidR="00737FB8" w:rsidRPr="00D02CE2" w:rsidRDefault="00737FB8" w:rsidP="00737FB8">
            <w:pPr>
              <w:spacing w:before="60" w:after="60"/>
              <w:jc w:val="left"/>
              <w:rPr>
                <w:rFonts w:eastAsia="Times New Roman"/>
                <w:noProof/>
                <w:sz w:val="22"/>
              </w:rPr>
            </w:pPr>
            <w:r w:rsidRPr="00D02CE2">
              <w:rPr>
                <w:noProof/>
                <w:sz w:val="22"/>
              </w:rPr>
              <w:t>Costuri totale (a + b):</w:t>
            </w:r>
          </w:p>
        </w:tc>
        <w:tc>
          <w:tcPr>
            <w:tcW w:w="3096" w:type="dxa"/>
            <w:gridSpan w:val="2"/>
            <w:shd w:val="clear" w:color="auto" w:fill="D9D9D9"/>
            <w:vAlign w:val="center"/>
          </w:tcPr>
          <w:p w:rsidR="00737FB8" w:rsidRPr="00D02CE2" w:rsidRDefault="00737FB8" w:rsidP="00737FB8">
            <w:pPr>
              <w:spacing w:before="60" w:after="60"/>
              <w:jc w:val="center"/>
              <w:rPr>
                <w:rFonts w:eastAsia="Times New Roman"/>
                <w:noProof/>
                <w:sz w:val="22"/>
              </w:rPr>
            </w:pPr>
            <w:r w:rsidRPr="00D02CE2">
              <w:rPr>
                <w:noProof/>
                <w:sz w:val="22"/>
              </w:rPr>
              <w:t>–</w:t>
            </w:r>
          </w:p>
        </w:tc>
        <w:tc>
          <w:tcPr>
            <w:tcW w:w="1548" w:type="dxa"/>
            <w:shd w:val="clear" w:color="auto" w:fill="auto"/>
          </w:tcPr>
          <w:p w:rsidR="00737FB8" w:rsidRPr="00D02CE2" w:rsidRDefault="00737FB8" w:rsidP="00737FB8">
            <w:pPr>
              <w:spacing w:before="60" w:after="60"/>
              <w:jc w:val="center"/>
              <w:rPr>
                <w:noProof/>
                <w:sz w:val="22"/>
              </w:rPr>
            </w:pPr>
            <w:r w:rsidRPr="00D02CE2">
              <w:rPr>
                <w:rFonts w:ascii="TimesNewRoman" w:hAnsi="TimesNewRoman"/>
                <w:noProof/>
                <w:color w:val="000000"/>
              </w:rPr>
              <w:t>2 254 980</w:t>
            </w:r>
          </w:p>
        </w:tc>
      </w:tr>
      <w:tr w:rsidR="00737FB8" w:rsidRPr="00D02CE2" w:rsidTr="001D5990">
        <w:tc>
          <w:tcPr>
            <w:tcW w:w="4644" w:type="dxa"/>
            <w:shd w:val="clear" w:color="auto" w:fill="auto"/>
          </w:tcPr>
          <w:p w:rsidR="00737FB8" w:rsidRPr="00D02CE2" w:rsidRDefault="00737FB8" w:rsidP="00737FB8">
            <w:pPr>
              <w:spacing w:before="60" w:after="60"/>
              <w:jc w:val="left"/>
              <w:rPr>
                <w:rFonts w:eastAsia="Times New Roman"/>
                <w:noProof/>
                <w:sz w:val="22"/>
              </w:rPr>
            </w:pPr>
            <w:r w:rsidRPr="00D02CE2">
              <w:rPr>
                <w:noProof/>
              </w:rPr>
              <w:t>Contribuția din partea FEG (85 % din costurile totale)</w:t>
            </w:r>
          </w:p>
        </w:tc>
        <w:tc>
          <w:tcPr>
            <w:tcW w:w="3096" w:type="dxa"/>
            <w:gridSpan w:val="2"/>
            <w:shd w:val="clear" w:color="auto" w:fill="D9D9D9"/>
            <w:vAlign w:val="center"/>
          </w:tcPr>
          <w:p w:rsidR="00737FB8" w:rsidRPr="00D02CE2" w:rsidRDefault="00737FB8" w:rsidP="00737FB8">
            <w:pPr>
              <w:spacing w:before="60" w:after="60"/>
              <w:jc w:val="center"/>
              <w:rPr>
                <w:rFonts w:eastAsia="Times New Roman"/>
                <w:noProof/>
                <w:sz w:val="22"/>
              </w:rPr>
            </w:pPr>
            <w:r w:rsidRPr="00D02CE2">
              <w:rPr>
                <w:noProof/>
                <w:sz w:val="22"/>
              </w:rPr>
              <w:t>–</w:t>
            </w:r>
          </w:p>
        </w:tc>
        <w:tc>
          <w:tcPr>
            <w:tcW w:w="1548" w:type="dxa"/>
            <w:shd w:val="clear" w:color="auto" w:fill="auto"/>
          </w:tcPr>
          <w:p w:rsidR="00737FB8" w:rsidRPr="00D02CE2" w:rsidRDefault="00737FB8" w:rsidP="00737FB8">
            <w:pPr>
              <w:spacing w:before="60" w:after="60"/>
              <w:jc w:val="center"/>
              <w:rPr>
                <w:rFonts w:eastAsia="Times New Roman"/>
                <w:noProof/>
                <w:sz w:val="22"/>
              </w:rPr>
            </w:pPr>
            <w:r w:rsidRPr="00D02CE2">
              <w:rPr>
                <w:rFonts w:ascii="TimesNewRoman" w:hAnsi="TimesNewRoman"/>
                <w:noProof/>
                <w:color w:val="000000"/>
              </w:rPr>
              <w:t>1 916 733</w:t>
            </w:r>
          </w:p>
        </w:tc>
      </w:tr>
    </w:tbl>
    <w:p w:rsidR="001A62D7" w:rsidRPr="00D22A6D" w:rsidRDefault="001A62D7" w:rsidP="001A62D7">
      <w:pPr>
        <w:pStyle w:val="ManualHeading3"/>
        <w:rPr>
          <w:noProof/>
        </w:rPr>
      </w:pPr>
      <w:r w:rsidRPr="00D22A6D">
        <w:rPr>
          <w:noProof/>
        </w:rPr>
        <w:lastRenderedPageBreak/>
        <w:t>Perioada de eligibilitate a cheltuielilor</w:t>
      </w:r>
    </w:p>
    <w:p w:rsidR="007A26EC" w:rsidRPr="00D02CE2" w:rsidRDefault="007A26EC" w:rsidP="009C50F6">
      <w:pPr>
        <w:pStyle w:val="ManualNumPar1"/>
        <w:rPr>
          <w:noProof/>
        </w:rPr>
      </w:pPr>
      <w:r>
        <w:rPr>
          <w:noProof/>
        </w:rPr>
        <w:t>32.</w:t>
      </w:r>
      <w:r>
        <w:rPr>
          <w:noProof/>
        </w:rPr>
        <w:tab/>
      </w:r>
      <w:r w:rsidRPr="00D02CE2">
        <w:rPr>
          <w:noProof/>
        </w:rPr>
        <w:t>Belgia a început prestarea serviciilor personalizate către beneficiarii vizați la 14 martie 2025. Prin urmare, cheltuielile aferente măsurilor vor fi eligibile pentru o contribuție financiară din FEG de la 14 martie 2025, pentru o perioadă de 24 de luni de la data intrării în vigoare a deciziei de finanțare.</w:t>
      </w:r>
    </w:p>
    <w:p w:rsidR="007A26EC" w:rsidRPr="00D02CE2" w:rsidRDefault="007A26EC" w:rsidP="009C50F6">
      <w:pPr>
        <w:pStyle w:val="ManualNumPar1"/>
        <w:rPr>
          <w:noProof/>
        </w:rPr>
      </w:pPr>
      <w:r>
        <w:rPr>
          <w:noProof/>
        </w:rPr>
        <w:t>33.</w:t>
      </w:r>
      <w:r>
        <w:rPr>
          <w:noProof/>
        </w:rPr>
        <w:tab/>
      </w:r>
      <w:r w:rsidRPr="00D02CE2">
        <w:rPr>
          <w:noProof/>
        </w:rPr>
        <w:t>Belgia a început plata cheltuielilor administrative pentru punerea în aplicare a FEG la 6 martie 2025. Prin urmare, cheltuielile pentru activitățile de pregătire, gestionare, informare și publicitate, control și raportare sunt eligibile pentru o contribuție financiară din FEG începând cu 6 martie 2025, pentru o perioadă de 31 de luni de la data intrării în vigoare a deciziei de finanțare.</w:t>
      </w:r>
      <w:r w:rsidR="00D22A6D">
        <w:rPr>
          <w:noProof/>
        </w:rPr>
        <w:t xml:space="preserve"> </w:t>
      </w:r>
    </w:p>
    <w:p w:rsidR="001A62D7" w:rsidRPr="00D22A6D" w:rsidRDefault="001A62D7" w:rsidP="001A62D7">
      <w:pPr>
        <w:pStyle w:val="ManualHeading2"/>
        <w:rPr>
          <w:noProof/>
        </w:rPr>
      </w:pPr>
      <w:r w:rsidRPr="00D22A6D">
        <w:rPr>
          <w:noProof/>
        </w:rPr>
        <w:t>Sisteme de gestionare și control</w:t>
      </w:r>
    </w:p>
    <w:p w:rsidR="007A26EC" w:rsidRPr="00D02CE2" w:rsidRDefault="007A26EC" w:rsidP="009C50F6">
      <w:pPr>
        <w:pStyle w:val="ManualNumPar1"/>
        <w:rPr>
          <w:noProof/>
        </w:rPr>
      </w:pPr>
      <w:r>
        <w:rPr>
          <w:noProof/>
        </w:rPr>
        <w:t>34.</w:t>
      </w:r>
      <w:r>
        <w:rPr>
          <w:noProof/>
        </w:rPr>
        <w:tab/>
      </w:r>
      <w:r w:rsidRPr="00D02CE2">
        <w:rPr>
          <w:noProof/>
        </w:rPr>
        <w:t xml:space="preserve">Cererea conține o descriere a sistemului de gestionare și control prevăzut la articolul 23 din Regulamentul (UE) 2021/691, care precizează responsabilitățile organismelor implicate. Belgia a informat Comisia că de gestionarea contribuției financiare se va ocupa VDAB. Plățile vor fi efectuate de serviciul financiar al VDAB. Departamentul Finanțe și Buget – Unitatea de audit a Autorității flamande de audit pentru fondurile structurale europene este autoritatea de audit pentru FEG. </w:t>
      </w:r>
    </w:p>
    <w:p w:rsidR="001A62D7" w:rsidRPr="00D22A6D" w:rsidRDefault="001A62D7" w:rsidP="001A62D7">
      <w:pPr>
        <w:pStyle w:val="ManualHeading2"/>
        <w:rPr>
          <w:noProof/>
        </w:rPr>
      </w:pPr>
      <w:r w:rsidRPr="00D22A6D">
        <w:rPr>
          <w:noProof/>
        </w:rPr>
        <w:t>Angajamentele asumate de statul membru în cauză</w:t>
      </w:r>
    </w:p>
    <w:p w:rsidR="001A62D7" w:rsidRPr="00D02CE2" w:rsidRDefault="007A26EC" w:rsidP="009C50F6">
      <w:pPr>
        <w:pStyle w:val="ManualNumPar1"/>
        <w:rPr>
          <w:noProof/>
        </w:rPr>
      </w:pPr>
      <w:r>
        <w:rPr>
          <w:noProof/>
        </w:rPr>
        <w:t>35.</w:t>
      </w:r>
      <w:r>
        <w:rPr>
          <w:noProof/>
        </w:rPr>
        <w:tab/>
      </w:r>
      <w:r w:rsidRPr="00D02CE2">
        <w:rPr>
          <w:noProof/>
        </w:rPr>
        <w:t xml:space="preserve">Belgia a oferit toate garanțiile necesare cu privire la următoarele: </w:t>
      </w:r>
    </w:p>
    <w:p w:rsidR="001A62D7" w:rsidRPr="00D02CE2" w:rsidRDefault="001A62D7" w:rsidP="001A62D7">
      <w:pPr>
        <w:pStyle w:val="Tiret1"/>
        <w:rPr>
          <w:noProof/>
        </w:rPr>
      </w:pPr>
      <w:r w:rsidRPr="00D02CE2">
        <w:rPr>
          <w:noProof/>
        </w:rPr>
        <w:t>în contextul accesului la măsurile propuse și al punerii în aplicare a acestora, vor fi respectate principiul egalității de tratament și principiul nediscriminării,</w:t>
      </w:r>
    </w:p>
    <w:p w:rsidR="001A62D7" w:rsidRPr="00D02CE2" w:rsidRDefault="001A62D7" w:rsidP="001A62D7">
      <w:pPr>
        <w:pStyle w:val="Tiret1"/>
        <w:rPr>
          <w:noProof/>
        </w:rPr>
      </w:pPr>
      <w:r w:rsidRPr="00D02CE2">
        <w:rPr>
          <w:noProof/>
        </w:rPr>
        <w:t>au fost îndeplinite cerințele prevăzute de legislația națională și de legislația UE în ceea ce privește concedierile colective,</w:t>
      </w:r>
    </w:p>
    <w:p w:rsidR="001A62D7" w:rsidRPr="00D02CE2" w:rsidRDefault="001A62D7" w:rsidP="001A62D7">
      <w:pPr>
        <w:pStyle w:val="Tiret1"/>
        <w:rPr>
          <w:noProof/>
        </w:rPr>
      </w:pPr>
      <w:r w:rsidRPr="00D02CE2">
        <w:rPr>
          <w:noProof/>
        </w:rPr>
        <w:t>se va evita orice fel de dublă finanțare,</w:t>
      </w:r>
    </w:p>
    <w:p w:rsidR="001A62D7" w:rsidRPr="00D02CE2" w:rsidRDefault="001A62D7" w:rsidP="001A62D7">
      <w:pPr>
        <w:pStyle w:val="Tiret1"/>
        <w:rPr>
          <w:noProof/>
        </w:rPr>
      </w:pPr>
      <w:r w:rsidRPr="00D02CE2">
        <w:rPr>
          <w:noProof/>
        </w:rPr>
        <w:t>contribuția financiară din partea FEG va respecta normele procedurale și de fond ale Uniunii privind ajutoarele de stat.</w:t>
      </w:r>
    </w:p>
    <w:p w:rsidR="001A62D7" w:rsidRPr="00D22A6D" w:rsidRDefault="001A62D7" w:rsidP="001A62D7">
      <w:pPr>
        <w:pStyle w:val="ManualHeading1"/>
        <w:rPr>
          <w:noProof/>
        </w:rPr>
      </w:pPr>
      <w:r w:rsidRPr="00D22A6D">
        <w:rPr>
          <w:noProof/>
        </w:rPr>
        <w:t>IMPLICAȚII BUGETARE</w:t>
      </w:r>
    </w:p>
    <w:p w:rsidR="001A62D7" w:rsidRPr="00D22A6D" w:rsidRDefault="001A62D7" w:rsidP="001A62D7">
      <w:pPr>
        <w:pStyle w:val="ManualHeading2"/>
        <w:rPr>
          <w:noProof/>
        </w:rPr>
      </w:pPr>
      <w:r w:rsidRPr="00D22A6D">
        <w:rPr>
          <w:noProof/>
        </w:rPr>
        <w:t>Propunerea bugetară</w:t>
      </w:r>
    </w:p>
    <w:p w:rsidR="001A62D7" w:rsidRPr="00D02CE2" w:rsidRDefault="001A62D7" w:rsidP="009C50F6">
      <w:pPr>
        <w:pStyle w:val="ManualNumPar1"/>
        <w:rPr>
          <w:noProof/>
        </w:rPr>
      </w:pPr>
      <w:r>
        <w:rPr>
          <w:noProof/>
        </w:rPr>
        <w:t>36.</w:t>
      </w:r>
      <w:r>
        <w:rPr>
          <w:noProof/>
        </w:rPr>
        <w:tab/>
      </w:r>
      <w:r w:rsidRPr="00D02CE2">
        <w:rPr>
          <w:noProof/>
        </w:rPr>
        <w:t>FEG nu trebuie să depășească un cuantum anual de maximum 30 de milioane EUR (la prețurile din 2018), astfel cum se prevede la articolul 8 din Regulamentul (UE, Euratom) 2020/2093 al Consiliului din 17 decembrie 2020 de stabilire a cadrului financiar multianual pentru perioada 2021-2027</w:t>
      </w:r>
      <w:r w:rsidRPr="00D02CE2">
        <w:rPr>
          <w:rStyle w:val="FootnoteReference"/>
          <w:noProof/>
        </w:rPr>
        <w:footnoteReference w:id="20"/>
      </w:r>
      <w:r w:rsidRPr="00D02CE2">
        <w:rPr>
          <w:noProof/>
        </w:rPr>
        <w:t xml:space="preserve"> modificat prin Regulamentul (UE, Euratom) 2024/765 al Consiliului din 29 februarie 2024</w:t>
      </w:r>
      <w:r w:rsidRPr="00D02CE2">
        <w:rPr>
          <w:rStyle w:val="FootnoteReference"/>
          <w:noProof/>
        </w:rPr>
        <w:footnoteReference w:id="21"/>
      </w:r>
      <w:r w:rsidRPr="00D02CE2">
        <w:rPr>
          <w:noProof/>
        </w:rPr>
        <w:t>.</w:t>
      </w:r>
    </w:p>
    <w:p w:rsidR="001A62D7" w:rsidRPr="00D02CE2" w:rsidRDefault="001A62D7" w:rsidP="009C50F6">
      <w:pPr>
        <w:pStyle w:val="ManualNumPar1"/>
        <w:rPr>
          <w:rFonts w:eastAsia="Calibri"/>
          <w:noProof/>
        </w:rPr>
      </w:pPr>
      <w:r>
        <w:rPr>
          <w:noProof/>
        </w:rPr>
        <w:t>37.</w:t>
      </w:r>
      <w:r>
        <w:rPr>
          <w:noProof/>
        </w:rPr>
        <w:tab/>
      </w:r>
      <w:r w:rsidRPr="00D02CE2">
        <w:rPr>
          <w:noProof/>
        </w:rPr>
        <w:t>După examinarea cererii în conformitate cu condițiile stabilite la articolul 13 alineatele (1) și (2) din Regulamentul (UE) 2021/691 și luând în considerare numărul de beneficiari vizați, măsurile propuse și costurile estimate, Comisia propune mobilizarea FEG pentru suma de 1 916 733 EUR, reprezentând 85 % din costurile totale ale măsurilor propuse, cu scopul de a furniza o contribuție financiară ca răspuns la cerere.</w:t>
      </w:r>
    </w:p>
    <w:p w:rsidR="001A62D7" w:rsidRPr="00D02CE2" w:rsidRDefault="001A62D7" w:rsidP="009C50F6">
      <w:pPr>
        <w:pStyle w:val="ManualNumPar1"/>
        <w:rPr>
          <w:rFonts w:eastAsia="Times New Roman"/>
          <w:noProof/>
        </w:rPr>
      </w:pPr>
      <w:r>
        <w:rPr>
          <w:noProof/>
        </w:rPr>
        <w:lastRenderedPageBreak/>
        <w:t>38.</w:t>
      </w:r>
      <w:r>
        <w:rPr>
          <w:noProof/>
        </w:rPr>
        <w:tab/>
      </w:r>
      <w:r w:rsidRPr="00D02CE2">
        <w:rPr>
          <w:noProof/>
        </w:rPr>
        <w:t>Decizia propusă privind mobilizarea FEG va fi adoptată în comun de Parlamentul European și de Consiliu, în conformitate cu articolul 15 alineatul (1) primul paragraf a doua teză din Regulamentul (UE) 2021/691 și astfel cum se prevede la punctul 9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D02CE2">
        <w:rPr>
          <w:rStyle w:val="FootnoteReference"/>
          <w:noProof/>
        </w:rPr>
        <w:footnoteReference w:id="22"/>
      </w:r>
      <w:r w:rsidRPr="00D02CE2">
        <w:rPr>
          <w:noProof/>
        </w:rPr>
        <w:t>.</w:t>
      </w:r>
    </w:p>
    <w:p w:rsidR="001A62D7" w:rsidRPr="00D22A6D" w:rsidRDefault="001A62D7" w:rsidP="001A62D7">
      <w:pPr>
        <w:pStyle w:val="ManualHeading2"/>
        <w:rPr>
          <w:noProof/>
        </w:rPr>
      </w:pPr>
      <w:r w:rsidRPr="00D22A6D">
        <w:rPr>
          <w:noProof/>
        </w:rPr>
        <w:t>Acte conexe</w:t>
      </w:r>
    </w:p>
    <w:p w:rsidR="001A62D7" w:rsidRPr="00D02CE2" w:rsidRDefault="001A62D7" w:rsidP="009C50F6">
      <w:pPr>
        <w:pStyle w:val="ManualNumPar1"/>
        <w:rPr>
          <w:noProof/>
        </w:rPr>
      </w:pPr>
      <w:r>
        <w:rPr>
          <w:noProof/>
        </w:rPr>
        <w:t>39.</w:t>
      </w:r>
      <w:r>
        <w:rPr>
          <w:noProof/>
        </w:rPr>
        <w:tab/>
      </w:r>
      <w:r w:rsidRPr="00D02CE2">
        <w:rPr>
          <w:noProof/>
        </w:rPr>
        <w:t>În același timp cu prezentarea acestei propuneri de decizie privind mobilizarea FEG, Comisia va prezenta Parlamentului European și Consiliului o propunere de transfer al cuantumului de 1 916 733 EUR către linia bugetară relevantă.</w:t>
      </w:r>
    </w:p>
    <w:p w:rsidR="001A62D7" w:rsidRPr="00D02CE2" w:rsidRDefault="001A62D7" w:rsidP="009C50F6">
      <w:pPr>
        <w:pStyle w:val="ManualNumPar1"/>
        <w:rPr>
          <w:noProof/>
        </w:rPr>
      </w:pPr>
      <w:r>
        <w:rPr>
          <w:noProof/>
        </w:rPr>
        <w:t>40.</w:t>
      </w:r>
      <w:r>
        <w:rPr>
          <w:noProof/>
        </w:rPr>
        <w:tab/>
      </w:r>
      <w:r w:rsidRPr="00D02CE2">
        <w:rPr>
          <w:noProof/>
        </w:rPr>
        <w:t>Concomitent cu adoptarea prezentei propuneri de decizie privind mobilizarea FEG, Comisia a adoptat o decizie privind o contribuție financiară, care constituie o decizie de finanțare în sensul articolului 110 din Regulamentul (UE, Euratom) 2024/2509</w:t>
      </w:r>
      <w:r w:rsidRPr="00D02CE2">
        <w:rPr>
          <w:rStyle w:val="FootnoteReference"/>
          <w:noProof/>
        </w:rPr>
        <w:footnoteReference w:id="23"/>
      </w:r>
      <w:r w:rsidRPr="00D02CE2">
        <w:rPr>
          <w:noProof/>
        </w:rPr>
        <w:t>. Respectiva decizie de finanțare va intra în vigoare la data la care Comisiei i se notifică aprobarea transferului bugetar de către Parlamentul European și Consiliu în conformitate cu articolul 15 alineatul (2) primul paragraf din Regulamentul (UE) 2021/691.</w:t>
      </w:r>
    </w:p>
    <w:p w:rsidR="001A62D7" w:rsidRPr="00D02CE2" w:rsidRDefault="001A62D7" w:rsidP="001A62D7">
      <w:pPr>
        <w:rPr>
          <w:noProof/>
        </w:rPr>
        <w:sectPr w:rsidR="001A62D7" w:rsidRPr="00D02CE2" w:rsidSect="00EE6DC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BF36A7" w:rsidRDefault="002B4308">
      <w:pPr>
        <w:pStyle w:val="Rfrenceinterinstitutionnelle"/>
        <w:rPr>
          <w:noProof/>
        </w:rPr>
      </w:pPr>
      <w:r>
        <w:rPr>
          <w:noProof/>
        </w:rPr>
        <w:lastRenderedPageBreak/>
        <w:t>2026/0038 (BUD)</w:t>
      </w:r>
    </w:p>
    <w:p w:rsidR="001A62D7" w:rsidRPr="00D02CE2" w:rsidRDefault="00F267B8" w:rsidP="00F267B8">
      <w:pPr>
        <w:pStyle w:val="Statut"/>
        <w:rPr>
          <w:noProof/>
        </w:rPr>
      </w:pPr>
      <w:r w:rsidRPr="00D02CE2">
        <w:rPr>
          <w:noProof/>
        </w:rPr>
        <w:t>Propunere de</w:t>
      </w:r>
    </w:p>
    <w:p w:rsidR="001A62D7" w:rsidRPr="00D22A6D" w:rsidRDefault="00F267B8" w:rsidP="00F267B8">
      <w:pPr>
        <w:pStyle w:val="Typedudocument"/>
        <w:rPr>
          <w:noProof/>
        </w:rPr>
      </w:pPr>
      <w:r w:rsidRPr="00D22A6D">
        <w:rPr>
          <w:noProof/>
        </w:rPr>
        <w:t>DECIZIE A PARLAMENTULUI EUROPEAN ȘI A CONSILIULUI</w:t>
      </w:r>
    </w:p>
    <w:p w:rsidR="001A62D7" w:rsidRPr="00D22A6D" w:rsidRDefault="00F267B8" w:rsidP="00F267B8">
      <w:pPr>
        <w:pStyle w:val="Titreobjet"/>
        <w:rPr>
          <w:noProof/>
        </w:rPr>
      </w:pPr>
      <w:r w:rsidRPr="00D22A6D">
        <w:rPr>
          <w:noProof/>
        </w:rPr>
        <w:t>privind mobilizarea Fondului european de ajustare la globalizare pentru lucrătorii disponibilizați în urma unei cereri din partea Belgiei - EGF/2025/007 BE/Casa</w:t>
      </w:r>
    </w:p>
    <w:p w:rsidR="001A62D7" w:rsidRPr="00D02CE2" w:rsidRDefault="001A62D7" w:rsidP="001A62D7">
      <w:pPr>
        <w:pStyle w:val="Institutionquiagit"/>
        <w:rPr>
          <w:noProof/>
        </w:rPr>
      </w:pPr>
      <w:r w:rsidRPr="00D02CE2">
        <w:rPr>
          <w:noProof/>
        </w:rPr>
        <w:t>PARLAMENTUL EUROPEAN ȘI CONSILIUL UNIUNII EUROPENE,</w:t>
      </w:r>
    </w:p>
    <w:p w:rsidR="001A62D7" w:rsidRPr="00D02CE2" w:rsidRDefault="001A62D7" w:rsidP="001A62D7">
      <w:pPr>
        <w:rPr>
          <w:noProof/>
        </w:rPr>
      </w:pPr>
      <w:r w:rsidRPr="00D02CE2">
        <w:rPr>
          <w:noProof/>
        </w:rPr>
        <w:t>având în vedere Tratatul privind funcționarea Uniunii Europene,</w:t>
      </w:r>
    </w:p>
    <w:p w:rsidR="001A62D7" w:rsidRPr="00D02CE2" w:rsidRDefault="001A62D7" w:rsidP="001A62D7">
      <w:pPr>
        <w:rPr>
          <w:noProof/>
        </w:rPr>
      </w:pPr>
      <w:r w:rsidRPr="00D02CE2">
        <w:rPr>
          <w:noProof/>
        </w:rPr>
        <w:t>având în vedere Regulamentul (UE) 2021/691 al Parlamentului European și al Consiliului din 28 aprilie 2021 privind Fondul european de ajustare la globalizare pentru lucrătorii disponibilizați (FEG) și de abrogare a Regulamentului (UE) nr. 1309/2013</w:t>
      </w:r>
      <w:r w:rsidRPr="00D02CE2">
        <w:rPr>
          <w:rStyle w:val="FootnoteReference"/>
          <w:noProof/>
        </w:rPr>
        <w:footnoteReference w:id="24"/>
      </w:r>
      <w:r w:rsidRPr="00D02CE2">
        <w:rPr>
          <w:noProof/>
        </w:rPr>
        <w:t>, în special articolul 15 alineatul (1) primul paragraf,</w:t>
      </w:r>
    </w:p>
    <w:p w:rsidR="001A62D7" w:rsidRPr="00D02CE2" w:rsidRDefault="001A62D7" w:rsidP="001A62D7">
      <w:pPr>
        <w:rPr>
          <w:noProof/>
        </w:rPr>
      </w:pPr>
      <w:r w:rsidRPr="00D02CE2">
        <w:rPr>
          <w:noProof/>
        </w:rPr>
        <w:t>având în vedere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D02CE2">
        <w:rPr>
          <w:rStyle w:val="FootnoteReference"/>
          <w:noProof/>
        </w:rPr>
        <w:footnoteReference w:id="25"/>
      </w:r>
      <w:r w:rsidRPr="00D02CE2">
        <w:rPr>
          <w:noProof/>
        </w:rPr>
        <w:t>, în special punctul 9,</w:t>
      </w:r>
    </w:p>
    <w:p w:rsidR="001A62D7" w:rsidRPr="00D02CE2" w:rsidRDefault="001A62D7" w:rsidP="001A62D7">
      <w:pPr>
        <w:rPr>
          <w:noProof/>
        </w:rPr>
      </w:pPr>
      <w:r w:rsidRPr="00D02CE2">
        <w:rPr>
          <w:noProof/>
        </w:rPr>
        <w:t>având în vedere propunerea Comisiei Europene,</w:t>
      </w:r>
    </w:p>
    <w:p w:rsidR="001A62D7" w:rsidRPr="00D02CE2" w:rsidRDefault="001A62D7" w:rsidP="001A62D7">
      <w:pPr>
        <w:rPr>
          <w:noProof/>
        </w:rPr>
      </w:pPr>
      <w:r w:rsidRPr="00D02CE2">
        <w:rPr>
          <w:noProof/>
        </w:rPr>
        <w:t>întrucât:</w:t>
      </w:r>
    </w:p>
    <w:p w:rsidR="001A62D7" w:rsidRPr="00D02CE2" w:rsidRDefault="001A62D7" w:rsidP="009C50F6">
      <w:pPr>
        <w:pStyle w:val="ManualConsidrant"/>
        <w:rPr>
          <w:noProof/>
        </w:rPr>
      </w:pPr>
      <w:r>
        <w:rPr>
          <w:noProof/>
        </w:rPr>
        <w:t>(1)</w:t>
      </w:r>
      <w:r>
        <w:rPr>
          <w:noProof/>
        </w:rPr>
        <w:tab/>
      </w:r>
      <w:r w:rsidRPr="00D02CE2">
        <w:rPr>
          <w:noProof/>
        </w:rPr>
        <w:t xml:space="preserve">Fondul european de ajustare la globalizare pentru lucrătorii disponibilizați (FEG) urmărește să demonstreze solidaritatea și să promoveze locuri de muncă decente și sustenabile în Uniune, oferind sprijin lucrătorilor concediați și lucrătorilor independenți a căror activitate a încetat în cazul unor evenimente majore de restructurare și ajutându-i să revină cât mai curând posibil la locuri de muncă decente și sustenabile. </w:t>
      </w:r>
    </w:p>
    <w:p w:rsidR="001A62D7" w:rsidRPr="00D02CE2" w:rsidRDefault="001A62D7" w:rsidP="009C50F6">
      <w:pPr>
        <w:pStyle w:val="ManualConsidrant"/>
        <w:rPr>
          <w:noProof/>
        </w:rPr>
      </w:pPr>
      <w:r>
        <w:rPr>
          <w:noProof/>
        </w:rPr>
        <w:t>(2)</w:t>
      </w:r>
      <w:r>
        <w:rPr>
          <w:noProof/>
        </w:rPr>
        <w:tab/>
      </w:r>
      <w:r w:rsidRPr="00D02CE2">
        <w:rPr>
          <w:noProof/>
        </w:rPr>
        <w:t>FEG nu trebuie să depășească un cuantum anual de maximum 30 de milioane EUR (la prețurile din 2018), astfel cum se prevede la articolul 8 din Regulamentul (UE, Euratom) 2020/2093 al Consiliului</w:t>
      </w:r>
      <w:r w:rsidRPr="00D02CE2">
        <w:rPr>
          <w:rStyle w:val="FootnoteReference"/>
          <w:noProof/>
        </w:rPr>
        <w:footnoteReference w:id="26"/>
      </w:r>
      <w:r w:rsidRPr="00D02CE2">
        <w:rPr>
          <w:noProof/>
        </w:rPr>
        <w:t>, modificat prin Regulamentul (UE, Euratom) 2024/765 al Consiliului</w:t>
      </w:r>
      <w:r w:rsidRPr="00D02CE2">
        <w:rPr>
          <w:rStyle w:val="FootnoteReference"/>
          <w:noProof/>
        </w:rPr>
        <w:footnoteReference w:id="27"/>
      </w:r>
      <w:r w:rsidRPr="00D02CE2">
        <w:rPr>
          <w:noProof/>
        </w:rPr>
        <w:t>, și la articolul 16 din Regulamentul (UE) 2021/691.</w:t>
      </w:r>
    </w:p>
    <w:p w:rsidR="001A62D7" w:rsidRPr="00D02CE2" w:rsidRDefault="001A62D7" w:rsidP="009C50F6">
      <w:pPr>
        <w:pStyle w:val="ManualConsidrant"/>
        <w:rPr>
          <w:noProof/>
        </w:rPr>
      </w:pPr>
      <w:r>
        <w:rPr>
          <w:noProof/>
        </w:rPr>
        <w:t>(3)</w:t>
      </w:r>
      <w:r>
        <w:rPr>
          <w:noProof/>
        </w:rPr>
        <w:tab/>
      </w:r>
      <w:r w:rsidRPr="00D02CE2">
        <w:rPr>
          <w:noProof/>
        </w:rPr>
        <w:t xml:space="preserve">La 23 septembrie 2025, Belgia a depus o cerere de mobilizare a FEG în conformitate cu articolul 8 alineatul (1) din Regulamentul (UE) 2021/691, referitoare la disponibilizările unor lucrători de la Casa din Belgia. Cererea a fost completată cu informații suplimentare furnizate în conformitate cu articolul 8 alineatul (5) din Regulamentul (UE) 2021/691. Se consideră că cererea respectivă îndeplinește condițiile de acordare a unei contribuții financiare din FEG, astfel cum sunt prevăzute la articolul 13 din Regulamentul (UE) 2021/691, pe baza evaluării efectuate de </w:t>
      </w:r>
      <w:r w:rsidRPr="00D02CE2">
        <w:rPr>
          <w:noProof/>
        </w:rPr>
        <w:lastRenderedPageBreak/>
        <w:t>Comisie în propunerea de decizie de mobilizare a Parlamentului European și a Consiliului</w:t>
      </w:r>
      <w:r w:rsidRPr="00D02CE2">
        <w:rPr>
          <w:rStyle w:val="FootnoteReference"/>
          <w:iCs/>
          <w:noProof/>
        </w:rPr>
        <w:footnoteReference w:id="28"/>
      </w:r>
      <w:r w:rsidRPr="00D02CE2">
        <w:rPr>
          <w:noProof/>
        </w:rPr>
        <w:t>.</w:t>
      </w:r>
    </w:p>
    <w:p w:rsidR="001A62D7" w:rsidRPr="00D02CE2" w:rsidRDefault="001A62D7" w:rsidP="009C50F6">
      <w:pPr>
        <w:pStyle w:val="ManualConsidrant"/>
        <w:rPr>
          <w:noProof/>
        </w:rPr>
      </w:pPr>
      <w:r>
        <w:rPr>
          <w:noProof/>
        </w:rPr>
        <w:t>(4)</w:t>
      </w:r>
      <w:r>
        <w:rPr>
          <w:noProof/>
        </w:rPr>
        <w:tab/>
      </w:r>
      <w:r w:rsidRPr="00D02CE2">
        <w:rPr>
          <w:noProof/>
        </w:rPr>
        <w:t>Prin urmare, este necesară mobilizarea FEG pentru a se furniza o contribuție financiară în valoare de 1 916 733 EUR ca urmare a cererii depuse de Belgia.</w:t>
      </w:r>
    </w:p>
    <w:p w:rsidR="001A62D7" w:rsidRPr="00D02CE2" w:rsidRDefault="001A62D7" w:rsidP="009C50F6">
      <w:pPr>
        <w:pStyle w:val="ManualConsidrant"/>
        <w:rPr>
          <w:noProof/>
        </w:rPr>
      </w:pPr>
      <w:r>
        <w:rPr>
          <w:noProof/>
        </w:rPr>
        <w:t>(5)</w:t>
      </w:r>
      <w:r>
        <w:rPr>
          <w:noProof/>
        </w:rPr>
        <w:tab/>
      </w:r>
      <w:r w:rsidRPr="00D02CE2">
        <w:rPr>
          <w:noProof/>
        </w:rPr>
        <w:t>Pentru a se reduce la minimum timpul necesar pentru mobilizarea FEG, prezenta decizie trebuie să se aplice de la data adoptării,</w:t>
      </w:r>
    </w:p>
    <w:p w:rsidR="001A62D7" w:rsidRPr="00D02CE2" w:rsidRDefault="001A62D7" w:rsidP="001A62D7">
      <w:pPr>
        <w:pStyle w:val="Formuledadoption"/>
        <w:rPr>
          <w:noProof/>
        </w:rPr>
      </w:pPr>
      <w:r w:rsidRPr="00D02CE2">
        <w:rPr>
          <w:noProof/>
        </w:rPr>
        <w:t xml:space="preserve">ADOPTĂ PREZENTA DECIZIE: </w:t>
      </w:r>
    </w:p>
    <w:p w:rsidR="001A62D7" w:rsidRPr="00D22A6D" w:rsidRDefault="001A62D7" w:rsidP="001A62D7">
      <w:pPr>
        <w:pStyle w:val="Titrearticle"/>
        <w:rPr>
          <w:noProof/>
        </w:rPr>
      </w:pPr>
      <w:r w:rsidRPr="00D22A6D">
        <w:rPr>
          <w:noProof/>
        </w:rPr>
        <w:t>Articolul 1</w:t>
      </w:r>
    </w:p>
    <w:p w:rsidR="001A62D7" w:rsidRPr="00D02CE2" w:rsidRDefault="001A62D7" w:rsidP="001A62D7">
      <w:pPr>
        <w:rPr>
          <w:noProof/>
        </w:rPr>
      </w:pPr>
      <w:r w:rsidRPr="00D02CE2">
        <w:rPr>
          <w:noProof/>
        </w:rPr>
        <w:t>În cadrul bugetului general al Uniunii aferent exercițiului financiar 2026, Fondul european de ajustare la globalizare pentru lucrătorii disponibilizați se mobilizează pentru a se furniza cuantumul de 1 916 733 EUR, sub formă de credite de angajament și de credite de plată.</w:t>
      </w:r>
    </w:p>
    <w:p w:rsidR="001A62D7" w:rsidRPr="00D22A6D" w:rsidRDefault="001A62D7" w:rsidP="000A7BAF">
      <w:pPr>
        <w:pStyle w:val="Titrearticle"/>
        <w:rPr>
          <w:noProof/>
        </w:rPr>
      </w:pPr>
      <w:r w:rsidRPr="00D22A6D">
        <w:rPr>
          <w:noProof/>
        </w:rPr>
        <w:t>Articolul 2</w:t>
      </w:r>
    </w:p>
    <w:p w:rsidR="001A62D7" w:rsidRPr="00D02CE2" w:rsidRDefault="001A62D7" w:rsidP="001A62D7">
      <w:pPr>
        <w:keepNext/>
        <w:keepLines/>
        <w:rPr>
          <w:noProof/>
        </w:rPr>
      </w:pPr>
      <w:r w:rsidRPr="00D02CE2">
        <w:rPr>
          <w:noProof/>
        </w:rPr>
        <w:t xml:space="preserve">Prezenta decizie intră în vigoare la data publicării în Jurnalul Oficial al Uniunii Europene. Prezenta decizie se aplică de la </w:t>
      </w:r>
      <w:r w:rsidRPr="00D02CE2">
        <w:rPr>
          <w:noProof/>
          <w:color w:val="FF0000"/>
        </w:rPr>
        <w:t>[</w:t>
      </w:r>
      <w:r w:rsidRPr="00D22A6D">
        <w:rPr>
          <w:i/>
          <w:noProof/>
          <w:color w:val="FF0000"/>
        </w:rPr>
        <w:t>data adoptării</w:t>
      </w:r>
      <w:r w:rsidRPr="00D02CE2">
        <w:rPr>
          <w:noProof/>
          <w:color w:val="FF0000"/>
        </w:rPr>
        <w:t>]</w:t>
      </w:r>
      <w:r w:rsidRPr="00D02CE2">
        <w:rPr>
          <w:rStyle w:val="FootnoteReference"/>
          <w:noProof/>
          <w:color w:val="FF0000"/>
        </w:rPr>
        <w:footnoteReference w:customMarkFollows="1" w:id="29"/>
        <w:t>*</w:t>
      </w:r>
      <w:r w:rsidRPr="00D02CE2">
        <w:rPr>
          <w:noProof/>
        </w:rPr>
        <w:t xml:space="preserve">. </w:t>
      </w:r>
    </w:p>
    <w:p w:rsidR="001A62D7" w:rsidRPr="00D02CE2" w:rsidRDefault="00F267B8" w:rsidP="000A7BAF">
      <w:pPr>
        <w:pStyle w:val="Fait"/>
        <w:rPr>
          <w:noProof/>
        </w:rPr>
      </w:pPr>
      <w:r>
        <w:rPr>
          <w:noProof/>
        </w:rPr>
        <w:t>Adoptată la Bruxelles,</w:t>
      </w:r>
    </w:p>
    <w:p w:rsidR="001A62D7" w:rsidRPr="00D22A6D" w:rsidRDefault="001A62D7" w:rsidP="000A7BAF">
      <w:pPr>
        <w:pStyle w:val="Institutionquisigne"/>
        <w:rPr>
          <w:noProof/>
        </w:rPr>
      </w:pPr>
      <w:r w:rsidRPr="00D22A6D">
        <w:rPr>
          <w:noProof/>
        </w:rPr>
        <w:t>Pentru Parlamentul European,</w:t>
      </w:r>
      <w:r w:rsidRPr="00D22A6D">
        <w:rPr>
          <w:noProof/>
        </w:rPr>
        <w:tab/>
        <w:t>Pentru Consiliu,</w:t>
      </w:r>
    </w:p>
    <w:p w:rsidR="001A62D7" w:rsidRPr="00D22A6D" w:rsidRDefault="001A62D7" w:rsidP="001A62D7">
      <w:pPr>
        <w:pStyle w:val="Personnequisigne"/>
        <w:rPr>
          <w:noProof/>
        </w:rPr>
      </w:pPr>
      <w:r w:rsidRPr="00D22A6D">
        <w:rPr>
          <w:noProof/>
        </w:rPr>
        <w:t>Președinta</w:t>
      </w:r>
      <w:r w:rsidRPr="00D22A6D">
        <w:rPr>
          <w:noProof/>
        </w:rPr>
        <w:tab/>
        <w:t>Președint</w:t>
      </w:r>
      <w:r w:rsidR="00833D67" w:rsidRPr="00D22A6D">
        <w:rPr>
          <w:noProof/>
        </w:rPr>
        <w:t>ele</w:t>
      </w:r>
      <w:r w:rsidRPr="00D22A6D">
        <w:rPr>
          <w:noProof/>
        </w:rPr>
        <w:t xml:space="preserve"> </w:t>
      </w:r>
      <w:r w:rsidRPr="00D22A6D">
        <w:rPr>
          <w:noProof/>
        </w:rPr>
        <w:br/>
      </w:r>
    </w:p>
    <w:sectPr w:rsidR="001A62D7" w:rsidRPr="00D22A6D" w:rsidSect="00EE6DC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3C3" w:rsidRPr="00D02CE2" w:rsidRDefault="00CE63C3" w:rsidP="001A62D7">
      <w:pPr>
        <w:spacing w:before="0" w:after="0"/>
      </w:pPr>
      <w:r w:rsidRPr="00D02CE2">
        <w:separator/>
      </w:r>
    </w:p>
  </w:endnote>
  <w:endnote w:type="continuationSeparator" w:id="0">
    <w:p w:rsidR="00CE63C3" w:rsidRPr="00D02CE2" w:rsidRDefault="00CE63C3" w:rsidP="001A62D7">
      <w:pPr>
        <w:spacing w:before="0" w:after="0"/>
      </w:pPr>
      <w:r w:rsidRPr="00D02C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DC3" w:rsidRPr="00EE6DC3" w:rsidRDefault="00EE6DC3" w:rsidP="00EE6DC3">
    <w:pPr>
      <w:pStyle w:val="Footer"/>
      <w:rPr>
        <w:rFonts w:ascii="Arial" w:hAnsi="Arial" w:cs="Arial"/>
        <w:b/>
        <w:sz w:val="48"/>
      </w:rPr>
    </w:pPr>
    <w:r w:rsidRPr="00EE6DC3">
      <w:rPr>
        <w:rFonts w:ascii="Arial" w:hAnsi="Arial" w:cs="Arial"/>
        <w:b/>
        <w:sz w:val="48"/>
      </w:rPr>
      <w:t>RO</w:t>
    </w:r>
    <w:r w:rsidRPr="00EE6DC3">
      <w:rPr>
        <w:rFonts w:ascii="Arial" w:hAnsi="Arial" w:cs="Arial"/>
        <w:b/>
        <w:sz w:val="48"/>
      </w:rPr>
      <w:tab/>
    </w:r>
    <w:r w:rsidRPr="00EE6DC3">
      <w:rPr>
        <w:rFonts w:ascii="Arial" w:hAnsi="Arial" w:cs="Arial"/>
        <w:b/>
        <w:sz w:val="48"/>
      </w:rPr>
      <w:tab/>
    </w:r>
    <w:r w:rsidRPr="00EE6DC3">
      <w:tab/>
    </w:r>
    <w:r w:rsidRPr="00EE6DC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DC3" w:rsidRPr="00EE6DC3" w:rsidRDefault="00EE6DC3" w:rsidP="00EE6DC3">
    <w:pPr>
      <w:pStyle w:val="Footer"/>
      <w:rPr>
        <w:rFonts w:ascii="Arial" w:hAnsi="Arial" w:cs="Arial"/>
        <w:b/>
        <w:sz w:val="48"/>
      </w:rPr>
    </w:pPr>
    <w:r w:rsidRPr="00EE6DC3">
      <w:rPr>
        <w:rFonts w:ascii="Arial" w:hAnsi="Arial" w:cs="Arial"/>
        <w:b/>
        <w:sz w:val="48"/>
      </w:rPr>
      <w:t>RO</w:t>
    </w:r>
    <w:r w:rsidRPr="00EE6DC3">
      <w:rPr>
        <w:rFonts w:ascii="Arial" w:hAnsi="Arial" w:cs="Arial"/>
        <w:b/>
        <w:sz w:val="48"/>
      </w:rPr>
      <w:tab/>
    </w:r>
    <w:r w:rsidRPr="00EE6DC3">
      <w:rPr>
        <w:rFonts w:ascii="Arial" w:hAnsi="Arial" w:cs="Arial"/>
        <w:b/>
        <w:sz w:val="48"/>
      </w:rPr>
      <w:tab/>
    </w:r>
    <w:r w:rsidRPr="00EE6DC3">
      <w:tab/>
    </w:r>
    <w:r w:rsidRPr="00EE6DC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DC3" w:rsidRDefault="00EE6D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DC3" w:rsidRPr="00EE6DC3" w:rsidRDefault="00EE6DC3" w:rsidP="00EE6DC3">
    <w:pPr>
      <w:pStyle w:val="Footer"/>
      <w:rPr>
        <w:rFonts w:ascii="Arial" w:hAnsi="Arial" w:cs="Arial"/>
        <w:b/>
        <w:sz w:val="48"/>
      </w:rPr>
    </w:pPr>
    <w:r w:rsidRPr="00EE6DC3">
      <w:rPr>
        <w:rFonts w:ascii="Arial" w:hAnsi="Arial" w:cs="Arial"/>
        <w:b/>
        <w:sz w:val="48"/>
      </w:rPr>
      <w:t>RO</w:t>
    </w:r>
    <w:r w:rsidRPr="00EE6DC3">
      <w:rPr>
        <w:rFonts w:ascii="Arial" w:hAnsi="Arial" w:cs="Arial"/>
        <w:b/>
        <w:sz w:val="48"/>
      </w:rPr>
      <w:tab/>
    </w:r>
    <w:r>
      <w:fldChar w:fldCharType="begin"/>
    </w:r>
    <w:r>
      <w:instrText xml:space="preserve"> PAGE  \* MERGEFORMAT </w:instrText>
    </w:r>
    <w:r>
      <w:fldChar w:fldCharType="separate"/>
    </w:r>
    <w:r w:rsidR="000A7BAF">
      <w:rPr>
        <w:noProof/>
      </w:rPr>
      <w:t>12</w:t>
    </w:r>
    <w:r>
      <w:fldChar w:fldCharType="end"/>
    </w:r>
    <w:r>
      <w:tab/>
    </w:r>
    <w:r w:rsidRPr="00EE6DC3">
      <w:tab/>
    </w:r>
    <w:r w:rsidRPr="00EE6DC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DC3" w:rsidRDefault="00EE6DC3" w:rsidP="00EE6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3C3" w:rsidRPr="00D02CE2" w:rsidRDefault="00CE63C3" w:rsidP="001A62D7">
      <w:pPr>
        <w:spacing w:before="0" w:after="0"/>
      </w:pPr>
      <w:r w:rsidRPr="00D02CE2">
        <w:separator/>
      </w:r>
    </w:p>
  </w:footnote>
  <w:footnote w:type="continuationSeparator" w:id="0">
    <w:p w:rsidR="00CE63C3" w:rsidRPr="00D02CE2" w:rsidRDefault="00CE63C3" w:rsidP="001A62D7">
      <w:pPr>
        <w:spacing w:before="0" w:after="0"/>
      </w:pPr>
      <w:r w:rsidRPr="00D02CE2">
        <w:continuationSeparator/>
      </w:r>
    </w:p>
  </w:footnote>
  <w:footnote w:id="1">
    <w:p w:rsidR="00D04DD1" w:rsidRPr="00D02CE2" w:rsidRDefault="00D04DD1">
      <w:pPr>
        <w:pStyle w:val="FootnoteText"/>
      </w:pPr>
      <w:r w:rsidRPr="00D02CE2">
        <w:rPr>
          <w:rStyle w:val="FootnoteReference"/>
        </w:rPr>
        <w:footnoteRef/>
      </w:r>
      <w:r w:rsidRPr="00D02CE2">
        <w:tab/>
        <w:t>JO</w:t>
      </w:r>
      <w:r w:rsidR="00D22A6D">
        <w:t> </w:t>
      </w:r>
      <w:r w:rsidRPr="00D02CE2">
        <w:t>L 153, 3.5.2021, p. 48.</w:t>
      </w:r>
    </w:p>
  </w:footnote>
  <w:footnote w:id="2">
    <w:p w:rsidR="00D04DD1" w:rsidRPr="00D02CE2" w:rsidRDefault="00D04DD1">
      <w:pPr>
        <w:pStyle w:val="FootnoteText"/>
      </w:pPr>
      <w:r w:rsidRPr="00D02CE2">
        <w:rPr>
          <w:rStyle w:val="FootnoteReference"/>
        </w:rPr>
        <w:footnoteRef/>
      </w:r>
      <w:r w:rsidRPr="00D02CE2">
        <w:tab/>
        <w:t>Disponibilizările au avut loc în cele două societăți ale consorțiului Casa, Casa International și Casa Logistics.</w:t>
      </w:r>
    </w:p>
  </w:footnote>
  <w:footnote w:id="3">
    <w:p w:rsidR="00D04DD1" w:rsidRPr="00D02CE2" w:rsidRDefault="00D04DD1">
      <w:pPr>
        <w:pStyle w:val="FootnoteText"/>
      </w:pPr>
      <w:r w:rsidRPr="00D02CE2">
        <w:rPr>
          <w:rStyle w:val="FootnoteReference"/>
        </w:rPr>
        <w:footnoteRef/>
      </w:r>
      <w:r w:rsidRPr="00D02CE2">
        <w:tab/>
        <w:t>Regulamentul Delegat (UE) 2019/1755 al Comisiei din 8 august 2019 de modificare a anexelor la Regulamentul (CE) nr. 1059/2003 al Parlamentului European și al Consiliului privind instituirea unui nomenclator comun al unităților teritoriale de statistică (NUTS). JO</w:t>
      </w:r>
      <w:r w:rsidR="00D22A6D">
        <w:t> </w:t>
      </w:r>
      <w:r w:rsidRPr="00D02CE2">
        <w:t>L 270, 24.10.2019, p. 1–56.</w:t>
      </w:r>
    </w:p>
  </w:footnote>
  <w:footnote w:id="4">
    <w:p w:rsidR="00D04DD1" w:rsidRPr="00D02CE2" w:rsidRDefault="00D04DD1">
      <w:pPr>
        <w:pStyle w:val="FootnoteText"/>
      </w:pPr>
      <w:r w:rsidRPr="00D02CE2">
        <w:rPr>
          <w:rStyle w:val="FootnoteReference"/>
        </w:rPr>
        <w:footnoteRef/>
      </w:r>
      <w:r w:rsidRPr="00D02CE2">
        <w:tab/>
        <w:t>JO</w:t>
      </w:r>
      <w:r w:rsidR="00D22A6D">
        <w:t> </w:t>
      </w:r>
      <w:r w:rsidRPr="00D02CE2">
        <w:t>L 393, 30.12.2006, p. 1.</w:t>
      </w:r>
    </w:p>
  </w:footnote>
  <w:footnote w:id="5">
    <w:p w:rsidR="00B45769" w:rsidRPr="00D02CE2" w:rsidRDefault="00B45769">
      <w:pPr>
        <w:pStyle w:val="FootnoteText"/>
      </w:pPr>
      <w:r w:rsidRPr="00D02CE2">
        <w:rPr>
          <w:rStyle w:val="FootnoteReference"/>
        </w:rPr>
        <w:footnoteRef/>
      </w:r>
      <w:r w:rsidRPr="00D02CE2">
        <w:tab/>
        <w:t>În conformitate cu articolul 7 alineatul (5) din Regulamentul (UE) 2021/691.</w:t>
      </w:r>
    </w:p>
  </w:footnote>
  <w:footnote w:id="6">
    <w:p w:rsidR="00130162" w:rsidRPr="00D02CE2" w:rsidRDefault="00130162" w:rsidP="00130162">
      <w:pPr>
        <w:pStyle w:val="FootnoteText"/>
      </w:pPr>
      <w:r w:rsidRPr="00D02CE2">
        <w:rPr>
          <w:rStyle w:val="FootnoteReference"/>
        </w:rPr>
        <w:footnoteRef/>
      </w:r>
      <w:r w:rsidRPr="00D02CE2">
        <w:tab/>
        <w:t xml:space="preserve">Sursă: </w:t>
      </w:r>
      <w:bookmarkStart w:id="4" w:name="_Hlk212740691"/>
      <w:r w:rsidRPr="00D02CE2">
        <w:fldChar w:fldCharType="begin"/>
      </w:r>
      <w:r w:rsidRPr="00D02CE2">
        <w:instrText>HYPERLINK "https://statbel.fgov.be/en/news/11067-bankruptcies-2024-mixed-results-regional-level"</w:instrText>
      </w:r>
      <w:r w:rsidRPr="00D02CE2">
        <w:fldChar w:fldCharType="separate"/>
      </w:r>
      <w:r w:rsidRPr="00D02CE2">
        <w:rPr>
          <w:rStyle w:val="Hyperlink"/>
        </w:rPr>
        <w:t>Statbel (falimente în 2024)</w:t>
      </w:r>
      <w:r w:rsidRPr="00D02CE2">
        <w:fldChar w:fldCharType="end"/>
      </w:r>
      <w:r w:rsidR="00D22A6D">
        <w:t>.</w:t>
      </w:r>
    </w:p>
    <w:bookmarkEnd w:id="4"/>
    <w:p w:rsidR="00130162" w:rsidRPr="00D02CE2" w:rsidRDefault="00130162">
      <w:pPr>
        <w:pStyle w:val="FootnoteText"/>
      </w:pPr>
    </w:p>
  </w:footnote>
  <w:footnote w:id="7">
    <w:p w:rsidR="00130162" w:rsidRPr="00D02CE2" w:rsidRDefault="00130162">
      <w:pPr>
        <w:pStyle w:val="FootnoteText"/>
      </w:pPr>
      <w:r w:rsidRPr="00D02CE2">
        <w:rPr>
          <w:rStyle w:val="FootnoteReference"/>
        </w:rPr>
        <w:footnoteRef/>
      </w:r>
      <w:r w:rsidRPr="00D02CE2">
        <w:tab/>
        <w:t xml:space="preserve">Sursă: </w:t>
      </w:r>
      <w:bookmarkStart w:id="5" w:name="_Hlk212741128"/>
      <w:r w:rsidRPr="00D02CE2">
        <w:t>Statbel (</w:t>
      </w:r>
      <w:hyperlink r:id="rId1" w:history="1">
        <w:r w:rsidRPr="00D02CE2">
          <w:rPr>
            <w:rStyle w:val="Hyperlink"/>
          </w:rPr>
          <w:t>Falimente și disponibilizări în Belgia pe lună</w:t>
        </w:r>
      </w:hyperlink>
      <w:r w:rsidRPr="00D02CE2">
        <w:t>).</w:t>
      </w:r>
      <w:bookmarkEnd w:id="5"/>
      <w:r w:rsidRPr="00D02CE2">
        <w:t xml:space="preserve"> </w:t>
      </w:r>
    </w:p>
  </w:footnote>
  <w:footnote w:id="8">
    <w:p w:rsidR="00225C7B" w:rsidRPr="00D02CE2" w:rsidRDefault="00225C7B">
      <w:pPr>
        <w:pStyle w:val="FootnoteText"/>
      </w:pPr>
      <w:r w:rsidRPr="00D02CE2">
        <w:rPr>
          <w:rStyle w:val="FootnoteReference"/>
        </w:rPr>
        <w:footnoteRef/>
      </w:r>
      <w:r w:rsidRPr="00D02CE2">
        <w:tab/>
        <w:t>Din iunie 2023 până în mai 2024, numărul de posturi vacante a scăzut cu 11,4 % în comparație cu ultimele 12 luni (sursa:</w:t>
      </w:r>
      <w:r w:rsidRPr="00D02CE2">
        <w:rPr>
          <w:color w:val="000000"/>
        </w:rPr>
        <w:t xml:space="preserve"> VDAB). </w:t>
      </w:r>
    </w:p>
  </w:footnote>
  <w:footnote w:id="9">
    <w:p w:rsidR="00225C7B" w:rsidRPr="00D02CE2" w:rsidRDefault="00225C7B">
      <w:pPr>
        <w:pStyle w:val="FootnoteText"/>
      </w:pPr>
      <w:r w:rsidRPr="00D02CE2">
        <w:rPr>
          <w:rStyle w:val="FootnoteReference"/>
        </w:rPr>
        <w:footnoteRef/>
      </w:r>
      <w:r w:rsidRPr="00D02CE2">
        <w:tab/>
        <w:t>În perioada iunie 2024 - mai 2025, peste 7 400 de posturi vacante au fost comunicate direct VDAB pe teritoriul Flandrei.</w:t>
      </w:r>
      <w:r w:rsidRPr="00D02CE2">
        <w:rPr>
          <w:color w:val="000000"/>
        </w:rPr>
        <w:t xml:space="preserve"> </w:t>
      </w:r>
    </w:p>
  </w:footnote>
  <w:footnote w:id="10">
    <w:p w:rsidR="00B45769" w:rsidRPr="00D02CE2" w:rsidRDefault="00B45769">
      <w:pPr>
        <w:pStyle w:val="FootnoteText"/>
      </w:pPr>
      <w:r w:rsidRPr="00D02CE2">
        <w:rPr>
          <w:rStyle w:val="FootnoteReference"/>
        </w:rPr>
        <w:footnoteRef/>
      </w:r>
      <w:r w:rsidRPr="00D02CE2">
        <w:tab/>
        <w:t>Decretul regal din 10 noiembrie 2006 de modificare a Decretului regal din 9 martie 2006.</w:t>
      </w:r>
    </w:p>
  </w:footnote>
  <w:footnote w:id="11">
    <w:p w:rsidR="00F15865" w:rsidRPr="00D02CE2" w:rsidRDefault="00F15865" w:rsidP="00F15865">
      <w:pPr>
        <w:pStyle w:val="FootnoteText"/>
      </w:pPr>
      <w:r w:rsidRPr="00D02CE2">
        <w:rPr>
          <w:rStyle w:val="FootnoteReference"/>
        </w:rPr>
        <w:footnoteRef/>
      </w:r>
      <w:r w:rsidRPr="00D02CE2">
        <w:tab/>
      </w:r>
      <w:r w:rsidRPr="00D02CE2">
        <w:rPr>
          <w:color w:val="000000"/>
        </w:rPr>
        <w:t>Decretul guvernului flamand din 18 martie 2011 de punere în aplicare a articolului 5 alineatul (1) punctul (2) litera (e) din Decretul din 7 mai 2004 privind înființarea, în temeiul dreptului public, a agenției independente externe a Serviciului flamand pentru ocuparea forței de muncă și formare profesională (VDAB).</w:t>
      </w:r>
    </w:p>
  </w:footnote>
  <w:footnote w:id="12">
    <w:p w:rsidR="00E13727" w:rsidRPr="00D02CE2" w:rsidRDefault="00E13727" w:rsidP="00E13727">
      <w:pPr>
        <w:pStyle w:val="FootnoteText"/>
      </w:pPr>
      <w:r w:rsidRPr="00D02CE2">
        <w:rPr>
          <w:rStyle w:val="FootnoteReference"/>
        </w:rPr>
        <w:footnoteRef/>
      </w:r>
      <w:r w:rsidRPr="00D02CE2">
        <w:tab/>
        <w:t>Algemeen Belgisch Vakverbond - Federația Generală a Muncii din Belgia</w:t>
      </w:r>
      <w:r w:rsidR="00D22A6D">
        <w:t>.</w:t>
      </w:r>
    </w:p>
  </w:footnote>
  <w:footnote w:id="13">
    <w:p w:rsidR="00E13727" w:rsidRPr="00D02CE2" w:rsidRDefault="00E13727" w:rsidP="00E13727">
      <w:pPr>
        <w:pStyle w:val="FootnoteText"/>
      </w:pPr>
      <w:r w:rsidRPr="00D02CE2">
        <w:rPr>
          <w:rStyle w:val="FootnoteReference"/>
        </w:rPr>
        <w:footnoteRef/>
      </w:r>
      <w:r w:rsidRPr="00D02CE2">
        <w:tab/>
        <w:t>Algemeen Christelijk Vakverbond – Confederația sindicatelor creștine</w:t>
      </w:r>
      <w:r w:rsidR="00D22A6D">
        <w:t>.</w:t>
      </w:r>
    </w:p>
  </w:footnote>
  <w:footnote w:id="14">
    <w:p w:rsidR="00B45769" w:rsidRPr="00D02CE2" w:rsidRDefault="00B45769">
      <w:pPr>
        <w:pStyle w:val="FootnoteText"/>
      </w:pPr>
      <w:r w:rsidRPr="00D02CE2">
        <w:rPr>
          <w:rStyle w:val="FootnoteReference"/>
        </w:rPr>
        <w:footnoteRef/>
      </w:r>
      <w:r w:rsidRPr="00D02CE2">
        <w:tab/>
        <w:t>ISCED 0-2</w:t>
      </w:r>
      <w:r w:rsidR="00D22A6D">
        <w:t>.</w:t>
      </w:r>
    </w:p>
  </w:footnote>
  <w:footnote w:id="15">
    <w:p w:rsidR="00B45769" w:rsidRPr="00D02CE2" w:rsidRDefault="00B45769">
      <w:pPr>
        <w:pStyle w:val="FootnoteText"/>
      </w:pPr>
      <w:r w:rsidRPr="00D02CE2">
        <w:rPr>
          <w:rStyle w:val="FootnoteReference"/>
        </w:rPr>
        <w:footnoteRef/>
      </w:r>
      <w:r w:rsidRPr="00D02CE2">
        <w:tab/>
        <w:t>ISCED 3</w:t>
      </w:r>
      <w:r w:rsidR="00D22A6D">
        <w:t>.</w:t>
      </w:r>
    </w:p>
  </w:footnote>
  <w:footnote w:id="16">
    <w:p w:rsidR="00B45769" w:rsidRPr="00D02CE2" w:rsidRDefault="00B45769">
      <w:pPr>
        <w:pStyle w:val="FootnoteText"/>
      </w:pPr>
      <w:r w:rsidRPr="00D02CE2">
        <w:rPr>
          <w:rStyle w:val="FootnoteReference"/>
        </w:rPr>
        <w:footnoteRef/>
      </w:r>
      <w:r w:rsidRPr="00D02CE2">
        <w:tab/>
        <w:t>ISCED 4</w:t>
      </w:r>
      <w:r w:rsidR="00D22A6D">
        <w:t>.</w:t>
      </w:r>
    </w:p>
  </w:footnote>
  <w:footnote w:id="17">
    <w:p w:rsidR="00B45769" w:rsidRPr="00D02CE2" w:rsidRDefault="00B45769">
      <w:pPr>
        <w:pStyle w:val="FootnoteText"/>
      </w:pPr>
      <w:r w:rsidRPr="00D02CE2">
        <w:rPr>
          <w:rStyle w:val="FootnoteReference"/>
        </w:rPr>
        <w:footnoteRef/>
      </w:r>
      <w:r w:rsidRPr="00D02CE2">
        <w:tab/>
        <w:t>ISCED 5-8</w:t>
      </w:r>
      <w:r w:rsidR="00D22A6D">
        <w:t>.</w:t>
      </w:r>
    </w:p>
  </w:footnote>
  <w:footnote w:id="18">
    <w:p w:rsidR="001A62D7" w:rsidRPr="00D02CE2" w:rsidRDefault="001A62D7" w:rsidP="001A62D7">
      <w:pPr>
        <w:pStyle w:val="FootnoteText"/>
      </w:pPr>
      <w:r w:rsidRPr="00D02CE2">
        <w:rPr>
          <w:rStyle w:val="FootnoteReference"/>
        </w:rPr>
        <w:footnoteRef/>
      </w:r>
      <w:r w:rsidRPr="00D02CE2">
        <w:tab/>
        <w:t>Pentru a se evita zecimalele, costurile estimate per lucrător au fost rotunjite. Cu toate acestea, rotunjirile nu au niciun impact asupra costului total al fiecărei măsuri, care nu diferă de cel indicat în cererea prezentată de Belgia.</w:t>
      </w:r>
    </w:p>
  </w:footnote>
  <w:footnote w:id="19">
    <w:p w:rsidR="001A62D7" w:rsidRPr="00D02CE2" w:rsidRDefault="001A62D7" w:rsidP="001A62D7">
      <w:pPr>
        <w:pStyle w:val="FootnoteText"/>
      </w:pPr>
      <w:r w:rsidRPr="00D02CE2">
        <w:rPr>
          <w:rStyle w:val="FootnoteReference"/>
        </w:rPr>
        <w:footnoteRef/>
      </w:r>
      <w:r w:rsidRPr="00D02CE2">
        <w:tab/>
        <w:t>Totalurile nu corespund exact din cauza rotunjirilor.</w:t>
      </w:r>
    </w:p>
  </w:footnote>
  <w:footnote w:id="20">
    <w:p w:rsidR="001A62D7" w:rsidRPr="00D02CE2" w:rsidRDefault="001A62D7" w:rsidP="001A62D7">
      <w:pPr>
        <w:pStyle w:val="FootnoteText"/>
      </w:pPr>
      <w:r w:rsidRPr="00D02CE2">
        <w:rPr>
          <w:rStyle w:val="FootnoteReference"/>
        </w:rPr>
        <w:footnoteRef/>
      </w:r>
      <w:r w:rsidRPr="00D02CE2">
        <w:tab/>
        <w:t>JO</w:t>
      </w:r>
      <w:r w:rsidR="00D22A6D">
        <w:t> </w:t>
      </w:r>
      <w:r w:rsidRPr="00D02CE2">
        <w:t>L 433 I, 22.12.2020, p. 11.</w:t>
      </w:r>
    </w:p>
  </w:footnote>
  <w:footnote w:id="21">
    <w:p w:rsidR="001A62D7" w:rsidRPr="00D02CE2" w:rsidRDefault="001A62D7" w:rsidP="001A62D7">
      <w:pPr>
        <w:pStyle w:val="FootnoteText"/>
      </w:pPr>
      <w:r w:rsidRPr="00D02CE2">
        <w:rPr>
          <w:rStyle w:val="FootnoteReference"/>
        </w:rPr>
        <w:footnoteRef/>
      </w:r>
      <w:r w:rsidRPr="00D02CE2">
        <w:tab/>
        <w:t>JO</w:t>
      </w:r>
      <w:r w:rsidR="00D22A6D">
        <w:t> </w:t>
      </w:r>
      <w:r w:rsidRPr="00D02CE2">
        <w:t xml:space="preserve">L, 2024/765, 29.2.2024, ELI: http://data.europa.eu/eli/reg/2024/765/oj. </w:t>
      </w:r>
    </w:p>
  </w:footnote>
  <w:footnote w:id="22">
    <w:p w:rsidR="001A62D7" w:rsidRPr="00D02CE2" w:rsidRDefault="001A62D7" w:rsidP="001A62D7">
      <w:pPr>
        <w:pStyle w:val="FootnoteText"/>
      </w:pPr>
      <w:r w:rsidRPr="00D02CE2">
        <w:rPr>
          <w:rStyle w:val="FootnoteReference"/>
        </w:rPr>
        <w:footnoteRef/>
      </w:r>
      <w:r w:rsidRPr="00D02CE2">
        <w:tab/>
        <w:t>JO</w:t>
      </w:r>
      <w:r w:rsidR="00D22A6D">
        <w:t> </w:t>
      </w:r>
      <w:r w:rsidRPr="00D02CE2">
        <w:t>L 433 I, 22.12.2020, p. 28.</w:t>
      </w:r>
    </w:p>
  </w:footnote>
  <w:footnote w:id="23">
    <w:p w:rsidR="001A62D7" w:rsidRPr="00D02CE2" w:rsidRDefault="001A62D7" w:rsidP="001A62D7">
      <w:pPr>
        <w:pStyle w:val="FootnoteText"/>
      </w:pPr>
      <w:r w:rsidRPr="00D02CE2">
        <w:rPr>
          <w:rStyle w:val="FootnoteReference"/>
        </w:rPr>
        <w:footnoteRef/>
      </w:r>
      <w:r w:rsidRPr="00D02CE2">
        <w:tab/>
        <w:t xml:space="preserve">Regulamentul (UE, Euratom) 2024/2509 al Parlamentului European și al Consiliului din 23 septembrie 2024 privind normele financiare aplicabile bugetului general al Uniunii (reformare) JO L, 2024/2509, 26.9.2024, ELI: http://data.europa.eu/eli/reg/2024/2509/oj. </w:t>
      </w:r>
    </w:p>
  </w:footnote>
  <w:footnote w:id="24">
    <w:p w:rsidR="001A62D7" w:rsidRPr="00D02CE2" w:rsidRDefault="001A62D7" w:rsidP="001A62D7">
      <w:pPr>
        <w:pStyle w:val="FootnoteText"/>
      </w:pPr>
      <w:r w:rsidRPr="00D02CE2">
        <w:rPr>
          <w:rStyle w:val="FootnoteReference"/>
        </w:rPr>
        <w:footnoteRef/>
      </w:r>
      <w:r w:rsidRPr="00D02CE2">
        <w:tab/>
        <w:t>JO</w:t>
      </w:r>
      <w:r w:rsidR="00D22A6D">
        <w:t> </w:t>
      </w:r>
      <w:r w:rsidRPr="00D02CE2">
        <w:t>L 153, 3.5.2021, p. 48.</w:t>
      </w:r>
    </w:p>
  </w:footnote>
  <w:footnote w:id="25">
    <w:p w:rsidR="001A62D7" w:rsidRPr="00D02CE2" w:rsidRDefault="001A62D7" w:rsidP="001A62D7">
      <w:pPr>
        <w:pStyle w:val="FootnoteText"/>
      </w:pPr>
      <w:r w:rsidRPr="00D02CE2">
        <w:rPr>
          <w:rStyle w:val="FootnoteReference"/>
        </w:rPr>
        <w:footnoteRef/>
      </w:r>
      <w:r w:rsidRPr="00D02CE2">
        <w:tab/>
        <w:t>JO</w:t>
      </w:r>
      <w:r w:rsidR="00D22A6D">
        <w:t> </w:t>
      </w:r>
      <w:r w:rsidRPr="00D02CE2">
        <w:t>L 433 I, 22.12.2020, p. 28.</w:t>
      </w:r>
    </w:p>
  </w:footnote>
  <w:footnote w:id="26">
    <w:p w:rsidR="001A62D7" w:rsidRPr="00D02CE2" w:rsidRDefault="001A62D7" w:rsidP="001A62D7">
      <w:pPr>
        <w:pStyle w:val="FootnoteText"/>
      </w:pPr>
      <w:r w:rsidRPr="00D02CE2">
        <w:rPr>
          <w:rStyle w:val="FootnoteReference"/>
        </w:rPr>
        <w:footnoteRef/>
      </w:r>
      <w:r w:rsidRPr="00D02CE2">
        <w:tab/>
        <w:t>Regulamentul (UE, Euratom) 2020/2093 al Consiliului din 17 decembrie 2020 de stabilire a cadrului financiar multianual pentru perioada 2021-2027 (JO</w:t>
      </w:r>
      <w:r w:rsidR="00D22A6D">
        <w:t> </w:t>
      </w:r>
      <w:r w:rsidRPr="00D02CE2">
        <w:t>L 433 I, 22.12.2020, p. 11).</w:t>
      </w:r>
    </w:p>
  </w:footnote>
  <w:footnote w:id="27">
    <w:p w:rsidR="001A62D7" w:rsidRPr="00D02CE2" w:rsidRDefault="001A62D7" w:rsidP="001A62D7">
      <w:pPr>
        <w:pStyle w:val="FootnoteText"/>
      </w:pPr>
      <w:r w:rsidRPr="00D02CE2">
        <w:rPr>
          <w:rStyle w:val="FootnoteReference"/>
        </w:rPr>
        <w:footnoteRef/>
      </w:r>
      <w:r w:rsidRPr="00D02CE2">
        <w:tab/>
        <w:t>JO</w:t>
      </w:r>
      <w:r w:rsidR="00D22A6D">
        <w:t> </w:t>
      </w:r>
      <w:r w:rsidRPr="00D02CE2">
        <w:t>L, 2024/765, 29.2.2024, ELI: http://data.europa.eu/eli/reg/2024/765/oj.</w:t>
      </w:r>
    </w:p>
  </w:footnote>
  <w:footnote w:id="28">
    <w:p w:rsidR="001A62D7" w:rsidRPr="00D02CE2" w:rsidRDefault="001A62D7" w:rsidP="001A62D7">
      <w:pPr>
        <w:pStyle w:val="FootnoteText"/>
      </w:pPr>
      <w:r w:rsidRPr="00D02CE2">
        <w:rPr>
          <w:rStyle w:val="FootnoteReference"/>
        </w:rPr>
        <w:footnoteRef/>
      </w:r>
      <w:r w:rsidRPr="00D02CE2">
        <w:tab/>
        <w:t>COM(2026) 3</w:t>
      </w:r>
      <w:r w:rsidR="00D22A6D">
        <w:t>.</w:t>
      </w:r>
    </w:p>
  </w:footnote>
  <w:footnote w:id="29">
    <w:p w:rsidR="00EC0935" w:rsidRPr="00A2522E" w:rsidRDefault="00EC0935" w:rsidP="00EC0935">
      <w:pPr>
        <w:pStyle w:val="FootnoteText"/>
      </w:pPr>
      <w:r w:rsidRPr="00D02CE2">
        <w:rPr>
          <w:rStyle w:val="FootnoteReference"/>
        </w:rPr>
        <w:t>*</w:t>
      </w:r>
      <w:r w:rsidRPr="00D02CE2">
        <w:tab/>
      </w:r>
      <w:r w:rsidRPr="00D02CE2">
        <w:rPr>
          <w:color w:val="FF0000"/>
        </w:rPr>
        <w:t>Data urmează să fie introdusă de către Parlament înainte de publicarea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DC3" w:rsidRDefault="00EE6D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DC3" w:rsidRDefault="00EE6D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30 09:12: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BA0E98B-6660-44A1-8B9E-C1BD72B8FDC1"/>
    <w:docVar w:name="LW_COVERPAGE_TYPE" w:val="1"/>
    <w:docVar w:name="LW_CreatedUtc" w:val="2025-02-03T12:09:04.7855178Z"/>
    <w:docVar w:name="LW_CROSSREFERENCE" w:val="&lt;UNUSED&gt;"/>
    <w:docVar w:name="LW_DocType" w:val="COM"/>
    <w:docVar w:name="LW_EMISSION" w:val="6.2.2026"/>
    <w:docVar w:name="LW_EMISSION_ISODATE" w:val="2026-02-06"/>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038"/>
    <w:docVar w:name="LW_REF.II.NEW.CP_YEAR" w:val="2026"/>
    <w:docVar w:name="LW_REF.INST.NEW" w:val="COM"/>
    <w:docVar w:name="LW_REF.INST.NEW_ADOPTED" w:val="final"/>
    <w:docVar w:name="LW_REF.INST.NEW_TEXT" w:val="(2026) 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în urma unei cereri din partea Belgiei - EGF/2025/007 BE/Casa"/>
    <w:docVar w:name="LW_TYPE.DOC.CP" w:val="DECIZIE A PARLAMENTULUI EUROPEAN \u536?I A CONSILIULUI"/>
    <w:docVar w:name="LwApiVersions" w:val="LW4CoDe 1.24.5.0; LW 9.2, Build 20251112"/>
  </w:docVars>
  <w:rsids>
    <w:rsidRoot w:val="001A62D7"/>
    <w:rsid w:val="00004EB3"/>
    <w:rsid w:val="00005912"/>
    <w:rsid w:val="00023F90"/>
    <w:rsid w:val="00024087"/>
    <w:rsid w:val="000269AE"/>
    <w:rsid w:val="00030AE7"/>
    <w:rsid w:val="00051AD2"/>
    <w:rsid w:val="000609C3"/>
    <w:rsid w:val="00061791"/>
    <w:rsid w:val="00070B81"/>
    <w:rsid w:val="00072208"/>
    <w:rsid w:val="000A20E1"/>
    <w:rsid w:val="000A7BAF"/>
    <w:rsid w:val="000B44A2"/>
    <w:rsid w:val="000B7C62"/>
    <w:rsid w:val="000D1507"/>
    <w:rsid w:val="000E1A08"/>
    <w:rsid w:val="000F3FBB"/>
    <w:rsid w:val="001065F5"/>
    <w:rsid w:val="001238EF"/>
    <w:rsid w:val="00125A6E"/>
    <w:rsid w:val="00130162"/>
    <w:rsid w:val="001425E8"/>
    <w:rsid w:val="00147C69"/>
    <w:rsid w:val="001501F1"/>
    <w:rsid w:val="00160671"/>
    <w:rsid w:val="001635F4"/>
    <w:rsid w:val="0016531C"/>
    <w:rsid w:val="0016558E"/>
    <w:rsid w:val="00173D49"/>
    <w:rsid w:val="00175BF1"/>
    <w:rsid w:val="001765F3"/>
    <w:rsid w:val="00181DB4"/>
    <w:rsid w:val="00184ABC"/>
    <w:rsid w:val="00197613"/>
    <w:rsid w:val="001A0466"/>
    <w:rsid w:val="001A35CA"/>
    <w:rsid w:val="001A62D7"/>
    <w:rsid w:val="001B1932"/>
    <w:rsid w:val="001B6735"/>
    <w:rsid w:val="001C0746"/>
    <w:rsid w:val="001C5556"/>
    <w:rsid w:val="001E1B79"/>
    <w:rsid w:val="002156AF"/>
    <w:rsid w:val="00225C7B"/>
    <w:rsid w:val="00233DC7"/>
    <w:rsid w:val="002344E7"/>
    <w:rsid w:val="00241A60"/>
    <w:rsid w:val="00247779"/>
    <w:rsid w:val="00261F2A"/>
    <w:rsid w:val="00266CE5"/>
    <w:rsid w:val="00285BEE"/>
    <w:rsid w:val="0029533F"/>
    <w:rsid w:val="00297D5D"/>
    <w:rsid w:val="002B30AF"/>
    <w:rsid w:val="002B4308"/>
    <w:rsid w:val="002C22A1"/>
    <w:rsid w:val="002C32FA"/>
    <w:rsid w:val="002C7E98"/>
    <w:rsid w:val="002F24C0"/>
    <w:rsid w:val="002F6AC0"/>
    <w:rsid w:val="003038E0"/>
    <w:rsid w:val="00330C89"/>
    <w:rsid w:val="0033344A"/>
    <w:rsid w:val="00343014"/>
    <w:rsid w:val="00346FE2"/>
    <w:rsid w:val="0036303C"/>
    <w:rsid w:val="0036684B"/>
    <w:rsid w:val="00370469"/>
    <w:rsid w:val="00373CEB"/>
    <w:rsid w:val="00391E94"/>
    <w:rsid w:val="003A4EE2"/>
    <w:rsid w:val="003B342B"/>
    <w:rsid w:val="003B4A79"/>
    <w:rsid w:val="003D0A5F"/>
    <w:rsid w:val="003D261D"/>
    <w:rsid w:val="003E20C4"/>
    <w:rsid w:val="003E3B3A"/>
    <w:rsid w:val="003F6FCC"/>
    <w:rsid w:val="0041603A"/>
    <w:rsid w:val="004223ED"/>
    <w:rsid w:val="0042648E"/>
    <w:rsid w:val="004302CE"/>
    <w:rsid w:val="0043146A"/>
    <w:rsid w:val="00434E5B"/>
    <w:rsid w:val="00437F72"/>
    <w:rsid w:val="00443B2E"/>
    <w:rsid w:val="0044569F"/>
    <w:rsid w:val="00447FE9"/>
    <w:rsid w:val="00467D58"/>
    <w:rsid w:val="00492DDE"/>
    <w:rsid w:val="004936D2"/>
    <w:rsid w:val="004A18A9"/>
    <w:rsid w:val="004A22F7"/>
    <w:rsid w:val="004A7C1A"/>
    <w:rsid w:val="004B6215"/>
    <w:rsid w:val="004C3C5B"/>
    <w:rsid w:val="004C4867"/>
    <w:rsid w:val="004D6C79"/>
    <w:rsid w:val="004E39EE"/>
    <w:rsid w:val="004F5528"/>
    <w:rsid w:val="005028D6"/>
    <w:rsid w:val="005277E4"/>
    <w:rsid w:val="00537A4D"/>
    <w:rsid w:val="0054143C"/>
    <w:rsid w:val="00541CE5"/>
    <w:rsid w:val="00545AD1"/>
    <w:rsid w:val="00546FB3"/>
    <w:rsid w:val="005520A5"/>
    <w:rsid w:val="0055444B"/>
    <w:rsid w:val="00561E81"/>
    <w:rsid w:val="00564A03"/>
    <w:rsid w:val="005831B7"/>
    <w:rsid w:val="00594365"/>
    <w:rsid w:val="005A158F"/>
    <w:rsid w:val="005A356F"/>
    <w:rsid w:val="005A40BF"/>
    <w:rsid w:val="005A7F9F"/>
    <w:rsid w:val="005B1EB6"/>
    <w:rsid w:val="005E047F"/>
    <w:rsid w:val="005E07A3"/>
    <w:rsid w:val="005E6250"/>
    <w:rsid w:val="00605A59"/>
    <w:rsid w:val="0064043B"/>
    <w:rsid w:val="006443EB"/>
    <w:rsid w:val="00655010"/>
    <w:rsid w:val="006741F5"/>
    <w:rsid w:val="006905BD"/>
    <w:rsid w:val="00693647"/>
    <w:rsid w:val="006A04E8"/>
    <w:rsid w:val="006B015D"/>
    <w:rsid w:val="006D046C"/>
    <w:rsid w:val="006F170C"/>
    <w:rsid w:val="006F274D"/>
    <w:rsid w:val="006F3D6A"/>
    <w:rsid w:val="0070088B"/>
    <w:rsid w:val="007215B4"/>
    <w:rsid w:val="00731699"/>
    <w:rsid w:val="00731F25"/>
    <w:rsid w:val="00737F90"/>
    <w:rsid w:val="00737FB8"/>
    <w:rsid w:val="0074158B"/>
    <w:rsid w:val="007452BA"/>
    <w:rsid w:val="00745B3E"/>
    <w:rsid w:val="0075483B"/>
    <w:rsid w:val="00773331"/>
    <w:rsid w:val="00784BFE"/>
    <w:rsid w:val="00791943"/>
    <w:rsid w:val="007932EF"/>
    <w:rsid w:val="007A1355"/>
    <w:rsid w:val="007A26EC"/>
    <w:rsid w:val="007A3244"/>
    <w:rsid w:val="007D02B4"/>
    <w:rsid w:val="007E05B0"/>
    <w:rsid w:val="007E0D46"/>
    <w:rsid w:val="007F5F1C"/>
    <w:rsid w:val="00802C8A"/>
    <w:rsid w:val="0081439C"/>
    <w:rsid w:val="008179C7"/>
    <w:rsid w:val="00825362"/>
    <w:rsid w:val="00833D67"/>
    <w:rsid w:val="00842DE2"/>
    <w:rsid w:val="00856DAE"/>
    <w:rsid w:val="00874D22"/>
    <w:rsid w:val="00883BBD"/>
    <w:rsid w:val="00886CAA"/>
    <w:rsid w:val="008875E5"/>
    <w:rsid w:val="00891B7E"/>
    <w:rsid w:val="0089565D"/>
    <w:rsid w:val="008A2914"/>
    <w:rsid w:val="008A443E"/>
    <w:rsid w:val="008A792E"/>
    <w:rsid w:val="008B19CB"/>
    <w:rsid w:val="008B2B26"/>
    <w:rsid w:val="008D2433"/>
    <w:rsid w:val="008D3624"/>
    <w:rsid w:val="008E4D8E"/>
    <w:rsid w:val="008E569A"/>
    <w:rsid w:val="008E6DE5"/>
    <w:rsid w:val="008F04F1"/>
    <w:rsid w:val="008F0EA0"/>
    <w:rsid w:val="008F3FFD"/>
    <w:rsid w:val="008F50D6"/>
    <w:rsid w:val="008F5FE1"/>
    <w:rsid w:val="00900D9C"/>
    <w:rsid w:val="009020F6"/>
    <w:rsid w:val="009027EB"/>
    <w:rsid w:val="00904CED"/>
    <w:rsid w:val="00910A62"/>
    <w:rsid w:val="00912C2F"/>
    <w:rsid w:val="0091490B"/>
    <w:rsid w:val="009171FB"/>
    <w:rsid w:val="00921A89"/>
    <w:rsid w:val="0092772A"/>
    <w:rsid w:val="00931AD2"/>
    <w:rsid w:val="009432D6"/>
    <w:rsid w:val="0095785B"/>
    <w:rsid w:val="00962972"/>
    <w:rsid w:val="00971957"/>
    <w:rsid w:val="00984952"/>
    <w:rsid w:val="0098603A"/>
    <w:rsid w:val="00997C74"/>
    <w:rsid w:val="009A476A"/>
    <w:rsid w:val="009A5C2E"/>
    <w:rsid w:val="009C1B38"/>
    <w:rsid w:val="009C2DEC"/>
    <w:rsid w:val="009C50F6"/>
    <w:rsid w:val="009D1AB4"/>
    <w:rsid w:val="009D6A18"/>
    <w:rsid w:val="009F458A"/>
    <w:rsid w:val="00A10D3E"/>
    <w:rsid w:val="00A22553"/>
    <w:rsid w:val="00A2522E"/>
    <w:rsid w:val="00A256BF"/>
    <w:rsid w:val="00A31E6D"/>
    <w:rsid w:val="00A33965"/>
    <w:rsid w:val="00A417A1"/>
    <w:rsid w:val="00A50DD1"/>
    <w:rsid w:val="00A66F09"/>
    <w:rsid w:val="00A746AB"/>
    <w:rsid w:val="00A76281"/>
    <w:rsid w:val="00AA088C"/>
    <w:rsid w:val="00AA2B21"/>
    <w:rsid w:val="00AC3AEF"/>
    <w:rsid w:val="00AC69F6"/>
    <w:rsid w:val="00AD47FD"/>
    <w:rsid w:val="00AD62A8"/>
    <w:rsid w:val="00AE446F"/>
    <w:rsid w:val="00AF2836"/>
    <w:rsid w:val="00B04911"/>
    <w:rsid w:val="00B126CD"/>
    <w:rsid w:val="00B16D40"/>
    <w:rsid w:val="00B33A23"/>
    <w:rsid w:val="00B44AFA"/>
    <w:rsid w:val="00B45769"/>
    <w:rsid w:val="00B46720"/>
    <w:rsid w:val="00B53F62"/>
    <w:rsid w:val="00B71ACA"/>
    <w:rsid w:val="00B72C22"/>
    <w:rsid w:val="00B75014"/>
    <w:rsid w:val="00B75419"/>
    <w:rsid w:val="00B76851"/>
    <w:rsid w:val="00B83D1B"/>
    <w:rsid w:val="00B958F2"/>
    <w:rsid w:val="00BA76D1"/>
    <w:rsid w:val="00BC0F8C"/>
    <w:rsid w:val="00BD4AB4"/>
    <w:rsid w:val="00BD7438"/>
    <w:rsid w:val="00BE58D3"/>
    <w:rsid w:val="00BF0DB9"/>
    <w:rsid w:val="00BF36A7"/>
    <w:rsid w:val="00C06C7D"/>
    <w:rsid w:val="00C12301"/>
    <w:rsid w:val="00C129C8"/>
    <w:rsid w:val="00C17426"/>
    <w:rsid w:val="00C22D01"/>
    <w:rsid w:val="00C3424D"/>
    <w:rsid w:val="00C3491B"/>
    <w:rsid w:val="00C440FE"/>
    <w:rsid w:val="00C8368A"/>
    <w:rsid w:val="00C84B39"/>
    <w:rsid w:val="00C84E77"/>
    <w:rsid w:val="00C973E2"/>
    <w:rsid w:val="00CB1E54"/>
    <w:rsid w:val="00CB6D22"/>
    <w:rsid w:val="00CC17D6"/>
    <w:rsid w:val="00CC41A9"/>
    <w:rsid w:val="00CC78E1"/>
    <w:rsid w:val="00CE2FB0"/>
    <w:rsid w:val="00CE63C3"/>
    <w:rsid w:val="00D02CE2"/>
    <w:rsid w:val="00D04DD1"/>
    <w:rsid w:val="00D20381"/>
    <w:rsid w:val="00D22A6D"/>
    <w:rsid w:val="00D235E6"/>
    <w:rsid w:val="00D25904"/>
    <w:rsid w:val="00D32A53"/>
    <w:rsid w:val="00D54F1D"/>
    <w:rsid w:val="00D67714"/>
    <w:rsid w:val="00DA2419"/>
    <w:rsid w:val="00DA7337"/>
    <w:rsid w:val="00DA7958"/>
    <w:rsid w:val="00DB1DD2"/>
    <w:rsid w:val="00DD5180"/>
    <w:rsid w:val="00DF1166"/>
    <w:rsid w:val="00DF1A65"/>
    <w:rsid w:val="00DF4E7E"/>
    <w:rsid w:val="00DF797F"/>
    <w:rsid w:val="00E035DE"/>
    <w:rsid w:val="00E1163B"/>
    <w:rsid w:val="00E13727"/>
    <w:rsid w:val="00E13FA6"/>
    <w:rsid w:val="00E2169E"/>
    <w:rsid w:val="00E22EAF"/>
    <w:rsid w:val="00E346FB"/>
    <w:rsid w:val="00E355E4"/>
    <w:rsid w:val="00E36FCE"/>
    <w:rsid w:val="00E5301D"/>
    <w:rsid w:val="00E80EA5"/>
    <w:rsid w:val="00E83703"/>
    <w:rsid w:val="00E914FA"/>
    <w:rsid w:val="00E94D77"/>
    <w:rsid w:val="00EA4057"/>
    <w:rsid w:val="00EA5827"/>
    <w:rsid w:val="00EC0935"/>
    <w:rsid w:val="00EC0CDD"/>
    <w:rsid w:val="00EC30D5"/>
    <w:rsid w:val="00EC6F00"/>
    <w:rsid w:val="00EE2A20"/>
    <w:rsid w:val="00EE2D3F"/>
    <w:rsid w:val="00EE6DC3"/>
    <w:rsid w:val="00EF7072"/>
    <w:rsid w:val="00F01C2E"/>
    <w:rsid w:val="00F027DD"/>
    <w:rsid w:val="00F03387"/>
    <w:rsid w:val="00F15865"/>
    <w:rsid w:val="00F2491B"/>
    <w:rsid w:val="00F25749"/>
    <w:rsid w:val="00F25CC3"/>
    <w:rsid w:val="00F267B8"/>
    <w:rsid w:val="00F40349"/>
    <w:rsid w:val="00F6213D"/>
    <w:rsid w:val="00F71369"/>
    <w:rsid w:val="00F74C55"/>
    <w:rsid w:val="00F80C79"/>
    <w:rsid w:val="00FA1B23"/>
    <w:rsid w:val="00FB2121"/>
    <w:rsid w:val="00FC38F8"/>
    <w:rsid w:val="00FD42B2"/>
    <w:rsid w:val="00FE0A29"/>
    <w:rsid w:val="00FF5313"/>
    <w:rsid w:val="00FF612E"/>
    <w:rsid w:val="00FF7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ro-RO"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ro-RO"/>
    </w:rPr>
  </w:style>
  <w:style w:type="character" w:customStyle="1" w:styleId="FooterCoverPageChar">
    <w:name w:val="Footer Cover Page Char"/>
    <w:link w:val="FooterCoverPage"/>
    <w:rsid w:val="001A62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ro-RO" w:eastAsia="en-GB"/>
    </w:rPr>
  </w:style>
  <w:style w:type="character" w:customStyle="1" w:styleId="FooterSensitivityChar">
    <w:name w:val="Footer Sensitivity Char"/>
    <w:rsid w:val="001A62D7"/>
    <w:rPr>
      <w:rFonts w:ascii="Times New Roman" w:hAnsi="Times New Roman" w:cs="Times New Roman"/>
      <w:b/>
      <w:sz w:val="32"/>
      <w:lang w:val="ro-RO"/>
    </w:rPr>
  </w:style>
  <w:style w:type="character" w:customStyle="1" w:styleId="HeaderSensitivityChar">
    <w:name w:val="Header Sensitivity Char"/>
    <w:rsid w:val="001A62D7"/>
    <w:rPr>
      <w:rFonts w:ascii="Times New Roman" w:hAnsi="Times New Roman" w:cs="Times New Roman"/>
      <w:b/>
      <w:sz w:val="32"/>
      <w:lang w:val="ro-RO"/>
    </w:rPr>
  </w:style>
  <w:style w:type="character" w:customStyle="1" w:styleId="HeaderSensitivityRightChar">
    <w:name w:val="Header Sensitivity Right Char"/>
    <w:rsid w:val="001A62D7"/>
    <w:rPr>
      <w:rFonts w:ascii="Times New Roman" w:hAnsi="Times New Roman" w:cs="Times New Roman"/>
      <w:sz w:val="28"/>
      <w:lang w:val="ro-RO"/>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rynqvb">
    <w:name w:val="rynqvb"/>
    <w:basedOn w:val="DefaultParagraphFont"/>
    <w:rsid w:val="008D3624"/>
  </w:style>
  <w:style w:type="paragraph" w:styleId="EndnoteText">
    <w:name w:val="endnote text"/>
    <w:basedOn w:val="Normal"/>
    <w:link w:val="EndnoteTextChar"/>
    <w:uiPriority w:val="99"/>
    <w:semiHidden/>
    <w:unhideWhenUsed/>
    <w:rsid w:val="000B7C62"/>
    <w:pPr>
      <w:spacing w:before="0" w:after="0"/>
    </w:pPr>
    <w:rPr>
      <w:sz w:val="20"/>
      <w:szCs w:val="20"/>
    </w:rPr>
  </w:style>
  <w:style w:type="character" w:customStyle="1" w:styleId="EndnoteTextChar">
    <w:name w:val="Endnote Text Char"/>
    <w:basedOn w:val="DefaultParagraphFont"/>
    <w:link w:val="EndnoteText"/>
    <w:uiPriority w:val="99"/>
    <w:semiHidden/>
    <w:rsid w:val="000B7C6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0B7C62"/>
    <w:rPr>
      <w:vertAlign w:val="superscript"/>
    </w:rPr>
  </w:style>
  <w:style w:type="character" w:customStyle="1" w:styleId="HeaderChar">
    <w:name w:val="Header Char"/>
    <w:basedOn w:val="DefaultParagraphFont"/>
    <w:link w:val="Header"/>
    <w:uiPriority w:val="99"/>
    <w:rsid w:val="00EE6DC3"/>
    <w:rPr>
      <w:rFonts w:ascii="Times New Roman" w:hAnsi="Times New Roman" w:cs="Times New Roman"/>
      <w:sz w:val="24"/>
      <w:lang w:val="ro-RO"/>
    </w:rPr>
  </w:style>
  <w:style w:type="character" w:customStyle="1" w:styleId="FooterChar">
    <w:name w:val="Footer Char"/>
    <w:basedOn w:val="DefaultParagraphFont"/>
    <w:link w:val="Footer"/>
    <w:uiPriority w:val="99"/>
    <w:rsid w:val="00EE6DC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E6DC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E6DC3"/>
    <w:pPr>
      <w:spacing w:before="0"/>
      <w:jc w:val="right"/>
    </w:pPr>
    <w:rPr>
      <w:sz w:val="28"/>
    </w:rPr>
  </w:style>
  <w:style w:type="paragraph" w:customStyle="1" w:styleId="FooterSensitivity">
    <w:name w:val="Footer Sensitivity"/>
    <w:basedOn w:val="Normal"/>
    <w:rsid w:val="00EE6DC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E6DC3"/>
    <w:pPr>
      <w:tabs>
        <w:tab w:val="center" w:pos="4535"/>
        <w:tab w:val="right" w:pos="9071"/>
      </w:tabs>
      <w:spacing w:before="0"/>
    </w:pPr>
  </w:style>
  <w:style w:type="paragraph" w:customStyle="1" w:styleId="HeaderLandscape">
    <w:name w:val="HeaderLandscape"/>
    <w:basedOn w:val="Normal"/>
    <w:rsid w:val="00EE6DC3"/>
    <w:pPr>
      <w:tabs>
        <w:tab w:val="center" w:pos="7285"/>
        <w:tab w:val="right" w:pos="14003"/>
      </w:tabs>
      <w:spacing w:before="0"/>
    </w:pPr>
  </w:style>
  <w:style w:type="paragraph" w:styleId="Footer">
    <w:name w:val="footer"/>
    <w:basedOn w:val="Normal"/>
    <w:link w:val="FooterChar"/>
    <w:uiPriority w:val="99"/>
    <w:unhideWhenUsed/>
    <w:rsid w:val="00EE6DC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E6DC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bestat.statbel.fgov.be/bestat/crosstable.xhtml?view=bf348576-546f-4008-8a02-48c1736adc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12" ma:contentTypeDescription="Create a new document." ma:contentTypeScope="" ma:versionID="0cf3564fd553e4d9c70a333ce59bf57a">
  <xsd:schema xmlns:xsd="http://www.w3.org/2001/XMLSchema" xmlns:xs="http://www.w3.org/2001/XMLSchema" xmlns:p="http://schemas.microsoft.com/office/2006/metadata/properties" xmlns:ns2="ffa05dec-e383-4a36-a526-3e8014669239" xmlns:ns3="727199ac-8122-4f91-9e0c-0acc8ca412f4" targetNamespace="http://schemas.microsoft.com/office/2006/metadata/properties" ma:root="true" ma:fieldsID="a4146b1c3ada04d2241e8f424fb0b47f" ns2:_="" ns3:_="">
    <xsd:import namespace="ffa05dec-e383-4a36-a526-3e8014669239"/>
    <xsd:import namespace="727199ac-8122-4f91-9e0c-0acc8ca412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7199ac-8122-4f91-9e0c-0acc8ca412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ddf2c2-eec8-4c19-bc55-0ffcb3d14a8c}" ma:internalName="TaxCatchAll" ma:showField="CatchAllData" ma:web="727199ac-8122-4f91-9e0c-0acc8ca41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27199ac-8122-4f91-9e0c-0acc8ca412f4" xsi:nil="true"/>
    <lcf76f155ced4ddcb4097134ff3c332f xmlns="ffa05dec-e383-4a36-a526-3e801466923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A0EE1-0C4B-4ED6-82CD-4B0727C38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727199ac-8122-4f91-9e0c-0acc8ca41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7D53B0-B5E2-47EA-B0A1-738745A01AB3}">
  <ds:schemaRefs>
    <ds:schemaRef ds:uri="http://schemas.microsoft.com/sharepoint/v3/contenttype/forms"/>
  </ds:schemaRefs>
</ds:datastoreItem>
</file>

<file path=customXml/itemProps3.xml><?xml version="1.0" encoding="utf-8"?>
<ds:datastoreItem xmlns:ds="http://schemas.openxmlformats.org/officeDocument/2006/customXml" ds:itemID="{83A72419-DC9D-4AEE-A23B-812EF74FCBE2}">
  <ds:schemaRefs>
    <ds:schemaRef ds:uri="http://schemas.microsoft.com/office/2006/metadata/properties"/>
    <ds:schemaRef ds:uri="http://schemas.microsoft.com/office/infopath/2007/PartnerControls"/>
    <ds:schemaRef ds:uri="727199ac-8122-4f91-9e0c-0acc8ca412f4"/>
    <ds:schemaRef ds:uri="ffa05dec-e383-4a36-a526-3e8014669239"/>
  </ds:schemaRefs>
</ds:datastoreItem>
</file>

<file path=customXml/itemProps4.xml><?xml version="1.0" encoding="utf-8"?>
<ds:datastoreItem xmlns:ds="http://schemas.openxmlformats.org/officeDocument/2006/customXml" ds:itemID="{07D910C1-6A4B-4600-A7A8-A5453FF4B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37</TotalTime>
  <Pages>11</Pages>
  <Words>3927</Words>
  <Characters>22385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2026-01-09T07:30:00Z</dcterms:created>
  <dcterms:modified xsi:type="dcterms:W3CDTF">2026-01-30T08:12:00Z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ContentTypeId">
    <vt:lpwstr>0x010100CD92FCBF67B53A4EB1060DF04C43C986</vt:lpwstr>
  </property>
  <property fmtid="{D5CDD505-2E9C-101B-9397-08002B2CF9AE}" pid="18" name="DQCStatus">
    <vt:lpwstr>Green (DQC version 03)</vt:lpwstr>
  </property>
</Properties>
</file>