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2D7" w:rsidRDefault="0075659E" w:rsidP="0075659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D4B5E27-6AC7-4DE9-88DA-4A5937E456E2" style="width:455.25pt;height:342.75pt">
            <v:imagedata r:id="rId11" o:title=""/>
          </v:shape>
        </w:pict>
      </w:r>
    </w:p>
    <w:p w:rsidR="001A62D7" w:rsidRDefault="001A62D7" w:rsidP="001A62D7">
      <w:pPr>
        <w:rPr>
          <w:noProof/>
        </w:rPr>
        <w:sectPr w:rsidR="001A62D7" w:rsidSect="0075659E">
          <w:footerReference w:type="even" r:id="rId12"/>
          <w:footerReference w:type="default" r:id="rId13"/>
          <w:pgSz w:w="11907" w:h="16839"/>
          <w:pgMar w:top="1134" w:right="1417" w:bottom="1134" w:left="1417" w:header="709" w:footer="709" w:gutter="0"/>
          <w:pgNumType w:start="0"/>
          <w:cols w:space="720"/>
          <w:docGrid w:linePitch="360"/>
        </w:sectPr>
      </w:pPr>
    </w:p>
    <w:p w:rsidR="001A62D7" w:rsidRDefault="001A62D7" w:rsidP="001A62D7">
      <w:pPr>
        <w:pStyle w:val="Exposdesmotifstitre"/>
        <w:rPr>
          <w:noProof/>
        </w:rPr>
      </w:pPr>
      <w:bookmarkStart w:id="0" w:name="_GoBack"/>
      <w:bookmarkEnd w:id="0"/>
      <w:r w:rsidRPr="006F770D">
        <w:rPr>
          <w:noProof/>
        </w:rPr>
        <w:lastRenderedPageBreak/>
        <w:t>EXPLANATORY MEMORANDUM</w:t>
      </w:r>
    </w:p>
    <w:p w:rsidR="001A62D7" w:rsidRPr="006F770D" w:rsidRDefault="001A62D7" w:rsidP="001A62D7">
      <w:pPr>
        <w:pStyle w:val="ManualHeading1"/>
        <w:rPr>
          <w:noProof/>
        </w:rPr>
      </w:pPr>
      <w:r w:rsidRPr="006F770D">
        <w:rPr>
          <w:noProof/>
        </w:rPr>
        <w:t>CONTEXT OF THE PROPOSAL</w:t>
      </w:r>
    </w:p>
    <w:p w:rsidR="001A62D7" w:rsidRDefault="001A62D7" w:rsidP="009C50F6">
      <w:pPr>
        <w:pStyle w:val="ManualNumPar1"/>
        <w:rPr>
          <w:noProof/>
        </w:rPr>
      </w:pPr>
      <w:r>
        <w:rPr>
          <w:noProof/>
        </w:rPr>
        <w:t>1.</w:t>
      </w:r>
      <w:r>
        <w:rPr>
          <w:noProof/>
        </w:rPr>
        <w:tab/>
      </w:r>
      <w:r w:rsidRPr="008D462D">
        <w:rPr>
          <w:noProof/>
        </w:rPr>
        <w:t xml:space="preserve">The rules applicable to financial contributions from the European Globalisation Adjustment Fund </w:t>
      </w:r>
      <w:r>
        <w:rPr>
          <w:noProof/>
        </w:rPr>
        <w:t xml:space="preserve">for Displaced Workers </w:t>
      </w:r>
      <w:r w:rsidRPr="008D462D">
        <w:rPr>
          <w:noProof/>
        </w:rPr>
        <w:t xml:space="preserve">(EGF) are laid down in </w:t>
      </w:r>
      <w:r w:rsidRPr="00B6657B">
        <w:rPr>
          <w:noProof/>
        </w:rPr>
        <w:t>Regulation (EU) 2021/691</w:t>
      </w:r>
      <w:r>
        <w:rPr>
          <w:noProof/>
        </w:rPr>
        <w:t xml:space="preserve"> </w:t>
      </w:r>
      <w:r w:rsidRPr="00B6657B">
        <w:rPr>
          <w:noProof/>
        </w:rPr>
        <w:t>of the European Parliament and of the Council of 28 April 2021 on the European Globalisation Adjustment Fund for Displaced Workers (EGF) and repealing Regulation (EU) No 1309/2013</w:t>
      </w:r>
      <w:r w:rsidR="00D04DD1">
        <w:rPr>
          <w:rStyle w:val="FootnoteReference"/>
          <w:noProof/>
        </w:rPr>
        <w:footnoteReference w:id="1"/>
      </w:r>
      <w:r w:rsidRPr="008D462D">
        <w:rPr>
          <w:noProof/>
        </w:rPr>
        <w:t>.</w:t>
      </w:r>
    </w:p>
    <w:p w:rsidR="001A62D7" w:rsidRDefault="001A62D7" w:rsidP="009C50F6">
      <w:pPr>
        <w:pStyle w:val="ManualNumPar1"/>
        <w:rPr>
          <w:noProof/>
        </w:rPr>
      </w:pPr>
      <w:r>
        <w:rPr>
          <w:noProof/>
        </w:rPr>
        <w:t>2.</w:t>
      </w:r>
      <w:r>
        <w:rPr>
          <w:noProof/>
        </w:rPr>
        <w:tab/>
        <w:t xml:space="preserve">On </w:t>
      </w:r>
      <w:r w:rsidR="00ED6F0C">
        <w:rPr>
          <w:noProof/>
        </w:rPr>
        <w:t>5</w:t>
      </w:r>
      <w:r w:rsidR="002C32FA">
        <w:rPr>
          <w:noProof/>
        </w:rPr>
        <w:t xml:space="preserve"> </w:t>
      </w:r>
      <w:r w:rsidR="00ED6F0C">
        <w:rPr>
          <w:noProof/>
        </w:rPr>
        <w:t>May</w:t>
      </w:r>
      <w:r w:rsidR="002C32FA">
        <w:rPr>
          <w:noProof/>
        </w:rPr>
        <w:t xml:space="preserve"> 202</w:t>
      </w:r>
      <w:r w:rsidR="00ED6F0C">
        <w:rPr>
          <w:noProof/>
        </w:rPr>
        <w:t>6</w:t>
      </w:r>
      <w:r w:rsidR="0075483B">
        <w:rPr>
          <w:noProof/>
        </w:rPr>
        <w:t>,</w:t>
      </w:r>
      <w:r>
        <w:rPr>
          <w:noProof/>
        </w:rPr>
        <w:t xml:space="preserve"> </w:t>
      </w:r>
      <w:r w:rsidR="00ED6F0C">
        <w:rPr>
          <w:noProof/>
        </w:rPr>
        <w:t>Finland</w:t>
      </w:r>
      <w:r>
        <w:rPr>
          <w:noProof/>
        </w:rPr>
        <w:t xml:space="preserve"> </w:t>
      </w:r>
      <w:r w:rsidRPr="008D462D">
        <w:rPr>
          <w:noProof/>
        </w:rPr>
        <w:t xml:space="preserve">submitted </w:t>
      </w:r>
      <w:r>
        <w:rPr>
          <w:noProof/>
        </w:rPr>
        <w:t xml:space="preserve">an </w:t>
      </w:r>
      <w:r w:rsidRPr="008D462D">
        <w:rPr>
          <w:noProof/>
        </w:rPr>
        <w:t>application EGF/</w:t>
      </w:r>
      <w:r w:rsidR="002C32FA">
        <w:rPr>
          <w:noProof/>
        </w:rPr>
        <w:t>202</w:t>
      </w:r>
      <w:r w:rsidR="00ED6F0C">
        <w:rPr>
          <w:noProof/>
        </w:rPr>
        <w:t>6</w:t>
      </w:r>
      <w:r w:rsidRPr="008D462D">
        <w:rPr>
          <w:noProof/>
        </w:rPr>
        <w:t>/</w:t>
      </w:r>
      <w:r w:rsidR="002C32FA">
        <w:rPr>
          <w:noProof/>
        </w:rPr>
        <w:t>00</w:t>
      </w:r>
      <w:r w:rsidR="00ED6F0C">
        <w:rPr>
          <w:noProof/>
        </w:rPr>
        <w:t>3</w:t>
      </w:r>
      <w:r>
        <w:rPr>
          <w:noProof/>
        </w:rPr>
        <w:t> </w:t>
      </w:r>
      <w:r w:rsidR="00ED6F0C">
        <w:rPr>
          <w:noProof/>
        </w:rPr>
        <w:t>FI</w:t>
      </w:r>
      <w:r w:rsidRPr="008D462D">
        <w:rPr>
          <w:noProof/>
        </w:rPr>
        <w:t>/</w:t>
      </w:r>
      <w:r w:rsidR="00ED6F0C">
        <w:rPr>
          <w:noProof/>
        </w:rPr>
        <w:t xml:space="preserve">Valmet </w:t>
      </w:r>
      <w:r w:rsidR="003D19FA">
        <w:rPr>
          <w:noProof/>
        </w:rPr>
        <w:t>A</w:t>
      </w:r>
      <w:r w:rsidR="00ED6F0C">
        <w:rPr>
          <w:noProof/>
        </w:rPr>
        <w:t>utomotive</w:t>
      </w:r>
      <w:r w:rsidRPr="008D462D">
        <w:rPr>
          <w:noProof/>
        </w:rPr>
        <w:t xml:space="preserve"> for a financial contribution fr</w:t>
      </w:r>
      <w:r w:rsidRPr="00B53F62">
        <w:rPr>
          <w:noProof/>
        </w:rPr>
        <w:t>om the EGF, following displacements</w:t>
      </w:r>
      <w:r w:rsidR="0075483B" w:rsidRPr="00B53F62">
        <w:rPr>
          <w:noProof/>
        </w:rPr>
        <w:t xml:space="preserve"> </w:t>
      </w:r>
      <w:r w:rsidR="00C3491B" w:rsidRPr="00B53F62">
        <w:rPr>
          <w:noProof/>
        </w:rPr>
        <w:t xml:space="preserve">in </w:t>
      </w:r>
      <w:r w:rsidR="00ED6F0C">
        <w:rPr>
          <w:noProof/>
        </w:rPr>
        <w:t xml:space="preserve">Valmet </w:t>
      </w:r>
      <w:r w:rsidR="003D19FA">
        <w:rPr>
          <w:noProof/>
        </w:rPr>
        <w:t>A</w:t>
      </w:r>
      <w:r w:rsidR="00ED6F0C">
        <w:rPr>
          <w:noProof/>
        </w:rPr>
        <w:t>utomotive</w:t>
      </w:r>
      <w:r w:rsidR="000B4824">
        <w:rPr>
          <w:noProof/>
        </w:rPr>
        <w:t xml:space="preserve"> and five subcontractors</w:t>
      </w:r>
      <w:r w:rsidR="00113B50">
        <w:rPr>
          <w:noProof/>
        </w:rPr>
        <w:t xml:space="preserve"> and suppliers</w:t>
      </w:r>
      <w:r w:rsidR="001A35CA" w:rsidRPr="00B53F62">
        <w:rPr>
          <w:noProof/>
        </w:rPr>
        <w:t xml:space="preserve"> in </w:t>
      </w:r>
      <w:r w:rsidR="00ED6F0C">
        <w:rPr>
          <w:noProof/>
        </w:rPr>
        <w:t>Finland</w:t>
      </w:r>
      <w:r w:rsidR="001A35CA" w:rsidRPr="00B53F62">
        <w:rPr>
          <w:noProof/>
        </w:rPr>
        <w:t>.</w:t>
      </w:r>
    </w:p>
    <w:p w:rsidR="001A62D7" w:rsidRPr="00B1325C" w:rsidRDefault="001A62D7" w:rsidP="009C50F6">
      <w:pPr>
        <w:pStyle w:val="ManualNumPar1"/>
        <w:rPr>
          <w:noProof/>
        </w:rPr>
      </w:pPr>
      <w:r>
        <w:rPr>
          <w:noProof/>
        </w:rPr>
        <w:t>3.</w:t>
      </w:r>
      <w:r>
        <w:rPr>
          <w:noProof/>
        </w:rPr>
        <w:tab/>
      </w:r>
      <w:r w:rsidRPr="00B1325C">
        <w:rPr>
          <w:noProof/>
        </w:rPr>
        <w:t xml:space="preserve">Following its assessment of this application, the Commission has concluded, in accordance with all applicable provisions of </w:t>
      </w:r>
      <w:r>
        <w:rPr>
          <w:noProof/>
        </w:rPr>
        <w:t>Regulation (EU) 2021/691</w:t>
      </w:r>
      <w:r w:rsidRPr="00B1325C">
        <w:rPr>
          <w:noProof/>
        </w:rPr>
        <w:t>, that the conditions for awarding a financial contribution from the EGF</w:t>
      </w:r>
      <w:r>
        <w:rPr>
          <w:noProof/>
        </w:rPr>
        <w:t xml:space="preserve"> are met. </w:t>
      </w:r>
    </w:p>
    <w:p w:rsidR="001A62D7" w:rsidRPr="006F770D" w:rsidRDefault="001A62D7" w:rsidP="001A62D7">
      <w:pPr>
        <w:pStyle w:val="ManualHeading1"/>
        <w:rPr>
          <w:noProof/>
        </w:rPr>
      </w:pPr>
      <w:r>
        <w:rPr>
          <w:noProof/>
        </w:rPr>
        <w:t>SUMMARY OF THE APPLICATION</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908"/>
        <w:gridCol w:w="4379"/>
      </w:tblGrid>
      <w:tr w:rsidR="006F274D" w:rsidRPr="008D462D" w:rsidTr="001D5990">
        <w:tc>
          <w:tcPr>
            <w:tcW w:w="4908" w:type="dxa"/>
            <w:shd w:val="clear" w:color="auto" w:fill="auto"/>
          </w:tcPr>
          <w:p w:rsidR="006F274D" w:rsidRPr="008D462D" w:rsidRDefault="006F274D" w:rsidP="006F274D">
            <w:pPr>
              <w:spacing w:before="60" w:after="60"/>
              <w:jc w:val="left"/>
              <w:rPr>
                <w:rFonts w:eastAsia="Calibri"/>
                <w:noProof/>
              </w:rPr>
            </w:pPr>
            <w:r w:rsidRPr="008D462D">
              <w:rPr>
                <w:noProof/>
              </w:rPr>
              <w:t>EGF application</w:t>
            </w:r>
          </w:p>
        </w:tc>
        <w:tc>
          <w:tcPr>
            <w:tcW w:w="4379" w:type="dxa"/>
            <w:shd w:val="clear" w:color="auto" w:fill="auto"/>
          </w:tcPr>
          <w:p w:rsidR="006F274D" w:rsidRPr="008D462D" w:rsidRDefault="006F274D" w:rsidP="006F274D">
            <w:pPr>
              <w:spacing w:before="60" w:after="60"/>
              <w:ind w:rightChars="192" w:right="461"/>
              <w:jc w:val="left"/>
              <w:rPr>
                <w:rFonts w:eastAsia="Calibri"/>
                <w:noProof/>
              </w:rPr>
            </w:pPr>
            <w:bookmarkStart w:id="1" w:name="_Hlk212110034"/>
            <w:r w:rsidRPr="008D462D">
              <w:rPr>
                <w:noProof/>
              </w:rPr>
              <w:t>EGF/</w:t>
            </w:r>
            <w:r>
              <w:rPr>
                <w:noProof/>
              </w:rPr>
              <w:t>202</w:t>
            </w:r>
            <w:r w:rsidR="00ED6F0C">
              <w:rPr>
                <w:noProof/>
              </w:rPr>
              <w:t>6</w:t>
            </w:r>
            <w:r w:rsidRPr="008D462D">
              <w:rPr>
                <w:noProof/>
              </w:rPr>
              <w:t>/</w:t>
            </w:r>
            <w:r>
              <w:rPr>
                <w:noProof/>
              </w:rPr>
              <w:t>00</w:t>
            </w:r>
            <w:r w:rsidR="00ED6F0C">
              <w:rPr>
                <w:noProof/>
              </w:rPr>
              <w:t>3</w:t>
            </w:r>
            <w:r w:rsidRPr="008D462D">
              <w:rPr>
                <w:noProof/>
              </w:rPr>
              <w:t xml:space="preserve"> </w:t>
            </w:r>
            <w:r w:rsidR="00ED6F0C">
              <w:rPr>
                <w:noProof/>
              </w:rPr>
              <w:t>FI</w:t>
            </w:r>
            <w:r w:rsidRPr="008D462D">
              <w:rPr>
                <w:noProof/>
              </w:rPr>
              <w:t>/</w:t>
            </w:r>
            <w:bookmarkEnd w:id="1"/>
            <w:r w:rsidR="00ED6F0C" w:rsidRPr="003D19FA">
              <w:rPr>
                <w:noProof/>
              </w:rPr>
              <w:t>Valmet</w:t>
            </w:r>
            <w:r w:rsidR="003D19FA">
              <w:rPr>
                <w:noProof/>
              </w:rPr>
              <w:t xml:space="preserve"> Automotive</w:t>
            </w:r>
          </w:p>
        </w:tc>
      </w:tr>
      <w:tr w:rsidR="006F274D" w:rsidRPr="008D462D" w:rsidTr="001D5990">
        <w:tc>
          <w:tcPr>
            <w:tcW w:w="4908" w:type="dxa"/>
            <w:shd w:val="clear" w:color="auto" w:fill="auto"/>
          </w:tcPr>
          <w:p w:rsidR="006F274D" w:rsidRPr="008D462D" w:rsidRDefault="006F274D" w:rsidP="006F274D">
            <w:pPr>
              <w:spacing w:before="60" w:after="60"/>
              <w:jc w:val="left"/>
              <w:rPr>
                <w:rFonts w:eastAsia="Calibri"/>
                <w:noProof/>
              </w:rPr>
            </w:pPr>
            <w:r>
              <w:rPr>
                <w:rFonts w:eastAsia="Calibri"/>
                <w:noProof/>
              </w:rPr>
              <w:t>Member State</w:t>
            </w:r>
          </w:p>
        </w:tc>
        <w:tc>
          <w:tcPr>
            <w:tcW w:w="4379" w:type="dxa"/>
            <w:shd w:val="clear" w:color="auto" w:fill="auto"/>
          </w:tcPr>
          <w:p w:rsidR="006F274D" w:rsidRPr="008D462D" w:rsidRDefault="00ED6F0C" w:rsidP="006F274D">
            <w:pPr>
              <w:spacing w:before="60" w:after="60"/>
              <w:ind w:rightChars="192" w:right="461"/>
              <w:jc w:val="left"/>
              <w:rPr>
                <w:rFonts w:eastAsia="Calibri"/>
                <w:noProof/>
              </w:rPr>
            </w:pPr>
            <w:r>
              <w:rPr>
                <w:noProof/>
              </w:rPr>
              <w:t>Finland</w:t>
            </w:r>
          </w:p>
        </w:tc>
      </w:tr>
      <w:tr w:rsidR="006F274D" w:rsidRPr="009429ED" w:rsidTr="001D5990">
        <w:tc>
          <w:tcPr>
            <w:tcW w:w="4908" w:type="dxa"/>
            <w:tcBorders>
              <w:bottom w:val="single" w:sz="4" w:space="0" w:color="auto"/>
            </w:tcBorders>
            <w:shd w:val="clear" w:color="auto" w:fill="auto"/>
          </w:tcPr>
          <w:p w:rsidR="006F274D" w:rsidRPr="008D462D" w:rsidRDefault="006F274D" w:rsidP="006F274D">
            <w:pPr>
              <w:spacing w:before="60" w:after="60"/>
              <w:jc w:val="left"/>
              <w:rPr>
                <w:rFonts w:eastAsia="Calibri"/>
                <w:noProof/>
              </w:rPr>
            </w:pPr>
            <w:r w:rsidRPr="008D462D">
              <w:rPr>
                <w:rFonts w:eastAsia="Calibri"/>
                <w:noProof/>
              </w:rPr>
              <w:t>Reg</w:t>
            </w:r>
            <w:r>
              <w:rPr>
                <w:rFonts w:eastAsia="Calibri"/>
                <w:noProof/>
              </w:rPr>
              <w:t>ion(s) concerned (NUTS</w:t>
            </w:r>
            <w:r w:rsidR="00D04DD1">
              <w:rPr>
                <w:rStyle w:val="FootnoteReference"/>
                <w:rFonts w:eastAsia="Calibri"/>
                <w:noProof/>
              </w:rPr>
              <w:footnoteReference w:id="2"/>
            </w:r>
            <w:r>
              <w:rPr>
                <w:rFonts w:eastAsia="Calibri"/>
                <w:noProof/>
              </w:rPr>
              <w:t xml:space="preserve"> level 2)</w:t>
            </w:r>
          </w:p>
        </w:tc>
        <w:tc>
          <w:tcPr>
            <w:tcW w:w="4379" w:type="dxa"/>
            <w:tcBorders>
              <w:bottom w:val="single" w:sz="4" w:space="0" w:color="auto"/>
            </w:tcBorders>
            <w:shd w:val="clear" w:color="auto" w:fill="auto"/>
          </w:tcPr>
          <w:p w:rsidR="006F274D" w:rsidRPr="009429ED" w:rsidRDefault="007D6186" w:rsidP="006F274D">
            <w:pPr>
              <w:spacing w:before="0" w:after="0"/>
              <w:ind w:rightChars="192" w:right="461"/>
              <w:jc w:val="left"/>
              <w:rPr>
                <w:noProof/>
                <w:szCs w:val="24"/>
              </w:rPr>
            </w:pPr>
            <w:r w:rsidRPr="000E28CA">
              <w:rPr>
                <w:noProof/>
                <w:szCs w:val="24"/>
                <w:lang w:val="fi-FI"/>
              </w:rPr>
              <w:t>Länsi-Suomi</w:t>
            </w:r>
            <w:r w:rsidR="006F274D" w:rsidRPr="000E28CA">
              <w:rPr>
                <w:noProof/>
                <w:szCs w:val="24"/>
              </w:rPr>
              <w:t xml:space="preserve"> (</w:t>
            </w:r>
            <w:r w:rsidR="002826E9" w:rsidRPr="000E28CA">
              <w:rPr>
                <w:noProof/>
                <w:szCs w:val="24"/>
              </w:rPr>
              <w:t>FI19</w:t>
            </w:r>
            <w:r w:rsidR="006F274D" w:rsidRPr="000E28CA">
              <w:rPr>
                <w:noProof/>
                <w:szCs w:val="24"/>
              </w:rPr>
              <w:t>)</w:t>
            </w:r>
          </w:p>
        </w:tc>
      </w:tr>
      <w:tr w:rsidR="006F274D" w:rsidRPr="008D462D" w:rsidTr="001D5990">
        <w:tc>
          <w:tcPr>
            <w:tcW w:w="4908" w:type="dxa"/>
            <w:tcBorders>
              <w:bottom w:val="dotted" w:sz="4" w:space="0" w:color="auto"/>
            </w:tcBorders>
            <w:shd w:val="clear" w:color="auto" w:fill="auto"/>
          </w:tcPr>
          <w:p w:rsidR="006F274D" w:rsidRPr="008D462D" w:rsidRDefault="006F274D" w:rsidP="006F274D">
            <w:pPr>
              <w:spacing w:before="60" w:after="60"/>
              <w:jc w:val="left"/>
              <w:rPr>
                <w:rFonts w:eastAsia="Calibri"/>
                <w:noProof/>
              </w:rPr>
            </w:pPr>
            <w:r w:rsidRPr="008D462D">
              <w:rPr>
                <w:rFonts w:eastAsia="Calibri"/>
                <w:noProof/>
              </w:rPr>
              <w:t>Date o</w:t>
            </w:r>
            <w:r>
              <w:rPr>
                <w:rFonts w:eastAsia="Calibri"/>
                <w:noProof/>
              </w:rPr>
              <w:t>f submission of the application</w:t>
            </w:r>
          </w:p>
        </w:tc>
        <w:tc>
          <w:tcPr>
            <w:tcW w:w="4379" w:type="dxa"/>
            <w:tcBorders>
              <w:bottom w:val="dotted" w:sz="4" w:space="0" w:color="auto"/>
            </w:tcBorders>
            <w:shd w:val="clear" w:color="auto" w:fill="auto"/>
          </w:tcPr>
          <w:p w:rsidR="006F274D" w:rsidRPr="008D462D" w:rsidRDefault="00ED6F0C" w:rsidP="006F274D">
            <w:pPr>
              <w:spacing w:before="60" w:after="60"/>
              <w:ind w:rightChars="192" w:right="461"/>
              <w:jc w:val="left"/>
              <w:rPr>
                <w:rFonts w:eastAsia="Calibri"/>
                <w:noProof/>
              </w:rPr>
            </w:pPr>
            <w:r>
              <w:rPr>
                <w:noProof/>
              </w:rPr>
              <w:t>5</w:t>
            </w:r>
            <w:r w:rsidR="006F274D">
              <w:rPr>
                <w:noProof/>
              </w:rPr>
              <w:t xml:space="preserve"> </w:t>
            </w:r>
            <w:r>
              <w:rPr>
                <w:noProof/>
              </w:rPr>
              <w:t>May</w:t>
            </w:r>
            <w:r w:rsidR="006F274D">
              <w:rPr>
                <w:noProof/>
              </w:rPr>
              <w:t xml:space="preserve"> 202</w:t>
            </w:r>
            <w:r>
              <w:rPr>
                <w:noProof/>
              </w:rPr>
              <w:t>6</w:t>
            </w:r>
          </w:p>
        </w:tc>
      </w:tr>
      <w:tr w:rsidR="006F274D" w:rsidRPr="008D462D" w:rsidTr="001D5990">
        <w:tc>
          <w:tcPr>
            <w:tcW w:w="4908" w:type="dxa"/>
            <w:tcBorders>
              <w:top w:val="dotted" w:sz="4" w:space="0" w:color="auto"/>
              <w:bottom w:val="dotted" w:sz="4" w:space="0" w:color="auto"/>
            </w:tcBorders>
            <w:shd w:val="clear" w:color="auto" w:fill="auto"/>
          </w:tcPr>
          <w:p w:rsidR="006F274D" w:rsidRPr="008D462D" w:rsidRDefault="006F274D" w:rsidP="006F274D">
            <w:pPr>
              <w:spacing w:before="60" w:after="60"/>
              <w:jc w:val="left"/>
              <w:rPr>
                <w:rFonts w:eastAsia="Calibri"/>
                <w:noProof/>
              </w:rPr>
            </w:pPr>
            <w:r w:rsidRPr="008D462D">
              <w:rPr>
                <w:rFonts w:eastAsia="Calibri"/>
                <w:noProof/>
              </w:rPr>
              <w:t>Date of acknowledgemen</w:t>
            </w:r>
            <w:r>
              <w:rPr>
                <w:rFonts w:eastAsia="Calibri"/>
                <w:noProof/>
              </w:rPr>
              <w:t>t of receipt of the application</w:t>
            </w:r>
          </w:p>
        </w:tc>
        <w:tc>
          <w:tcPr>
            <w:tcW w:w="4379" w:type="dxa"/>
            <w:tcBorders>
              <w:top w:val="dotted" w:sz="4" w:space="0" w:color="auto"/>
              <w:bottom w:val="dotted" w:sz="4" w:space="0" w:color="auto"/>
            </w:tcBorders>
            <w:shd w:val="clear" w:color="auto" w:fill="auto"/>
          </w:tcPr>
          <w:p w:rsidR="006F274D" w:rsidRPr="008D462D" w:rsidRDefault="00ED6F0C" w:rsidP="006F274D">
            <w:pPr>
              <w:spacing w:before="60" w:after="60"/>
              <w:ind w:rightChars="192" w:right="461"/>
              <w:jc w:val="left"/>
              <w:rPr>
                <w:rFonts w:eastAsia="Calibri"/>
                <w:noProof/>
              </w:rPr>
            </w:pPr>
            <w:r>
              <w:rPr>
                <w:noProof/>
              </w:rPr>
              <w:t>5</w:t>
            </w:r>
            <w:r w:rsidR="006F274D">
              <w:rPr>
                <w:noProof/>
              </w:rPr>
              <w:t xml:space="preserve"> </w:t>
            </w:r>
            <w:r>
              <w:rPr>
                <w:noProof/>
              </w:rPr>
              <w:t>May</w:t>
            </w:r>
            <w:r w:rsidR="006F274D">
              <w:rPr>
                <w:noProof/>
              </w:rPr>
              <w:t xml:space="preserve"> 202</w:t>
            </w:r>
            <w:r w:rsidR="002826E9">
              <w:rPr>
                <w:noProof/>
              </w:rPr>
              <w:t>6</w:t>
            </w:r>
          </w:p>
        </w:tc>
      </w:tr>
      <w:tr w:rsidR="001E1B79" w:rsidRPr="008D462D" w:rsidTr="001D5990">
        <w:tc>
          <w:tcPr>
            <w:tcW w:w="4908" w:type="dxa"/>
            <w:tcBorders>
              <w:top w:val="dotted" w:sz="4" w:space="0" w:color="auto"/>
              <w:bottom w:val="dotted" w:sz="4" w:space="0" w:color="auto"/>
            </w:tcBorders>
            <w:shd w:val="clear" w:color="auto" w:fill="auto"/>
          </w:tcPr>
          <w:p w:rsidR="001E1B79" w:rsidRPr="008D462D" w:rsidRDefault="001E1B79" w:rsidP="001E1B79">
            <w:pPr>
              <w:spacing w:before="60" w:after="60"/>
              <w:jc w:val="left"/>
              <w:rPr>
                <w:rFonts w:eastAsia="Calibri"/>
                <w:noProof/>
              </w:rPr>
            </w:pPr>
            <w:r w:rsidRPr="008D462D">
              <w:rPr>
                <w:rFonts w:eastAsia="Calibri"/>
                <w:noProof/>
              </w:rPr>
              <w:t>Date of req</w:t>
            </w:r>
            <w:r>
              <w:rPr>
                <w:rFonts w:eastAsia="Calibri"/>
                <w:noProof/>
              </w:rPr>
              <w:t>uest for additional information</w:t>
            </w:r>
          </w:p>
        </w:tc>
        <w:tc>
          <w:tcPr>
            <w:tcW w:w="4379" w:type="dxa"/>
            <w:tcBorders>
              <w:top w:val="dotted" w:sz="4" w:space="0" w:color="auto"/>
              <w:bottom w:val="dotted" w:sz="4" w:space="0" w:color="auto"/>
            </w:tcBorders>
            <w:shd w:val="clear" w:color="auto" w:fill="auto"/>
          </w:tcPr>
          <w:p w:rsidR="001E1B79" w:rsidRPr="00A1041A" w:rsidRDefault="002826E9" w:rsidP="001E1B79">
            <w:pPr>
              <w:spacing w:before="60" w:after="60"/>
              <w:ind w:rightChars="192" w:right="461"/>
              <w:jc w:val="left"/>
              <w:rPr>
                <w:rFonts w:eastAsia="Calibri"/>
                <w:noProof/>
              </w:rPr>
            </w:pPr>
            <w:r w:rsidRPr="00A1041A">
              <w:rPr>
                <w:noProof/>
              </w:rPr>
              <w:t>21</w:t>
            </w:r>
            <w:r w:rsidR="001E1B79" w:rsidRPr="00A1041A">
              <w:rPr>
                <w:noProof/>
              </w:rPr>
              <w:t xml:space="preserve"> </w:t>
            </w:r>
            <w:r w:rsidRPr="00A1041A">
              <w:rPr>
                <w:noProof/>
              </w:rPr>
              <w:t>May</w:t>
            </w:r>
            <w:r w:rsidR="001E1B79" w:rsidRPr="00A1041A">
              <w:rPr>
                <w:noProof/>
              </w:rPr>
              <w:t xml:space="preserve"> 202</w:t>
            </w:r>
            <w:r w:rsidRPr="00A1041A">
              <w:rPr>
                <w:noProof/>
              </w:rPr>
              <w:t>6</w:t>
            </w:r>
          </w:p>
        </w:tc>
      </w:tr>
      <w:tr w:rsidR="001E1B79" w:rsidRPr="008D462D" w:rsidTr="001D5990">
        <w:tc>
          <w:tcPr>
            <w:tcW w:w="4908" w:type="dxa"/>
            <w:tcBorders>
              <w:top w:val="dotted" w:sz="4" w:space="0" w:color="auto"/>
              <w:bottom w:val="dotted" w:sz="4" w:space="0" w:color="auto"/>
            </w:tcBorders>
            <w:shd w:val="clear" w:color="auto" w:fill="auto"/>
          </w:tcPr>
          <w:p w:rsidR="001E1B79" w:rsidRPr="008D462D" w:rsidRDefault="001E1B79" w:rsidP="001E1B79">
            <w:pPr>
              <w:spacing w:before="60" w:after="60"/>
              <w:jc w:val="left"/>
              <w:rPr>
                <w:rFonts w:eastAsia="Calibri"/>
                <w:noProof/>
              </w:rPr>
            </w:pPr>
            <w:r w:rsidRPr="008D462D">
              <w:rPr>
                <w:rFonts w:eastAsia="Calibri"/>
                <w:noProof/>
              </w:rPr>
              <w:t>Deadline</w:t>
            </w:r>
            <w:r>
              <w:rPr>
                <w:rFonts w:eastAsia="Calibri"/>
                <w:noProof/>
              </w:rPr>
              <w:t xml:space="preserve"> for</w:t>
            </w:r>
            <w:r w:rsidRPr="008D462D">
              <w:rPr>
                <w:rFonts w:eastAsia="Calibri"/>
                <w:noProof/>
              </w:rPr>
              <w:t xml:space="preserve"> provisio</w:t>
            </w:r>
            <w:r>
              <w:rPr>
                <w:rFonts w:eastAsia="Calibri"/>
                <w:noProof/>
              </w:rPr>
              <w:t>n of the additional information</w:t>
            </w:r>
          </w:p>
        </w:tc>
        <w:tc>
          <w:tcPr>
            <w:tcW w:w="4379" w:type="dxa"/>
            <w:tcBorders>
              <w:top w:val="dotted" w:sz="4" w:space="0" w:color="auto"/>
              <w:bottom w:val="dotted" w:sz="4" w:space="0" w:color="auto"/>
            </w:tcBorders>
            <w:shd w:val="clear" w:color="auto" w:fill="auto"/>
          </w:tcPr>
          <w:p w:rsidR="001E1B79" w:rsidRPr="00A1041A" w:rsidRDefault="00A1041A" w:rsidP="001E1B79">
            <w:pPr>
              <w:spacing w:before="60" w:after="60"/>
              <w:ind w:rightChars="192" w:right="461"/>
              <w:jc w:val="left"/>
              <w:rPr>
                <w:rFonts w:eastAsia="Calibri"/>
                <w:noProof/>
              </w:rPr>
            </w:pPr>
            <w:r w:rsidRPr="00A1041A">
              <w:rPr>
                <w:noProof/>
              </w:rPr>
              <w:t>1</w:t>
            </w:r>
            <w:r w:rsidR="00CD3DB7">
              <w:rPr>
                <w:noProof/>
              </w:rPr>
              <w:t>2</w:t>
            </w:r>
            <w:r w:rsidR="001E1B79" w:rsidRPr="00A1041A">
              <w:rPr>
                <w:noProof/>
              </w:rPr>
              <w:t xml:space="preserve"> </w:t>
            </w:r>
            <w:r w:rsidR="002826E9" w:rsidRPr="00A1041A">
              <w:rPr>
                <w:noProof/>
              </w:rPr>
              <w:t>June</w:t>
            </w:r>
            <w:r w:rsidR="001E1B79" w:rsidRPr="00A1041A">
              <w:rPr>
                <w:noProof/>
              </w:rPr>
              <w:t xml:space="preserve"> 202</w:t>
            </w:r>
            <w:r w:rsidR="002826E9" w:rsidRPr="00A1041A">
              <w:rPr>
                <w:noProof/>
              </w:rPr>
              <w:t>6</w:t>
            </w:r>
          </w:p>
        </w:tc>
      </w:tr>
      <w:tr w:rsidR="001E1B79" w:rsidRPr="008D462D" w:rsidTr="001D5990">
        <w:tc>
          <w:tcPr>
            <w:tcW w:w="4908" w:type="dxa"/>
            <w:tcBorders>
              <w:top w:val="dotted" w:sz="4" w:space="0" w:color="auto"/>
            </w:tcBorders>
            <w:shd w:val="clear" w:color="auto" w:fill="auto"/>
          </w:tcPr>
          <w:p w:rsidR="001E1B79" w:rsidRPr="008D462D" w:rsidRDefault="001E1B79" w:rsidP="001E1B79">
            <w:pPr>
              <w:spacing w:before="60" w:after="60"/>
              <w:jc w:val="left"/>
              <w:rPr>
                <w:rFonts w:eastAsia="Calibri"/>
                <w:noProof/>
              </w:rPr>
            </w:pPr>
            <w:r w:rsidRPr="008D462D">
              <w:rPr>
                <w:rFonts w:eastAsia="Calibri"/>
                <w:noProof/>
              </w:rPr>
              <w:t>Deadline for the completion of the a</w:t>
            </w:r>
            <w:r>
              <w:rPr>
                <w:rFonts w:eastAsia="Calibri"/>
                <w:noProof/>
              </w:rPr>
              <w:t>ssessment</w:t>
            </w:r>
          </w:p>
        </w:tc>
        <w:tc>
          <w:tcPr>
            <w:tcW w:w="4379" w:type="dxa"/>
            <w:tcBorders>
              <w:top w:val="dotted" w:sz="4" w:space="0" w:color="auto"/>
            </w:tcBorders>
            <w:shd w:val="clear" w:color="auto" w:fill="auto"/>
          </w:tcPr>
          <w:p w:rsidR="001E1B79" w:rsidRPr="008D462D" w:rsidRDefault="002826E9" w:rsidP="001E1B79">
            <w:pPr>
              <w:spacing w:before="60" w:after="60"/>
              <w:ind w:rightChars="192" w:right="461"/>
              <w:jc w:val="left"/>
              <w:rPr>
                <w:rFonts w:eastAsia="Calibri"/>
                <w:noProof/>
              </w:rPr>
            </w:pPr>
            <w:r>
              <w:rPr>
                <w:noProof/>
              </w:rPr>
              <w:t>24</w:t>
            </w:r>
            <w:r w:rsidRPr="00F71369">
              <w:rPr>
                <w:noProof/>
              </w:rPr>
              <w:t xml:space="preserve"> </w:t>
            </w:r>
            <w:r>
              <w:rPr>
                <w:noProof/>
              </w:rPr>
              <w:t>August</w:t>
            </w:r>
            <w:r w:rsidRPr="00F71369">
              <w:rPr>
                <w:noProof/>
              </w:rPr>
              <w:t xml:space="preserve"> 202</w:t>
            </w:r>
            <w:r>
              <w:rPr>
                <w:noProof/>
              </w:rPr>
              <w:t xml:space="preserve">6 </w:t>
            </w:r>
          </w:p>
        </w:tc>
      </w:tr>
      <w:tr w:rsidR="001E1B79" w:rsidRPr="008D462D" w:rsidTr="001D5990">
        <w:tc>
          <w:tcPr>
            <w:tcW w:w="4908" w:type="dxa"/>
            <w:shd w:val="clear" w:color="auto" w:fill="auto"/>
          </w:tcPr>
          <w:p w:rsidR="001E1B79" w:rsidRPr="008D462D" w:rsidRDefault="001E1B79" w:rsidP="001E1B79">
            <w:pPr>
              <w:spacing w:before="60" w:after="60"/>
              <w:jc w:val="left"/>
              <w:rPr>
                <w:rFonts w:eastAsia="Calibri"/>
                <w:noProof/>
              </w:rPr>
            </w:pPr>
            <w:r>
              <w:rPr>
                <w:rFonts w:eastAsia="Calibri"/>
                <w:noProof/>
              </w:rPr>
              <w:t>Intervention criterion</w:t>
            </w:r>
          </w:p>
        </w:tc>
        <w:tc>
          <w:tcPr>
            <w:tcW w:w="4379" w:type="dxa"/>
            <w:shd w:val="clear" w:color="auto" w:fill="auto"/>
          </w:tcPr>
          <w:p w:rsidR="001E1B79" w:rsidRPr="008D462D" w:rsidRDefault="001E1B79" w:rsidP="001E1B79">
            <w:pPr>
              <w:spacing w:before="60" w:after="60"/>
              <w:ind w:rightChars="192" w:right="461"/>
              <w:jc w:val="left"/>
              <w:rPr>
                <w:rFonts w:eastAsia="Calibri"/>
                <w:noProof/>
              </w:rPr>
            </w:pPr>
            <w:r w:rsidRPr="008D462D">
              <w:rPr>
                <w:rFonts w:eastAsia="Calibri"/>
                <w:noProof/>
              </w:rPr>
              <w:t>Article </w:t>
            </w:r>
            <w:r>
              <w:rPr>
                <w:rFonts w:eastAsia="Calibri"/>
                <w:noProof/>
              </w:rPr>
              <w:t>4</w:t>
            </w:r>
            <w:r w:rsidRPr="008D462D">
              <w:rPr>
                <w:rFonts w:eastAsia="Calibri"/>
                <w:noProof/>
              </w:rPr>
              <w:t>(</w:t>
            </w:r>
            <w:r w:rsidRPr="005F4196">
              <w:rPr>
                <w:rFonts w:eastAsia="Calibri"/>
                <w:noProof/>
              </w:rPr>
              <w:t>2), point (</w:t>
            </w:r>
            <w:r w:rsidR="000B7C62">
              <w:rPr>
                <w:rFonts w:eastAsia="Calibri"/>
                <w:noProof/>
              </w:rPr>
              <w:t>a</w:t>
            </w:r>
            <w:r w:rsidRPr="008D462D">
              <w:rPr>
                <w:rFonts w:eastAsia="Calibri"/>
                <w:noProof/>
              </w:rPr>
              <w:t>)</w:t>
            </w:r>
            <w:r>
              <w:rPr>
                <w:rFonts w:eastAsia="Calibri"/>
                <w:noProof/>
              </w:rPr>
              <w:t>,</w:t>
            </w:r>
            <w:r w:rsidRPr="008D462D">
              <w:rPr>
                <w:rFonts w:eastAsia="Calibri"/>
                <w:noProof/>
              </w:rPr>
              <w:t xml:space="preserve"> of </w:t>
            </w:r>
            <w:r>
              <w:rPr>
                <w:rFonts w:eastAsia="Calibri"/>
                <w:noProof/>
              </w:rPr>
              <w:t>Regulation (EU) 2021/691</w:t>
            </w:r>
          </w:p>
        </w:tc>
      </w:tr>
      <w:tr w:rsidR="000B7C62" w:rsidRPr="008D462D" w:rsidTr="001D5990">
        <w:tc>
          <w:tcPr>
            <w:tcW w:w="4908" w:type="dxa"/>
            <w:tcBorders>
              <w:top w:val="single" w:sz="4" w:space="0" w:color="auto"/>
              <w:bottom w:val="single" w:sz="4" w:space="0" w:color="auto"/>
              <w:right w:val="single" w:sz="4" w:space="0" w:color="auto"/>
            </w:tcBorders>
            <w:shd w:val="clear" w:color="auto" w:fill="auto"/>
          </w:tcPr>
          <w:p w:rsidR="000B7C62" w:rsidRPr="006927AB" w:rsidRDefault="000B7C62" w:rsidP="001E1B79">
            <w:pPr>
              <w:spacing w:before="60" w:after="60"/>
              <w:jc w:val="left"/>
              <w:rPr>
                <w:noProof/>
              </w:rPr>
            </w:pPr>
            <w:r w:rsidRPr="006927AB">
              <w:rPr>
                <w:rFonts w:eastAsia="Calibri"/>
                <w:noProof/>
              </w:rPr>
              <w:t>Primary enterprise</w:t>
            </w:r>
          </w:p>
        </w:tc>
        <w:tc>
          <w:tcPr>
            <w:tcW w:w="4379" w:type="dxa"/>
            <w:tcBorders>
              <w:top w:val="single" w:sz="4" w:space="0" w:color="auto"/>
              <w:left w:val="single" w:sz="4" w:space="0" w:color="auto"/>
              <w:bottom w:val="single" w:sz="4" w:space="0" w:color="auto"/>
            </w:tcBorders>
            <w:shd w:val="clear" w:color="auto" w:fill="auto"/>
          </w:tcPr>
          <w:p w:rsidR="000B7C62" w:rsidRDefault="00ED6F0C" w:rsidP="001E1B79">
            <w:pPr>
              <w:spacing w:before="60" w:after="60"/>
              <w:ind w:rightChars="192" w:right="461"/>
              <w:jc w:val="left"/>
              <w:rPr>
                <w:noProof/>
              </w:rPr>
            </w:pPr>
            <w:r>
              <w:rPr>
                <w:noProof/>
              </w:rPr>
              <w:t>Valmet</w:t>
            </w:r>
            <w:r w:rsidR="002156AF">
              <w:rPr>
                <w:noProof/>
              </w:rPr>
              <w:t xml:space="preserve"> </w:t>
            </w:r>
            <w:r w:rsidR="00C220AF">
              <w:rPr>
                <w:noProof/>
              </w:rPr>
              <w:t>A</w:t>
            </w:r>
            <w:r>
              <w:rPr>
                <w:noProof/>
              </w:rPr>
              <w:t xml:space="preserve">utomotive </w:t>
            </w:r>
            <w:r w:rsidRPr="003D19FA">
              <w:rPr>
                <w:noProof/>
              </w:rPr>
              <w:t>Oyj</w:t>
            </w:r>
          </w:p>
        </w:tc>
      </w:tr>
      <w:tr w:rsidR="001E1B79" w:rsidRPr="008D462D" w:rsidTr="001D5990">
        <w:tc>
          <w:tcPr>
            <w:tcW w:w="4908" w:type="dxa"/>
            <w:tcBorders>
              <w:top w:val="single" w:sz="4" w:space="0" w:color="auto"/>
              <w:bottom w:val="single" w:sz="4" w:space="0" w:color="auto"/>
              <w:right w:val="single" w:sz="4" w:space="0" w:color="auto"/>
            </w:tcBorders>
            <w:shd w:val="clear" w:color="auto" w:fill="auto"/>
          </w:tcPr>
          <w:p w:rsidR="001E1B79" w:rsidRPr="006927AB" w:rsidRDefault="001E1B79" w:rsidP="001E1B79">
            <w:pPr>
              <w:spacing w:before="60" w:after="60"/>
              <w:jc w:val="left"/>
              <w:rPr>
                <w:rFonts w:eastAsia="Calibri"/>
                <w:noProof/>
              </w:rPr>
            </w:pPr>
            <w:r w:rsidRPr="006927AB">
              <w:rPr>
                <w:noProof/>
              </w:rPr>
              <w:br w:type="page"/>
            </w:r>
            <w:r w:rsidRPr="006927AB">
              <w:rPr>
                <w:rFonts w:eastAsia="Calibri"/>
                <w:noProof/>
              </w:rPr>
              <w:t>Number of enterprises concerned</w:t>
            </w:r>
          </w:p>
        </w:tc>
        <w:tc>
          <w:tcPr>
            <w:tcW w:w="4379" w:type="dxa"/>
            <w:tcBorders>
              <w:top w:val="single" w:sz="4" w:space="0" w:color="auto"/>
              <w:left w:val="single" w:sz="4" w:space="0" w:color="auto"/>
              <w:bottom w:val="single" w:sz="4" w:space="0" w:color="auto"/>
            </w:tcBorders>
            <w:shd w:val="clear" w:color="auto" w:fill="auto"/>
          </w:tcPr>
          <w:p w:rsidR="001E1B79" w:rsidRPr="006927AB" w:rsidRDefault="002826E9" w:rsidP="001E1B79">
            <w:pPr>
              <w:spacing w:before="60" w:after="60"/>
              <w:ind w:rightChars="192" w:right="461"/>
              <w:jc w:val="left"/>
              <w:rPr>
                <w:noProof/>
                <w:szCs w:val="24"/>
              </w:rPr>
            </w:pPr>
            <w:r>
              <w:rPr>
                <w:noProof/>
                <w:szCs w:val="24"/>
              </w:rPr>
              <w:t>6</w:t>
            </w:r>
            <w:r w:rsidR="003E37DE">
              <w:rPr>
                <w:rStyle w:val="FootnoteReference"/>
                <w:noProof/>
                <w:szCs w:val="24"/>
              </w:rPr>
              <w:footnoteReference w:id="3"/>
            </w:r>
          </w:p>
        </w:tc>
      </w:tr>
      <w:tr w:rsidR="001E1B79" w:rsidRPr="006F274D" w:rsidTr="001D5990">
        <w:tc>
          <w:tcPr>
            <w:tcW w:w="4908" w:type="dxa"/>
            <w:shd w:val="clear" w:color="auto" w:fill="auto"/>
          </w:tcPr>
          <w:p w:rsidR="001E1B79" w:rsidRPr="008D462D" w:rsidRDefault="001E1B79" w:rsidP="000C7F45">
            <w:pPr>
              <w:spacing w:before="60" w:after="60"/>
              <w:jc w:val="left"/>
              <w:rPr>
                <w:rFonts w:eastAsia="Calibri"/>
                <w:noProof/>
              </w:rPr>
            </w:pPr>
            <w:r>
              <w:rPr>
                <w:rFonts w:eastAsia="Calibri"/>
                <w:noProof/>
              </w:rPr>
              <w:t>Sector of economic activity</w:t>
            </w:r>
            <w:r w:rsidR="000C7F45">
              <w:rPr>
                <w:rFonts w:eastAsia="Calibri"/>
                <w:noProof/>
              </w:rPr>
              <w:t xml:space="preserve"> of primary enterprise </w:t>
            </w:r>
            <w:r w:rsidRPr="008D462D">
              <w:rPr>
                <w:rFonts w:eastAsia="Calibri"/>
                <w:noProof/>
              </w:rPr>
              <w:t>(NACE Rev</w:t>
            </w:r>
            <w:r>
              <w:rPr>
                <w:rFonts w:eastAsia="Calibri"/>
                <w:noProof/>
              </w:rPr>
              <w:t>ision</w:t>
            </w:r>
            <w:r w:rsidRPr="008D462D">
              <w:rPr>
                <w:rFonts w:eastAsia="Calibri"/>
                <w:noProof/>
              </w:rPr>
              <w:t xml:space="preserve"> 2 </w:t>
            </w:r>
            <w:r>
              <w:rPr>
                <w:rFonts w:eastAsia="Calibri"/>
                <w:noProof/>
              </w:rPr>
              <w:t>d</w:t>
            </w:r>
            <w:r w:rsidRPr="008D462D">
              <w:rPr>
                <w:rFonts w:eastAsia="Calibri"/>
                <w:noProof/>
              </w:rPr>
              <w:t>ivision)</w:t>
            </w:r>
            <w:r w:rsidR="00D04DD1">
              <w:rPr>
                <w:rStyle w:val="FootnoteReference"/>
                <w:rFonts w:eastAsia="Calibri"/>
                <w:noProof/>
              </w:rPr>
              <w:footnoteReference w:id="4"/>
            </w:r>
          </w:p>
        </w:tc>
        <w:tc>
          <w:tcPr>
            <w:tcW w:w="4379" w:type="dxa"/>
            <w:shd w:val="clear" w:color="auto" w:fill="auto"/>
          </w:tcPr>
          <w:p w:rsidR="001E1B79" w:rsidRPr="00B45769" w:rsidRDefault="001E1B79" w:rsidP="001E1B79">
            <w:pPr>
              <w:spacing w:before="60" w:after="60"/>
              <w:ind w:rightChars="192" w:right="461"/>
              <w:jc w:val="left"/>
              <w:rPr>
                <w:rFonts w:eastAsia="Calibri"/>
                <w:noProof/>
                <w:lang w:val="en-US"/>
              </w:rPr>
            </w:pPr>
            <w:r w:rsidRPr="006F274D">
              <w:rPr>
                <w:noProof/>
                <w:szCs w:val="24"/>
                <w:lang w:val="en-IE"/>
              </w:rPr>
              <w:t xml:space="preserve">Division </w:t>
            </w:r>
            <w:r w:rsidR="002826E9">
              <w:rPr>
                <w:noProof/>
                <w:szCs w:val="24"/>
                <w:lang w:val="en-IE"/>
              </w:rPr>
              <w:t>29</w:t>
            </w:r>
            <w:r w:rsidRPr="0008396E">
              <w:rPr>
                <w:noProof/>
                <w:szCs w:val="24"/>
              </w:rPr>
              <w:t xml:space="preserve"> (</w:t>
            </w:r>
            <w:r w:rsidR="002826E9">
              <w:rPr>
                <w:noProof/>
                <w:szCs w:val="24"/>
              </w:rPr>
              <w:t>Manufacture</w:t>
            </w:r>
            <w:r>
              <w:rPr>
                <w:noProof/>
                <w:szCs w:val="24"/>
              </w:rPr>
              <w:t xml:space="preserve"> of motor vehicles</w:t>
            </w:r>
            <w:r w:rsidR="002826E9">
              <w:rPr>
                <w:noProof/>
                <w:szCs w:val="24"/>
              </w:rPr>
              <w:t>, trailers and semi-trailers)</w:t>
            </w:r>
          </w:p>
        </w:tc>
      </w:tr>
      <w:tr w:rsidR="000C7F45" w:rsidRPr="008D462D" w:rsidTr="001D5990">
        <w:tc>
          <w:tcPr>
            <w:tcW w:w="4908" w:type="dxa"/>
            <w:tcBorders>
              <w:bottom w:val="single" w:sz="4" w:space="0" w:color="auto"/>
            </w:tcBorders>
            <w:shd w:val="clear" w:color="auto" w:fill="auto"/>
          </w:tcPr>
          <w:p w:rsidR="000C7F45" w:rsidRDefault="000C7F45" w:rsidP="001E1B79">
            <w:pPr>
              <w:spacing w:before="60" w:after="60"/>
              <w:jc w:val="left"/>
              <w:rPr>
                <w:rFonts w:eastAsia="Calibri"/>
                <w:noProof/>
              </w:rPr>
            </w:pPr>
            <w:r w:rsidRPr="000C7F45">
              <w:rPr>
                <w:rFonts w:eastAsia="Calibri"/>
                <w:noProof/>
              </w:rPr>
              <w:t>Number of subcontracto</w:t>
            </w:r>
            <w:r w:rsidRPr="00A1041A">
              <w:rPr>
                <w:rFonts w:eastAsia="Calibri"/>
                <w:noProof/>
              </w:rPr>
              <w:t xml:space="preserve">rs </w:t>
            </w:r>
            <w:r w:rsidR="006E53E9">
              <w:rPr>
                <w:rFonts w:eastAsia="Calibri"/>
                <w:noProof/>
              </w:rPr>
              <w:t xml:space="preserve">and </w:t>
            </w:r>
            <w:r w:rsidRPr="00A1041A">
              <w:rPr>
                <w:rFonts w:eastAsia="Calibri"/>
                <w:noProof/>
              </w:rPr>
              <w:t>suppliers</w:t>
            </w:r>
          </w:p>
        </w:tc>
        <w:tc>
          <w:tcPr>
            <w:tcW w:w="4379" w:type="dxa"/>
            <w:tcBorders>
              <w:bottom w:val="single" w:sz="4" w:space="0" w:color="auto"/>
            </w:tcBorders>
            <w:shd w:val="clear" w:color="auto" w:fill="auto"/>
          </w:tcPr>
          <w:p w:rsidR="000C7F45" w:rsidRDefault="00F45CF2" w:rsidP="001E1B79">
            <w:pPr>
              <w:spacing w:before="60" w:after="60"/>
              <w:ind w:rightChars="192" w:right="461"/>
              <w:jc w:val="left"/>
              <w:rPr>
                <w:noProof/>
              </w:rPr>
            </w:pPr>
            <w:r>
              <w:rPr>
                <w:noProof/>
              </w:rPr>
              <w:t>5</w:t>
            </w:r>
          </w:p>
        </w:tc>
      </w:tr>
      <w:tr w:rsidR="001E1B79" w:rsidRPr="008D462D" w:rsidTr="001D5990">
        <w:tc>
          <w:tcPr>
            <w:tcW w:w="4908" w:type="dxa"/>
            <w:tcBorders>
              <w:bottom w:val="single" w:sz="4" w:space="0" w:color="auto"/>
            </w:tcBorders>
            <w:shd w:val="clear" w:color="auto" w:fill="auto"/>
          </w:tcPr>
          <w:p w:rsidR="001E1B79" w:rsidRPr="008D462D" w:rsidRDefault="001E1B79" w:rsidP="001E1B79">
            <w:pPr>
              <w:spacing w:before="60" w:after="60"/>
              <w:jc w:val="left"/>
              <w:rPr>
                <w:rFonts w:eastAsia="Calibri"/>
                <w:noProof/>
              </w:rPr>
            </w:pPr>
            <w:r>
              <w:rPr>
                <w:rFonts w:eastAsia="Calibri"/>
                <w:noProof/>
              </w:rPr>
              <w:t xml:space="preserve">Reference period </w:t>
            </w:r>
            <w:r w:rsidRPr="006F274D">
              <w:rPr>
                <w:rFonts w:eastAsia="Calibri"/>
                <w:noProof/>
              </w:rPr>
              <w:t>(four</w:t>
            </w:r>
            <w:r>
              <w:rPr>
                <w:rFonts w:eastAsia="Calibri"/>
                <w:noProof/>
              </w:rPr>
              <w:t xml:space="preserve"> months):</w:t>
            </w:r>
          </w:p>
        </w:tc>
        <w:tc>
          <w:tcPr>
            <w:tcW w:w="4379" w:type="dxa"/>
            <w:tcBorders>
              <w:bottom w:val="single" w:sz="4" w:space="0" w:color="auto"/>
            </w:tcBorders>
            <w:shd w:val="clear" w:color="auto" w:fill="auto"/>
          </w:tcPr>
          <w:p w:rsidR="001E1B79" w:rsidRPr="008D462D" w:rsidRDefault="00ED6F0C" w:rsidP="001E1B79">
            <w:pPr>
              <w:spacing w:before="60" w:after="60"/>
              <w:ind w:rightChars="192" w:right="461"/>
              <w:jc w:val="left"/>
              <w:rPr>
                <w:rFonts w:eastAsia="Calibri"/>
                <w:noProof/>
              </w:rPr>
            </w:pPr>
            <w:r>
              <w:rPr>
                <w:noProof/>
              </w:rPr>
              <w:t>2</w:t>
            </w:r>
            <w:r w:rsidR="001E1B79">
              <w:rPr>
                <w:noProof/>
              </w:rPr>
              <w:t xml:space="preserve"> </w:t>
            </w:r>
            <w:r>
              <w:rPr>
                <w:noProof/>
              </w:rPr>
              <w:t>December</w:t>
            </w:r>
            <w:r w:rsidR="001E1B79">
              <w:rPr>
                <w:noProof/>
              </w:rPr>
              <w:t xml:space="preserve"> 2025 </w:t>
            </w:r>
            <w:r w:rsidR="001E1B79">
              <w:rPr>
                <w:rFonts w:eastAsia="Calibri"/>
                <w:noProof/>
              </w:rPr>
              <w:t>–</w:t>
            </w:r>
            <w:r w:rsidR="001E1B79" w:rsidRPr="008D462D">
              <w:rPr>
                <w:rFonts w:eastAsia="Calibri"/>
                <w:noProof/>
              </w:rPr>
              <w:t xml:space="preserve"> </w:t>
            </w:r>
            <w:r>
              <w:rPr>
                <w:rFonts w:eastAsia="Calibri"/>
                <w:noProof/>
              </w:rPr>
              <w:t>2</w:t>
            </w:r>
            <w:r w:rsidR="001E1B79">
              <w:rPr>
                <w:rFonts w:eastAsia="Calibri"/>
                <w:noProof/>
              </w:rPr>
              <w:t xml:space="preserve"> </w:t>
            </w:r>
            <w:r>
              <w:rPr>
                <w:rFonts w:eastAsia="Calibri"/>
                <w:noProof/>
              </w:rPr>
              <w:t>April</w:t>
            </w:r>
            <w:r w:rsidR="001E1B79">
              <w:rPr>
                <w:rFonts w:eastAsia="Calibri"/>
                <w:noProof/>
              </w:rPr>
              <w:t xml:space="preserve"> 202</w:t>
            </w:r>
            <w:r>
              <w:rPr>
                <w:rFonts w:eastAsia="Calibri"/>
                <w:noProof/>
              </w:rPr>
              <w:t>6</w:t>
            </w:r>
          </w:p>
        </w:tc>
      </w:tr>
      <w:tr w:rsidR="001E1B79" w:rsidRPr="00DF2488" w:rsidTr="001D5990">
        <w:tc>
          <w:tcPr>
            <w:tcW w:w="4908" w:type="dxa"/>
            <w:tcBorders>
              <w:bottom w:val="dotted" w:sz="4" w:space="0" w:color="auto"/>
            </w:tcBorders>
            <w:shd w:val="clear" w:color="auto" w:fill="auto"/>
          </w:tcPr>
          <w:p w:rsidR="001E1B79" w:rsidRPr="00DF2488" w:rsidRDefault="001E1B79" w:rsidP="001E1B79">
            <w:pPr>
              <w:spacing w:before="60" w:after="60"/>
              <w:jc w:val="left"/>
              <w:rPr>
                <w:rFonts w:eastAsia="Calibri"/>
                <w:noProof/>
                <w:highlight w:val="magenta"/>
              </w:rPr>
            </w:pPr>
            <w:r w:rsidRPr="00E438FE">
              <w:rPr>
                <w:rFonts w:eastAsia="Calibri"/>
                <w:noProof/>
              </w:rPr>
              <w:lastRenderedPageBreak/>
              <w:t xml:space="preserve">Number of </w:t>
            </w:r>
            <w:r>
              <w:rPr>
                <w:rFonts w:eastAsia="Calibri"/>
                <w:noProof/>
              </w:rPr>
              <w:t>displacements</w:t>
            </w:r>
            <w:r w:rsidRPr="00E438FE">
              <w:rPr>
                <w:rFonts w:eastAsia="Calibri"/>
                <w:noProof/>
              </w:rPr>
              <w:t xml:space="preserve"> during the reference period (</w:t>
            </w:r>
            <w:r w:rsidRPr="00E438FE">
              <w:rPr>
                <w:rFonts w:eastAsia="Calibri"/>
                <w:i/>
                <w:noProof/>
              </w:rPr>
              <w:t>a</w:t>
            </w:r>
            <w:r w:rsidRPr="00E438FE">
              <w:rPr>
                <w:rFonts w:eastAsia="Calibri"/>
                <w:noProof/>
              </w:rPr>
              <w:t>)</w:t>
            </w:r>
          </w:p>
        </w:tc>
        <w:tc>
          <w:tcPr>
            <w:tcW w:w="4379" w:type="dxa"/>
            <w:tcBorders>
              <w:bottom w:val="dotted" w:sz="4" w:space="0" w:color="auto"/>
            </w:tcBorders>
            <w:shd w:val="clear" w:color="auto" w:fill="auto"/>
          </w:tcPr>
          <w:p w:rsidR="001E1B79" w:rsidRPr="00A1041A" w:rsidRDefault="00B92FDB" w:rsidP="001E1B79">
            <w:pPr>
              <w:spacing w:before="60" w:after="60"/>
              <w:ind w:rightChars="192" w:right="461"/>
              <w:jc w:val="left"/>
              <w:rPr>
                <w:rFonts w:eastAsia="Calibri"/>
                <w:noProof/>
              </w:rPr>
            </w:pPr>
            <w:r w:rsidRPr="00A1041A">
              <w:rPr>
                <w:rFonts w:eastAsia="Calibri"/>
                <w:noProof/>
              </w:rPr>
              <w:t>2</w:t>
            </w:r>
            <w:r w:rsidR="00A1041A" w:rsidRPr="00A1041A">
              <w:rPr>
                <w:rFonts w:eastAsia="Calibri"/>
                <w:noProof/>
              </w:rPr>
              <w:t>39</w:t>
            </w:r>
          </w:p>
        </w:tc>
      </w:tr>
      <w:tr w:rsidR="000C7F45" w:rsidRPr="008D462D" w:rsidTr="001D5990">
        <w:tc>
          <w:tcPr>
            <w:tcW w:w="4908" w:type="dxa"/>
            <w:tcBorders>
              <w:bottom w:val="dotted" w:sz="4" w:space="0" w:color="auto"/>
            </w:tcBorders>
            <w:shd w:val="clear" w:color="auto" w:fill="auto"/>
          </w:tcPr>
          <w:p w:rsidR="000C7F45" w:rsidRDefault="000C7F45" w:rsidP="001E1B79">
            <w:pPr>
              <w:spacing w:before="60" w:after="60"/>
              <w:jc w:val="left"/>
              <w:rPr>
                <w:rFonts w:eastAsia="Calibri"/>
                <w:noProof/>
              </w:rPr>
            </w:pPr>
            <w:r w:rsidRPr="000C7F45">
              <w:rPr>
                <w:rFonts w:eastAsia="Calibri"/>
                <w:noProof/>
              </w:rPr>
              <w:t>Number of displacements before or after the reference period (</w:t>
            </w:r>
            <w:r w:rsidRPr="000C7F45">
              <w:rPr>
                <w:rFonts w:eastAsia="Calibri"/>
                <w:i/>
                <w:iCs/>
                <w:noProof/>
              </w:rPr>
              <w:t>b</w:t>
            </w:r>
            <w:r w:rsidRPr="000C7F45">
              <w:rPr>
                <w:rFonts w:eastAsia="Calibri"/>
                <w:noProof/>
              </w:rPr>
              <w:t>)</w:t>
            </w:r>
          </w:p>
        </w:tc>
        <w:tc>
          <w:tcPr>
            <w:tcW w:w="4379" w:type="dxa"/>
            <w:tcBorders>
              <w:bottom w:val="dotted" w:sz="4" w:space="0" w:color="auto"/>
            </w:tcBorders>
            <w:shd w:val="clear" w:color="auto" w:fill="auto"/>
          </w:tcPr>
          <w:p w:rsidR="000C7F45" w:rsidRPr="00A1041A" w:rsidRDefault="00A1041A" w:rsidP="001E1B79">
            <w:pPr>
              <w:spacing w:before="60" w:after="60"/>
              <w:ind w:rightChars="192" w:right="461"/>
              <w:jc w:val="left"/>
              <w:rPr>
                <w:rFonts w:eastAsia="Calibri"/>
                <w:noProof/>
              </w:rPr>
            </w:pPr>
            <w:r w:rsidRPr="00A1041A">
              <w:rPr>
                <w:rFonts w:eastAsia="Calibri"/>
                <w:noProof/>
              </w:rPr>
              <w:t>21</w:t>
            </w:r>
          </w:p>
        </w:tc>
      </w:tr>
      <w:tr w:rsidR="000C7F45" w:rsidRPr="008D462D" w:rsidTr="001D5990">
        <w:tc>
          <w:tcPr>
            <w:tcW w:w="4908" w:type="dxa"/>
            <w:tcBorders>
              <w:bottom w:val="dotted" w:sz="4" w:space="0" w:color="auto"/>
            </w:tcBorders>
            <w:shd w:val="clear" w:color="auto" w:fill="auto"/>
          </w:tcPr>
          <w:p w:rsidR="000C7F45" w:rsidRDefault="000C7F45" w:rsidP="001E1B79">
            <w:pPr>
              <w:spacing w:before="60" w:after="60"/>
              <w:jc w:val="left"/>
              <w:rPr>
                <w:rFonts w:eastAsia="Calibri"/>
                <w:noProof/>
              </w:rPr>
            </w:pPr>
            <w:r w:rsidRPr="000C7F45">
              <w:rPr>
                <w:rFonts w:eastAsia="Calibri"/>
                <w:noProof/>
              </w:rPr>
              <w:t>Total number of displacements (</w:t>
            </w:r>
            <w:r w:rsidRPr="000C7F45">
              <w:rPr>
                <w:rFonts w:eastAsia="Calibri"/>
                <w:i/>
                <w:iCs/>
                <w:noProof/>
              </w:rPr>
              <w:t>a + b</w:t>
            </w:r>
            <w:r w:rsidRPr="000C7F45">
              <w:rPr>
                <w:rFonts w:eastAsia="Calibri"/>
                <w:noProof/>
              </w:rPr>
              <w:t>)</w:t>
            </w:r>
            <w:r>
              <w:rPr>
                <w:rFonts w:eastAsia="Calibri"/>
                <w:noProof/>
              </w:rPr>
              <w:t xml:space="preserve"> </w:t>
            </w:r>
          </w:p>
        </w:tc>
        <w:tc>
          <w:tcPr>
            <w:tcW w:w="4379" w:type="dxa"/>
            <w:tcBorders>
              <w:bottom w:val="dotted" w:sz="4" w:space="0" w:color="auto"/>
            </w:tcBorders>
            <w:shd w:val="clear" w:color="auto" w:fill="auto"/>
          </w:tcPr>
          <w:p w:rsidR="000C7F45" w:rsidRDefault="000C7F45" w:rsidP="001E1B79">
            <w:pPr>
              <w:spacing w:before="60" w:after="60"/>
              <w:ind w:rightChars="192" w:right="461"/>
              <w:jc w:val="left"/>
              <w:rPr>
                <w:rFonts w:eastAsia="Calibri"/>
                <w:noProof/>
              </w:rPr>
            </w:pPr>
            <w:r>
              <w:rPr>
                <w:rFonts w:eastAsia="Calibri"/>
                <w:noProof/>
              </w:rPr>
              <w:t>260</w:t>
            </w:r>
          </w:p>
        </w:tc>
      </w:tr>
      <w:tr w:rsidR="001E1B79" w:rsidRPr="008D462D" w:rsidTr="001D5990">
        <w:tc>
          <w:tcPr>
            <w:tcW w:w="4908" w:type="dxa"/>
            <w:tcBorders>
              <w:bottom w:val="dotted" w:sz="4" w:space="0" w:color="auto"/>
            </w:tcBorders>
            <w:shd w:val="clear" w:color="auto" w:fill="auto"/>
          </w:tcPr>
          <w:p w:rsidR="001E1B79" w:rsidRPr="008D462D" w:rsidRDefault="001E1B79" w:rsidP="001E1B79">
            <w:pPr>
              <w:spacing w:before="60" w:after="60"/>
              <w:jc w:val="left"/>
              <w:rPr>
                <w:rFonts w:eastAsia="Calibri"/>
                <w:noProof/>
              </w:rPr>
            </w:pPr>
            <w:r>
              <w:rPr>
                <w:rFonts w:eastAsia="Calibri"/>
                <w:noProof/>
              </w:rPr>
              <w:t>Total number of eligible beneficiaries</w:t>
            </w:r>
          </w:p>
        </w:tc>
        <w:tc>
          <w:tcPr>
            <w:tcW w:w="4379" w:type="dxa"/>
            <w:tcBorders>
              <w:bottom w:val="dotted" w:sz="4" w:space="0" w:color="auto"/>
            </w:tcBorders>
            <w:shd w:val="clear" w:color="auto" w:fill="auto"/>
          </w:tcPr>
          <w:p w:rsidR="001E1B79" w:rsidRPr="008D462D" w:rsidRDefault="002826E9" w:rsidP="001E1B79">
            <w:pPr>
              <w:spacing w:before="60" w:after="60"/>
              <w:ind w:rightChars="192" w:right="461"/>
              <w:jc w:val="left"/>
              <w:rPr>
                <w:rFonts w:eastAsia="Calibri"/>
                <w:noProof/>
              </w:rPr>
            </w:pPr>
            <w:r>
              <w:rPr>
                <w:rFonts w:eastAsia="Calibri"/>
                <w:noProof/>
              </w:rPr>
              <w:t>260</w:t>
            </w:r>
          </w:p>
        </w:tc>
      </w:tr>
      <w:tr w:rsidR="001E1B79" w:rsidRPr="008D462D" w:rsidTr="001D5990">
        <w:tc>
          <w:tcPr>
            <w:tcW w:w="4908" w:type="dxa"/>
            <w:tcBorders>
              <w:top w:val="dotted" w:sz="4" w:space="0" w:color="auto"/>
              <w:bottom w:val="dotted" w:sz="4" w:space="0" w:color="auto"/>
            </w:tcBorders>
            <w:shd w:val="clear" w:color="auto" w:fill="auto"/>
          </w:tcPr>
          <w:p w:rsidR="001E1B79" w:rsidRPr="008D462D" w:rsidRDefault="001E1B79" w:rsidP="001E1B79">
            <w:pPr>
              <w:spacing w:before="60" w:after="60"/>
              <w:jc w:val="left"/>
              <w:rPr>
                <w:rFonts w:eastAsia="Calibri"/>
                <w:noProof/>
              </w:rPr>
            </w:pPr>
            <w:r>
              <w:rPr>
                <w:rFonts w:eastAsia="Calibri"/>
                <w:noProof/>
              </w:rPr>
              <w:t>Total number of targeted beneficiaries</w:t>
            </w:r>
          </w:p>
        </w:tc>
        <w:tc>
          <w:tcPr>
            <w:tcW w:w="4379" w:type="dxa"/>
            <w:tcBorders>
              <w:top w:val="dotted" w:sz="4" w:space="0" w:color="auto"/>
              <w:bottom w:val="dotted" w:sz="4" w:space="0" w:color="auto"/>
            </w:tcBorders>
            <w:shd w:val="clear" w:color="auto" w:fill="auto"/>
          </w:tcPr>
          <w:p w:rsidR="001E1B79" w:rsidRPr="008D462D" w:rsidRDefault="00ED6F0C" w:rsidP="001E1B79">
            <w:pPr>
              <w:spacing w:before="60" w:after="60"/>
              <w:ind w:rightChars="192" w:right="461"/>
              <w:jc w:val="left"/>
              <w:rPr>
                <w:rFonts w:eastAsia="Calibri"/>
                <w:noProof/>
              </w:rPr>
            </w:pPr>
            <w:r>
              <w:rPr>
                <w:rFonts w:eastAsia="Calibri"/>
                <w:noProof/>
              </w:rPr>
              <w:t>233</w:t>
            </w:r>
          </w:p>
        </w:tc>
      </w:tr>
      <w:tr w:rsidR="001E1B79" w:rsidRPr="008D462D" w:rsidTr="001D5990">
        <w:tc>
          <w:tcPr>
            <w:tcW w:w="4908" w:type="dxa"/>
            <w:tcBorders>
              <w:bottom w:val="dotted" w:sz="4" w:space="0" w:color="auto"/>
            </w:tcBorders>
            <w:shd w:val="clear" w:color="auto" w:fill="auto"/>
            <w:vAlign w:val="center"/>
          </w:tcPr>
          <w:p w:rsidR="001E1B79" w:rsidRPr="008D462D" w:rsidRDefault="001E1B79" w:rsidP="001E1B79">
            <w:pPr>
              <w:spacing w:before="0" w:after="0"/>
              <w:jc w:val="left"/>
              <w:rPr>
                <w:noProof/>
              </w:rPr>
            </w:pPr>
            <w:r>
              <w:rPr>
                <w:noProof/>
              </w:rPr>
              <w:t xml:space="preserve">Budget </w:t>
            </w:r>
            <w:r w:rsidRPr="008D462D">
              <w:rPr>
                <w:noProof/>
              </w:rPr>
              <w:t>for personalised services (EUR)</w:t>
            </w:r>
          </w:p>
        </w:tc>
        <w:tc>
          <w:tcPr>
            <w:tcW w:w="4379" w:type="dxa"/>
            <w:tcBorders>
              <w:bottom w:val="dotted" w:sz="4" w:space="0" w:color="auto"/>
            </w:tcBorders>
            <w:shd w:val="clear" w:color="auto" w:fill="auto"/>
            <w:vAlign w:val="center"/>
          </w:tcPr>
          <w:p w:rsidR="001E1B79" w:rsidRPr="008D462D" w:rsidRDefault="00030AE7" w:rsidP="001E1B79">
            <w:pPr>
              <w:spacing w:before="0" w:after="0"/>
              <w:ind w:rightChars="192" w:right="461"/>
              <w:jc w:val="left"/>
              <w:rPr>
                <w:noProof/>
              </w:rPr>
            </w:pPr>
            <w:r w:rsidRPr="00C8368A">
              <w:rPr>
                <w:noProof/>
              </w:rPr>
              <w:t>6</w:t>
            </w:r>
            <w:r w:rsidR="00C220AF">
              <w:rPr>
                <w:noProof/>
              </w:rPr>
              <w:t>63</w:t>
            </w:r>
            <w:r w:rsidR="00B16D40">
              <w:rPr>
                <w:noProof/>
              </w:rPr>
              <w:t> </w:t>
            </w:r>
            <w:r w:rsidR="00C220AF">
              <w:rPr>
                <w:noProof/>
              </w:rPr>
              <w:t>85</w:t>
            </w:r>
            <w:r>
              <w:rPr>
                <w:rFonts w:ascii="TimesNewRoman" w:hAnsi="TimesNewRoman"/>
                <w:noProof/>
                <w:color w:val="000000"/>
              </w:rPr>
              <w:t>0</w:t>
            </w:r>
          </w:p>
        </w:tc>
      </w:tr>
      <w:tr w:rsidR="001E1B79" w:rsidRPr="008D462D" w:rsidTr="00030AE7">
        <w:trPr>
          <w:trHeight w:val="389"/>
        </w:trPr>
        <w:tc>
          <w:tcPr>
            <w:tcW w:w="4908" w:type="dxa"/>
            <w:tcBorders>
              <w:top w:val="dotted" w:sz="4" w:space="0" w:color="auto"/>
              <w:bottom w:val="dotted" w:sz="4" w:space="0" w:color="auto"/>
            </w:tcBorders>
            <w:shd w:val="clear" w:color="auto" w:fill="auto"/>
            <w:vAlign w:val="center"/>
          </w:tcPr>
          <w:p w:rsidR="001E1B79" w:rsidRPr="008D462D" w:rsidRDefault="001E1B79" w:rsidP="001E1B79">
            <w:pPr>
              <w:spacing w:before="0" w:after="0"/>
              <w:jc w:val="left"/>
              <w:rPr>
                <w:noProof/>
              </w:rPr>
            </w:pPr>
            <w:r>
              <w:rPr>
                <w:noProof/>
              </w:rPr>
              <w:t>Budget</w:t>
            </w:r>
            <w:r w:rsidRPr="008D462D">
              <w:rPr>
                <w:noProof/>
              </w:rPr>
              <w:t xml:space="preserve"> for implementing EGF</w:t>
            </w:r>
            <w:r w:rsidR="00B45769">
              <w:rPr>
                <w:rStyle w:val="FootnoteReference"/>
                <w:noProof/>
              </w:rPr>
              <w:footnoteReference w:id="5"/>
            </w:r>
            <w:r w:rsidRPr="008D462D">
              <w:rPr>
                <w:noProof/>
              </w:rPr>
              <w:t xml:space="preserve"> (EUR)</w:t>
            </w:r>
          </w:p>
        </w:tc>
        <w:tc>
          <w:tcPr>
            <w:tcW w:w="4379" w:type="dxa"/>
            <w:tcBorders>
              <w:top w:val="dotted" w:sz="4" w:space="0" w:color="auto"/>
              <w:bottom w:val="dotted" w:sz="4" w:space="0" w:color="auto"/>
            </w:tcBorders>
            <w:shd w:val="clear" w:color="auto" w:fill="auto"/>
            <w:vAlign w:val="center"/>
          </w:tcPr>
          <w:p w:rsidR="001E1B79" w:rsidRPr="008D462D" w:rsidRDefault="00C220AF" w:rsidP="001E1B79">
            <w:pPr>
              <w:spacing w:before="0" w:after="0"/>
              <w:ind w:rightChars="192" w:right="461"/>
              <w:jc w:val="left"/>
              <w:rPr>
                <w:noProof/>
              </w:rPr>
            </w:pPr>
            <w:r>
              <w:rPr>
                <w:noProof/>
              </w:rPr>
              <w:t>20</w:t>
            </w:r>
            <w:r w:rsidR="00B16D40">
              <w:rPr>
                <w:noProof/>
              </w:rPr>
              <w:t> </w:t>
            </w:r>
            <w:r w:rsidR="00030AE7">
              <w:rPr>
                <w:noProof/>
              </w:rPr>
              <w:t>000</w:t>
            </w:r>
          </w:p>
        </w:tc>
      </w:tr>
      <w:tr w:rsidR="001E1B79" w:rsidRPr="008D462D" w:rsidTr="001D5990">
        <w:tc>
          <w:tcPr>
            <w:tcW w:w="4908" w:type="dxa"/>
            <w:tcBorders>
              <w:top w:val="dotted" w:sz="4" w:space="0" w:color="auto"/>
              <w:bottom w:val="dotted" w:sz="4" w:space="0" w:color="auto"/>
            </w:tcBorders>
            <w:shd w:val="clear" w:color="auto" w:fill="auto"/>
            <w:vAlign w:val="center"/>
          </w:tcPr>
          <w:p w:rsidR="001E1B79" w:rsidRPr="008D462D" w:rsidRDefault="001E1B79" w:rsidP="001E1B79">
            <w:pPr>
              <w:spacing w:before="0" w:after="0"/>
              <w:jc w:val="left"/>
              <w:rPr>
                <w:noProof/>
              </w:rPr>
            </w:pPr>
            <w:r w:rsidRPr="008D462D">
              <w:rPr>
                <w:noProof/>
              </w:rPr>
              <w:t>Total budget (EUR)</w:t>
            </w:r>
          </w:p>
        </w:tc>
        <w:tc>
          <w:tcPr>
            <w:tcW w:w="4379" w:type="dxa"/>
            <w:tcBorders>
              <w:top w:val="dotted" w:sz="4" w:space="0" w:color="auto"/>
              <w:bottom w:val="dotted" w:sz="4" w:space="0" w:color="auto"/>
            </w:tcBorders>
            <w:shd w:val="clear" w:color="auto" w:fill="auto"/>
            <w:vAlign w:val="center"/>
          </w:tcPr>
          <w:p w:rsidR="001E1B79" w:rsidRPr="008D462D" w:rsidRDefault="00C220AF" w:rsidP="001E1B79">
            <w:pPr>
              <w:spacing w:before="0" w:after="0"/>
              <w:ind w:rightChars="192" w:right="461"/>
              <w:jc w:val="left"/>
              <w:rPr>
                <w:noProof/>
              </w:rPr>
            </w:pPr>
            <w:r>
              <w:rPr>
                <w:rFonts w:ascii="TimesNewRoman" w:hAnsi="TimesNewRoman"/>
                <w:noProof/>
                <w:color w:val="000000"/>
              </w:rPr>
              <w:t>683</w:t>
            </w:r>
            <w:r w:rsidR="00B16D40">
              <w:rPr>
                <w:rFonts w:ascii="TimesNewRoman" w:hAnsi="TimesNewRoman" w:hint="eastAsia"/>
                <w:noProof/>
                <w:color w:val="000000"/>
              </w:rPr>
              <w:t> </w:t>
            </w:r>
            <w:r w:rsidR="00030AE7">
              <w:rPr>
                <w:rFonts w:ascii="TimesNewRoman" w:hAnsi="TimesNewRoman"/>
                <w:noProof/>
                <w:color w:val="000000"/>
              </w:rPr>
              <w:t>8</w:t>
            </w:r>
            <w:r>
              <w:rPr>
                <w:rFonts w:ascii="TimesNewRoman" w:hAnsi="TimesNewRoman"/>
                <w:noProof/>
                <w:color w:val="000000"/>
              </w:rPr>
              <w:t>5</w:t>
            </w:r>
            <w:r w:rsidR="00030AE7">
              <w:rPr>
                <w:rFonts w:ascii="TimesNewRoman" w:hAnsi="TimesNewRoman"/>
                <w:noProof/>
                <w:color w:val="000000"/>
              </w:rPr>
              <w:t>0</w:t>
            </w:r>
          </w:p>
        </w:tc>
      </w:tr>
      <w:tr w:rsidR="001E1B79" w:rsidRPr="008D462D" w:rsidTr="001D5990">
        <w:tc>
          <w:tcPr>
            <w:tcW w:w="4908" w:type="dxa"/>
            <w:tcBorders>
              <w:top w:val="dotted" w:sz="4" w:space="0" w:color="auto"/>
            </w:tcBorders>
            <w:shd w:val="clear" w:color="auto" w:fill="auto"/>
            <w:vAlign w:val="center"/>
          </w:tcPr>
          <w:p w:rsidR="001E1B79" w:rsidRPr="008D462D" w:rsidRDefault="001E1B79" w:rsidP="001E1B79">
            <w:pPr>
              <w:spacing w:before="0" w:after="0"/>
              <w:jc w:val="left"/>
              <w:rPr>
                <w:noProof/>
              </w:rPr>
            </w:pPr>
            <w:r>
              <w:rPr>
                <w:noProof/>
              </w:rPr>
              <w:t>EGF contribution (</w:t>
            </w:r>
            <w:r w:rsidR="00ED6F0C">
              <w:rPr>
                <w:noProof/>
              </w:rPr>
              <w:t>60</w:t>
            </w:r>
            <w:r>
              <w:rPr>
                <w:noProof/>
              </w:rPr>
              <w:t> %)</w:t>
            </w:r>
            <w:r w:rsidRPr="008D462D">
              <w:rPr>
                <w:noProof/>
              </w:rPr>
              <w:t xml:space="preserve"> (EUR)</w:t>
            </w:r>
          </w:p>
        </w:tc>
        <w:tc>
          <w:tcPr>
            <w:tcW w:w="4379" w:type="dxa"/>
            <w:tcBorders>
              <w:top w:val="dotted" w:sz="4" w:space="0" w:color="auto"/>
            </w:tcBorders>
            <w:shd w:val="clear" w:color="auto" w:fill="auto"/>
            <w:vAlign w:val="center"/>
          </w:tcPr>
          <w:p w:rsidR="001E1B79" w:rsidRPr="008D462D" w:rsidRDefault="00C220AF" w:rsidP="001E1B79">
            <w:pPr>
              <w:spacing w:before="0" w:after="0"/>
              <w:ind w:rightChars="192" w:right="461"/>
              <w:jc w:val="left"/>
              <w:rPr>
                <w:noProof/>
              </w:rPr>
            </w:pPr>
            <w:r>
              <w:rPr>
                <w:rFonts w:ascii="TimesNewRoman" w:hAnsi="TimesNewRoman"/>
                <w:noProof/>
                <w:color w:val="000000"/>
              </w:rPr>
              <w:t>410</w:t>
            </w:r>
            <w:r w:rsidR="00B16D40">
              <w:rPr>
                <w:rFonts w:ascii="TimesNewRoman" w:hAnsi="TimesNewRoman" w:hint="eastAsia"/>
                <w:noProof/>
                <w:color w:val="000000"/>
              </w:rPr>
              <w:t> </w:t>
            </w:r>
            <w:r w:rsidR="00030AE7">
              <w:rPr>
                <w:rFonts w:ascii="TimesNewRoman" w:hAnsi="TimesNewRoman"/>
                <w:noProof/>
                <w:color w:val="000000"/>
              </w:rPr>
              <w:t>3</w:t>
            </w:r>
            <w:r>
              <w:rPr>
                <w:rFonts w:ascii="TimesNewRoman" w:hAnsi="TimesNewRoman"/>
                <w:noProof/>
                <w:color w:val="000000"/>
              </w:rPr>
              <w:t>10</w:t>
            </w:r>
          </w:p>
        </w:tc>
      </w:tr>
    </w:tbl>
    <w:p w:rsidR="001A62D7" w:rsidRDefault="001A62D7" w:rsidP="001A62D7">
      <w:pPr>
        <w:pStyle w:val="ManualHeading1"/>
        <w:rPr>
          <w:noProof/>
        </w:rPr>
      </w:pPr>
      <w:r>
        <w:rPr>
          <w:noProof/>
        </w:rPr>
        <w:t>ASSESSMENT OF THE APPLICATION</w:t>
      </w:r>
    </w:p>
    <w:p w:rsidR="001A62D7" w:rsidRPr="00A824FA" w:rsidRDefault="001A62D7" w:rsidP="001A62D7">
      <w:pPr>
        <w:pStyle w:val="ManualHeading2"/>
        <w:rPr>
          <w:noProof/>
        </w:rPr>
      </w:pPr>
      <w:r>
        <w:rPr>
          <w:noProof/>
        </w:rPr>
        <w:t>Procedure</w:t>
      </w:r>
    </w:p>
    <w:p w:rsidR="001A62D7" w:rsidRPr="00A1041A" w:rsidRDefault="00ED6F0C" w:rsidP="009C50F6">
      <w:pPr>
        <w:pStyle w:val="ManualNumPar1"/>
        <w:rPr>
          <w:noProof/>
        </w:rPr>
      </w:pPr>
      <w:r>
        <w:rPr>
          <w:noProof/>
        </w:rPr>
        <w:t>4.</w:t>
      </w:r>
      <w:r>
        <w:rPr>
          <w:noProof/>
        </w:rPr>
        <w:tab/>
        <w:t>Finland</w:t>
      </w:r>
      <w:r w:rsidR="00B72C22">
        <w:rPr>
          <w:noProof/>
        </w:rPr>
        <w:t xml:space="preserve"> </w:t>
      </w:r>
      <w:r w:rsidR="001A62D7" w:rsidRPr="008D462D">
        <w:rPr>
          <w:noProof/>
        </w:rPr>
        <w:t>submitted application</w:t>
      </w:r>
      <w:r w:rsidR="00B72C22">
        <w:rPr>
          <w:noProof/>
        </w:rPr>
        <w:t xml:space="preserve"> </w:t>
      </w:r>
      <w:r w:rsidR="00B72C22" w:rsidRPr="00B72C22">
        <w:rPr>
          <w:noProof/>
        </w:rPr>
        <w:t>EGF/202</w:t>
      </w:r>
      <w:r>
        <w:rPr>
          <w:noProof/>
        </w:rPr>
        <w:t>6</w:t>
      </w:r>
      <w:r w:rsidR="00B72C22" w:rsidRPr="00B72C22">
        <w:rPr>
          <w:noProof/>
        </w:rPr>
        <w:t>/00</w:t>
      </w:r>
      <w:r>
        <w:rPr>
          <w:noProof/>
        </w:rPr>
        <w:t>3</w:t>
      </w:r>
      <w:r w:rsidR="00B72C22" w:rsidRPr="00B72C22">
        <w:rPr>
          <w:noProof/>
        </w:rPr>
        <w:t xml:space="preserve"> </w:t>
      </w:r>
      <w:r>
        <w:rPr>
          <w:noProof/>
        </w:rPr>
        <w:t>FI</w:t>
      </w:r>
      <w:r w:rsidR="00B72C22" w:rsidRPr="00B72C22">
        <w:rPr>
          <w:noProof/>
        </w:rPr>
        <w:t>/</w:t>
      </w:r>
      <w:r>
        <w:rPr>
          <w:noProof/>
        </w:rPr>
        <w:t>Valmet</w:t>
      </w:r>
      <w:r w:rsidR="003D19FA">
        <w:rPr>
          <w:noProof/>
        </w:rPr>
        <w:t xml:space="preserve"> Automotive</w:t>
      </w:r>
      <w:r w:rsidR="001A62D7" w:rsidRPr="008D462D">
        <w:rPr>
          <w:noProof/>
        </w:rPr>
        <w:t xml:space="preserve"> within 12 weeks of the date on which the intervention criteria set out in </w:t>
      </w:r>
      <w:r w:rsidR="00B72C22">
        <w:rPr>
          <w:noProof/>
        </w:rPr>
        <w:t>Article 4 (2), point (</w:t>
      </w:r>
      <w:r w:rsidR="008F0EA0">
        <w:rPr>
          <w:noProof/>
        </w:rPr>
        <w:t>a</w:t>
      </w:r>
      <w:r w:rsidR="00B72C22">
        <w:rPr>
          <w:noProof/>
        </w:rPr>
        <w:t xml:space="preserve">) </w:t>
      </w:r>
      <w:r w:rsidR="001A62D7">
        <w:rPr>
          <w:noProof/>
        </w:rPr>
        <w:t>of Regulation (EU) 2021/691</w:t>
      </w:r>
      <w:r w:rsidR="001A62D7" w:rsidRPr="008D462D">
        <w:rPr>
          <w:noProof/>
        </w:rPr>
        <w:t xml:space="preserve"> were met, on</w:t>
      </w:r>
      <w:r w:rsidR="00B72C22">
        <w:rPr>
          <w:noProof/>
        </w:rPr>
        <w:t xml:space="preserve"> </w:t>
      </w:r>
      <w:r>
        <w:rPr>
          <w:noProof/>
        </w:rPr>
        <w:t>5</w:t>
      </w:r>
      <w:r w:rsidR="00B72C22">
        <w:rPr>
          <w:noProof/>
        </w:rPr>
        <w:t xml:space="preserve"> </w:t>
      </w:r>
      <w:r>
        <w:rPr>
          <w:noProof/>
        </w:rPr>
        <w:t>May</w:t>
      </w:r>
      <w:r w:rsidR="00B72C22">
        <w:rPr>
          <w:noProof/>
        </w:rPr>
        <w:t xml:space="preserve"> 202</w:t>
      </w:r>
      <w:r>
        <w:rPr>
          <w:noProof/>
        </w:rPr>
        <w:t>6</w:t>
      </w:r>
      <w:r w:rsidR="001A62D7" w:rsidRPr="008D462D">
        <w:rPr>
          <w:noProof/>
        </w:rPr>
        <w:t xml:space="preserve">. The Commission acknowledged receipt of the application </w:t>
      </w:r>
      <w:r w:rsidR="00B72C22" w:rsidRPr="002E69A6">
        <w:rPr>
          <w:noProof/>
        </w:rPr>
        <w:t xml:space="preserve">the same </w:t>
      </w:r>
      <w:r w:rsidR="000E7A0D" w:rsidRPr="002E69A6">
        <w:rPr>
          <w:noProof/>
        </w:rPr>
        <w:t>date</w:t>
      </w:r>
      <w:r w:rsidR="000E7A0D">
        <w:rPr>
          <w:noProof/>
        </w:rPr>
        <w:t xml:space="preserve"> and</w:t>
      </w:r>
      <w:r w:rsidR="00B72C22" w:rsidRPr="002E69A6">
        <w:rPr>
          <w:noProof/>
        </w:rPr>
        <w:t xml:space="preserve"> </w:t>
      </w:r>
      <w:bookmarkStart w:id="2" w:name="_Hlk176343556"/>
      <w:r w:rsidR="00B72C22" w:rsidRPr="002E69A6">
        <w:rPr>
          <w:noProof/>
        </w:rPr>
        <w:t xml:space="preserve">requested additional information from </w:t>
      </w:r>
      <w:r>
        <w:rPr>
          <w:noProof/>
        </w:rPr>
        <w:t>Finland</w:t>
      </w:r>
      <w:r w:rsidR="00B72C22" w:rsidRPr="002E69A6">
        <w:rPr>
          <w:noProof/>
        </w:rPr>
        <w:t xml:space="preserve"> </w:t>
      </w:r>
      <w:r w:rsidR="00B72C22" w:rsidRPr="006A411A">
        <w:rPr>
          <w:noProof/>
        </w:rPr>
        <w:t xml:space="preserve">on </w:t>
      </w:r>
      <w:r w:rsidR="00C220AF" w:rsidRPr="00A1041A">
        <w:rPr>
          <w:noProof/>
        </w:rPr>
        <w:t>21</w:t>
      </w:r>
      <w:r w:rsidR="003D0A5F" w:rsidRPr="00A1041A">
        <w:rPr>
          <w:noProof/>
        </w:rPr>
        <w:t xml:space="preserve"> </w:t>
      </w:r>
      <w:r w:rsidR="00C220AF" w:rsidRPr="00A1041A">
        <w:rPr>
          <w:noProof/>
        </w:rPr>
        <w:t>May</w:t>
      </w:r>
      <w:r w:rsidR="00B72C22" w:rsidRPr="00A1041A">
        <w:rPr>
          <w:noProof/>
        </w:rPr>
        <w:t xml:space="preserve"> 202</w:t>
      </w:r>
      <w:r w:rsidR="000E7A0D" w:rsidRPr="00A1041A">
        <w:rPr>
          <w:noProof/>
        </w:rPr>
        <w:t>6</w:t>
      </w:r>
      <w:r w:rsidR="00B72C22" w:rsidRPr="00A1041A">
        <w:rPr>
          <w:noProof/>
        </w:rPr>
        <w:t xml:space="preserve">. Such additional information was provided within 15 working days of the request. The deadline of 50 working days of the receipt of the complete application within which the Commission should finalise its assessment of the application's compliance with the conditions for providing a financial contribution expires on </w:t>
      </w:r>
      <w:r w:rsidR="00C220AF" w:rsidRPr="00A1041A">
        <w:rPr>
          <w:noProof/>
        </w:rPr>
        <w:t>24</w:t>
      </w:r>
      <w:r w:rsidR="00B72C22" w:rsidRPr="00A1041A">
        <w:rPr>
          <w:noProof/>
        </w:rPr>
        <w:t xml:space="preserve"> </w:t>
      </w:r>
      <w:r w:rsidR="00C220AF" w:rsidRPr="00A1041A">
        <w:rPr>
          <w:noProof/>
        </w:rPr>
        <w:t>August</w:t>
      </w:r>
      <w:r w:rsidR="00B72C22" w:rsidRPr="00A1041A">
        <w:rPr>
          <w:noProof/>
        </w:rPr>
        <w:t xml:space="preserve"> 2026.</w:t>
      </w:r>
      <w:bookmarkEnd w:id="2"/>
    </w:p>
    <w:p w:rsidR="001A62D7" w:rsidRPr="00A1041A" w:rsidRDefault="001A62D7" w:rsidP="001A62D7">
      <w:pPr>
        <w:pStyle w:val="ManualHeading2"/>
        <w:rPr>
          <w:noProof/>
        </w:rPr>
      </w:pPr>
      <w:r w:rsidRPr="00A1041A">
        <w:rPr>
          <w:noProof/>
        </w:rPr>
        <w:t>Eligibility of the application</w:t>
      </w:r>
    </w:p>
    <w:p w:rsidR="001A62D7" w:rsidRPr="00A1041A" w:rsidRDefault="001A62D7" w:rsidP="001A62D7">
      <w:pPr>
        <w:pStyle w:val="ManualHeading3"/>
        <w:rPr>
          <w:noProof/>
        </w:rPr>
      </w:pPr>
      <w:r w:rsidRPr="00A1041A">
        <w:rPr>
          <w:noProof/>
        </w:rPr>
        <w:t>Enterprises and beneficiaries concerned</w:t>
      </w:r>
    </w:p>
    <w:p w:rsidR="00AC3AEF" w:rsidRPr="00A1041A" w:rsidRDefault="00181DB4" w:rsidP="009C50F6">
      <w:pPr>
        <w:pStyle w:val="ManualNumPar1"/>
        <w:rPr>
          <w:noProof/>
          <w:szCs w:val="24"/>
        </w:rPr>
      </w:pPr>
      <w:r>
        <w:rPr>
          <w:noProof/>
        </w:rPr>
        <w:t>5.</w:t>
      </w:r>
      <w:r>
        <w:rPr>
          <w:noProof/>
        </w:rPr>
        <w:tab/>
      </w:r>
      <w:r w:rsidRPr="00A1041A">
        <w:rPr>
          <w:noProof/>
        </w:rPr>
        <w:t xml:space="preserve">The application relates to </w:t>
      </w:r>
      <w:r w:rsidR="002826E9" w:rsidRPr="00A1041A">
        <w:rPr>
          <w:noProof/>
        </w:rPr>
        <w:t>2</w:t>
      </w:r>
      <w:r w:rsidR="00A1041A">
        <w:rPr>
          <w:noProof/>
        </w:rPr>
        <w:t>39</w:t>
      </w:r>
      <w:r w:rsidRPr="00A1041A">
        <w:rPr>
          <w:noProof/>
        </w:rPr>
        <w:t xml:space="preserve"> displaced workers whose activity has ceased in </w:t>
      </w:r>
      <w:r w:rsidR="000E7A0D" w:rsidRPr="00A1041A">
        <w:rPr>
          <w:noProof/>
        </w:rPr>
        <w:t xml:space="preserve">Valmet Automotive and </w:t>
      </w:r>
      <w:r w:rsidR="00346CC8">
        <w:rPr>
          <w:noProof/>
        </w:rPr>
        <w:t>one of</w:t>
      </w:r>
      <w:r w:rsidR="000E7A0D" w:rsidRPr="00053DDE">
        <w:rPr>
          <w:noProof/>
        </w:rPr>
        <w:t xml:space="preserve"> its </w:t>
      </w:r>
      <w:r w:rsidR="006E53E9" w:rsidRPr="00053DDE">
        <w:rPr>
          <w:noProof/>
        </w:rPr>
        <w:t>suppliers</w:t>
      </w:r>
      <w:r w:rsidR="008F0EA0" w:rsidRPr="00053DDE">
        <w:rPr>
          <w:noProof/>
        </w:rPr>
        <w:t>.</w:t>
      </w:r>
      <w:r w:rsidR="008F0EA0" w:rsidRPr="00A1041A">
        <w:rPr>
          <w:noProof/>
        </w:rPr>
        <w:t xml:space="preserve"> The </w:t>
      </w:r>
      <w:r w:rsidR="00F45CF2" w:rsidRPr="00A1041A">
        <w:rPr>
          <w:noProof/>
        </w:rPr>
        <w:t>primary</w:t>
      </w:r>
      <w:r w:rsidR="00F45CF2">
        <w:rPr>
          <w:noProof/>
        </w:rPr>
        <w:t xml:space="preserve"> </w:t>
      </w:r>
      <w:r w:rsidR="008F0EA0">
        <w:rPr>
          <w:noProof/>
        </w:rPr>
        <w:t xml:space="preserve">enterprise operates in </w:t>
      </w:r>
      <w:r w:rsidRPr="000E61DB">
        <w:rPr>
          <w:noProof/>
        </w:rPr>
        <w:t xml:space="preserve">the </w:t>
      </w:r>
      <w:r w:rsidRPr="002E69A6">
        <w:rPr>
          <w:noProof/>
        </w:rPr>
        <w:t xml:space="preserve">economic sector classified under the </w:t>
      </w:r>
      <w:r w:rsidRPr="006927AB">
        <w:rPr>
          <w:noProof/>
        </w:rPr>
        <w:t xml:space="preserve">NACE Revision 2 </w:t>
      </w:r>
      <w:r>
        <w:rPr>
          <w:noProof/>
        </w:rPr>
        <w:t>d</w:t>
      </w:r>
      <w:r w:rsidRPr="006927AB">
        <w:rPr>
          <w:noProof/>
        </w:rPr>
        <w:t>ivision</w:t>
      </w:r>
      <w:r>
        <w:rPr>
          <w:noProof/>
        </w:rPr>
        <w:t xml:space="preserve"> </w:t>
      </w:r>
      <w:r w:rsidR="000E7A0D">
        <w:rPr>
          <w:noProof/>
          <w:szCs w:val="24"/>
        </w:rPr>
        <w:t>29</w:t>
      </w:r>
      <w:r w:rsidRPr="0008396E">
        <w:rPr>
          <w:noProof/>
          <w:szCs w:val="24"/>
        </w:rPr>
        <w:t xml:space="preserve"> (</w:t>
      </w:r>
      <w:r w:rsidR="000E7A0D">
        <w:rPr>
          <w:noProof/>
          <w:szCs w:val="24"/>
        </w:rPr>
        <w:t xml:space="preserve">Manufacture of motor vehicles, </w:t>
      </w:r>
      <w:r w:rsidR="000E7A0D" w:rsidRPr="000E28CA">
        <w:rPr>
          <w:noProof/>
          <w:szCs w:val="24"/>
        </w:rPr>
        <w:t>trailers and semi-trailers)</w:t>
      </w:r>
      <w:r w:rsidR="00A265D8">
        <w:rPr>
          <w:noProof/>
          <w:szCs w:val="24"/>
        </w:rPr>
        <w:t>.</w:t>
      </w:r>
      <w:r w:rsidR="000E7A0D" w:rsidRPr="000E28CA">
        <w:rPr>
          <w:noProof/>
          <w:szCs w:val="24"/>
        </w:rPr>
        <w:t xml:space="preserve"> </w:t>
      </w:r>
      <w:r w:rsidRPr="000E28CA">
        <w:rPr>
          <w:noProof/>
        </w:rPr>
        <w:t xml:space="preserve">The redundancies are located in the NUTS 2 region of </w:t>
      </w:r>
      <w:r w:rsidR="00C20148" w:rsidRPr="000E28CA">
        <w:rPr>
          <w:noProof/>
        </w:rPr>
        <w:t>Länsi-Suomi</w:t>
      </w:r>
      <w:r w:rsidRPr="000E28CA">
        <w:rPr>
          <w:noProof/>
          <w:szCs w:val="24"/>
        </w:rPr>
        <w:t xml:space="preserve"> (</w:t>
      </w:r>
      <w:r w:rsidR="000E7A0D" w:rsidRPr="000E28CA">
        <w:rPr>
          <w:noProof/>
          <w:szCs w:val="24"/>
        </w:rPr>
        <w:t>FI19</w:t>
      </w:r>
      <w:r w:rsidRPr="000E28CA">
        <w:rPr>
          <w:noProof/>
          <w:szCs w:val="24"/>
        </w:rPr>
        <w:t>).</w:t>
      </w:r>
    </w:p>
    <w:tbl>
      <w:tblPr>
        <w:tblW w:w="8232"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0"/>
        <w:gridCol w:w="3117"/>
        <w:gridCol w:w="183"/>
        <w:gridCol w:w="1092"/>
      </w:tblGrid>
      <w:tr w:rsidR="00AC3AEF" w:rsidRPr="00A1041A" w:rsidTr="00AC3AEF">
        <w:trPr>
          <w:trHeight w:val="284"/>
          <w:tblHeader/>
        </w:trPr>
        <w:tc>
          <w:tcPr>
            <w:tcW w:w="8232"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C3AEF" w:rsidRPr="00A1041A" w:rsidRDefault="00AC3AEF" w:rsidP="003E3147">
            <w:pPr>
              <w:spacing w:beforeLines="20" w:before="48" w:afterLines="20" w:after="48" w:line="276" w:lineRule="auto"/>
              <w:ind w:left="57"/>
              <w:jc w:val="center"/>
              <w:rPr>
                <w:rFonts w:eastAsia="Calibri"/>
                <w:b/>
                <w:noProof/>
                <w:szCs w:val="24"/>
              </w:rPr>
            </w:pPr>
            <w:r w:rsidRPr="00A1041A">
              <w:rPr>
                <w:rFonts w:eastAsia="Calibri"/>
                <w:b/>
                <w:noProof/>
                <w:szCs w:val="24"/>
              </w:rPr>
              <w:t>Enterprises and number of displacements within the reference period</w:t>
            </w:r>
          </w:p>
        </w:tc>
      </w:tr>
      <w:tr w:rsidR="00AC3AEF" w:rsidRPr="00A1041A" w:rsidTr="00AC3AEF">
        <w:tc>
          <w:tcPr>
            <w:tcW w:w="6957" w:type="dxa"/>
            <w:gridSpan w:val="2"/>
            <w:tcBorders>
              <w:bottom w:val="single" w:sz="4" w:space="0" w:color="auto"/>
              <w:right w:val="single" w:sz="4" w:space="0" w:color="auto"/>
            </w:tcBorders>
            <w:shd w:val="clear" w:color="auto" w:fill="auto"/>
            <w:vAlign w:val="center"/>
          </w:tcPr>
          <w:p w:rsidR="00AC3AEF" w:rsidRPr="00A1041A" w:rsidRDefault="000E7A0D" w:rsidP="003E3147">
            <w:pPr>
              <w:spacing w:before="0" w:after="0"/>
              <w:ind w:right="252"/>
              <w:jc w:val="left"/>
              <w:rPr>
                <w:noProof/>
                <w:szCs w:val="24"/>
                <w:lang w:val="en-IE"/>
              </w:rPr>
            </w:pPr>
            <w:r w:rsidRPr="00A1041A">
              <w:rPr>
                <w:noProof/>
                <w:lang w:val="en-IE"/>
              </w:rPr>
              <w:t xml:space="preserve">Valmet Automotive Oyj </w:t>
            </w:r>
            <w:r w:rsidR="00AC3AEF" w:rsidRPr="00A1041A">
              <w:rPr>
                <w:noProof/>
                <w:lang w:val="en-IE"/>
              </w:rPr>
              <w:t>(</w:t>
            </w:r>
            <w:r w:rsidR="004D6C9E">
              <w:rPr>
                <w:noProof/>
                <w:lang w:val="en-IE"/>
              </w:rPr>
              <w:t>M</w:t>
            </w:r>
            <w:r w:rsidRPr="00A1041A">
              <w:rPr>
                <w:noProof/>
                <w:lang w:val="en-IE"/>
              </w:rPr>
              <w:t>anufacture of motor vehicles</w:t>
            </w:r>
            <w:r w:rsidR="00AC3AEF" w:rsidRPr="00A1041A">
              <w:rPr>
                <w:noProof/>
                <w:lang w:val="en-IE"/>
              </w:rPr>
              <w:t>)</w:t>
            </w:r>
          </w:p>
        </w:tc>
        <w:tc>
          <w:tcPr>
            <w:tcW w:w="1275" w:type="dxa"/>
            <w:gridSpan w:val="2"/>
            <w:tcBorders>
              <w:left w:val="single" w:sz="4" w:space="0" w:color="auto"/>
              <w:bottom w:val="single" w:sz="4" w:space="0" w:color="auto"/>
            </w:tcBorders>
            <w:shd w:val="clear" w:color="auto" w:fill="auto"/>
            <w:vAlign w:val="center"/>
          </w:tcPr>
          <w:p w:rsidR="00AC3AEF" w:rsidRPr="00A1041A" w:rsidRDefault="00AC3AEF" w:rsidP="003E3147">
            <w:pPr>
              <w:spacing w:before="0" w:after="0"/>
              <w:ind w:left="-828"/>
              <w:jc w:val="right"/>
              <w:rPr>
                <w:noProof/>
                <w:szCs w:val="24"/>
              </w:rPr>
            </w:pPr>
            <w:r w:rsidRPr="00A1041A">
              <w:rPr>
                <w:noProof/>
                <w:szCs w:val="24"/>
              </w:rPr>
              <w:t>2</w:t>
            </w:r>
            <w:r w:rsidR="000E7A0D" w:rsidRPr="00A1041A">
              <w:rPr>
                <w:noProof/>
                <w:szCs w:val="24"/>
              </w:rPr>
              <w:t>3</w:t>
            </w:r>
            <w:r w:rsidR="00A1041A" w:rsidRPr="00A1041A">
              <w:rPr>
                <w:noProof/>
                <w:szCs w:val="24"/>
              </w:rPr>
              <w:t>0</w:t>
            </w:r>
          </w:p>
        </w:tc>
      </w:tr>
      <w:tr w:rsidR="000E7A0D" w:rsidRPr="00A1041A" w:rsidTr="00AC3AEF">
        <w:tc>
          <w:tcPr>
            <w:tcW w:w="6957" w:type="dxa"/>
            <w:gridSpan w:val="2"/>
            <w:tcBorders>
              <w:bottom w:val="single" w:sz="4" w:space="0" w:color="auto"/>
              <w:right w:val="single" w:sz="4" w:space="0" w:color="auto"/>
            </w:tcBorders>
            <w:shd w:val="clear" w:color="auto" w:fill="auto"/>
            <w:vAlign w:val="center"/>
          </w:tcPr>
          <w:p w:rsidR="000E7A0D" w:rsidRPr="00A1041A" w:rsidRDefault="000E7A0D" w:rsidP="003E3147">
            <w:pPr>
              <w:spacing w:before="0" w:after="0"/>
              <w:ind w:right="252"/>
              <w:jc w:val="left"/>
              <w:rPr>
                <w:noProof/>
                <w:szCs w:val="24"/>
              </w:rPr>
            </w:pPr>
            <w:r w:rsidRPr="00A1041A">
              <w:rPr>
                <w:noProof/>
                <w:color w:val="000000"/>
              </w:rPr>
              <w:t>Compass Group Finland Oy (Food and beverage service activities)</w:t>
            </w:r>
          </w:p>
        </w:tc>
        <w:tc>
          <w:tcPr>
            <w:tcW w:w="1275" w:type="dxa"/>
            <w:gridSpan w:val="2"/>
            <w:tcBorders>
              <w:left w:val="single" w:sz="4" w:space="0" w:color="auto"/>
              <w:bottom w:val="single" w:sz="4" w:space="0" w:color="auto"/>
            </w:tcBorders>
            <w:shd w:val="clear" w:color="auto" w:fill="auto"/>
            <w:vAlign w:val="center"/>
          </w:tcPr>
          <w:p w:rsidR="000E7A0D" w:rsidRPr="00A1041A" w:rsidRDefault="000E7A0D" w:rsidP="003E3147">
            <w:pPr>
              <w:spacing w:before="0" w:after="0"/>
              <w:ind w:left="-828"/>
              <w:jc w:val="right"/>
              <w:rPr>
                <w:noProof/>
                <w:szCs w:val="24"/>
              </w:rPr>
            </w:pPr>
            <w:r w:rsidRPr="00A1041A">
              <w:rPr>
                <w:noProof/>
                <w:szCs w:val="24"/>
              </w:rPr>
              <w:t>9</w:t>
            </w:r>
          </w:p>
        </w:tc>
      </w:tr>
      <w:tr w:rsidR="00AC3AEF" w:rsidRPr="008D462D" w:rsidTr="00AC3AEF">
        <w:trPr>
          <w:trHeight w:val="284"/>
        </w:trPr>
        <w:tc>
          <w:tcPr>
            <w:tcW w:w="3840" w:type="dxa"/>
            <w:tcBorders>
              <w:top w:val="single" w:sz="4" w:space="0" w:color="auto"/>
              <w:bottom w:val="nil"/>
              <w:right w:val="nil"/>
            </w:tcBorders>
            <w:shd w:val="clear" w:color="auto" w:fill="E6E6E6"/>
            <w:vAlign w:val="center"/>
          </w:tcPr>
          <w:p w:rsidR="00AC3AEF" w:rsidRPr="00A1041A" w:rsidRDefault="00AC3AEF" w:rsidP="003E3147">
            <w:pPr>
              <w:spacing w:beforeLines="20" w:before="48" w:afterLines="20" w:after="48" w:line="276" w:lineRule="auto"/>
              <w:ind w:left="57"/>
              <w:jc w:val="left"/>
              <w:rPr>
                <w:rFonts w:eastAsia="Calibri"/>
                <w:b/>
                <w:noProof/>
                <w:szCs w:val="24"/>
              </w:rPr>
            </w:pPr>
            <w:r w:rsidRPr="00A1041A">
              <w:rPr>
                <w:rFonts w:eastAsia="Calibri"/>
                <w:noProof/>
                <w:szCs w:val="24"/>
              </w:rPr>
              <w:br w:type="page"/>
            </w:r>
            <w:r w:rsidRPr="00A1041A">
              <w:rPr>
                <w:rFonts w:eastAsia="Calibri"/>
                <w:b/>
                <w:noProof/>
                <w:szCs w:val="24"/>
              </w:rPr>
              <w:t>Total no. of enterprises:</w:t>
            </w:r>
            <w:r w:rsidRPr="00A1041A">
              <w:rPr>
                <w:b/>
                <w:noProof/>
                <w:sz w:val="22"/>
              </w:rPr>
              <w:t xml:space="preserve"> </w:t>
            </w:r>
            <w:r w:rsidR="00A1041A" w:rsidRPr="00A1041A">
              <w:rPr>
                <w:b/>
                <w:noProof/>
              </w:rPr>
              <w:t>2</w:t>
            </w:r>
          </w:p>
        </w:tc>
        <w:tc>
          <w:tcPr>
            <w:tcW w:w="3300" w:type="dxa"/>
            <w:gridSpan w:val="2"/>
            <w:tcBorders>
              <w:top w:val="single" w:sz="4" w:space="0" w:color="auto"/>
              <w:left w:val="nil"/>
              <w:bottom w:val="nil"/>
              <w:right w:val="nil"/>
            </w:tcBorders>
            <w:shd w:val="clear" w:color="auto" w:fill="E6E6E6"/>
            <w:vAlign w:val="center"/>
          </w:tcPr>
          <w:p w:rsidR="00AC3AEF" w:rsidRPr="00A1041A" w:rsidRDefault="00AC3AEF" w:rsidP="003E3147">
            <w:pPr>
              <w:spacing w:beforeLines="20" w:before="48" w:afterLines="20" w:after="48" w:line="276" w:lineRule="auto"/>
              <w:ind w:left="57" w:right="227"/>
              <w:jc w:val="left"/>
              <w:rPr>
                <w:rFonts w:eastAsia="Calibri"/>
                <w:b/>
                <w:noProof/>
                <w:szCs w:val="24"/>
              </w:rPr>
            </w:pPr>
            <w:r w:rsidRPr="00A1041A">
              <w:rPr>
                <w:rFonts w:eastAsia="Calibri"/>
                <w:b/>
                <w:noProof/>
                <w:szCs w:val="24"/>
              </w:rPr>
              <w:t>Total no. of displacements:</w:t>
            </w:r>
            <w:r w:rsidRPr="00A1041A">
              <w:rPr>
                <w:b/>
                <w:noProof/>
                <w:sz w:val="22"/>
              </w:rPr>
              <w:t xml:space="preserve"> </w:t>
            </w:r>
          </w:p>
        </w:tc>
        <w:tc>
          <w:tcPr>
            <w:tcW w:w="1092" w:type="dxa"/>
            <w:tcBorders>
              <w:top w:val="single" w:sz="4" w:space="0" w:color="auto"/>
              <w:left w:val="nil"/>
              <w:bottom w:val="nil"/>
            </w:tcBorders>
            <w:shd w:val="clear" w:color="auto" w:fill="E6E6E6"/>
            <w:vAlign w:val="center"/>
          </w:tcPr>
          <w:p w:rsidR="00AC3AEF" w:rsidRPr="008D462D" w:rsidRDefault="00CD42B6" w:rsidP="003E3147">
            <w:pPr>
              <w:spacing w:beforeLines="20" w:before="48" w:afterLines="20" w:after="48" w:line="276" w:lineRule="auto"/>
              <w:ind w:left="57" w:right="227"/>
              <w:jc w:val="right"/>
              <w:rPr>
                <w:rFonts w:eastAsia="Calibri"/>
                <w:b/>
                <w:noProof/>
                <w:szCs w:val="24"/>
              </w:rPr>
            </w:pPr>
            <w:r w:rsidRPr="00A1041A">
              <w:rPr>
                <w:b/>
                <w:noProof/>
              </w:rPr>
              <w:t>2</w:t>
            </w:r>
            <w:r w:rsidR="00A1041A" w:rsidRPr="00A1041A">
              <w:rPr>
                <w:b/>
                <w:noProof/>
              </w:rPr>
              <w:t>39</w:t>
            </w:r>
          </w:p>
        </w:tc>
      </w:tr>
      <w:tr w:rsidR="00AC3AEF" w:rsidRPr="008D462D" w:rsidTr="00AC3AEF">
        <w:trPr>
          <w:trHeight w:val="284"/>
        </w:trPr>
        <w:tc>
          <w:tcPr>
            <w:tcW w:w="7140" w:type="dxa"/>
            <w:gridSpan w:val="3"/>
            <w:tcBorders>
              <w:top w:val="nil"/>
              <w:bottom w:val="nil"/>
              <w:right w:val="nil"/>
            </w:tcBorders>
            <w:shd w:val="clear" w:color="auto" w:fill="E6E6E6"/>
            <w:vAlign w:val="center"/>
          </w:tcPr>
          <w:p w:rsidR="00AC3AEF" w:rsidRPr="008D462D" w:rsidRDefault="00AC3AEF" w:rsidP="003E3147">
            <w:pPr>
              <w:spacing w:beforeLines="20" w:before="48" w:afterLines="20" w:after="48" w:line="276" w:lineRule="auto"/>
              <w:ind w:left="57" w:right="227"/>
              <w:jc w:val="left"/>
              <w:rPr>
                <w:rFonts w:eastAsia="Calibri"/>
                <w:b/>
                <w:noProof/>
                <w:szCs w:val="24"/>
              </w:rPr>
            </w:pPr>
          </w:p>
        </w:tc>
        <w:tc>
          <w:tcPr>
            <w:tcW w:w="1092" w:type="dxa"/>
            <w:tcBorders>
              <w:top w:val="nil"/>
              <w:left w:val="nil"/>
              <w:bottom w:val="nil"/>
            </w:tcBorders>
            <w:shd w:val="clear" w:color="auto" w:fill="E6E6E6"/>
            <w:vAlign w:val="center"/>
          </w:tcPr>
          <w:p w:rsidR="00AC3AEF" w:rsidRPr="008D462D" w:rsidRDefault="00AC3AEF" w:rsidP="00EA127B">
            <w:pPr>
              <w:spacing w:beforeLines="20" w:before="48" w:afterLines="20" w:after="48" w:line="276" w:lineRule="auto"/>
              <w:ind w:right="227"/>
              <w:rPr>
                <w:rFonts w:eastAsia="Calibri"/>
                <w:b/>
                <w:noProof/>
                <w:szCs w:val="24"/>
              </w:rPr>
            </w:pPr>
          </w:p>
        </w:tc>
      </w:tr>
      <w:tr w:rsidR="00AC3AEF" w:rsidRPr="008D462D" w:rsidTr="00EA127B">
        <w:trPr>
          <w:trHeight w:val="87"/>
        </w:trPr>
        <w:tc>
          <w:tcPr>
            <w:tcW w:w="7140" w:type="dxa"/>
            <w:gridSpan w:val="3"/>
            <w:tcBorders>
              <w:top w:val="nil"/>
              <w:right w:val="nil"/>
            </w:tcBorders>
            <w:shd w:val="clear" w:color="auto" w:fill="E6E6E6"/>
            <w:vAlign w:val="center"/>
          </w:tcPr>
          <w:p w:rsidR="00AC3AEF" w:rsidRPr="008D462D" w:rsidRDefault="00AC3AEF" w:rsidP="00EA127B">
            <w:pPr>
              <w:spacing w:beforeLines="20" w:before="48" w:afterLines="20" w:after="48" w:line="276" w:lineRule="auto"/>
              <w:jc w:val="left"/>
              <w:rPr>
                <w:rFonts w:eastAsia="Calibri"/>
                <w:b/>
                <w:noProof/>
                <w:szCs w:val="24"/>
              </w:rPr>
            </w:pPr>
          </w:p>
        </w:tc>
        <w:tc>
          <w:tcPr>
            <w:tcW w:w="1092" w:type="dxa"/>
            <w:tcBorders>
              <w:top w:val="nil"/>
              <w:left w:val="nil"/>
            </w:tcBorders>
            <w:shd w:val="clear" w:color="auto" w:fill="E6E6E6"/>
            <w:vAlign w:val="center"/>
          </w:tcPr>
          <w:p w:rsidR="00AC3AEF" w:rsidRPr="008D462D" w:rsidRDefault="00AC3AEF" w:rsidP="003E3147">
            <w:pPr>
              <w:spacing w:beforeLines="20" w:before="48" w:afterLines="20" w:after="48" w:line="276" w:lineRule="auto"/>
              <w:ind w:left="57" w:right="227"/>
              <w:jc w:val="right"/>
              <w:rPr>
                <w:rFonts w:eastAsia="Calibri"/>
                <w:b/>
                <w:noProof/>
                <w:szCs w:val="24"/>
              </w:rPr>
            </w:pPr>
          </w:p>
        </w:tc>
      </w:tr>
    </w:tbl>
    <w:p w:rsidR="001A62D7" w:rsidRDefault="001A62D7" w:rsidP="001A62D7">
      <w:pPr>
        <w:pStyle w:val="ManualHeading3"/>
        <w:rPr>
          <w:noProof/>
        </w:rPr>
      </w:pPr>
      <w:r w:rsidRPr="000625B3">
        <w:rPr>
          <w:noProof/>
        </w:rPr>
        <w:t>Intervention criteria</w:t>
      </w:r>
    </w:p>
    <w:p w:rsidR="00A50DD1" w:rsidRPr="00632FB3" w:rsidRDefault="00EA127B" w:rsidP="00A50DD1">
      <w:pPr>
        <w:pStyle w:val="ManualNumPar1"/>
        <w:rPr>
          <w:noProof/>
        </w:rPr>
      </w:pPr>
      <w:r>
        <w:rPr>
          <w:noProof/>
        </w:rPr>
        <w:t>6.</w:t>
      </w:r>
      <w:r>
        <w:rPr>
          <w:noProof/>
        </w:rPr>
        <w:tab/>
      </w:r>
      <w:bookmarkStart w:id="3" w:name="_Ref372189348"/>
      <w:r>
        <w:rPr>
          <w:noProof/>
        </w:rPr>
        <w:t>Finland</w:t>
      </w:r>
      <w:r w:rsidR="00A50DD1">
        <w:rPr>
          <w:noProof/>
        </w:rPr>
        <w:t xml:space="preserve"> </w:t>
      </w:r>
      <w:r w:rsidR="00A50DD1" w:rsidRPr="008D462D">
        <w:rPr>
          <w:noProof/>
        </w:rPr>
        <w:t>submitted the application under the interven</w:t>
      </w:r>
      <w:r w:rsidR="00A50DD1">
        <w:rPr>
          <w:noProof/>
        </w:rPr>
        <w:t>tion criteria</w:t>
      </w:r>
      <w:r w:rsidR="00A50DD1" w:rsidRPr="008D462D">
        <w:rPr>
          <w:noProof/>
        </w:rPr>
        <w:t xml:space="preserve"> of </w:t>
      </w:r>
      <w:r w:rsidR="00A50DD1" w:rsidRPr="00632FB3">
        <w:rPr>
          <w:rFonts w:eastAsia="Calibri"/>
          <w:noProof/>
        </w:rPr>
        <w:t>Article 4(2)</w:t>
      </w:r>
      <w:r w:rsidR="00A50DD1">
        <w:rPr>
          <w:noProof/>
        </w:rPr>
        <w:t xml:space="preserve">, point </w:t>
      </w:r>
      <w:r w:rsidR="00A50DD1" w:rsidRPr="00632FB3">
        <w:rPr>
          <w:rFonts w:eastAsia="Calibri"/>
          <w:noProof/>
        </w:rPr>
        <w:t>(</w:t>
      </w:r>
      <w:r w:rsidR="008F0EA0">
        <w:rPr>
          <w:rFonts w:eastAsia="Calibri"/>
          <w:noProof/>
        </w:rPr>
        <w:t>a</w:t>
      </w:r>
      <w:r w:rsidR="00A50DD1" w:rsidRPr="00632FB3">
        <w:rPr>
          <w:rFonts w:eastAsia="Calibri"/>
          <w:noProof/>
        </w:rPr>
        <w:t xml:space="preserve">) </w:t>
      </w:r>
      <w:r w:rsidR="00A50DD1" w:rsidRPr="008D462D">
        <w:rPr>
          <w:noProof/>
        </w:rPr>
        <w:t xml:space="preserve">of </w:t>
      </w:r>
      <w:r w:rsidR="00A50DD1">
        <w:rPr>
          <w:noProof/>
        </w:rPr>
        <w:t xml:space="preserve">Regulation (EU) 2021/691, </w:t>
      </w:r>
      <w:r w:rsidR="008F0EA0">
        <w:rPr>
          <w:noProof/>
        </w:rPr>
        <w:t>which</w:t>
      </w:r>
      <w:r w:rsidR="008F0EA0" w:rsidRPr="008D462D">
        <w:rPr>
          <w:noProof/>
        </w:rPr>
        <w:t xml:space="preserve"> requires </w:t>
      </w:r>
      <w:r w:rsidR="008F0EA0">
        <w:rPr>
          <w:noProof/>
        </w:rPr>
        <w:t xml:space="preserve">the cessation of activity of </w:t>
      </w:r>
      <w:r w:rsidR="008F0EA0" w:rsidRPr="008D462D">
        <w:rPr>
          <w:noProof/>
        </w:rPr>
        <w:t>at least</w:t>
      </w:r>
      <w:r w:rsidR="009443AD">
        <w:rPr>
          <w:noProof/>
        </w:rPr>
        <w:t> </w:t>
      </w:r>
      <w:r w:rsidR="008F0EA0">
        <w:rPr>
          <w:noProof/>
        </w:rPr>
        <w:t>2</w:t>
      </w:r>
      <w:r w:rsidR="008F0EA0" w:rsidRPr="008D462D">
        <w:rPr>
          <w:noProof/>
        </w:rPr>
        <w:t xml:space="preserve">00 </w:t>
      </w:r>
      <w:r w:rsidR="008F0EA0">
        <w:rPr>
          <w:noProof/>
        </w:rPr>
        <w:t xml:space="preserve">displaced </w:t>
      </w:r>
      <w:r w:rsidR="008F0EA0" w:rsidRPr="000E61DB">
        <w:rPr>
          <w:noProof/>
        </w:rPr>
        <w:t xml:space="preserve">workers </w:t>
      </w:r>
      <w:r w:rsidR="008F0EA0" w:rsidRPr="008D462D">
        <w:rPr>
          <w:noProof/>
        </w:rPr>
        <w:t xml:space="preserve">over a reference period of </w:t>
      </w:r>
      <w:r w:rsidR="008F0EA0" w:rsidRPr="000374D7">
        <w:rPr>
          <w:noProof/>
        </w:rPr>
        <w:t>four months</w:t>
      </w:r>
      <w:r w:rsidR="008F0EA0" w:rsidRPr="000374D7">
        <w:rPr>
          <w:noProof/>
          <w:lang w:val="en-IE"/>
        </w:rPr>
        <w:t xml:space="preserve"> in an enterprise in </w:t>
      </w:r>
      <w:r w:rsidR="008F0EA0" w:rsidRPr="000374D7">
        <w:rPr>
          <w:noProof/>
          <w:lang w:val="en-IE"/>
        </w:rPr>
        <w:lastRenderedPageBreak/>
        <w:t>a Member State, including workers</w:t>
      </w:r>
      <w:r w:rsidR="008F0EA0">
        <w:rPr>
          <w:noProof/>
          <w:lang w:val="en-IE"/>
        </w:rPr>
        <w:t xml:space="preserve"> displaced</w:t>
      </w:r>
      <w:r w:rsidR="008F0EA0" w:rsidRPr="000374D7">
        <w:rPr>
          <w:noProof/>
          <w:lang w:val="en-IE"/>
        </w:rPr>
        <w:t xml:space="preserve"> </w:t>
      </w:r>
      <w:r w:rsidR="008F0EA0">
        <w:rPr>
          <w:noProof/>
          <w:lang w:val="en-IE"/>
        </w:rPr>
        <w:t xml:space="preserve">in </w:t>
      </w:r>
      <w:r w:rsidR="008F0EA0" w:rsidRPr="000374D7">
        <w:rPr>
          <w:noProof/>
          <w:lang w:val="en-IE"/>
        </w:rPr>
        <w:t>suppliers and downstream producers</w:t>
      </w:r>
      <w:r w:rsidR="00346CC8">
        <w:rPr>
          <w:noProof/>
          <w:lang w:val="en-IE"/>
        </w:rPr>
        <w:t>.</w:t>
      </w:r>
    </w:p>
    <w:bookmarkEnd w:id="3"/>
    <w:p w:rsidR="00545AD1" w:rsidRDefault="00545AD1" w:rsidP="00545AD1">
      <w:pPr>
        <w:pStyle w:val="ManualNumPar1"/>
        <w:rPr>
          <w:noProof/>
        </w:rPr>
      </w:pPr>
      <w:r>
        <w:rPr>
          <w:noProof/>
        </w:rPr>
        <w:t>7.</w:t>
      </w:r>
      <w:r>
        <w:rPr>
          <w:noProof/>
        </w:rPr>
        <w:tab/>
      </w:r>
      <w:r w:rsidRPr="000E61DB">
        <w:rPr>
          <w:noProof/>
        </w:rPr>
        <w:t>The r</w:t>
      </w:r>
      <w:r>
        <w:rPr>
          <w:noProof/>
        </w:rPr>
        <w:t xml:space="preserve">eference period of </w:t>
      </w:r>
      <w:r w:rsidRPr="006C0640">
        <w:rPr>
          <w:rFonts w:eastAsia="Calibri"/>
          <w:noProof/>
        </w:rPr>
        <w:t xml:space="preserve">four </w:t>
      </w:r>
      <w:r>
        <w:rPr>
          <w:noProof/>
        </w:rPr>
        <w:t>months for the application run</w:t>
      </w:r>
      <w:r w:rsidRPr="000E61DB">
        <w:rPr>
          <w:noProof/>
        </w:rPr>
        <w:t xml:space="preserve">s from </w:t>
      </w:r>
      <w:r w:rsidR="00EA127B">
        <w:rPr>
          <w:noProof/>
        </w:rPr>
        <w:t>2</w:t>
      </w:r>
      <w:r>
        <w:rPr>
          <w:noProof/>
        </w:rPr>
        <w:t xml:space="preserve"> </w:t>
      </w:r>
      <w:r w:rsidR="00EA127B">
        <w:rPr>
          <w:noProof/>
        </w:rPr>
        <w:t>December</w:t>
      </w:r>
      <w:r>
        <w:rPr>
          <w:noProof/>
        </w:rPr>
        <w:t xml:space="preserve"> 2025</w:t>
      </w:r>
      <w:r w:rsidRPr="000E61DB">
        <w:rPr>
          <w:noProof/>
        </w:rPr>
        <w:t xml:space="preserve"> to </w:t>
      </w:r>
      <w:r w:rsidR="00EA127B">
        <w:rPr>
          <w:noProof/>
        </w:rPr>
        <w:t>2</w:t>
      </w:r>
      <w:r>
        <w:rPr>
          <w:noProof/>
        </w:rPr>
        <w:t xml:space="preserve"> </w:t>
      </w:r>
      <w:r w:rsidR="00EA127B">
        <w:rPr>
          <w:noProof/>
        </w:rPr>
        <w:t>April</w:t>
      </w:r>
      <w:r>
        <w:rPr>
          <w:noProof/>
        </w:rPr>
        <w:t xml:space="preserve"> 202</w:t>
      </w:r>
      <w:r w:rsidR="00EA127B">
        <w:rPr>
          <w:noProof/>
        </w:rPr>
        <w:t>6</w:t>
      </w:r>
      <w:r>
        <w:rPr>
          <w:noProof/>
        </w:rPr>
        <w:t>.</w:t>
      </w:r>
    </w:p>
    <w:p w:rsidR="00346CC8" w:rsidRPr="002C07B0" w:rsidRDefault="00A50DD1" w:rsidP="00346CC8">
      <w:pPr>
        <w:pStyle w:val="ManualNumPar1"/>
        <w:rPr>
          <w:noProof/>
        </w:rPr>
      </w:pPr>
      <w:r>
        <w:rPr>
          <w:noProof/>
        </w:rPr>
        <w:t>8.</w:t>
      </w:r>
      <w:r>
        <w:rPr>
          <w:noProof/>
        </w:rPr>
        <w:tab/>
      </w:r>
      <w:r w:rsidRPr="000E61DB">
        <w:rPr>
          <w:noProof/>
        </w:rPr>
        <w:t>The</w:t>
      </w:r>
      <w:r w:rsidR="00346CC8">
        <w:rPr>
          <w:noProof/>
        </w:rPr>
        <w:t>re</w:t>
      </w:r>
      <w:r w:rsidRPr="000E61DB">
        <w:rPr>
          <w:noProof/>
        </w:rPr>
        <w:t xml:space="preserve"> </w:t>
      </w:r>
      <w:r w:rsidR="00346CC8" w:rsidRPr="002C07B0">
        <w:rPr>
          <w:noProof/>
        </w:rPr>
        <w:t xml:space="preserve">were </w:t>
      </w:r>
      <w:r w:rsidR="00346CC8">
        <w:rPr>
          <w:noProof/>
        </w:rPr>
        <w:t>239</w:t>
      </w:r>
      <w:r w:rsidR="00346CC8" w:rsidRPr="002C07B0">
        <w:rPr>
          <w:noProof/>
        </w:rPr>
        <w:t xml:space="preserve"> job displacements during the reference period.</w:t>
      </w:r>
    </w:p>
    <w:p w:rsidR="001A62D7" w:rsidRPr="00BD440D" w:rsidRDefault="001A62D7" w:rsidP="001A62D7">
      <w:pPr>
        <w:pStyle w:val="ManualHeading3"/>
        <w:rPr>
          <w:noProof/>
        </w:rPr>
      </w:pPr>
      <w:r w:rsidRPr="00BD440D">
        <w:rPr>
          <w:noProof/>
        </w:rPr>
        <w:t xml:space="preserve">Calculation of </w:t>
      </w:r>
      <w:r>
        <w:rPr>
          <w:noProof/>
        </w:rPr>
        <w:t>displacements</w:t>
      </w:r>
      <w:r w:rsidRPr="00BD440D">
        <w:rPr>
          <w:noProof/>
        </w:rPr>
        <w:t xml:space="preserve"> and of cessation of activity</w:t>
      </w:r>
    </w:p>
    <w:p w:rsidR="00713BEE" w:rsidRPr="00B229E2" w:rsidRDefault="00A50DD1" w:rsidP="00B229E2">
      <w:pPr>
        <w:pStyle w:val="ManualNumPar1"/>
        <w:rPr>
          <w:noProof/>
        </w:rPr>
      </w:pPr>
      <w:r>
        <w:rPr>
          <w:noProof/>
        </w:rPr>
        <w:t>9.</w:t>
      </w:r>
      <w:r>
        <w:rPr>
          <w:noProof/>
        </w:rPr>
        <w:tab/>
        <w:t>Pursuant to Article 6, first paragraph, point (a), in conjunction with Article 5, first paragraph, point (c), of Regulation (EU) 2021/691,</w:t>
      </w:r>
      <w:r w:rsidRPr="00D53BB8" w:rsidDel="00991BDD">
        <w:rPr>
          <w:noProof/>
        </w:rPr>
        <w:t xml:space="preserve"> </w:t>
      </w:r>
      <w:r>
        <w:rPr>
          <w:noProof/>
        </w:rPr>
        <w:t>t</w:t>
      </w:r>
      <w:r w:rsidRPr="008D462D">
        <w:rPr>
          <w:noProof/>
        </w:rPr>
        <w:t xml:space="preserve">he </w:t>
      </w:r>
      <w:r w:rsidRPr="001D5AB0">
        <w:rPr>
          <w:noProof/>
        </w:rPr>
        <w:t xml:space="preserve">cessation of activities </w:t>
      </w:r>
      <w:r>
        <w:rPr>
          <w:noProof/>
        </w:rPr>
        <w:t xml:space="preserve">of the displaced </w:t>
      </w:r>
      <w:r w:rsidRPr="00053DDE">
        <w:rPr>
          <w:noProof/>
        </w:rPr>
        <w:t>workers during the referen</w:t>
      </w:r>
      <w:r w:rsidRPr="00B229E2">
        <w:rPr>
          <w:noProof/>
        </w:rPr>
        <w:t>ce period has been calculated</w:t>
      </w:r>
      <w:r w:rsidR="00EA127B" w:rsidRPr="00B229E2">
        <w:rPr>
          <w:noProof/>
        </w:rPr>
        <w:t xml:space="preserve"> </w:t>
      </w:r>
      <w:r w:rsidR="00B229E2" w:rsidRPr="00B229E2">
        <w:rPr>
          <w:noProof/>
        </w:rPr>
        <w:t>from the date of the individual notice.</w:t>
      </w:r>
    </w:p>
    <w:p w:rsidR="001A62D7" w:rsidRPr="00BD440D" w:rsidRDefault="001A62D7" w:rsidP="001A62D7">
      <w:pPr>
        <w:pStyle w:val="ManualHeading3"/>
        <w:rPr>
          <w:noProof/>
        </w:rPr>
      </w:pPr>
      <w:r>
        <w:rPr>
          <w:noProof/>
        </w:rPr>
        <w:t>Eligible beneficiaries</w:t>
      </w:r>
    </w:p>
    <w:p w:rsidR="00EA127B" w:rsidRDefault="00EA127B" w:rsidP="009C50F6">
      <w:pPr>
        <w:pStyle w:val="ManualNumPar1"/>
        <w:rPr>
          <w:noProof/>
        </w:rPr>
      </w:pPr>
      <w:r>
        <w:rPr>
          <w:noProof/>
        </w:rPr>
        <w:t>10.</w:t>
      </w:r>
      <w:r>
        <w:rPr>
          <w:noProof/>
        </w:rPr>
        <w:tab/>
        <w:t>I</w:t>
      </w:r>
      <w:r w:rsidRPr="00EA127B">
        <w:rPr>
          <w:noProof/>
        </w:rPr>
        <w:t xml:space="preserve">n addition to the workers already referred to, the eligible beneficiaries include </w:t>
      </w:r>
      <w:r w:rsidR="00053DDE">
        <w:rPr>
          <w:noProof/>
        </w:rPr>
        <w:t>21</w:t>
      </w:r>
      <w:r w:rsidRPr="00EA127B">
        <w:rPr>
          <w:noProof/>
        </w:rPr>
        <w:t xml:space="preserve"> displaced workers whose activity ceased before or after the reference period of four months. All these workers ceased their activity within the six months before the start of the reference period on 2 </w:t>
      </w:r>
      <w:r>
        <w:rPr>
          <w:noProof/>
        </w:rPr>
        <w:t>December</w:t>
      </w:r>
      <w:r w:rsidRPr="00EA127B">
        <w:rPr>
          <w:noProof/>
        </w:rPr>
        <w:t xml:space="preserve"> 202</w:t>
      </w:r>
      <w:r>
        <w:rPr>
          <w:noProof/>
        </w:rPr>
        <w:t>5</w:t>
      </w:r>
      <w:r w:rsidRPr="00EA127B">
        <w:rPr>
          <w:noProof/>
        </w:rPr>
        <w:t xml:space="preserve"> or between the end of the reference period and the day before the adoption of this proposal, pursuant to Article 6, first paragraph, point (b), of Regulation (EU) 2021/691. A clear causal link can be established with the event that triggered the cessations of activity of the displaced workers during the reference period, as required by Article 6, second paragraph, of Regulation (EU) 2021/691.</w:t>
      </w:r>
      <w:r>
        <w:rPr>
          <w:noProof/>
        </w:rPr>
        <w:t xml:space="preserve"> </w:t>
      </w:r>
    </w:p>
    <w:p w:rsidR="001A62D7" w:rsidRPr="007D613D" w:rsidRDefault="001A62D7" w:rsidP="009C50F6">
      <w:pPr>
        <w:pStyle w:val="ManualNumPar1"/>
        <w:rPr>
          <w:noProof/>
        </w:rPr>
      </w:pPr>
      <w:r>
        <w:rPr>
          <w:noProof/>
        </w:rPr>
        <w:t>11.</w:t>
      </w:r>
      <w:r>
        <w:rPr>
          <w:noProof/>
        </w:rPr>
        <w:tab/>
        <w:t xml:space="preserve">The total number of eligible beneficiaries is </w:t>
      </w:r>
      <w:r w:rsidR="00EA127B">
        <w:rPr>
          <w:noProof/>
        </w:rPr>
        <w:t>260</w:t>
      </w:r>
      <w:r>
        <w:rPr>
          <w:noProof/>
        </w:rPr>
        <w:t>.</w:t>
      </w:r>
    </w:p>
    <w:p w:rsidR="001A62D7" w:rsidRPr="009843DD" w:rsidRDefault="001A62D7" w:rsidP="001A62D7">
      <w:pPr>
        <w:pStyle w:val="ManualHeading3"/>
        <w:rPr>
          <w:noProof/>
        </w:rPr>
      </w:pPr>
      <w:r>
        <w:rPr>
          <w:noProof/>
        </w:rPr>
        <w:t>Description of the e</w:t>
      </w:r>
      <w:r w:rsidRPr="009843DD">
        <w:rPr>
          <w:noProof/>
        </w:rPr>
        <w:t xml:space="preserve">vents </w:t>
      </w:r>
      <w:r>
        <w:rPr>
          <w:noProof/>
        </w:rPr>
        <w:t xml:space="preserve">that led to the </w:t>
      </w:r>
      <w:r w:rsidRPr="00B92FDB">
        <w:rPr>
          <w:noProof/>
        </w:rPr>
        <w:t>displacements and cessation of activity</w:t>
      </w:r>
    </w:p>
    <w:p w:rsidR="00713BEE" w:rsidRPr="00713BEE" w:rsidRDefault="00C20B57" w:rsidP="00713BEE">
      <w:pPr>
        <w:pStyle w:val="ManualNumPar1"/>
        <w:spacing w:before="100"/>
        <w:rPr>
          <w:noProof/>
          <w:color w:val="000000"/>
        </w:rPr>
      </w:pPr>
      <w:r>
        <w:rPr>
          <w:noProof/>
        </w:rPr>
        <w:t>12.</w:t>
      </w:r>
      <w:r>
        <w:rPr>
          <w:noProof/>
        </w:rPr>
        <w:tab/>
      </w:r>
      <w:r>
        <w:rPr>
          <w:noProof/>
          <w:color w:val="000000"/>
        </w:rPr>
        <w:t xml:space="preserve">The financial situation and employment in </w:t>
      </w:r>
      <w:r w:rsidR="00713BEE">
        <w:rPr>
          <w:noProof/>
          <w:color w:val="000000"/>
        </w:rPr>
        <w:t xml:space="preserve">Valmet Automotive, a contract manufacturer of the automobile industry, </w:t>
      </w:r>
      <w:r w:rsidR="00713BEE" w:rsidRPr="00A72597">
        <w:rPr>
          <w:noProof/>
          <w:color w:val="000000"/>
        </w:rPr>
        <w:t xml:space="preserve">has </w:t>
      </w:r>
      <w:r w:rsidRPr="00A72597">
        <w:rPr>
          <w:noProof/>
          <w:color w:val="000000"/>
        </w:rPr>
        <w:t>always</w:t>
      </w:r>
      <w:r>
        <w:rPr>
          <w:noProof/>
          <w:color w:val="000000"/>
        </w:rPr>
        <w:t xml:space="preserve"> been </w:t>
      </w:r>
      <w:r w:rsidR="001E1AFF">
        <w:rPr>
          <w:noProof/>
          <w:color w:val="000000"/>
        </w:rPr>
        <w:t xml:space="preserve">dependent on fixed-term contracts with large car manufacturers, and therefore </w:t>
      </w:r>
      <w:r>
        <w:rPr>
          <w:noProof/>
          <w:color w:val="000000"/>
        </w:rPr>
        <w:t>subject to fluctuations</w:t>
      </w:r>
      <w:r w:rsidR="00204907">
        <w:rPr>
          <w:noProof/>
          <w:color w:val="000000"/>
        </w:rPr>
        <w:t>.</w:t>
      </w:r>
      <w:r>
        <w:rPr>
          <w:noProof/>
          <w:color w:val="000000"/>
        </w:rPr>
        <w:t xml:space="preserve"> </w:t>
      </w:r>
    </w:p>
    <w:p w:rsidR="00A72597" w:rsidRPr="00A72597" w:rsidRDefault="00D66C9C" w:rsidP="00A72597">
      <w:pPr>
        <w:pStyle w:val="ManualNumPar1"/>
        <w:rPr>
          <w:noProof/>
        </w:rPr>
      </w:pPr>
      <w:r>
        <w:rPr>
          <w:noProof/>
        </w:rPr>
        <w:t>13.</w:t>
      </w:r>
      <w:r>
        <w:rPr>
          <w:noProof/>
        </w:rPr>
        <w:tab/>
      </w:r>
      <w:r w:rsidRPr="00A72597">
        <w:rPr>
          <w:noProof/>
          <w:color w:val="000000"/>
        </w:rPr>
        <w:t>D</w:t>
      </w:r>
      <w:r w:rsidR="00204907" w:rsidRPr="00A72597">
        <w:rPr>
          <w:noProof/>
          <w:color w:val="000000"/>
        </w:rPr>
        <w:t xml:space="preserve">ue to the </w:t>
      </w:r>
      <w:r w:rsidR="00C20B57" w:rsidRPr="00A72597">
        <w:rPr>
          <w:noProof/>
          <w:color w:val="000000"/>
        </w:rPr>
        <w:t>global downturn in the automobile industry that has continued for several years</w:t>
      </w:r>
      <w:r w:rsidRPr="00A72597">
        <w:rPr>
          <w:noProof/>
          <w:color w:val="000000"/>
        </w:rPr>
        <w:t>, the company has run into difficulties and has had to gradually reduce its personnel</w:t>
      </w:r>
      <w:r w:rsidR="00B25EF1" w:rsidRPr="00A72597">
        <w:rPr>
          <w:noProof/>
          <w:color w:val="000000"/>
        </w:rPr>
        <w:t>, from just under 3</w:t>
      </w:r>
      <w:r w:rsidR="00A72597">
        <w:rPr>
          <w:noProof/>
          <w:color w:val="000000"/>
        </w:rPr>
        <w:t>,</w:t>
      </w:r>
      <w:r w:rsidR="00B25EF1" w:rsidRPr="00A72597">
        <w:rPr>
          <w:noProof/>
          <w:color w:val="000000"/>
        </w:rPr>
        <w:t>200 in the early 2020’s to approximately 1</w:t>
      </w:r>
      <w:r w:rsidR="00A72597">
        <w:rPr>
          <w:noProof/>
          <w:color w:val="000000"/>
        </w:rPr>
        <w:t>,</w:t>
      </w:r>
      <w:r w:rsidR="00B25EF1" w:rsidRPr="00A72597">
        <w:rPr>
          <w:noProof/>
          <w:color w:val="000000"/>
        </w:rPr>
        <w:t>300</w:t>
      </w:r>
      <w:r w:rsidR="00A72597" w:rsidRPr="00A72597">
        <w:rPr>
          <w:noProof/>
          <w:color w:val="000000"/>
        </w:rPr>
        <w:t xml:space="preserve"> before the lat</w:t>
      </w:r>
      <w:r w:rsidR="00A72597">
        <w:rPr>
          <w:noProof/>
          <w:color w:val="000000"/>
        </w:rPr>
        <w:t>est redundancies</w:t>
      </w:r>
      <w:r w:rsidR="005E6A35">
        <w:rPr>
          <w:rStyle w:val="FootnoteReference"/>
          <w:noProof/>
          <w:color w:val="000000"/>
        </w:rPr>
        <w:footnoteReference w:id="6"/>
      </w:r>
      <w:r w:rsidR="00204907" w:rsidRPr="00A72597">
        <w:rPr>
          <w:noProof/>
          <w:color w:val="000000"/>
        </w:rPr>
        <w:t>.</w:t>
      </w:r>
    </w:p>
    <w:p w:rsidR="008D3624" w:rsidRPr="0009566F" w:rsidRDefault="00A72597" w:rsidP="008D3624">
      <w:pPr>
        <w:pStyle w:val="ManualNumPar1"/>
        <w:rPr>
          <w:noProof/>
        </w:rPr>
      </w:pPr>
      <w:r>
        <w:rPr>
          <w:noProof/>
        </w:rPr>
        <w:t>14.</w:t>
      </w:r>
      <w:r>
        <w:rPr>
          <w:noProof/>
        </w:rPr>
        <w:tab/>
      </w:r>
      <w:r w:rsidRPr="00A72597">
        <w:rPr>
          <w:noProof/>
          <w:color w:val="000000"/>
        </w:rPr>
        <w:t xml:space="preserve">After the end of </w:t>
      </w:r>
      <w:r w:rsidR="00867418">
        <w:rPr>
          <w:noProof/>
          <w:color w:val="000000"/>
        </w:rPr>
        <w:t xml:space="preserve">the </w:t>
      </w:r>
      <w:r w:rsidRPr="00A72597">
        <w:rPr>
          <w:noProof/>
          <w:color w:val="000000"/>
        </w:rPr>
        <w:t>two-model contract with Mercedes-Benz in</w:t>
      </w:r>
      <w:r>
        <w:rPr>
          <w:noProof/>
          <w:color w:val="000000"/>
        </w:rPr>
        <w:t xml:space="preserve"> </w:t>
      </w:r>
      <w:r w:rsidRPr="00A72597">
        <w:rPr>
          <w:noProof/>
          <w:color w:val="000000"/>
        </w:rPr>
        <w:t xml:space="preserve">2025, the factory no longer had any orders, forcing it to new </w:t>
      </w:r>
      <w:r w:rsidR="00867418">
        <w:rPr>
          <w:noProof/>
          <w:color w:val="000000"/>
        </w:rPr>
        <w:t>staff reduction</w:t>
      </w:r>
      <w:r w:rsidRPr="00A72597">
        <w:rPr>
          <w:noProof/>
          <w:color w:val="000000"/>
        </w:rPr>
        <w:t xml:space="preserve">s. </w:t>
      </w:r>
      <w:r>
        <w:rPr>
          <w:noProof/>
          <w:color w:val="000000"/>
        </w:rPr>
        <w:t xml:space="preserve">In </w:t>
      </w:r>
      <w:r w:rsidR="00204907">
        <w:rPr>
          <w:noProof/>
          <w:color w:val="000000"/>
        </w:rPr>
        <w:t>the co-operation negotiations in November</w:t>
      </w:r>
      <w:r w:rsidR="00D66C9C">
        <w:rPr>
          <w:noProof/>
          <w:color w:val="000000"/>
        </w:rPr>
        <w:t xml:space="preserve"> 2025</w:t>
      </w:r>
      <w:r w:rsidR="00204907">
        <w:rPr>
          <w:noProof/>
          <w:color w:val="000000"/>
        </w:rPr>
        <w:t>, the company announced that it would dismiss a maximum of 235 people and</w:t>
      </w:r>
      <w:r w:rsidR="00CD3DB7">
        <w:rPr>
          <w:noProof/>
          <w:color w:val="000000"/>
        </w:rPr>
        <w:t xml:space="preserve"> temporarily</w:t>
      </w:r>
      <w:r w:rsidR="00204907">
        <w:rPr>
          <w:noProof/>
          <w:color w:val="000000"/>
        </w:rPr>
        <w:t xml:space="preserve"> lay</w:t>
      </w:r>
      <w:r w:rsidR="00CD3DB7">
        <w:rPr>
          <w:noProof/>
          <w:color w:val="000000"/>
        </w:rPr>
        <w:t>-</w:t>
      </w:r>
      <w:r w:rsidR="00204907">
        <w:rPr>
          <w:noProof/>
          <w:color w:val="000000"/>
        </w:rPr>
        <w:t xml:space="preserve">off 860 people. </w:t>
      </w:r>
      <w:r w:rsidR="00204907" w:rsidRPr="00A72597">
        <w:rPr>
          <w:noProof/>
          <w:color w:val="000000"/>
        </w:rPr>
        <w:t>The company's difficult situation has naturally also affected the entire subcontracting chain.</w:t>
      </w:r>
      <w:r w:rsidR="008D3624" w:rsidRPr="0009566F">
        <w:rPr>
          <w:noProof/>
        </w:rPr>
        <w:t xml:space="preserve"> </w:t>
      </w:r>
    </w:p>
    <w:p w:rsidR="001A62D7" w:rsidRPr="00EF5C5A" w:rsidRDefault="001A62D7" w:rsidP="001A62D7">
      <w:pPr>
        <w:pStyle w:val="ManualHeading3"/>
        <w:tabs>
          <w:tab w:val="clear" w:pos="850"/>
          <w:tab w:val="left" w:pos="0"/>
        </w:tabs>
        <w:ind w:left="0" w:firstLine="0"/>
        <w:rPr>
          <w:noProof/>
        </w:rPr>
      </w:pPr>
      <w:r w:rsidRPr="00EF5C5A">
        <w:rPr>
          <w:noProof/>
        </w:rPr>
        <w:t xml:space="preserve">Expected impact of the </w:t>
      </w:r>
      <w:r>
        <w:rPr>
          <w:noProof/>
        </w:rPr>
        <w:t xml:space="preserve">displacements </w:t>
      </w:r>
      <w:r w:rsidRPr="00EF5C5A">
        <w:rPr>
          <w:noProof/>
        </w:rPr>
        <w:t>as regards the local, regional or national economy and employment</w:t>
      </w:r>
      <w:r w:rsidR="003D261D">
        <w:rPr>
          <w:noProof/>
        </w:rPr>
        <w:t xml:space="preserve"> </w:t>
      </w:r>
    </w:p>
    <w:p w:rsidR="00910A62" w:rsidRDefault="001D2C71" w:rsidP="008D3624">
      <w:pPr>
        <w:pStyle w:val="ManualNumPar1"/>
        <w:rPr>
          <w:noProof/>
          <w:color w:val="000000"/>
        </w:rPr>
      </w:pPr>
      <w:r>
        <w:rPr>
          <w:noProof/>
        </w:rPr>
        <w:t>15.</w:t>
      </w:r>
      <w:r>
        <w:rPr>
          <w:noProof/>
        </w:rPr>
        <w:tab/>
      </w:r>
      <w:r>
        <w:rPr>
          <w:noProof/>
          <w:color w:val="000000"/>
        </w:rPr>
        <w:t xml:space="preserve">The new large-scale lay-offs and redundancies at the </w:t>
      </w:r>
      <w:r w:rsidR="00F42380">
        <w:rPr>
          <w:noProof/>
          <w:color w:val="000000"/>
        </w:rPr>
        <w:t xml:space="preserve">Valmet Automotive </w:t>
      </w:r>
      <w:r>
        <w:rPr>
          <w:noProof/>
          <w:color w:val="000000"/>
        </w:rPr>
        <w:t>Uusikaupunki car factory</w:t>
      </w:r>
      <w:r w:rsidR="00C267CB">
        <w:rPr>
          <w:noProof/>
          <w:color w:val="000000"/>
        </w:rPr>
        <w:t xml:space="preserve">, </w:t>
      </w:r>
      <w:r w:rsidR="00903FB0">
        <w:rPr>
          <w:noProof/>
          <w:color w:val="000000"/>
        </w:rPr>
        <w:t xml:space="preserve">by far </w:t>
      </w:r>
      <w:r w:rsidR="00C267CB" w:rsidRPr="00DA508D">
        <w:rPr>
          <w:noProof/>
          <w:color w:val="000000"/>
        </w:rPr>
        <w:t>the region’s largest employer</w:t>
      </w:r>
      <w:r w:rsidR="00DA508D" w:rsidRPr="00DA508D">
        <w:rPr>
          <w:noProof/>
          <w:color w:val="000000"/>
        </w:rPr>
        <w:t>,</w:t>
      </w:r>
      <w:r w:rsidR="00DA508D">
        <w:rPr>
          <w:noProof/>
          <w:color w:val="000000"/>
        </w:rPr>
        <w:t xml:space="preserve"> have hit hard</w:t>
      </w:r>
      <w:r>
        <w:rPr>
          <w:noProof/>
          <w:color w:val="000000"/>
        </w:rPr>
        <w:t xml:space="preserve"> the entire region</w:t>
      </w:r>
      <w:r w:rsidR="00DA508D">
        <w:rPr>
          <w:noProof/>
          <w:color w:val="000000"/>
        </w:rPr>
        <w:t>.</w:t>
      </w:r>
      <w:r>
        <w:rPr>
          <w:noProof/>
          <w:color w:val="000000"/>
        </w:rPr>
        <w:t xml:space="preserve"> </w:t>
      </w:r>
      <w:r w:rsidR="00DA508D">
        <w:rPr>
          <w:noProof/>
          <w:color w:val="000000"/>
        </w:rPr>
        <w:t>Strong dependence on the car plant in the Vakka-Suomi sub-region</w:t>
      </w:r>
      <w:r w:rsidR="00F627F3">
        <w:rPr>
          <w:noProof/>
          <w:color w:val="000000"/>
        </w:rPr>
        <w:t xml:space="preserve"> </w:t>
      </w:r>
      <w:r>
        <w:rPr>
          <w:noProof/>
          <w:color w:val="000000"/>
        </w:rPr>
        <w:t>pos</w:t>
      </w:r>
      <w:r w:rsidR="00F627F3">
        <w:rPr>
          <w:noProof/>
          <w:color w:val="000000"/>
        </w:rPr>
        <w:t>es</w:t>
      </w:r>
      <w:r>
        <w:rPr>
          <w:noProof/>
          <w:color w:val="000000"/>
        </w:rPr>
        <w:t xml:space="preserve"> significant challenges to the already difficult situation in the region.</w:t>
      </w:r>
    </w:p>
    <w:p w:rsidR="00C26AE4" w:rsidRPr="00C26AE4" w:rsidRDefault="00C26AE4" w:rsidP="00C26AE4">
      <w:pPr>
        <w:pStyle w:val="ManualNumPar1"/>
        <w:rPr>
          <w:noProof/>
        </w:rPr>
      </w:pPr>
      <w:r>
        <w:rPr>
          <w:noProof/>
        </w:rPr>
        <w:t>16.</w:t>
      </w:r>
      <w:r>
        <w:rPr>
          <w:noProof/>
        </w:rPr>
        <w:tab/>
      </w:r>
      <w:r>
        <w:rPr>
          <w:noProof/>
          <w:color w:val="000000"/>
        </w:rPr>
        <w:t>The unemployment rate in Vakka-Suomi rose to 12</w:t>
      </w:r>
      <w:r w:rsidR="00B92FDB">
        <w:rPr>
          <w:noProof/>
          <w:color w:val="000000"/>
        </w:rPr>
        <w:t>,</w:t>
      </w:r>
      <w:r>
        <w:rPr>
          <w:noProof/>
          <w:color w:val="000000"/>
        </w:rPr>
        <w:t>2</w:t>
      </w:r>
      <w:r w:rsidR="00054BC8">
        <w:rPr>
          <w:noProof/>
          <w:color w:val="000000"/>
        </w:rPr>
        <w:t> </w:t>
      </w:r>
      <w:r>
        <w:rPr>
          <w:noProof/>
          <w:color w:val="000000"/>
        </w:rPr>
        <w:t xml:space="preserve">% in </w:t>
      </w:r>
      <w:r w:rsidR="00F42380">
        <w:rPr>
          <w:noProof/>
          <w:color w:val="000000"/>
        </w:rPr>
        <w:t>December 2025</w:t>
      </w:r>
      <w:r>
        <w:rPr>
          <w:noProof/>
          <w:color w:val="000000"/>
        </w:rPr>
        <w:t>, 1</w:t>
      </w:r>
      <w:r w:rsidR="00B92FDB">
        <w:rPr>
          <w:noProof/>
          <w:color w:val="000000"/>
        </w:rPr>
        <w:t>,</w:t>
      </w:r>
      <w:r>
        <w:rPr>
          <w:noProof/>
          <w:color w:val="000000"/>
        </w:rPr>
        <w:t>7 percentage points higher than year before</w:t>
      </w:r>
      <w:r w:rsidR="00567057">
        <w:rPr>
          <w:rStyle w:val="FootnoteReference"/>
          <w:noProof/>
          <w:color w:val="000000"/>
        </w:rPr>
        <w:footnoteReference w:id="7"/>
      </w:r>
      <w:r>
        <w:rPr>
          <w:noProof/>
          <w:color w:val="000000"/>
        </w:rPr>
        <w:t xml:space="preserve">. </w:t>
      </w:r>
      <w:r w:rsidR="004C50D9">
        <w:rPr>
          <w:noProof/>
          <w:color w:val="000000"/>
        </w:rPr>
        <w:t>Among yo</w:t>
      </w:r>
      <w:r>
        <w:rPr>
          <w:noProof/>
          <w:color w:val="000000"/>
        </w:rPr>
        <w:t xml:space="preserve">ung jobseekers (under 25 years </w:t>
      </w:r>
      <w:r>
        <w:rPr>
          <w:noProof/>
          <w:color w:val="000000"/>
        </w:rPr>
        <w:lastRenderedPageBreak/>
        <w:t>of age)</w:t>
      </w:r>
      <w:r w:rsidR="004C50D9">
        <w:rPr>
          <w:noProof/>
          <w:color w:val="000000"/>
        </w:rPr>
        <w:t>, the</w:t>
      </w:r>
      <w:r w:rsidR="0099392B">
        <w:rPr>
          <w:noProof/>
          <w:color w:val="000000"/>
        </w:rPr>
        <w:t xml:space="preserve"> </w:t>
      </w:r>
      <w:r w:rsidR="00D82A16">
        <w:rPr>
          <w:noProof/>
          <w:color w:val="000000"/>
        </w:rPr>
        <w:t>unemployment rate reach</w:t>
      </w:r>
      <w:r w:rsidR="004C50D9">
        <w:rPr>
          <w:noProof/>
          <w:color w:val="000000"/>
        </w:rPr>
        <w:t>ed</w:t>
      </w:r>
      <w:r w:rsidR="00D82A16">
        <w:rPr>
          <w:noProof/>
          <w:color w:val="000000"/>
        </w:rPr>
        <w:t xml:space="preserve"> 17,3</w:t>
      </w:r>
      <w:r w:rsidR="00054BC8">
        <w:rPr>
          <w:noProof/>
          <w:color w:val="000000"/>
        </w:rPr>
        <w:t> </w:t>
      </w:r>
      <w:r w:rsidR="00D82A16">
        <w:rPr>
          <w:noProof/>
          <w:color w:val="000000"/>
        </w:rPr>
        <w:t xml:space="preserve">%, </w:t>
      </w:r>
      <w:r w:rsidR="0099392B">
        <w:rPr>
          <w:noProof/>
          <w:color w:val="000000"/>
        </w:rPr>
        <w:t>an</w:t>
      </w:r>
      <w:r>
        <w:rPr>
          <w:noProof/>
          <w:color w:val="000000"/>
        </w:rPr>
        <w:t xml:space="preserve"> </w:t>
      </w:r>
      <w:r w:rsidR="00F42380">
        <w:rPr>
          <w:noProof/>
          <w:color w:val="000000"/>
        </w:rPr>
        <w:t>increase</w:t>
      </w:r>
      <w:r w:rsidR="0099392B">
        <w:rPr>
          <w:noProof/>
          <w:color w:val="000000"/>
        </w:rPr>
        <w:t xml:space="preserve"> of </w:t>
      </w:r>
      <w:r w:rsidR="000A75B9">
        <w:rPr>
          <w:noProof/>
          <w:color w:val="000000"/>
        </w:rPr>
        <w:t xml:space="preserve">4,2 </w:t>
      </w:r>
      <w:r w:rsidR="00D82A16">
        <w:rPr>
          <w:noProof/>
          <w:color w:val="000000"/>
        </w:rPr>
        <w:t>percentage points year-on-year</w:t>
      </w:r>
      <w:r w:rsidR="00EC37C0">
        <w:rPr>
          <w:rStyle w:val="FootnoteReference"/>
          <w:noProof/>
          <w:color w:val="000000"/>
        </w:rPr>
        <w:footnoteReference w:id="8"/>
      </w:r>
      <w:r w:rsidR="00D82A16">
        <w:rPr>
          <w:noProof/>
          <w:color w:val="000000"/>
        </w:rPr>
        <w:t xml:space="preserve">. </w:t>
      </w:r>
    </w:p>
    <w:p w:rsidR="001D2C71" w:rsidRPr="001D2C71" w:rsidRDefault="001D2C71" w:rsidP="008D3624">
      <w:pPr>
        <w:pStyle w:val="ManualNumPar1"/>
        <w:rPr>
          <w:noProof/>
        </w:rPr>
      </w:pPr>
      <w:r>
        <w:rPr>
          <w:noProof/>
        </w:rPr>
        <w:t>17.</w:t>
      </w:r>
      <w:r>
        <w:rPr>
          <w:noProof/>
        </w:rPr>
        <w:tab/>
      </w:r>
      <w:r>
        <w:rPr>
          <w:noProof/>
          <w:color w:val="000000"/>
        </w:rPr>
        <w:t>As an export-driven region</w:t>
      </w:r>
      <w:r w:rsidRPr="00CC1CB2">
        <w:rPr>
          <w:noProof/>
          <w:color w:val="000000"/>
        </w:rPr>
        <w:t xml:space="preserve">, </w:t>
      </w:r>
      <w:r w:rsidR="00EE6613" w:rsidRPr="00CC1CB2">
        <w:rPr>
          <w:noProof/>
          <w:color w:val="000000"/>
        </w:rPr>
        <w:t>L</w:t>
      </w:r>
      <w:r w:rsidR="00EE6613" w:rsidRPr="00CC1CB2">
        <w:rPr>
          <w:noProof/>
          <w:color w:val="000000"/>
          <w:lang w:val="en-IE"/>
        </w:rPr>
        <w:t>änsi-Suomi</w:t>
      </w:r>
      <w:r w:rsidRPr="00CC1CB2">
        <w:rPr>
          <w:noProof/>
          <w:color w:val="000000"/>
        </w:rPr>
        <w:t xml:space="preserve"> has suffered more from fluctuations and uncertainties in the global economy than other regions. </w:t>
      </w:r>
      <w:r w:rsidR="00A879D3" w:rsidRPr="00CC1CB2">
        <w:rPr>
          <w:noProof/>
          <w:color w:val="000000"/>
        </w:rPr>
        <w:t>T</w:t>
      </w:r>
      <w:r w:rsidRPr="00CC1CB2">
        <w:rPr>
          <w:noProof/>
          <w:color w:val="000000"/>
        </w:rPr>
        <w:t xml:space="preserve">he growth rate of unemployment in </w:t>
      </w:r>
      <w:r w:rsidR="00FA4425" w:rsidRPr="00CC1CB2">
        <w:rPr>
          <w:noProof/>
          <w:color w:val="000000"/>
        </w:rPr>
        <w:t>L</w:t>
      </w:r>
      <w:r w:rsidR="00FA4425" w:rsidRPr="00CC1CB2">
        <w:rPr>
          <w:noProof/>
          <w:color w:val="000000"/>
          <w:lang w:val="en-IE"/>
        </w:rPr>
        <w:t>änsi-Suomi</w:t>
      </w:r>
      <w:r w:rsidR="00FA4425" w:rsidRPr="00CC1CB2">
        <w:rPr>
          <w:noProof/>
          <w:color w:val="000000"/>
        </w:rPr>
        <w:t xml:space="preserve"> </w:t>
      </w:r>
      <w:r w:rsidRPr="00CC1CB2">
        <w:rPr>
          <w:noProof/>
          <w:color w:val="000000"/>
        </w:rPr>
        <w:t>has been the third fastest</w:t>
      </w:r>
      <w:r w:rsidR="00A879D3" w:rsidRPr="00CC1CB2">
        <w:rPr>
          <w:noProof/>
          <w:color w:val="000000"/>
        </w:rPr>
        <w:t xml:space="preserve"> in the country</w:t>
      </w:r>
      <w:r w:rsidR="00F627F3" w:rsidRPr="00CC1CB2">
        <w:rPr>
          <w:noProof/>
          <w:color w:val="000000"/>
        </w:rPr>
        <w:t>,</w:t>
      </w:r>
      <w:r w:rsidRPr="00CC1CB2">
        <w:rPr>
          <w:noProof/>
          <w:color w:val="000000"/>
        </w:rPr>
        <w:t xml:space="preserve"> </w:t>
      </w:r>
      <w:r w:rsidR="00F627F3" w:rsidRPr="00CC1CB2">
        <w:rPr>
          <w:noProof/>
          <w:color w:val="000000"/>
        </w:rPr>
        <w:t>increasing</w:t>
      </w:r>
      <w:r w:rsidRPr="00CC1CB2">
        <w:rPr>
          <w:noProof/>
          <w:color w:val="000000"/>
        </w:rPr>
        <w:t xml:space="preserve"> by nearly 15</w:t>
      </w:r>
      <w:r w:rsidR="00054BC8">
        <w:rPr>
          <w:noProof/>
          <w:color w:val="000000"/>
        </w:rPr>
        <w:t> </w:t>
      </w:r>
      <w:r w:rsidR="00C26AE4" w:rsidRPr="00CC1CB2">
        <w:rPr>
          <w:noProof/>
          <w:color w:val="000000"/>
        </w:rPr>
        <w:t>%</w:t>
      </w:r>
      <w:r w:rsidRPr="00CC1CB2">
        <w:rPr>
          <w:noProof/>
          <w:color w:val="000000"/>
        </w:rPr>
        <w:t xml:space="preserve"> </w:t>
      </w:r>
      <w:r w:rsidR="00A879D3" w:rsidRPr="00CC1CB2">
        <w:rPr>
          <w:noProof/>
          <w:color w:val="000000"/>
        </w:rPr>
        <w:t>from 2024 to 2025</w:t>
      </w:r>
      <w:r w:rsidR="000D3622" w:rsidRPr="00CC1CB2">
        <w:rPr>
          <w:rStyle w:val="FootnoteReference"/>
          <w:noProof/>
          <w:color w:val="000000"/>
        </w:rPr>
        <w:footnoteReference w:id="9"/>
      </w:r>
      <w:r w:rsidR="00F627F3" w:rsidRPr="00CC1CB2">
        <w:rPr>
          <w:noProof/>
          <w:color w:val="000000"/>
        </w:rPr>
        <w:t>.</w:t>
      </w:r>
      <w:r w:rsidR="000D3622" w:rsidRPr="00C82F9F">
        <w:rPr>
          <w:noProof/>
        </w:rPr>
        <w:t xml:space="preserve"> </w:t>
      </w:r>
      <w:r w:rsidR="00A879D3" w:rsidRPr="00CC1CB2">
        <w:rPr>
          <w:noProof/>
        </w:rPr>
        <w:t xml:space="preserve">The </w:t>
      </w:r>
      <w:r w:rsidR="00A879D3" w:rsidRPr="00CC1CB2">
        <w:rPr>
          <w:noProof/>
          <w:color w:val="000000"/>
        </w:rPr>
        <w:t>unemployment rate, 12,3</w:t>
      </w:r>
      <w:r w:rsidR="00054BC8">
        <w:rPr>
          <w:noProof/>
          <w:color w:val="000000"/>
        </w:rPr>
        <w:t> </w:t>
      </w:r>
      <w:r w:rsidR="00A879D3" w:rsidRPr="00CC1CB2">
        <w:rPr>
          <w:noProof/>
          <w:color w:val="000000"/>
        </w:rPr>
        <w:t xml:space="preserve">% in December 2025, is still </w:t>
      </w:r>
      <w:r w:rsidR="007A3441" w:rsidRPr="00CC1CB2">
        <w:rPr>
          <w:noProof/>
          <w:color w:val="000000"/>
        </w:rPr>
        <w:t>below the national average</w:t>
      </w:r>
      <w:r w:rsidR="00A879D3" w:rsidRPr="00CC1CB2">
        <w:rPr>
          <w:noProof/>
          <w:color w:val="000000"/>
        </w:rPr>
        <w:t>. However, the number of long-term unemployed has grown to the highest levels in history, up 39</w:t>
      </w:r>
      <w:r w:rsidR="00054BC8">
        <w:rPr>
          <w:noProof/>
          <w:color w:val="000000"/>
        </w:rPr>
        <w:t> </w:t>
      </w:r>
      <w:r w:rsidR="00A879D3" w:rsidRPr="00CC1CB2">
        <w:rPr>
          <w:noProof/>
          <w:color w:val="000000"/>
        </w:rPr>
        <w:t>% from 2024</w:t>
      </w:r>
      <w:r w:rsidR="00C52717" w:rsidRPr="00CC1CB2">
        <w:rPr>
          <w:rStyle w:val="FootnoteReference"/>
          <w:noProof/>
          <w:color w:val="000000"/>
        </w:rPr>
        <w:footnoteReference w:id="10"/>
      </w:r>
      <w:r w:rsidR="00A879D3" w:rsidRPr="00CC1CB2">
        <w:rPr>
          <w:noProof/>
          <w:color w:val="000000"/>
        </w:rPr>
        <w:t xml:space="preserve">. </w:t>
      </w:r>
      <w:r w:rsidR="00DB3FF9" w:rsidRPr="00CC1CB2">
        <w:rPr>
          <w:noProof/>
        </w:rPr>
        <w:t xml:space="preserve">Nationwide, the unemployment has been steadily increasing, reaching </w:t>
      </w:r>
      <w:r w:rsidR="00FA4425" w:rsidRPr="00CC1CB2">
        <w:rPr>
          <w:noProof/>
        </w:rPr>
        <w:t>13,0</w:t>
      </w:r>
      <w:r w:rsidR="00054BC8">
        <w:rPr>
          <w:noProof/>
        </w:rPr>
        <w:t> </w:t>
      </w:r>
      <w:r w:rsidR="00FA4425" w:rsidRPr="00CC1CB2">
        <w:rPr>
          <w:noProof/>
        </w:rPr>
        <w:t>%</w:t>
      </w:r>
      <w:r w:rsidR="00DB3FF9" w:rsidRPr="00CC1CB2">
        <w:rPr>
          <w:noProof/>
        </w:rPr>
        <w:t xml:space="preserve"> in December 2025</w:t>
      </w:r>
      <w:r w:rsidR="00FA4425" w:rsidRPr="00C9396A">
        <w:rPr>
          <w:rStyle w:val="FootnoteReference"/>
          <w:noProof/>
        </w:rPr>
        <w:footnoteReference w:id="11"/>
      </w:r>
      <w:r w:rsidR="00DB3FF9" w:rsidRPr="00CC1CB2">
        <w:rPr>
          <w:noProof/>
        </w:rPr>
        <w:t xml:space="preserve">, and </w:t>
      </w:r>
      <w:r w:rsidR="00D60158" w:rsidRPr="00CC1CB2">
        <w:rPr>
          <w:noProof/>
        </w:rPr>
        <w:t xml:space="preserve">the </w:t>
      </w:r>
      <w:r w:rsidR="00DB3FF9" w:rsidRPr="00CC1CB2">
        <w:rPr>
          <w:noProof/>
        </w:rPr>
        <w:t>demand for labour has slowed down over the last couple of years.</w:t>
      </w:r>
    </w:p>
    <w:p w:rsidR="0087281C" w:rsidRDefault="000E28CA" w:rsidP="00C267CB">
      <w:pPr>
        <w:pStyle w:val="ManualNumPar1"/>
        <w:rPr>
          <w:noProof/>
        </w:rPr>
      </w:pPr>
      <w:r>
        <w:rPr>
          <w:noProof/>
        </w:rPr>
        <w:t>18.</w:t>
      </w:r>
      <w:r>
        <w:rPr>
          <w:noProof/>
        </w:rPr>
        <w:tab/>
        <w:t xml:space="preserve">The situation </w:t>
      </w:r>
      <w:r w:rsidR="00C267CB">
        <w:rPr>
          <w:noProof/>
        </w:rPr>
        <w:t>of the largest companies</w:t>
      </w:r>
      <w:r>
        <w:rPr>
          <w:noProof/>
        </w:rPr>
        <w:t xml:space="preserve"> in the region</w:t>
      </w:r>
      <w:r w:rsidR="00C267CB">
        <w:rPr>
          <w:noProof/>
        </w:rPr>
        <w:t xml:space="preserve"> is relatively stable</w:t>
      </w:r>
      <w:r w:rsidR="00FB23E4">
        <w:rPr>
          <w:noProof/>
        </w:rPr>
        <w:t>,</w:t>
      </w:r>
      <w:r w:rsidR="00C267CB">
        <w:rPr>
          <w:noProof/>
        </w:rPr>
        <w:t xml:space="preserve"> as many companies continue to show willingness to invest and pursue growth. </w:t>
      </w:r>
      <w:r w:rsidR="00C267CB" w:rsidRPr="00DB3FF9">
        <w:rPr>
          <w:noProof/>
        </w:rPr>
        <w:t xml:space="preserve">Some of the workers </w:t>
      </w:r>
      <w:r w:rsidR="00CF73DD">
        <w:rPr>
          <w:noProof/>
        </w:rPr>
        <w:t>dismissed</w:t>
      </w:r>
      <w:r w:rsidR="00C267CB" w:rsidRPr="00DB3FF9">
        <w:rPr>
          <w:noProof/>
        </w:rPr>
        <w:t xml:space="preserve"> by Valmet Autom</w:t>
      </w:r>
      <w:r w:rsidR="009A5BDA" w:rsidRPr="00DB3FF9">
        <w:rPr>
          <w:noProof/>
        </w:rPr>
        <w:t>otive</w:t>
      </w:r>
      <w:r w:rsidR="00C267CB" w:rsidRPr="00DB3FF9">
        <w:rPr>
          <w:noProof/>
        </w:rPr>
        <w:t xml:space="preserve"> could possibly </w:t>
      </w:r>
      <w:r w:rsidR="009A5BDA" w:rsidRPr="00DB3FF9">
        <w:rPr>
          <w:noProof/>
        </w:rPr>
        <w:t xml:space="preserve">find </w:t>
      </w:r>
      <w:r w:rsidR="00DB3FF9">
        <w:rPr>
          <w:noProof/>
        </w:rPr>
        <w:t xml:space="preserve">a </w:t>
      </w:r>
      <w:r w:rsidR="009A5BDA" w:rsidRPr="00DB3FF9">
        <w:rPr>
          <w:noProof/>
        </w:rPr>
        <w:t>job</w:t>
      </w:r>
      <w:r w:rsidR="00C267CB" w:rsidRPr="00DB3FF9">
        <w:rPr>
          <w:noProof/>
        </w:rPr>
        <w:t xml:space="preserve"> in other companies in the region through training or other support measures.</w:t>
      </w:r>
    </w:p>
    <w:p w:rsidR="0087281C" w:rsidRPr="00C26AE4" w:rsidRDefault="0087281C" w:rsidP="00C26AE4">
      <w:pPr>
        <w:pStyle w:val="ManualNumPar1"/>
        <w:rPr>
          <w:noProof/>
        </w:rPr>
      </w:pPr>
      <w:r>
        <w:rPr>
          <w:noProof/>
        </w:rPr>
        <w:t>19.</w:t>
      </w:r>
      <w:r>
        <w:rPr>
          <w:noProof/>
        </w:rPr>
        <w:tab/>
        <w:t>Valmet Automotive has s</w:t>
      </w:r>
      <w:r w:rsidR="00B11428">
        <w:rPr>
          <w:noProof/>
        </w:rPr>
        <w:t>ought</w:t>
      </w:r>
      <w:r>
        <w:rPr>
          <w:noProof/>
        </w:rPr>
        <w:t xml:space="preserve"> to expand its operations </w:t>
      </w:r>
      <w:r w:rsidR="00B11428">
        <w:rPr>
          <w:noProof/>
        </w:rPr>
        <w:t>in</w:t>
      </w:r>
      <w:r>
        <w:rPr>
          <w:noProof/>
        </w:rPr>
        <w:t xml:space="preserve">to new fields. It has signed a letter of intent with Patria, Finland’s leading </w:t>
      </w:r>
      <w:r w:rsidR="00B11428">
        <w:rPr>
          <w:noProof/>
        </w:rPr>
        <w:t>defence</w:t>
      </w:r>
      <w:r>
        <w:rPr>
          <w:noProof/>
        </w:rPr>
        <w:t xml:space="preserve"> technology company, and received a small order for the assembly of </w:t>
      </w:r>
      <w:r w:rsidR="00B11428">
        <w:rPr>
          <w:noProof/>
        </w:rPr>
        <w:t>armoured</w:t>
      </w:r>
      <w:r>
        <w:rPr>
          <w:noProof/>
        </w:rPr>
        <w:t xml:space="preserve"> vehicles. If Valmet Automotive is successful in its transition to </w:t>
      </w:r>
      <w:r w:rsidR="00B11428">
        <w:rPr>
          <w:noProof/>
        </w:rPr>
        <w:t>defence</w:t>
      </w:r>
      <w:r>
        <w:rPr>
          <w:noProof/>
        </w:rPr>
        <w:t xml:space="preserve"> and security technology, the company may be </w:t>
      </w:r>
      <w:r w:rsidR="002F6ED0">
        <w:rPr>
          <w:noProof/>
        </w:rPr>
        <w:t>able</w:t>
      </w:r>
      <w:r>
        <w:rPr>
          <w:noProof/>
        </w:rPr>
        <w:t xml:space="preserve"> to re-hire a considerable portion of its displaced employees. It is therefore essential for both the company and the Uusikaupunki region to maintain the working capacity of these persons and to keep them and their families in the region. This is especially important for the immigrant workers on work-related residency permit.</w:t>
      </w:r>
    </w:p>
    <w:p w:rsidR="00DB3FF9" w:rsidRPr="0087281C" w:rsidRDefault="00DB3FF9" w:rsidP="00DB3FF9">
      <w:pPr>
        <w:pStyle w:val="ManualNumPar1"/>
        <w:rPr>
          <w:noProof/>
          <w:color w:val="000000"/>
        </w:rPr>
      </w:pPr>
      <w:r>
        <w:rPr>
          <w:noProof/>
        </w:rPr>
        <w:t>20.</w:t>
      </w:r>
      <w:r>
        <w:rPr>
          <w:noProof/>
        </w:rPr>
        <w:tab/>
      </w:r>
      <w:r>
        <w:rPr>
          <w:noProof/>
          <w:color w:val="000000"/>
        </w:rPr>
        <w:t xml:space="preserve">Turku, ca. 70 km from Uusikaupunki, is a major center for maritime industry, which has a constant demand for technical specialists. </w:t>
      </w:r>
      <w:r w:rsidRPr="00B11428">
        <w:rPr>
          <w:noProof/>
          <w:color w:val="000000"/>
        </w:rPr>
        <w:t xml:space="preserve">Among the workers made redundant by Valmet Automotive, </w:t>
      </w:r>
      <w:r>
        <w:rPr>
          <w:noProof/>
          <w:color w:val="000000"/>
        </w:rPr>
        <w:t>many</w:t>
      </w:r>
      <w:r w:rsidRPr="00B11428">
        <w:rPr>
          <w:noProof/>
          <w:color w:val="000000"/>
        </w:rPr>
        <w:t xml:space="preserve"> could find new employment in the maritime industry through expert guidance or supplementary speciali</w:t>
      </w:r>
      <w:r>
        <w:rPr>
          <w:noProof/>
          <w:color w:val="000000"/>
        </w:rPr>
        <w:t>s</w:t>
      </w:r>
      <w:r w:rsidRPr="00B11428">
        <w:rPr>
          <w:noProof/>
          <w:color w:val="000000"/>
        </w:rPr>
        <w:t xml:space="preserve">ation </w:t>
      </w:r>
      <w:r w:rsidRPr="00DB3FF9">
        <w:rPr>
          <w:noProof/>
          <w:color w:val="000000"/>
        </w:rPr>
        <w:t xml:space="preserve">training. The EGF support package is designed to help the displaced workers align their skills with the skills demand of employers in the Uusikaupunki and Turku regions. </w:t>
      </w:r>
      <w:r>
        <w:rPr>
          <w:noProof/>
          <w:color w:val="000000"/>
        </w:rPr>
        <w:t xml:space="preserve"> </w:t>
      </w:r>
    </w:p>
    <w:p w:rsidR="001A62D7" w:rsidRDefault="001A62D7" w:rsidP="001A62D7">
      <w:pPr>
        <w:pStyle w:val="ManualHeading2"/>
        <w:rPr>
          <w:noProof/>
        </w:rPr>
      </w:pPr>
      <w:r w:rsidRPr="001B069C">
        <w:rPr>
          <w:noProof/>
        </w:rPr>
        <w:t>Application of the EU Quality Framework for anticipation of change and restructuring (QFR)</w:t>
      </w:r>
      <w:r w:rsidR="006F170C">
        <w:rPr>
          <w:noProof/>
        </w:rPr>
        <w:t xml:space="preserve"> </w:t>
      </w:r>
    </w:p>
    <w:p w:rsidR="00297D5D" w:rsidRPr="0009566F" w:rsidRDefault="001D2C71" w:rsidP="009C50F6">
      <w:pPr>
        <w:pStyle w:val="ManualNumPar1"/>
        <w:rPr>
          <w:noProof/>
        </w:rPr>
      </w:pPr>
      <w:r>
        <w:rPr>
          <w:noProof/>
        </w:rPr>
        <w:t>21.</w:t>
      </w:r>
      <w:r>
        <w:rPr>
          <w:noProof/>
        </w:rPr>
        <w:tab/>
        <w:t>Finland</w:t>
      </w:r>
      <w:r w:rsidR="00070B81">
        <w:rPr>
          <w:noProof/>
        </w:rPr>
        <w:t xml:space="preserve"> </w:t>
      </w:r>
      <w:r w:rsidR="00070B81" w:rsidRPr="001B069C">
        <w:rPr>
          <w:noProof/>
        </w:rPr>
        <w:t>has described how the recommendations set out in the EU Quality Framework for anticipation of change and restructuring have been taken into account</w:t>
      </w:r>
      <w:r w:rsidR="00070B81">
        <w:rPr>
          <w:noProof/>
        </w:rPr>
        <w:t xml:space="preserve">. </w:t>
      </w:r>
      <w:r w:rsidR="006D4198" w:rsidRPr="006D4198">
        <w:rPr>
          <w:noProof/>
        </w:rPr>
        <w:t>EG</w:t>
      </w:r>
      <w:r w:rsidR="006D4198">
        <w:rPr>
          <w:noProof/>
        </w:rPr>
        <w:t>F</w:t>
      </w:r>
      <w:r w:rsidR="006D4198" w:rsidRPr="006D4198">
        <w:rPr>
          <w:noProof/>
        </w:rPr>
        <w:t xml:space="preserve"> </w:t>
      </w:r>
      <w:r w:rsidR="006D4198">
        <w:rPr>
          <w:noProof/>
        </w:rPr>
        <w:t>support</w:t>
      </w:r>
      <w:r w:rsidR="006D4198" w:rsidRPr="006D4198">
        <w:rPr>
          <w:noProof/>
        </w:rPr>
        <w:t xml:space="preserve"> is designed to be consistent with the EU Quality Framework by reinforcing early intervention, active labour market measures and coordinated support packages</w:t>
      </w:r>
      <w:r w:rsidR="006D4198">
        <w:rPr>
          <w:noProof/>
        </w:rPr>
        <w:t>.</w:t>
      </w:r>
      <w:r w:rsidR="006D4198" w:rsidRPr="006D4198">
        <w:rPr>
          <w:noProof/>
        </w:rPr>
        <w:t xml:space="preserve"> </w:t>
      </w:r>
      <w:bookmarkStart w:id="4" w:name="_Hlk232083175"/>
      <w:r w:rsidR="00910A62">
        <w:rPr>
          <w:noProof/>
        </w:rPr>
        <w:t>The</w:t>
      </w:r>
      <w:r w:rsidR="006D4198">
        <w:rPr>
          <w:noProof/>
        </w:rPr>
        <w:t xml:space="preserve"> m</w:t>
      </w:r>
      <w:r w:rsidR="006D4198" w:rsidRPr="006D4198">
        <w:rPr>
          <w:noProof/>
        </w:rPr>
        <w:t xml:space="preserve">onitoring </w:t>
      </w:r>
      <w:r w:rsidR="006D4198">
        <w:rPr>
          <w:noProof/>
        </w:rPr>
        <w:t>c</w:t>
      </w:r>
      <w:r w:rsidR="006D4198" w:rsidRPr="006D4198">
        <w:rPr>
          <w:noProof/>
        </w:rPr>
        <w:t>ommittee for the programme</w:t>
      </w:r>
      <w:r w:rsidR="00C36DE7">
        <w:rPr>
          <w:noProof/>
        </w:rPr>
        <w:t xml:space="preserve">, </w:t>
      </w:r>
      <w:bookmarkStart w:id="5" w:name="_Hlk232083089"/>
      <w:r w:rsidR="00C36DE7" w:rsidRPr="00C36DE7">
        <w:rPr>
          <w:noProof/>
        </w:rPr>
        <w:t xml:space="preserve">consisting of representatives of ministries, regions and social partners, </w:t>
      </w:r>
      <w:bookmarkEnd w:id="5"/>
      <w:r w:rsidR="006D4198" w:rsidRPr="006D4198">
        <w:rPr>
          <w:noProof/>
        </w:rPr>
        <w:t xml:space="preserve">oversees implementation, </w:t>
      </w:r>
      <w:bookmarkEnd w:id="4"/>
      <w:r w:rsidR="006D4198" w:rsidRPr="006D4198">
        <w:rPr>
          <w:noProof/>
        </w:rPr>
        <w:t>effectiveness, and alignment with strategic objectives, ensuring that EU funds and national resources are used in a complementary and coordinated manner</w:t>
      </w:r>
      <w:r w:rsidR="006D4198">
        <w:rPr>
          <w:noProof/>
        </w:rPr>
        <w:t>.</w:t>
      </w:r>
    </w:p>
    <w:p w:rsidR="00297D5D" w:rsidRPr="0009566F" w:rsidRDefault="00297D5D" w:rsidP="009C50F6">
      <w:pPr>
        <w:pStyle w:val="ManualNumPar1"/>
        <w:rPr>
          <w:noProof/>
        </w:rPr>
      </w:pPr>
      <w:r>
        <w:rPr>
          <w:noProof/>
        </w:rPr>
        <w:t>22.</w:t>
      </w:r>
      <w:r>
        <w:rPr>
          <w:noProof/>
        </w:rPr>
        <w:tab/>
      </w:r>
      <w:r w:rsidRPr="0009566F">
        <w:rPr>
          <w:noProof/>
        </w:rPr>
        <w:t>Regarding the activities undertaken to assist the displaced workers</w:t>
      </w:r>
      <w:r w:rsidRPr="00910A62">
        <w:rPr>
          <w:noProof/>
        </w:rPr>
        <w:t>,</w:t>
      </w:r>
      <w:r w:rsidR="003D261D" w:rsidRPr="00910A62">
        <w:rPr>
          <w:noProof/>
        </w:rPr>
        <w:t xml:space="preserve"> </w:t>
      </w:r>
      <w:r w:rsidR="00903FB0">
        <w:rPr>
          <w:noProof/>
        </w:rPr>
        <w:t>Finland</w:t>
      </w:r>
      <w:r w:rsidRPr="00910A62">
        <w:rPr>
          <w:noProof/>
        </w:rPr>
        <w:t xml:space="preserve"> has reported that</w:t>
      </w:r>
      <w:r w:rsidR="00C159D0">
        <w:rPr>
          <w:noProof/>
        </w:rPr>
        <w:t xml:space="preserve"> </w:t>
      </w:r>
      <w:r w:rsidR="00C159D0" w:rsidRPr="004C7017">
        <w:rPr>
          <w:noProof/>
        </w:rPr>
        <w:t xml:space="preserve">the employment </w:t>
      </w:r>
      <w:r w:rsidR="00C159D0" w:rsidRPr="004C7017">
        <w:rPr>
          <w:noProof/>
          <w:color w:val="000000"/>
        </w:rPr>
        <w:t>services to the dismissed workers were started on the day the termination notices were issued,</w:t>
      </w:r>
      <w:r w:rsidR="00C159D0">
        <w:rPr>
          <w:noProof/>
          <w:color w:val="000000"/>
        </w:rPr>
        <w:t xml:space="preserve"> including, for example, several information sessions</w:t>
      </w:r>
      <w:r w:rsidR="00477AB6">
        <w:rPr>
          <w:noProof/>
          <w:color w:val="000000"/>
        </w:rPr>
        <w:t xml:space="preserve"> and one-on-one counselling</w:t>
      </w:r>
      <w:r w:rsidR="00C159D0" w:rsidRPr="00C159D0">
        <w:rPr>
          <w:noProof/>
          <w:color w:val="000000"/>
        </w:rPr>
        <w:t xml:space="preserve">. </w:t>
      </w:r>
      <w:r w:rsidR="00C159D0">
        <w:rPr>
          <w:noProof/>
          <w:color w:val="000000"/>
        </w:rPr>
        <w:t>T</w:t>
      </w:r>
      <w:r w:rsidR="00C159D0" w:rsidRPr="00C159D0">
        <w:rPr>
          <w:noProof/>
          <w:color w:val="000000"/>
        </w:rPr>
        <w:t xml:space="preserve">he first job-seeking </w:t>
      </w:r>
      <w:r w:rsidR="00C159D0" w:rsidRPr="004C7017">
        <w:rPr>
          <w:noProof/>
          <w:color w:val="000000"/>
        </w:rPr>
        <w:t>training for former Valmet Automotive workers started on 23 March 2026.</w:t>
      </w:r>
      <w:r w:rsidR="00C159D0">
        <w:rPr>
          <w:noProof/>
          <w:color w:val="000000"/>
        </w:rPr>
        <w:t xml:space="preserve"> </w:t>
      </w:r>
    </w:p>
    <w:p w:rsidR="001A62D7" w:rsidRDefault="001A62D7" w:rsidP="001A62D7">
      <w:pPr>
        <w:pStyle w:val="ManualHeading3"/>
        <w:rPr>
          <w:noProof/>
        </w:rPr>
      </w:pPr>
      <w:r w:rsidRPr="00EC1BA4">
        <w:rPr>
          <w:noProof/>
        </w:rPr>
        <w:lastRenderedPageBreak/>
        <w:t>Complementarity with actions funded by national or Union funds</w:t>
      </w:r>
    </w:p>
    <w:p w:rsidR="00070B81" w:rsidRDefault="00903FB0" w:rsidP="009C50F6">
      <w:pPr>
        <w:pStyle w:val="ManualNumPar1"/>
        <w:rPr>
          <w:noProof/>
        </w:rPr>
      </w:pPr>
      <w:r>
        <w:rPr>
          <w:noProof/>
        </w:rPr>
        <w:t>23.</w:t>
      </w:r>
      <w:r>
        <w:rPr>
          <w:noProof/>
        </w:rPr>
        <w:tab/>
        <w:t>Finland</w:t>
      </w:r>
      <w:r w:rsidR="00070B81">
        <w:rPr>
          <w:noProof/>
        </w:rPr>
        <w:t xml:space="preserve"> has confirmed that the measures described </w:t>
      </w:r>
      <w:r w:rsidR="00070B81" w:rsidRPr="003D0D69">
        <w:rPr>
          <w:noProof/>
        </w:rPr>
        <w:t>below</w:t>
      </w:r>
      <w:r w:rsidR="00070B81">
        <w:rPr>
          <w:noProof/>
        </w:rPr>
        <w:t xml:space="preserve"> receiving a financial contribution from the EGF will not also receive financial contributions from other Union financial instruments.</w:t>
      </w:r>
    </w:p>
    <w:p w:rsidR="00070B81" w:rsidRPr="00C17426" w:rsidRDefault="00070B81" w:rsidP="009C50F6">
      <w:pPr>
        <w:pStyle w:val="ManualNumPar1"/>
        <w:rPr>
          <w:noProof/>
        </w:rPr>
      </w:pPr>
      <w:r>
        <w:rPr>
          <w:noProof/>
        </w:rPr>
        <w:t>24.</w:t>
      </w:r>
      <w:r>
        <w:rPr>
          <w:noProof/>
        </w:rPr>
        <w:tab/>
      </w:r>
      <w:r w:rsidRPr="00C17426">
        <w:rPr>
          <w:noProof/>
        </w:rPr>
        <w:t>The coordinated package of personalised services complements actions funded by other national or EU funds.</w:t>
      </w:r>
    </w:p>
    <w:p w:rsidR="001A62D7" w:rsidRDefault="001A62D7" w:rsidP="001A62D7">
      <w:pPr>
        <w:pStyle w:val="ManualHeading3"/>
        <w:tabs>
          <w:tab w:val="clear" w:pos="850"/>
          <w:tab w:val="left" w:pos="0"/>
        </w:tabs>
        <w:ind w:left="0" w:firstLine="0"/>
        <w:rPr>
          <w:noProof/>
          <w:u w:val="single"/>
        </w:rPr>
      </w:pPr>
      <w:r w:rsidRPr="00A144B7">
        <w:rPr>
          <w:noProof/>
        </w:rPr>
        <w:t>Procedures for consulting the targeted beneficiaries or their representatives or the social partners as well as local and regional authorities</w:t>
      </w:r>
    </w:p>
    <w:p w:rsidR="00070B81" w:rsidRPr="002C7E98" w:rsidRDefault="00903FB0" w:rsidP="009C50F6">
      <w:pPr>
        <w:pStyle w:val="ManualNumPar1"/>
        <w:rPr>
          <w:noProof/>
        </w:rPr>
      </w:pPr>
      <w:r>
        <w:rPr>
          <w:noProof/>
        </w:rPr>
        <w:t>25.</w:t>
      </w:r>
      <w:r>
        <w:rPr>
          <w:noProof/>
        </w:rPr>
        <w:tab/>
        <w:t>Finland</w:t>
      </w:r>
      <w:r w:rsidR="00070B81" w:rsidRPr="002C7E98">
        <w:rPr>
          <w:noProof/>
        </w:rPr>
        <w:t xml:space="preserve"> has indicated that the co-ordinated package of personalised services has been drawn up in consultation with </w:t>
      </w:r>
      <w:r w:rsidR="00E13727">
        <w:rPr>
          <w:noProof/>
        </w:rPr>
        <w:t xml:space="preserve">experts and </w:t>
      </w:r>
      <w:r w:rsidR="00070B81" w:rsidRPr="002C7E98">
        <w:rPr>
          <w:noProof/>
        </w:rPr>
        <w:t xml:space="preserve">social partners, in compliance with Article 7(4) of Regulation (EU) 2021/691. </w:t>
      </w:r>
      <w:r w:rsidR="00E13727" w:rsidRPr="00BE41FC">
        <w:rPr>
          <w:noProof/>
        </w:rPr>
        <w:t xml:space="preserve">The </w:t>
      </w:r>
      <w:r w:rsidR="00211138">
        <w:rPr>
          <w:noProof/>
        </w:rPr>
        <w:t xml:space="preserve">EGF support has been discussed in the </w:t>
      </w:r>
      <w:r w:rsidR="00211138" w:rsidRPr="00211138">
        <w:rPr>
          <w:noProof/>
        </w:rPr>
        <w:t>regional sudden structural change</w:t>
      </w:r>
      <w:r w:rsidR="00211138">
        <w:rPr>
          <w:noProof/>
        </w:rPr>
        <w:t xml:space="preserve"> </w:t>
      </w:r>
      <w:r w:rsidR="00211138" w:rsidRPr="00211138">
        <w:rPr>
          <w:noProof/>
        </w:rPr>
        <w:t>steering group</w:t>
      </w:r>
      <w:r w:rsidR="00211138">
        <w:rPr>
          <w:noProof/>
        </w:rPr>
        <w:t>, involving regional stakeholders and the Ministry of Economic Affairs and Employment, since December 2025. The</w:t>
      </w:r>
      <w:r w:rsidR="00211138" w:rsidRPr="00211138">
        <w:rPr>
          <w:noProof/>
        </w:rPr>
        <w:t xml:space="preserve"> </w:t>
      </w:r>
      <w:r w:rsidR="00E13727" w:rsidRPr="00BE41FC">
        <w:rPr>
          <w:noProof/>
        </w:rPr>
        <w:t>final packa</w:t>
      </w:r>
      <w:r w:rsidR="00211138">
        <w:rPr>
          <w:noProof/>
        </w:rPr>
        <w:t xml:space="preserve">ge </w:t>
      </w:r>
      <w:r w:rsidR="00E13727" w:rsidRPr="00BE41FC">
        <w:rPr>
          <w:noProof/>
        </w:rPr>
        <w:t>of measures was</w:t>
      </w:r>
      <w:r w:rsidR="00121B5E">
        <w:rPr>
          <w:noProof/>
        </w:rPr>
        <w:t xml:space="preserve"> agreed</w:t>
      </w:r>
      <w:r w:rsidR="00E13727">
        <w:rPr>
          <w:noProof/>
        </w:rPr>
        <w:t xml:space="preserve"> </w:t>
      </w:r>
      <w:r w:rsidR="00121B5E">
        <w:rPr>
          <w:noProof/>
        </w:rPr>
        <w:t xml:space="preserve">in a meeting with </w:t>
      </w:r>
      <w:r w:rsidR="00121B5E" w:rsidRPr="00121B5E">
        <w:rPr>
          <w:noProof/>
        </w:rPr>
        <w:t xml:space="preserve">the </w:t>
      </w:r>
      <w:r w:rsidR="00121B5E">
        <w:rPr>
          <w:noProof/>
        </w:rPr>
        <w:t xml:space="preserve">public </w:t>
      </w:r>
      <w:r w:rsidR="00121B5E" w:rsidRPr="00121B5E">
        <w:rPr>
          <w:noProof/>
        </w:rPr>
        <w:t>employment services and employees</w:t>
      </w:r>
      <w:r w:rsidR="00121B5E">
        <w:rPr>
          <w:noProof/>
        </w:rPr>
        <w:t>’</w:t>
      </w:r>
      <w:r w:rsidR="00121B5E" w:rsidRPr="00121B5E">
        <w:rPr>
          <w:noProof/>
        </w:rPr>
        <w:t xml:space="preserve"> and employers</w:t>
      </w:r>
      <w:r w:rsidR="00121B5E">
        <w:rPr>
          <w:noProof/>
        </w:rPr>
        <w:t>’</w:t>
      </w:r>
      <w:r w:rsidR="00121B5E" w:rsidRPr="00121B5E">
        <w:rPr>
          <w:noProof/>
        </w:rPr>
        <w:t xml:space="preserve"> representatives</w:t>
      </w:r>
      <w:r w:rsidR="00121B5E">
        <w:rPr>
          <w:noProof/>
        </w:rPr>
        <w:t xml:space="preserve"> </w:t>
      </w:r>
      <w:r w:rsidR="00E13727" w:rsidRPr="00BE41FC">
        <w:rPr>
          <w:noProof/>
        </w:rPr>
        <w:t xml:space="preserve">on </w:t>
      </w:r>
      <w:r w:rsidR="00121B5E">
        <w:rPr>
          <w:noProof/>
        </w:rPr>
        <w:t>4</w:t>
      </w:r>
      <w:r w:rsidR="00E13727" w:rsidRPr="00BE41FC">
        <w:rPr>
          <w:noProof/>
        </w:rPr>
        <w:t xml:space="preserve"> </w:t>
      </w:r>
      <w:r w:rsidR="00121B5E">
        <w:rPr>
          <w:noProof/>
        </w:rPr>
        <w:t>May</w:t>
      </w:r>
      <w:r w:rsidR="00E13727" w:rsidRPr="00BE41FC">
        <w:rPr>
          <w:noProof/>
        </w:rPr>
        <w:t xml:space="preserve"> 202</w:t>
      </w:r>
      <w:r w:rsidR="00121B5E">
        <w:rPr>
          <w:noProof/>
        </w:rPr>
        <w:t>6</w:t>
      </w:r>
      <w:r w:rsidR="00E13727" w:rsidRPr="00BE41FC">
        <w:rPr>
          <w:noProof/>
        </w:rPr>
        <w:t>.</w:t>
      </w:r>
    </w:p>
    <w:p w:rsidR="001A62D7" w:rsidRDefault="001A62D7" w:rsidP="001A62D7">
      <w:pPr>
        <w:pStyle w:val="ManualHeading2"/>
        <w:rPr>
          <w:noProof/>
        </w:rPr>
      </w:pPr>
      <w:r w:rsidRPr="00EF5C5A">
        <w:rPr>
          <w:noProof/>
        </w:rPr>
        <w:t xml:space="preserve">Targeted beneficiaries and proposed </w:t>
      </w:r>
      <w:r>
        <w:rPr>
          <w:noProof/>
        </w:rPr>
        <w:t>measures</w:t>
      </w:r>
    </w:p>
    <w:p w:rsidR="001A62D7" w:rsidRPr="00EF5C5A" w:rsidRDefault="001A62D7" w:rsidP="001A62D7">
      <w:pPr>
        <w:pStyle w:val="ManualHeading3"/>
        <w:rPr>
          <w:noProof/>
        </w:rPr>
      </w:pPr>
      <w:r w:rsidRPr="00EF5C5A">
        <w:rPr>
          <w:noProof/>
        </w:rPr>
        <w:t>Targeted beneficiaries</w:t>
      </w:r>
    </w:p>
    <w:p w:rsidR="001A62D7" w:rsidRDefault="00903FB0" w:rsidP="009C50F6">
      <w:pPr>
        <w:pStyle w:val="ManualNumPar1"/>
        <w:rPr>
          <w:noProof/>
        </w:rPr>
      </w:pPr>
      <w:r>
        <w:rPr>
          <w:noProof/>
        </w:rPr>
        <w:t>26.</w:t>
      </w:r>
      <w:r>
        <w:rPr>
          <w:noProof/>
        </w:rPr>
        <w:tab/>
        <w:t>T</w:t>
      </w:r>
      <w:r w:rsidRPr="00903FB0">
        <w:rPr>
          <w:noProof/>
        </w:rPr>
        <w:t>he estimated number of displaced workers expected to participate in the measures is</w:t>
      </w:r>
      <w:r>
        <w:rPr>
          <w:noProof/>
        </w:rPr>
        <w:t xml:space="preserve"> 233</w:t>
      </w:r>
      <w:r w:rsidR="007F5F1C" w:rsidRPr="00BE41FC">
        <w:rPr>
          <w:noProof/>
        </w:rPr>
        <w:t>.</w:t>
      </w:r>
      <w:r w:rsidR="001A62D7">
        <w:rPr>
          <w:noProof/>
        </w:rPr>
        <w:t xml:space="preserve"> Pursuant to Article 8(7), point (f), of Regulation (EU) 2021/691, the provided breakdown of these </w:t>
      </w:r>
      <w:r w:rsidR="001A62D7" w:rsidRPr="003E3994">
        <w:rPr>
          <w:noProof/>
        </w:rPr>
        <w:t>workers</w:t>
      </w:r>
      <w:r w:rsidR="001A62D7">
        <w:rPr>
          <w:noProof/>
        </w:rPr>
        <w:t xml:space="preserve"> by gender, age group and educational level is as follows:</w:t>
      </w:r>
    </w:p>
    <w:tbl>
      <w:tblPr>
        <w:tblW w:w="0" w:type="auto"/>
        <w:jc w:val="center"/>
        <w:tblLook w:val="04A0" w:firstRow="1" w:lastRow="0" w:firstColumn="1" w:lastColumn="0" w:noHBand="0" w:noVBand="1"/>
      </w:tblPr>
      <w:tblGrid>
        <w:gridCol w:w="1496"/>
        <w:gridCol w:w="2063"/>
        <w:gridCol w:w="1176"/>
        <w:gridCol w:w="1176"/>
      </w:tblGrid>
      <w:tr w:rsidR="001A62D7" w:rsidTr="001D5990">
        <w:trPr>
          <w:jc w:val="center"/>
        </w:trPr>
        <w:tc>
          <w:tcPr>
            <w:tcW w:w="3559" w:type="dxa"/>
            <w:gridSpan w:val="2"/>
            <w:tcBorders>
              <w:top w:val="single" w:sz="4" w:space="0" w:color="auto"/>
              <w:left w:val="nil"/>
              <w:bottom w:val="single" w:sz="4" w:space="0" w:color="auto"/>
              <w:right w:val="nil"/>
            </w:tcBorders>
            <w:hideMark/>
          </w:tcPr>
          <w:p w:rsidR="001A62D7" w:rsidRDefault="001A62D7" w:rsidP="001D5990">
            <w:pPr>
              <w:spacing w:before="60" w:after="60"/>
              <w:jc w:val="center"/>
              <w:rPr>
                <w:noProof/>
              </w:rPr>
            </w:pPr>
            <w:r>
              <w:rPr>
                <w:noProof/>
              </w:rPr>
              <w:t>Category</w:t>
            </w:r>
          </w:p>
        </w:tc>
        <w:tc>
          <w:tcPr>
            <w:tcW w:w="2352" w:type="dxa"/>
            <w:gridSpan w:val="2"/>
            <w:tcBorders>
              <w:top w:val="single" w:sz="4" w:space="0" w:color="auto"/>
              <w:left w:val="nil"/>
              <w:bottom w:val="single" w:sz="4" w:space="0" w:color="auto"/>
              <w:right w:val="nil"/>
            </w:tcBorders>
            <w:hideMark/>
          </w:tcPr>
          <w:p w:rsidR="001A62D7" w:rsidRDefault="001A62D7" w:rsidP="001D5990">
            <w:pPr>
              <w:spacing w:before="60" w:after="60"/>
              <w:jc w:val="center"/>
              <w:rPr>
                <w:noProof/>
              </w:rPr>
            </w:pPr>
            <w:r>
              <w:rPr>
                <w:noProof/>
              </w:rPr>
              <w:t xml:space="preserve">Number of </w:t>
            </w:r>
            <w:r>
              <w:rPr>
                <w:noProof/>
              </w:rPr>
              <w:br/>
              <w:t>expected beneficiaries</w:t>
            </w:r>
          </w:p>
        </w:tc>
      </w:tr>
      <w:tr w:rsidR="001A62D7" w:rsidTr="001D5990">
        <w:trPr>
          <w:jc w:val="center"/>
        </w:trPr>
        <w:tc>
          <w:tcPr>
            <w:tcW w:w="1496" w:type="dxa"/>
            <w:tcBorders>
              <w:top w:val="single" w:sz="4" w:space="0" w:color="auto"/>
              <w:left w:val="nil"/>
              <w:right w:val="nil"/>
            </w:tcBorders>
            <w:hideMark/>
          </w:tcPr>
          <w:p w:rsidR="001A62D7" w:rsidRDefault="001A62D7" w:rsidP="001D5990">
            <w:pPr>
              <w:spacing w:before="60" w:after="60"/>
              <w:rPr>
                <w:noProof/>
              </w:rPr>
            </w:pPr>
            <w:r>
              <w:rPr>
                <w:noProof/>
              </w:rPr>
              <w:t>Gender:</w:t>
            </w:r>
          </w:p>
        </w:tc>
        <w:tc>
          <w:tcPr>
            <w:tcW w:w="2063" w:type="dxa"/>
            <w:tcBorders>
              <w:top w:val="single" w:sz="4" w:space="0" w:color="auto"/>
              <w:left w:val="nil"/>
              <w:right w:val="nil"/>
            </w:tcBorders>
            <w:hideMark/>
          </w:tcPr>
          <w:p w:rsidR="001A62D7" w:rsidRDefault="001A62D7" w:rsidP="001D5990">
            <w:pPr>
              <w:spacing w:before="60" w:after="60"/>
              <w:rPr>
                <w:noProof/>
              </w:rPr>
            </w:pPr>
            <w:r>
              <w:rPr>
                <w:noProof/>
              </w:rPr>
              <w:t>Men:</w:t>
            </w:r>
          </w:p>
        </w:tc>
        <w:tc>
          <w:tcPr>
            <w:tcW w:w="1176" w:type="dxa"/>
            <w:tcBorders>
              <w:top w:val="single" w:sz="4" w:space="0" w:color="auto"/>
              <w:left w:val="nil"/>
              <w:right w:val="nil"/>
            </w:tcBorders>
            <w:hideMark/>
          </w:tcPr>
          <w:p w:rsidR="001A62D7" w:rsidRDefault="007452BA" w:rsidP="001D5990">
            <w:pPr>
              <w:spacing w:before="60" w:after="60"/>
              <w:jc w:val="right"/>
              <w:rPr>
                <w:noProof/>
              </w:rPr>
            </w:pPr>
            <w:r>
              <w:rPr>
                <w:noProof/>
              </w:rPr>
              <w:t>1</w:t>
            </w:r>
            <w:r w:rsidR="00903FB0">
              <w:rPr>
                <w:noProof/>
              </w:rPr>
              <w:t>64</w:t>
            </w:r>
          </w:p>
        </w:tc>
        <w:tc>
          <w:tcPr>
            <w:tcW w:w="1176" w:type="dxa"/>
            <w:tcBorders>
              <w:top w:val="single" w:sz="4" w:space="0" w:color="auto"/>
              <w:left w:val="nil"/>
              <w:right w:val="nil"/>
            </w:tcBorders>
            <w:hideMark/>
          </w:tcPr>
          <w:p w:rsidR="001A62D7" w:rsidRDefault="001A62D7" w:rsidP="001D5990">
            <w:pPr>
              <w:spacing w:before="60" w:after="60"/>
              <w:jc w:val="right"/>
              <w:rPr>
                <w:noProof/>
              </w:rPr>
            </w:pPr>
            <w:r>
              <w:rPr>
                <w:rFonts w:eastAsia="Calibri"/>
                <w:noProof/>
              </w:rPr>
              <w:t>(</w:t>
            </w:r>
            <w:r w:rsidR="00903FB0">
              <w:rPr>
                <w:rFonts w:eastAsia="Calibri"/>
                <w:noProof/>
              </w:rPr>
              <w:t>70</w:t>
            </w:r>
            <w:r w:rsidR="007452BA">
              <w:rPr>
                <w:noProof/>
              </w:rPr>
              <w:t>,</w:t>
            </w:r>
            <w:r w:rsidR="00903FB0">
              <w:rPr>
                <w:noProof/>
              </w:rPr>
              <w:t>4</w:t>
            </w:r>
            <w:r>
              <w:rPr>
                <w:rFonts w:eastAsia="Calibri"/>
                <w:noProof/>
              </w:rPr>
              <w:t> %)</w:t>
            </w:r>
          </w:p>
        </w:tc>
      </w:tr>
      <w:tr w:rsidR="001A62D7" w:rsidTr="001D5990">
        <w:trPr>
          <w:jc w:val="center"/>
        </w:trPr>
        <w:tc>
          <w:tcPr>
            <w:tcW w:w="1496" w:type="dxa"/>
            <w:tcBorders>
              <w:top w:val="nil"/>
              <w:left w:val="nil"/>
              <w:right w:val="nil"/>
            </w:tcBorders>
          </w:tcPr>
          <w:p w:rsidR="001A62D7" w:rsidRDefault="001A62D7" w:rsidP="001D5990">
            <w:pPr>
              <w:spacing w:before="60" w:after="60"/>
              <w:rPr>
                <w:noProof/>
              </w:rPr>
            </w:pPr>
          </w:p>
        </w:tc>
        <w:tc>
          <w:tcPr>
            <w:tcW w:w="2063" w:type="dxa"/>
            <w:tcBorders>
              <w:top w:val="nil"/>
              <w:left w:val="nil"/>
              <w:right w:val="nil"/>
            </w:tcBorders>
          </w:tcPr>
          <w:p w:rsidR="001A62D7" w:rsidRDefault="001A62D7" w:rsidP="001D5990">
            <w:pPr>
              <w:spacing w:before="60" w:after="60"/>
              <w:rPr>
                <w:rFonts w:eastAsia="Calibri"/>
                <w:noProof/>
              </w:rPr>
            </w:pPr>
            <w:r>
              <w:rPr>
                <w:rFonts w:eastAsia="Calibri"/>
                <w:noProof/>
              </w:rPr>
              <w:t>W</w:t>
            </w:r>
            <w:r>
              <w:rPr>
                <w:noProof/>
              </w:rPr>
              <w:t>omen:</w:t>
            </w:r>
          </w:p>
        </w:tc>
        <w:tc>
          <w:tcPr>
            <w:tcW w:w="1176" w:type="dxa"/>
          </w:tcPr>
          <w:p w:rsidR="001A62D7" w:rsidRDefault="00903FB0" w:rsidP="001D5990">
            <w:pPr>
              <w:spacing w:before="60" w:after="60"/>
              <w:jc w:val="right"/>
              <w:rPr>
                <w:noProof/>
              </w:rPr>
            </w:pPr>
            <w:r>
              <w:rPr>
                <w:noProof/>
              </w:rPr>
              <w:t>69</w:t>
            </w:r>
          </w:p>
        </w:tc>
        <w:tc>
          <w:tcPr>
            <w:tcW w:w="1176" w:type="dxa"/>
          </w:tcPr>
          <w:p w:rsidR="001A62D7" w:rsidRDefault="001A62D7" w:rsidP="001D5990">
            <w:pPr>
              <w:spacing w:before="60" w:after="60"/>
              <w:jc w:val="right"/>
              <w:rPr>
                <w:rFonts w:eastAsia="Calibri"/>
                <w:noProof/>
              </w:rPr>
            </w:pPr>
            <w:r>
              <w:rPr>
                <w:rFonts w:eastAsia="Calibri"/>
                <w:noProof/>
              </w:rPr>
              <w:t>(</w:t>
            </w:r>
            <w:r w:rsidR="00903FB0">
              <w:rPr>
                <w:rFonts w:eastAsia="Calibri"/>
                <w:noProof/>
              </w:rPr>
              <w:t>29</w:t>
            </w:r>
            <w:r w:rsidR="007452BA">
              <w:rPr>
                <w:noProof/>
              </w:rPr>
              <w:t>,</w:t>
            </w:r>
            <w:r w:rsidR="00903FB0">
              <w:rPr>
                <w:noProof/>
              </w:rPr>
              <w:t>6</w:t>
            </w:r>
            <w:r>
              <w:rPr>
                <w:rFonts w:eastAsia="Calibri"/>
                <w:noProof/>
              </w:rPr>
              <w:t> %)</w:t>
            </w:r>
          </w:p>
        </w:tc>
      </w:tr>
      <w:tr w:rsidR="001A62D7" w:rsidTr="001D5990">
        <w:trPr>
          <w:jc w:val="center"/>
        </w:trPr>
        <w:tc>
          <w:tcPr>
            <w:tcW w:w="1496" w:type="dxa"/>
            <w:tcBorders>
              <w:left w:val="nil"/>
              <w:bottom w:val="single" w:sz="4" w:space="0" w:color="auto"/>
              <w:right w:val="nil"/>
            </w:tcBorders>
          </w:tcPr>
          <w:p w:rsidR="001A62D7" w:rsidRDefault="001A62D7" w:rsidP="001D5990">
            <w:pPr>
              <w:spacing w:before="60" w:after="60"/>
              <w:rPr>
                <w:noProof/>
              </w:rPr>
            </w:pPr>
          </w:p>
        </w:tc>
        <w:tc>
          <w:tcPr>
            <w:tcW w:w="2063" w:type="dxa"/>
            <w:tcBorders>
              <w:left w:val="nil"/>
              <w:bottom w:val="single" w:sz="4" w:space="0" w:color="auto"/>
              <w:right w:val="nil"/>
            </w:tcBorders>
          </w:tcPr>
          <w:p w:rsidR="001A62D7" w:rsidRDefault="001A62D7" w:rsidP="001D5990">
            <w:pPr>
              <w:spacing w:before="60" w:after="60"/>
              <w:rPr>
                <w:noProof/>
              </w:rPr>
            </w:pPr>
            <w:r>
              <w:rPr>
                <w:rFonts w:eastAsia="Calibri"/>
                <w:noProof/>
              </w:rPr>
              <w:t>Non-binary</w:t>
            </w:r>
          </w:p>
        </w:tc>
        <w:tc>
          <w:tcPr>
            <w:tcW w:w="1176" w:type="dxa"/>
            <w:tcBorders>
              <w:bottom w:val="single" w:sz="4" w:space="0" w:color="auto"/>
            </w:tcBorders>
            <w:hideMark/>
          </w:tcPr>
          <w:p w:rsidR="001A62D7" w:rsidRDefault="007452BA" w:rsidP="001D5990">
            <w:pPr>
              <w:spacing w:before="60" w:after="60"/>
              <w:jc w:val="right"/>
              <w:rPr>
                <w:noProof/>
              </w:rPr>
            </w:pPr>
            <w:r>
              <w:rPr>
                <w:noProof/>
              </w:rPr>
              <w:t>0</w:t>
            </w:r>
          </w:p>
        </w:tc>
        <w:tc>
          <w:tcPr>
            <w:tcW w:w="1176" w:type="dxa"/>
            <w:tcBorders>
              <w:bottom w:val="single" w:sz="4" w:space="0" w:color="auto"/>
            </w:tcBorders>
            <w:hideMark/>
          </w:tcPr>
          <w:p w:rsidR="001A62D7" w:rsidRDefault="001A62D7" w:rsidP="001D5990">
            <w:pPr>
              <w:spacing w:before="60" w:after="60"/>
              <w:jc w:val="right"/>
              <w:rPr>
                <w:noProof/>
              </w:rPr>
            </w:pPr>
            <w:r>
              <w:rPr>
                <w:rFonts w:eastAsia="Calibri"/>
                <w:noProof/>
              </w:rPr>
              <w:t>(</w:t>
            </w:r>
            <w:r w:rsidR="007452BA">
              <w:rPr>
                <w:noProof/>
              </w:rPr>
              <w:t>0,0</w:t>
            </w:r>
            <w:r>
              <w:rPr>
                <w:rFonts w:eastAsia="Calibri"/>
                <w:noProof/>
              </w:rPr>
              <w:t> %)</w:t>
            </w:r>
          </w:p>
        </w:tc>
      </w:tr>
      <w:tr w:rsidR="001A62D7" w:rsidTr="001D5990">
        <w:trPr>
          <w:jc w:val="center"/>
        </w:trPr>
        <w:tc>
          <w:tcPr>
            <w:tcW w:w="1496" w:type="dxa"/>
            <w:tcBorders>
              <w:top w:val="single" w:sz="4" w:space="0" w:color="auto"/>
              <w:left w:val="nil"/>
              <w:bottom w:val="nil"/>
              <w:right w:val="nil"/>
            </w:tcBorders>
            <w:hideMark/>
          </w:tcPr>
          <w:p w:rsidR="001A62D7" w:rsidRDefault="001A62D7" w:rsidP="001D5990">
            <w:pPr>
              <w:spacing w:before="60" w:after="60"/>
              <w:rPr>
                <w:noProof/>
              </w:rPr>
            </w:pPr>
            <w:r>
              <w:rPr>
                <w:noProof/>
              </w:rPr>
              <w:t>Age group:</w:t>
            </w:r>
          </w:p>
        </w:tc>
        <w:tc>
          <w:tcPr>
            <w:tcW w:w="2063" w:type="dxa"/>
            <w:tcBorders>
              <w:top w:val="single" w:sz="4" w:space="0" w:color="auto"/>
              <w:left w:val="nil"/>
              <w:bottom w:val="nil"/>
              <w:right w:val="nil"/>
            </w:tcBorders>
            <w:hideMark/>
          </w:tcPr>
          <w:p w:rsidR="001A62D7" w:rsidRDefault="001A62D7" w:rsidP="001D5990">
            <w:pPr>
              <w:spacing w:before="60" w:after="60"/>
              <w:rPr>
                <w:noProof/>
              </w:rPr>
            </w:pPr>
            <w:r>
              <w:rPr>
                <w:noProof/>
              </w:rPr>
              <w:t>Below 30 years:</w:t>
            </w:r>
          </w:p>
        </w:tc>
        <w:tc>
          <w:tcPr>
            <w:tcW w:w="1176" w:type="dxa"/>
            <w:tcBorders>
              <w:top w:val="single" w:sz="4" w:space="0" w:color="auto"/>
            </w:tcBorders>
            <w:hideMark/>
          </w:tcPr>
          <w:p w:rsidR="001A62D7" w:rsidRDefault="00903FB0" w:rsidP="001D5990">
            <w:pPr>
              <w:spacing w:before="60" w:after="60"/>
              <w:jc w:val="right"/>
              <w:rPr>
                <w:noProof/>
              </w:rPr>
            </w:pPr>
            <w:r>
              <w:rPr>
                <w:noProof/>
              </w:rPr>
              <w:t>19</w:t>
            </w:r>
          </w:p>
        </w:tc>
        <w:tc>
          <w:tcPr>
            <w:tcW w:w="1176" w:type="dxa"/>
            <w:tcBorders>
              <w:top w:val="single" w:sz="4" w:space="0" w:color="auto"/>
            </w:tcBorders>
            <w:hideMark/>
          </w:tcPr>
          <w:p w:rsidR="001A62D7" w:rsidRDefault="001A62D7" w:rsidP="001D5990">
            <w:pPr>
              <w:spacing w:before="60" w:after="60"/>
              <w:jc w:val="right"/>
              <w:rPr>
                <w:noProof/>
              </w:rPr>
            </w:pPr>
            <w:r>
              <w:rPr>
                <w:rFonts w:eastAsia="Calibri"/>
                <w:noProof/>
              </w:rPr>
              <w:t>(</w:t>
            </w:r>
            <w:r w:rsidR="00A41192">
              <w:rPr>
                <w:rFonts w:eastAsia="Calibri"/>
                <w:noProof/>
              </w:rPr>
              <w:t>8</w:t>
            </w:r>
            <w:r w:rsidR="007452BA">
              <w:rPr>
                <w:noProof/>
              </w:rPr>
              <w:t>,</w:t>
            </w:r>
            <w:r w:rsidR="00845D9D">
              <w:rPr>
                <w:noProof/>
              </w:rPr>
              <w:t>1</w:t>
            </w:r>
            <w:r>
              <w:rPr>
                <w:rFonts w:eastAsia="Calibri"/>
                <w:noProof/>
              </w:rPr>
              <w:t> %)</w:t>
            </w:r>
          </w:p>
        </w:tc>
      </w:tr>
      <w:tr w:rsidR="001A62D7" w:rsidTr="001D5990">
        <w:trPr>
          <w:jc w:val="center"/>
        </w:trPr>
        <w:tc>
          <w:tcPr>
            <w:tcW w:w="1496" w:type="dxa"/>
          </w:tcPr>
          <w:p w:rsidR="001A62D7" w:rsidRDefault="001A62D7" w:rsidP="001D5990">
            <w:pPr>
              <w:spacing w:before="60" w:after="60"/>
              <w:rPr>
                <w:noProof/>
              </w:rPr>
            </w:pPr>
          </w:p>
        </w:tc>
        <w:tc>
          <w:tcPr>
            <w:tcW w:w="2063" w:type="dxa"/>
            <w:hideMark/>
          </w:tcPr>
          <w:p w:rsidR="001A62D7" w:rsidRDefault="001A62D7" w:rsidP="001D5990">
            <w:pPr>
              <w:spacing w:before="60" w:after="60"/>
              <w:rPr>
                <w:noProof/>
              </w:rPr>
            </w:pPr>
            <w:r>
              <w:rPr>
                <w:rFonts w:eastAsia="Calibri"/>
                <w:noProof/>
              </w:rPr>
              <w:t>30-54 years:</w:t>
            </w:r>
          </w:p>
        </w:tc>
        <w:tc>
          <w:tcPr>
            <w:tcW w:w="1176" w:type="dxa"/>
            <w:hideMark/>
          </w:tcPr>
          <w:p w:rsidR="001A62D7" w:rsidRDefault="00903FB0" w:rsidP="001D5990">
            <w:pPr>
              <w:spacing w:before="60" w:after="60"/>
              <w:jc w:val="right"/>
              <w:rPr>
                <w:noProof/>
              </w:rPr>
            </w:pPr>
            <w:r>
              <w:rPr>
                <w:noProof/>
              </w:rPr>
              <w:t>150</w:t>
            </w:r>
          </w:p>
        </w:tc>
        <w:tc>
          <w:tcPr>
            <w:tcW w:w="1176" w:type="dxa"/>
            <w:hideMark/>
          </w:tcPr>
          <w:p w:rsidR="001A62D7" w:rsidRDefault="001A62D7" w:rsidP="001D5990">
            <w:pPr>
              <w:spacing w:before="60" w:after="60"/>
              <w:jc w:val="right"/>
              <w:rPr>
                <w:noProof/>
              </w:rPr>
            </w:pPr>
            <w:r>
              <w:rPr>
                <w:rFonts w:eastAsia="Calibri"/>
                <w:noProof/>
              </w:rPr>
              <w:t>(</w:t>
            </w:r>
            <w:r w:rsidR="007452BA">
              <w:rPr>
                <w:noProof/>
              </w:rPr>
              <w:t>6</w:t>
            </w:r>
            <w:r w:rsidR="00A41192">
              <w:rPr>
                <w:noProof/>
              </w:rPr>
              <w:t>4</w:t>
            </w:r>
            <w:r w:rsidR="007452BA">
              <w:rPr>
                <w:noProof/>
              </w:rPr>
              <w:t>,</w:t>
            </w:r>
            <w:r w:rsidR="00A41192">
              <w:rPr>
                <w:noProof/>
              </w:rPr>
              <w:t>4</w:t>
            </w:r>
            <w:r>
              <w:rPr>
                <w:rFonts w:eastAsia="Calibri"/>
                <w:noProof/>
              </w:rPr>
              <w:t> %)</w:t>
            </w:r>
          </w:p>
        </w:tc>
      </w:tr>
      <w:tr w:rsidR="001A62D7" w:rsidTr="001D5990">
        <w:trPr>
          <w:jc w:val="center"/>
        </w:trPr>
        <w:tc>
          <w:tcPr>
            <w:tcW w:w="1496" w:type="dxa"/>
          </w:tcPr>
          <w:p w:rsidR="001A62D7" w:rsidRDefault="001A62D7" w:rsidP="001D5990">
            <w:pPr>
              <w:spacing w:before="60" w:after="60"/>
              <w:rPr>
                <w:noProof/>
              </w:rPr>
            </w:pPr>
          </w:p>
        </w:tc>
        <w:tc>
          <w:tcPr>
            <w:tcW w:w="2063" w:type="dxa"/>
            <w:hideMark/>
          </w:tcPr>
          <w:p w:rsidR="001A62D7" w:rsidRDefault="001A62D7" w:rsidP="001D5990">
            <w:pPr>
              <w:spacing w:before="60" w:after="60"/>
              <w:jc w:val="left"/>
              <w:rPr>
                <w:noProof/>
              </w:rPr>
            </w:pPr>
            <w:r>
              <w:rPr>
                <w:noProof/>
              </w:rPr>
              <w:t>Over 54 years:</w:t>
            </w:r>
          </w:p>
        </w:tc>
        <w:tc>
          <w:tcPr>
            <w:tcW w:w="1176" w:type="dxa"/>
            <w:hideMark/>
          </w:tcPr>
          <w:p w:rsidR="001A62D7" w:rsidRDefault="00903FB0" w:rsidP="001D5990">
            <w:pPr>
              <w:spacing w:before="60" w:after="60"/>
              <w:jc w:val="right"/>
              <w:rPr>
                <w:noProof/>
              </w:rPr>
            </w:pPr>
            <w:r>
              <w:rPr>
                <w:noProof/>
              </w:rPr>
              <w:t>64</w:t>
            </w:r>
          </w:p>
        </w:tc>
        <w:tc>
          <w:tcPr>
            <w:tcW w:w="1176" w:type="dxa"/>
            <w:hideMark/>
          </w:tcPr>
          <w:p w:rsidR="001A62D7" w:rsidRDefault="001A62D7" w:rsidP="001D5990">
            <w:pPr>
              <w:spacing w:before="60" w:after="60"/>
              <w:jc w:val="right"/>
              <w:rPr>
                <w:noProof/>
              </w:rPr>
            </w:pPr>
            <w:r>
              <w:rPr>
                <w:rFonts w:eastAsia="Calibri"/>
                <w:noProof/>
              </w:rPr>
              <w:t>(</w:t>
            </w:r>
            <w:r w:rsidR="00900D9C">
              <w:rPr>
                <w:noProof/>
              </w:rPr>
              <w:t>2</w:t>
            </w:r>
            <w:r w:rsidR="00A41192">
              <w:rPr>
                <w:noProof/>
              </w:rPr>
              <w:t>7</w:t>
            </w:r>
            <w:r w:rsidR="00900D9C">
              <w:rPr>
                <w:noProof/>
              </w:rPr>
              <w:t>,</w:t>
            </w:r>
            <w:r w:rsidR="00A41192">
              <w:rPr>
                <w:noProof/>
              </w:rPr>
              <w:t>5</w:t>
            </w:r>
            <w:r>
              <w:rPr>
                <w:rFonts w:eastAsia="Calibri"/>
                <w:noProof/>
              </w:rPr>
              <w:t> %)</w:t>
            </w:r>
          </w:p>
        </w:tc>
      </w:tr>
      <w:tr w:rsidR="001A62D7" w:rsidTr="001D5990">
        <w:trPr>
          <w:jc w:val="center"/>
        </w:trPr>
        <w:tc>
          <w:tcPr>
            <w:tcW w:w="1496" w:type="dxa"/>
            <w:tcBorders>
              <w:top w:val="single" w:sz="4" w:space="0" w:color="auto"/>
              <w:left w:val="nil"/>
              <w:bottom w:val="nil"/>
              <w:right w:val="nil"/>
            </w:tcBorders>
          </w:tcPr>
          <w:p w:rsidR="001A62D7" w:rsidRDefault="001A62D7" w:rsidP="001D5990">
            <w:pPr>
              <w:spacing w:before="60" w:after="60"/>
              <w:rPr>
                <w:noProof/>
              </w:rPr>
            </w:pPr>
            <w:r>
              <w:rPr>
                <w:noProof/>
              </w:rPr>
              <w:t>Educational level</w:t>
            </w:r>
          </w:p>
        </w:tc>
        <w:tc>
          <w:tcPr>
            <w:tcW w:w="2063" w:type="dxa"/>
            <w:tcBorders>
              <w:top w:val="single" w:sz="4" w:space="0" w:color="auto"/>
              <w:left w:val="nil"/>
              <w:bottom w:val="nil"/>
              <w:right w:val="nil"/>
            </w:tcBorders>
          </w:tcPr>
          <w:p w:rsidR="001A62D7" w:rsidRDefault="001A62D7" w:rsidP="001D5990">
            <w:pPr>
              <w:spacing w:before="60" w:after="60"/>
              <w:rPr>
                <w:noProof/>
              </w:rPr>
            </w:pPr>
            <w:r>
              <w:rPr>
                <w:noProof/>
              </w:rPr>
              <w:t>Lower secondary education or less</w:t>
            </w:r>
            <w:r w:rsidR="00B45769">
              <w:rPr>
                <w:rStyle w:val="FootnoteReference"/>
                <w:noProof/>
              </w:rPr>
              <w:footnoteReference w:id="12"/>
            </w:r>
            <w:r>
              <w:rPr>
                <w:noProof/>
              </w:rPr>
              <w:t xml:space="preserve"> </w:t>
            </w:r>
          </w:p>
        </w:tc>
        <w:tc>
          <w:tcPr>
            <w:tcW w:w="1176" w:type="dxa"/>
            <w:tcBorders>
              <w:top w:val="single" w:sz="4" w:space="0" w:color="auto"/>
              <w:left w:val="nil"/>
              <w:bottom w:val="nil"/>
              <w:right w:val="nil"/>
            </w:tcBorders>
          </w:tcPr>
          <w:p w:rsidR="001A62D7" w:rsidRDefault="00903FB0" w:rsidP="001D5990">
            <w:pPr>
              <w:spacing w:before="60" w:after="60"/>
              <w:jc w:val="right"/>
              <w:rPr>
                <w:noProof/>
              </w:rPr>
            </w:pPr>
            <w:r>
              <w:rPr>
                <w:noProof/>
              </w:rPr>
              <w:t>49</w:t>
            </w:r>
          </w:p>
        </w:tc>
        <w:tc>
          <w:tcPr>
            <w:tcW w:w="1176" w:type="dxa"/>
            <w:tcBorders>
              <w:top w:val="single" w:sz="4" w:space="0" w:color="auto"/>
              <w:left w:val="nil"/>
              <w:bottom w:val="nil"/>
              <w:right w:val="nil"/>
            </w:tcBorders>
          </w:tcPr>
          <w:p w:rsidR="001A62D7" w:rsidRDefault="001A62D7" w:rsidP="001D5990">
            <w:pPr>
              <w:spacing w:before="60" w:after="60"/>
              <w:jc w:val="right"/>
              <w:rPr>
                <w:rFonts w:eastAsia="Calibri"/>
                <w:noProof/>
              </w:rPr>
            </w:pPr>
            <w:r>
              <w:rPr>
                <w:rFonts w:eastAsia="Calibri"/>
                <w:noProof/>
              </w:rPr>
              <w:t>(</w:t>
            </w:r>
            <w:r w:rsidR="00900D9C">
              <w:rPr>
                <w:noProof/>
              </w:rPr>
              <w:t>2</w:t>
            </w:r>
            <w:r w:rsidR="00A41192">
              <w:rPr>
                <w:noProof/>
              </w:rPr>
              <w:t>1</w:t>
            </w:r>
            <w:r w:rsidR="00900D9C">
              <w:rPr>
                <w:noProof/>
              </w:rPr>
              <w:t>,</w:t>
            </w:r>
            <w:r w:rsidR="00A41192">
              <w:rPr>
                <w:noProof/>
              </w:rPr>
              <w:t>0</w:t>
            </w:r>
            <w:r>
              <w:rPr>
                <w:rFonts w:eastAsia="Calibri"/>
                <w:noProof/>
              </w:rPr>
              <w:t> %)</w:t>
            </w:r>
          </w:p>
        </w:tc>
      </w:tr>
      <w:tr w:rsidR="001A62D7" w:rsidTr="001D5990">
        <w:trPr>
          <w:jc w:val="center"/>
        </w:trPr>
        <w:tc>
          <w:tcPr>
            <w:tcW w:w="1496" w:type="dxa"/>
            <w:tcBorders>
              <w:top w:val="nil"/>
              <w:left w:val="nil"/>
              <w:right w:val="nil"/>
            </w:tcBorders>
          </w:tcPr>
          <w:p w:rsidR="001A62D7" w:rsidRDefault="001A62D7" w:rsidP="001D5990">
            <w:pPr>
              <w:spacing w:before="60" w:after="60"/>
              <w:rPr>
                <w:noProof/>
              </w:rPr>
            </w:pPr>
          </w:p>
        </w:tc>
        <w:tc>
          <w:tcPr>
            <w:tcW w:w="2063" w:type="dxa"/>
            <w:tcBorders>
              <w:top w:val="nil"/>
              <w:left w:val="nil"/>
              <w:right w:val="nil"/>
            </w:tcBorders>
          </w:tcPr>
          <w:p w:rsidR="001A62D7" w:rsidRDefault="001A62D7" w:rsidP="001D5990">
            <w:pPr>
              <w:spacing w:before="60" w:after="60"/>
              <w:rPr>
                <w:noProof/>
              </w:rPr>
            </w:pPr>
            <w:r>
              <w:rPr>
                <w:noProof/>
              </w:rPr>
              <w:t>Upper secondary</w:t>
            </w:r>
            <w:r w:rsidR="00B45769">
              <w:rPr>
                <w:rStyle w:val="FootnoteReference"/>
                <w:noProof/>
              </w:rPr>
              <w:footnoteReference w:id="13"/>
            </w:r>
            <w:r>
              <w:rPr>
                <w:noProof/>
              </w:rPr>
              <w:t xml:space="preserve"> or post-secondary education</w:t>
            </w:r>
            <w:r w:rsidR="00B45769">
              <w:rPr>
                <w:rStyle w:val="FootnoteReference"/>
                <w:noProof/>
              </w:rPr>
              <w:footnoteReference w:id="14"/>
            </w:r>
          </w:p>
        </w:tc>
        <w:tc>
          <w:tcPr>
            <w:tcW w:w="1176" w:type="dxa"/>
            <w:tcBorders>
              <w:top w:val="nil"/>
              <w:left w:val="nil"/>
              <w:right w:val="nil"/>
            </w:tcBorders>
          </w:tcPr>
          <w:p w:rsidR="001A62D7" w:rsidRDefault="00903FB0" w:rsidP="001D5990">
            <w:pPr>
              <w:spacing w:before="60" w:after="60"/>
              <w:jc w:val="right"/>
              <w:rPr>
                <w:noProof/>
              </w:rPr>
            </w:pPr>
            <w:r>
              <w:rPr>
                <w:noProof/>
              </w:rPr>
              <w:t>173</w:t>
            </w:r>
          </w:p>
        </w:tc>
        <w:tc>
          <w:tcPr>
            <w:tcW w:w="1176" w:type="dxa"/>
            <w:tcBorders>
              <w:top w:val="nil"/>
              <w:left w:val="nil"/>
              <w:right w:val="nil"/>
            </w:tcBorders>
          </w:tcPr>
          <w:p w:rsidR="001A62D7" w:rsidRDefault="001A62D7" w:rsidP="001D5990">
            <w:pPr>
              <w:spacing w:before="60" w:after="60"/>
              <w:jc w:val="right"/>
              <w:rPr>
                <w:rFonts w:eastAsia="Calibri"/>
                <w:noProof/>
              </w:rPr>
            </w:pPr>
            <w:r>
              <w:rPr>
                <w:rFonts w:eastAsia="Calibri"/>
                <w:noProof/>
              </w:rPr>
              <w:t>(</w:t>
            </w:r>
            <w:r w:rsidR="00A41192">
              <w:rPr>
                <w:rFonts w:eastAsia="Calibri"/>
                <w:noProof/>
              </w:rPr>
              <w:t>74</w:t>
            </w:r>
            <w:r w:rsidR="00900D9C">
              <w:rPr>
                <w:noProof/>
              </w:rPr>
              <w:t>,</w:t>
            </w:r>
            <w:r w:rsidR="00A41192">
              <w:rPr>
                <w:noProof/>
              </w:rPr>
              <w:t>2</w:t>
            </w:r>
            <w:r>
              <w:rPr>
                <w:rFonts w:eastAsia="Calibri"/>
                <w:noProof/>
              </w:rPr>
              <w:t> %)</w:t>
            </w:r>
          </w:p>
        </w:tc>
      </w:tr>
      <w:tr w:rsidR="001A62D7" w:rsidTr="001D5990">
        <w:trPr>
          <w:jc w:val="center"/>
        </w:trPr>
        <w:tc>
          <w:tcPr>
            <w:tcW w:w="1496" w:type="dxa"/>
            <w:tcBorders>
              <w:top w:val="nil"/>
              <w:left w:val="nil"/>
              <w:bottom w:val="single" w:sz="4" w:space="0" w:color="auto"/>
              <w:right w:val="nil"/>
            </w:tcBorders>
          </w:tcPr>
          <w:p w:rsidR="001A62D7" w:rsidRDefault="001A62D7" w:rsidP="001D5990">
            <w:pPr>
              <w:spacing w:before="60" w:after="60"/>
              <w:rPr>
                <w:noProof/>
              </w:rPr>
            </w:pPr>
          </w:p>
        </w:tc>
        <w:tc>
          <w:tcPr>
            <w:tcW w:w="2063" w:type="dxa"/>
            <w:tcBorders>
              <w:top w:val="nil"/>
              <w:left w:val="nil"/>
              <w:bottom w:val="single" w:sz="4" w:space="0" w:color="auto"/>
              <w:right w:val="nil"/>
            </w:tcBorders>
          </w:tcPr>
          <w:p w:rsidR="001A62D7" w:rsidRDefault="001A62D7" w:rsidP="001D5990">
            <w:pPr>
              <w:spacing w:before="60" w:after="60"/>
              <w:rPr>
                <w:noProof/>
              </w:rPr>
            </w:pPr>
            <w:r>
              <w:rPr>
                <w:noProof/>
              </w:rPr>
              <w:t>Tertiary education</w:t>
            </w:r>
            <w:r w:rsidR="00B45769">
              <w:rPr>
                <w:rStyle w:val="FootnoteReference"/>
                <w:noProof/>
              </w:rPr>
              <w:footnoteReference w:id="15"/>
            </w:r>
          </w:p>
        </w:tc>
        <w:tc>
          <w:tcPr>
            <w:tcW w:w="1176" w:type="dxa"/>
            <w:tcBorders>
              <w:top w:val="nil"/>
              <w:left w:val="nil"/>
              <w:bottom w:val="single" w:sz="4" w:space="0" w:color="auto"/>
              <w:right w:val="nil"/>
            </w:tcBorders>
          </w:tcPr>
          <w:p w:rsidR="001A62D7" w:rsidRDefault="00903FB0" w:rsidP="001D5990">
            <w:pPr>
              <w:spacing w:before="60" w:after="60"/>
              <w:jc w:val="right"/>
              <w:rPr>
                <w:noProof/>
              </w:rPr>
            </w:pPr>
            <w:r>
              <w:rPr>
                <w:noProof/>
              </w:rPr>
              <w:t>11</w:t>
            </w:r>
          </w:p>
        </w:tc>
        <w:tc>
          <w:tcPr>
            <w:tcW w:w="1176" w:type="dxa"/>
            <w:tcBorders>
              <w:top w:val="nil"/>
              <w:left w:val="nil"/>
              <w:bottom w:val="single" w:sz="4" w:space="0" w:color="auto"/>
              <w:right w:val="nil"/>
            </w:tcBorders>
          </w:tcPr>
          <w:p w:rsidR="001A62D7" w:rsidRDefault="001A62D7" w:rsidP="001D5990">
            <w:pPr>
              <w:spacing w:before="60" w:after="60"/>
              <w:jc w:val="right"/>
              <w:rPr>
                <w:rFonts w:eastAsia="Calibri"/>
                <w:noProof/>
              </w:rPr>
            </w:pPr>
            <w:r>
              <w:rPr>
                <w:rFonts w:eastAsia="Calibri"/>
                <w:noProof/>
              </w:rPr>
              <w:t>(</w:t>
            </w:r>
            <w:r w:rsidR="00A41192">
              <w:rPr>
                <w:rFonts w:eastAsia="Calibri"/>
                <w:noProof/>
              </w:rPr>
              <w:t>4</w:t>
            </w:r>
            <w:r w:rsidR="00900D9C">
              <w:rPr>
                <w:noProof/>
              </w:rPr>
              <w:t>,</w:t>
            </w:r>
            <w:r w:rsidR="00A41192">
              <w:rPr>
                <w:noProof/>
              </w:rPr>
              <w:t>7</w:t>
            </w:r>
            <w:r>
              <w:rPr>
                <w:rFonts w:eastAsia="Calibri"/>
                <w:noProof/>
              </w:rPr>
              <w:t> %)</w:t>
            </w:r>
          </w:p>
        </w:tc>
      </w:tr>
    </w:tbl>
    <w:p w:rsidR="001A62D7" w:rsidRDefault="001A62D7" w:rsidP="001A62D7">
      <w:pPr>
        <w:pStyle w:val="ManualHeading3"/>
        <w:rPr>
          <w:noProof/>
          <w:u w:val="single"/>
        </w:rPr>
      </w:pPr>
      <w:r w:rsidRPr="00C17426">
        <w:rPr>
          <w:noProof/>
        </w:rPr>
        <w:lastRenderedPageBreak/>
        <w:t>Proposed measures</w:t>
      </w:r>
    </w:p>
    <w:p w:rsidR="001A62D7" w:rsidRPr="0044569F" w:rsidRDefault="001A62D7" w:rsidP="009C50F6">
      <w:pPr>
        <w:pStyle w:val="ManualNumPar1"/>
        <w:rPr>
          <w:noProof/>
        </w:rPr>
      </w:pPr>
      <w:r>
        <w:rPr>
          <w:noProof/>
        </w:rPr>
        <w:t>27.</w:t>
      </w:r>
      <w:r>
        <w:rPr>
          <w:noProof/>
        </w:rPr>
        <w:tab/>
      </w:r>
      <w:bookmarkStart w:id="6" w:name="_Ref372214239"/>
      <w:r w:rsidRPr="0044569F">
        <w:rPr>
          <w:noProof/>
        </w:rPr>
        <w:t>Pursuant to Article 8(7), point (h) of Regulation (EU) 2021/691, the personalised coordinated package to be provided to displaced workers consists of the following measures:</w:t>
      </w:r>
      <w:bookmarkEnd w:id="6"/>
      <w:r w:rsidR="002344E7" w:rsidRPr="0044569F">
        <w:rPr>
          <w:noProof/>
        </w:rPr>
        <w:t xml:space="preserve"> </w:t>
      </w:r>
    </w:p>
    <w:p w:rsidR="001A62D7" w:rsidRPr="00447FE9" w:rsidRDefault="008A70ED" w:rsidP="00C262D6">
      <w:pPr>
        <w:pStyle w:val="Tiret1"/>
        <w:numPr>
          <w:ilvl w:val="0"/>
          <w:numId w:val="34"/>
        </w:numPr>
        <w:rPr>
          <w:noProof/>
        </w:rPr>
      </w:pPr>
      <w:r>
        <w:rPr>
          <w:noProof/>
          <w:u w:val="single"/>
        </w:rPr>
        <w:t>Job-seeking training</w:t>
      </w:r>
      <w:r w:rsidR="001A62D7" w:rsidRPr="00447FE9">
        <w:rPr>
          <w:noProof/>
        </w:rPr>
        <w:t xml:space="preserve">: </w:t>
      </w:r>
      <w:r w:rsidR="006D7F70">
        <w:rPr>
          <w:rFonts w:ascii="TimesNewRoman" w:eastAsia="TimesNewRoman" w:hAnsi="TimesNewRoman" w:cs="TimesNewRoman"/>
          <w:noProof/>
          <w:color w:val="000000"/>
        </w:rPr>
        <w:t xml:space="preserve">The participants receive </w:t>
      </w:r>
      <w:r w:rsidR="006D7F70" w:rsidRPr="007B2437">
        <w:rPr>
          <w:rFonts w:ascii="TimesNewRoman" w:eastAsia="TimesNewRoman" w:hAnsi="TimesNewRoman" w:cs="TimesNewRoman"/>
          <w:noProof/>
          <w:color w:val="000000"/>
        </w:rPr>
        <w:t>information</w:t>
      </w:r>
      <w:r w:rsidR="006D7F70">
        <w:rPr>
          <w:rFonts w:ascii="TimesNewRoman" w:eastAsia="TimesNewRoman" w:hAnsi="TimesNewRoman" w:cs="TimesNewRoman"/>
          <w:noProof/>
          <w:color w:val="000000"/>
        </w:rPr>
        <w:t xml:space="preserve"> about the support services available for jobseekers</w:t>
      </w:r>
      <w:r w:rsidR="00DA31D6">
        <w:rPr>
          <w:rFonts w:ascii="TimesNewRoman" w:eastAsia="TimesNewRoman" w:hAnsi="TimesNewRoman" w:cs="TimesNewRoman"/>
          <w:noProof/>
          <w:color w:val="000000"/>
        </w:rPr>
        <w:t>, and training to chart their reintegration into labour market</w:t>
      </w:r>
      <w:r w:rsidR="006D7F70">
        <w:rPr>
          <w:rFonts w:ascii="TimesNewRoman" w:eastAsia="TimesNewRoman" w:hAnsi="TimesNewRoman" w:cs="TimesNewRoman"/>
          <w:noProof/>
          <w:color w:val="000000"/>
        </w:rPr>
        <w:t xml:space="preserve">. They will practice applying for jobs by drawing up or updating their CVs and writing actual job applications. </w:t>
      </w:r>
      <w:r w:rsidR="00DA31D6">
        <w:rPr>
          <w:rFonts w:ascii="TimesNewRoman" w:eastAsia="TimesNewRoman" w:hAnsi="TimesNewRoman" w:cs="TimesNewRoman"/>
          <w:noProof/>
          <w:color w:val="000000"/>
        </w:rPr>
        <w:t xml:space="preserve">Personal interviews with situational assessment will be conducted by experts dedicated to the project. </w:t>
      </w:r>
      <w:r w:rsidR="006D7F70">
        <w:rPr>
          <w:rFonts w:ascii="TimesNewRoman" w:eastAsia="TimesNewRoman" w:hAnsi="TimesNewRoman" w:cs="TimesNewRoman"/>
          <w:noProof/>
          <w:color w:val="000000"/>
        </w:rPr>
        <w:t>Special attention will be given to those participants who need to improve their digital skills to improve their job-seeking skills and/or labour market position.</w:t>
      </w:r>
      <w:r w:rsidR="007F5F1C" w:rsidRPr="00447FE9">
        <w:rPr>
          <w:noProof/>
        </w:rPr>
        <w:t xml:space="preserve"> </w:t>
      </w:r>
    </w:p>
    <w:p w:rsidR="00A746AB" w:rsidRDefault="008A70ED" w:rsidP="00E83703">
      <w:pPr>
        <w:pStyle w:val="Tiret1"/>
        <w:rPr>
          <w:noProof/>
        </w:rPr>
      </w:pPr>
      <w:r>
        <w:rPr>
          <w:noProof/>
          <w:u w:val="single"/>
        </w:rPr>
        <w:t>Job and career coaching</w:t>
      </w:r>
      <w:r w:rsidR="006905BD" w:rsidRPr="00BF0DB9">
        <w:rPr>
          <w:noProof/>
        </w:rPr>
        <w:t xml:space="preserve">: </w:t>
      </w:r>
      <w:r w:rsidR="006D7F70">
        <w:rPr>
          <w:noProof/>
        </w:rPr>
        <w:t xml:space="preserve">Job coaching offers general guidance for searching </w:t>
      </w:r>
      <w:r w:rsidR="006D7F70" w:rsidRPr="006D7F70">
        <w:rPr>
          <w:noProof/>
        </w:rPr>
        <w:t>employment but can include also a personal coach providing personalised assistance.</w:t>
      </w:r>
      <w:r w:rsidR="006D7F70">
        <w:rPr>
          <w:noProof/>
        </w:rPr>
        <w:t xml:space="preserve"> </w:t>
      </w:r>
      <w:r w:rsidR="006D7F70" w:rsidRPr="006D7F70">
        <w:rPr>
          <w:noProof/>
        </w:rPr>
        <w:t>In career coaching, personali</w:t>
      </w:r>
      <w:r w:rsidR="006D7F70">
        <w:rPr>
          <w:noProof/>
        </w:rPr>
        <w:t>s</w:t>
      </w:r>
      <w:r w:rsidR="006D7F70" w:rsidRPr="006D7F70">
        <w:rPr>
          <w:noProof/>
        </w:rPr>
        <w:t xml:space="preserve">ed support </w:t>
      </w:r>
      <w:r w:rsidR="00CD38FE" w:rsidRPr="006D7F70">
        <w:rPr>
          <w:noProof/>
        </w:rPr>
        <w:t xml:space="preserve">is provided </w:t>
      </w:r>
      <w:r w:rsidR="00CD38FE">
        <w:rPr>
          <w:noProof/>
        </w:rPr>
        <w:t xml:space="preserve">to </w:t>
      </w:r>
      <w:r w:rsidR="00CD38FE" w:rsidRPr="006D7F70">
        <w:rPr>
          <w:noProof/>
        </w:rPr>
        <w:t xml:space="preserve">the </w:t>
      </w:r>
      <w:r w:rsidR="00CD38FE">
        <w:rPr>
          <w:noProof/>
        </w:rPr>
        <w:t>participants</w:t>
      </w:r>
      <w:r w:rsidR="00CD38FE" w:rsidRPr="006D7F70">
        <w:rPr>
          <w:noProof/>
        </w:rPr>
        <w:t xml:space="preserve"> </w:t>
      </w:r>
      <w:r w:rsidR="006D7F70" w:rsidRPr="006D7F70">
        <w:rPr>
          <w:noProof/>
        </w:rPr>
        <w:t>to help them plan their working career, including possible career or sector changes</w:t>
      </w:r>
      <w:r w:rsidR="003D5C86">
        <w:rPr>
          <w:noProof/>
        </w:rPr>
        <w:t>,</w:t>
      </w:r>
      <w:r w:rsidR="006D7F70" w:rsidRPr="006D7F70">
        <w:rPr>
          <w:noProof/>
        </w:rPr>
        <w:t xml:space="preserve"> </w:t>
      </w:r>
      <w:r w:rsidR="003D5C86">
        <w:rPr>
          <w:noProof/>
        </w:rPr>
        <w:t>with</w:t>
      </w:r>
      <w:r w:rsidR="006D7F70" w:rsidRPr="006D7F70">
        <w:rPr>
          <w:noProof/>
        </w:rPr>
        <w:t xml:space="preserve"> the required competence/skill</w:t>
      </w:r>
      <w:r w:rsidR="006D7F70">
        <w:rPr>
          <w:noProof/>
        </w:rPr>
        <w:t>s</w:t>
      </w:r>
      <w:r w:rsidR="006D7F70" w:rsidRPr="006D7F70">
        <w:rPr>
          <w:noProof/>
        </w:rPr>
        <w:t xml:space="preserve"> mapping</w:t>
      </w:r>
      <w:r w:rsidR="006D7F70">
        <w:rPr>
          <w:noProof/>
        </w:rPr>
        <w:t>.</w:t>
      </w:r>
      <w:r w:rsidR="003D5C86">
        <w:rPr>
          <w:noProof/>
        </w:rPr>
        <w:t xml:space="preserve"> If necessary, longer-term</w:t>
      </w:r>
      <w:r w:rsidR="003D5C86" w:rsidRPr="003D5C86">
        <w:rPr>
          <w:noProof/>
        </w:rPr>
        <w:t xml:space="preserve"> support program</w:t>
      </w:r>
      <w:r w:rsidR="003D5C86">
        <w:rPr>
          <w:noProof/>
        </w:rPr>
        <w:t>me</w:t>
      </w:r>
      <w:r w:rsidR="003D5C86" w:rsidRPr="003D5C86">
        <w:rPr>
          <w:noProof/>
        </w:rPr>
        <w:t>s</w:t>
      </w:r>
      <w:r w:rsidR="003D5C86">
        <w:rPr>
          <w:noProof/>
        </w:rPr>
        <w:t>, with</w:t>
      </w:r>
      <w:r w:rsidR="003D5C86" w:rsidRPr="003D5C86">
        <w:rPr>
          <w:noProof/>
        </w:rPr>
        <w:t xml:space="preserve"> group-based </w:t>
      </w:r>
      <w:r w:rsidR="003D5C86">
        <w:rPr>
          <w:noProof/>
        </w:rPr>
        <w:t xml:space="preserve">exercises, can be provided. These </w:t>
      </w:r>
      <w:r w:rsidR="003D5C86" w:rsidRPr="003D5C86">
        <w:rPr>
          <w:noProof/>
        </w:rPr>
        <w:t>may also include introductory periods in one or several workplaces.</w:t>
      </w:r>
    </w:p>
    <w:p w:rsidR="001B771C" w:rsidRPr="0074158B" w:rsidRDefault="001B771C" w:rsidP="001B771C">
      <w:pPr>
        <w:pStyle w:val="Tiret1"/>
        <w:rPr>
          <w:noProof/>
        </w:rPr>
      </w:pPr>
      <w:r>
        <w:rPr>
          <w:noProof/>
          <w:u w:val="single"/>
        </w:rPr>
        <w:t>Vocational</w:t>
      </w:r>
      <w:r w:rsidRPr="0074158B">
        <w:rPr>
          <w:noProof/>
          <w:u w:val="single"/>
        </w:rPr>
        <w:t xml:space="preserve"> </w:t>
      </w:r>
      <w:r>
        <w:rPr>
          <w:noProof/>
          <w:u w:val="single"/>
        </w:rPr>
        <w:t>training</w:t>
      </w:r>
      <w:r w:rsidRPr="0074158B">
        <w:rPr>
          <w:noProof/>
        </w:rPr>
        <w:t xml:space="preserve">: </w:t>
      </w:r>
      <w:r w:rsidRPr="0092760C">
        <w:rPr>
          <w:noProof/>
        </w:rPr>
        <w:t xml:space="preserve">The goal </w:t>
      </w:r>
      <w:r>
        <w:rPr>
          <w:noProof/>
        </w:rPr>
        <w:t xml:space="preserve">of the </w:t>
      </w:r>
      <w:r w:rsidRPr="0092760C">
        <w:rPr>
          <w:noProof/>
        </w:rPr>
        <w:t>vocational training is the acquisition of skills that suppor</w:t>
      </w:r>
      <w:r>
        <w:rPr>
          <w:noProof/>
        </w:rPr>
        <w:t xml:space="preserve">t </w:t>
      </w:r>
      <w:r w:rsidRPr="0092760C">
        <w:rPr>
          <w:noProof/>
        </w:rPr>
        <w:t>transition to a new sector with high employment rate.</w:t>
      </w:r>
      <w:r>
        <w:rPr>
          <w:noProof/>
        </w:rPr>
        <w:t xml:space="preserve"> </w:t>
      </w:r>
    </w:p>
    <w:p w:rsidR="00A746AB" w:rsidRDefault="008A70ED" w:rsidP="001A62D7">
      <w:pPr>
        <w:pStyle w:val="Tiret1"/>
        <w:rPr>
          <w:noProof/>
        </w:rPr>
      </w:pPr>
      <w:r>
        <w:rPr>
          <w:noProof/>
          <w:u w:val="single"/>
        </w:rPr>
        <w:t>Occupational safety and competence cards</w:t>
      </w:r>
      <w:r w:rsidR="00A746AB" w:rsidRPr="007E0D46">
        <w:rPr>
          <w:noProof/>
          <w:u w:val="single"/>
        </w:rPr>
        <w:t>:</w:t>
      </w:r>
      <w:r w:rsidR="00A746AB" w:rsidRPr="004C5DC2">
        <w:rPr>
          <w:noProof/>
        </w:rPr>
        <w:t xml:space="preserve"> </w:t>
      </w:r>
      <w:r w:rsidR="003D5C86" w:rsidRPr="003D5C86">
        <w:rPr>
          <w:noProof/>
        </w:rPr>
        <w:t>Occupational safety and competence cards are nationally recogni</w:t>
      </w:r>
      <w:r w:rsidR="003D5C86">
        <w:rPr>
          <w:noProof/>
        </w:rPr>
        <w:t>s</w:t>
      </w:r>
      <w:r w:rsidR="003D5C86" w:rsidRPr="003D5C86">
        <w:rPr>
          <w:noProof/>
        </w:rPr>
        <w:t>ed certificates of proficiency in various safety-related skills.</w:t>
      </w:r>
      <w:r w:rsidR="003D5C86">
        <w:rPr>
          <w:noProof/>
        </w:rPr>
        <w:t xml:space="preserve"> </w:t>
      </w:r>
      <w:r w:rsidR="003D5C86" w:rsidRPr="003D5C86">
        <w:rPr>
          <w:noProof/>
        </w:rPr>
        <w:t>These cards can be obtained by completing a learning course and a standardi</w:t>
      </w:r>
      <w:r w:rsidR="003D5C86">
        <w:rPr>
          <w:noProof/>
        </w:rPr>
        <w:t>s</w:t>
      </w:r>
      <w:r w:rsidR="003D5C86" w:rsidRPr="003D5C86">
        <w:rPr>
          <w:noProof/>
        </w:rPr>
        <w:t>ed test.</w:t>
      </w:r>
      <w:r w:rsidR="003D5C86">
        <w:rPr>
          <w:noProof/>
        </w:rPr>
        <w:t xml:space="preserve"> </w:t>
      </w:r>
    </w:p>
    <w:p w:rsidR="00DA7337" w:rsidRDefault="008A70ED" w:rsidP="008A792E">
      <w:pPr>
        <w:pStyle w:val="Tiret1"/>
        <w:rPr>
          <w:noProof/>
        </w:rPr>
      </w:pPr>
      <w:r>
        <w:rPr>
          <w:noProof/>
          <w:u w:val="single"/>
        </w:rPr>
        <w:t>Language training</w:t>
      </w:r>
      <w:r w:rsidR="00CC41A9" w:rsidRPr="00BF0DB9">
        <w:rPr>
          <w:noProof/>
          <w:u w:val="single"/>
        </w:rPr>
        <w:t>:</w:t>
      </w:r>
      <w:r w:rsidR="00CC41A9" w:rsidRPr="004C5DC2">
        <w:rPr>
          <w:noProof/>
        </w:rPr>
        <w:t xml:space="preserve"> </w:t>
      </w:r>
      <w:r w:rsidR="003D5C86" w:rsidRPr="003D5C86">
        <w:rPr>
          <w:rFonts w:ascii="TimesNewRoman" w:eastAsia="TimesNewRoman" w:hAnsi="TimesNewRoman" w:cs="TimesNewRoman"/>
          <w:noProof/>
          <w:color w:val="000000"/>
        </w:rPr>
        <w:t>Labo</w:t>
      </w:r>
      <w:r w:rsidR="003D5C86">
        <w:rPr>
          <w:rFonts w:ascii="TimesNewRoman" w:eastAsia="TimesNewRoman" w:hAnsi="TimesNewRoman" w:cs="TimesNewRoman"/>
          <w:noProof/>
          <w:color w:val="000000"/>
        </w:rPr>
        <w:t>u</w:t>
      </w:r>
      <w:r w:rsidR="003D5C86" w:rsidRPr="003D5C86">
        <w:rPr>
          <w:rFonts w:ascii="TimesNewRoman" w:eastAsia="TimesNewRoman" w:hAnsi="TimesNewRoman" w:cs="TimesNewRoman"/>
          <w:noProof/>
          <w:color w:val="000000"/>
        </w:rPr>
        <w:t>r-market oriented Finnish language training will be provided to those beneficiaries whose proficiency in Finnish is insufficient for rapid re-employment.</w:t>
      </w:r>
      <w:r w:rsidR="003D5C86">
        <w:rPr>
          <w:rFonts w:ascii="TimesNewRoman" w:eastAsia="TimesNewRoman" w:hAnsi="TimesNewRoman" w:cs="TimesNewRoman"/>
          <w:noProof/>
          <w:color w:val="000000"/>
        </w:rPr>
        <w:t xml:space="preserve"> </w:t>
      </w:r>
    </w:p>
    <w:p w:rsidR="000E18E5" w:rsidRDefault="008A70ED" w:rsidP="001A62D7">
      <w:pPr>
        <w:pStyle w:val="Tiret1"/>
        <w:rPr>
          <w:noProof/>
        </w:rPr>
      </w:pPr>
      <w:r w:rsidRPr="004C5DC2">
        <w:rPr>
          <w:noProof/>
          <w:u w:val="single"/>
        </w:rPr>
        <w:t>Start-up grant</w:t>
      </w:r>
      <w:r>
        <w:rPr>
          <w:noProof/>
        </w:rPr>
        <w:t>:</w:t>
      </w:r>
      <w:r w:rsidR="008327B7">
        <w:rPr>
          <w:noProof/>
        </w:rPr>
        <w:t xml:space="preserve"> </w:t>
      </w:r>
      <w:r w:rsidR="008327B7" w:rsidRPr="008327B7">
        <w:rPr>
          <w:noProof/>
        </w:rPr>
        <w:t>A start-up grant ensures an income for an aspiring entrepreneur during the estimated time required to launch and establish a full-time business, up to a maximum of 12 months.</w:t>
      </w:r>
    </w:p>
    <w:p w:rsidR="008A70ED" w:rsidRPr="008A70ED" w:rsidRDefault="000E18E5" w:rsidP="001A62D7">
      <w:pPr>
        <w:pStyle w:val="Tiret1"/>
        <w:rPr>
          <w:noProof/>
        </w:rPr>
      </w:pPr>
      <w:r w:rsidRPr="002C07B0">
        <w:rPr>
          <w:noProof/>
          <w:u w:val="single"/>
        </w:rPr>
        <w:t>Incentives and allowances</w:t>
      </w:r>
      <w:r w:rsidRPr="002C07B0">
        <w:rPr>
          <w:noProof/>
        </w:rPr>
        <w:t xml:space="preserve">: </w:t>
      </w:r>
      <w:r w:rsidR="00300D14">
        <w:rPr>
          <w:noProof/>
        </w:rPr>
        <w:t>P</w:t>
      </w:r>
      <w:r>
        <w:rPr>
          <w:rFonts w:ascii="TimesNewRoman" w:eastAsia="TimesNewRoman" w:hAnsi="TimesNewRoman" w:cs="TimesNewRoman"/>
          <w:noProof/>
          <w:color w:val="000000"/>
        </w:rPr>
        <w:t xml:space="preserve">ay </w:t>
      </w:r>
      <w:r w:rsidRPr="000125BE">
        <w:rPr>
          <w:rFonts w:ascii="TimesNewRoman" w:eastAsia="TimesNewRoman" w:hAnsi="TimesNewRoman" w:cs="TimesNewRoman"/>
          <w:noProof/>
          <w:color w:val="000000"/>
        </w:rPr>
        <w:t>subsidies</w:t>
      </w:r>
      <w:r>
        <w:rPr>
          <w:rFonts w:ascii="TimesNewRoman" w:eastAsia="TimesNewRoman" w:hAnsi="TimesNewRoman" w:cs="TimesNewRoman"/>
          <w:noProof/>
          <w:color w:val="000000"/>
        </w:rPr>
        <w:t xml:space="preserve"> </w:t>
      </w:r>
      <w:r w:rsidRPr="000125BE">
        <w:rPr>
          <w:rFonts w:ascii="TimesNewRoman" w:eastAsia="TimesNewRoman" w:hAnsi="TimesNewRoman" w:cs="TimesNewRoman"/>
          <w:noProof/>
          <w:color w:val="000000"/>
        </w:rPr>
        <w:t>lower the recruitment threshold by reducing the new employer’s payroll costs. The aim is to help the jobseekers improve their professional competence in the open labour market.</w:t>
      </w:r>
      <w:r>
        <w:rPr>
          <w:rFonts w:ascii="TimesNewRoman" w:eastAsia="TimesNewRoman" w:hAnsi="TimesNewRoman" w:cs="TimesNewRoman"/>
          <w:noProof/>
          <w:color w:val="000000"/>
        </w:rPr>
        <w:t xml:space="preserve"> </w:t>
      </w:r>
      <w:r w:rsidRPr="000125BE">
        <w:rPr>
          <w:rFonts w:ascii="TimesNewRoman" w:eastAsia="TimesNewRoman" w:hAnsi="TimesNewRoman" w:cs="TimesNewRoman"/>
          <w:noProof/>
          <w:color w:val="000000"/>
        </w:rPr>
        <w:t>The amount of pay subsidy is generally 50</w:t>
      </w:r>
      <w:r w:rsidR="00054BC8">
        <w:rPr>
          <w:rFonts w:ascii="TimesNewRoman" w:eastAsia="TimesNewRoman" w:hAnsi="TimesNewRoman" w:cs="TimesNewRoman"/>
          <w:noProof/>
          <w:color w:val="000000"/>
        </w:rPr>
        <w:t> </w:t>
      </w:r>
      <w:r w:rsidRPr="000125BE">
        <w:rPr>
          <w:rFonts w:ascii="TimesNewRoman" w:eastAsia="TimesNewRoman" w:hAnsi="TimesNewRoman" w:cs="TimesNewRoman"/>
          <w:noProof/>
          <w:color w:val="000000"/>
        </w:rPr>
        <w:t>% of the payroll costs; the</w:t>
      </w:r>
      <w:r>
        <w:rPr>
          <w:rFonts w:ascii="TimesNewRoman" w:eastAsia="TimesNewRoman" w:hAnsi="TimesNewRoman" w:cs="TimesNewRoman"/>
          <w:noProof/>
          <w:color w:val="000000"/>
        </w:rPr>
        <w:t xml:space="preserve"> </w:t>
      </w:r>
      <w:r w:rsidRPr="000125BE">
        <w:rPr>
          <w:rFonts w:ascii="TimesNewRoman" w:eastAsia="TimesNewRoman" w:hAnsi="TimesNewRoman" w:cs="TimesNewRoman"/>
          <w:noProof/>
          <w:color w:val="000000"/>
        </w:rPr>
        <w:t>length of the subsidi</w:t>
      </w:r>
      <w:r>
        <w:rPr>
          <w:rFonts w:ascii="TimesNewRoman" w:eastAsia="TimesNewRoman" w:hAnsi="TimesNewRoman" w:cs="TimesNewRoman"/>
          <w:noProof/>
          <w:color w:val="000000"/>
        </w:rPr>
        <w:t>s</w:t>
      </w:r>
      <w:r w:rsidRPr="000125BE">
        <w:rPr>
          <w:rFonts w:ascii="TimesNewRoman" w:eastAsia="TimesNewRoman" w:hAnsi="TimesNewRoman" w:cs="TimesNewRoman"/>
          <w:noProof/>
          <w:color w:val="000000"/>
        </w:rPr>
        <w:t xml:space="preserve">ed period depends on the </w:t>
      </w:r>
      <w:r>
        <w:rPr>
          <w:rFonts w:ascii="TimesNewRoman" w:eastAsia="TimesNewRoman" w:hAnsi="TimesNewRoman" w:cs="TimesNewRoman"/>
          <w:noProof/>
          <w:color w:val="000000"/>
        </w:rPr>
        <w:t>duration</w:t>
      </w:r>
      <w:r w:rsidRPr="000125BE">
        <w:rPr>
          <w:rFonts w:ascii="TimesNewRoman" w:eastAsia="TimesNewRoman" w:hAnsi="TimesNewRoman" w:cs="TimesNewRoman"/>
          <w:noProof/>
          <w:color w:val="000000"/>
        </w:rPr>
        <w:t xml:space="preserve"> of the preceding unemployment period.</w:t>
      </w:r>
    </w:p>
    <w:p w:rsidR="001A62D7" w:rsidRPr="00125A6E" w:rsidRDefault="00477AB6" w:rsidP="001A62D7">
      <w:pPr>
        <w:pStyle w:val="ManualNumPar1"/>
        <w:rPr>
          <w:noProof/>
        </w:rPr>
      </w:pPr>
      <w:r>
        <w:rPr>
          <w:noProof/>
        </w:rPr>
        <w:t>28.</w:t>
      </w:r>
      <w:r>
        <w:rPr>
          <w:noProof/>
        </w:rPr>
        <w:tab/>
        <w:t xml:space="preserve">A range of </w:t>
      </w:r>
      <w:r w:rsidR="008F04F1" w:rsidRPr="00477AB6">
        <w:rPr>
          <w:noProof/>
        </w:rPr>
        <w:t>ICT training and additional support</w:t>
      </w:r>
      <w:r w:rsidRPr="00477AB6">
        <w:rPr>
          <w:noProof/>
        </w:rPr>
        <w:t>, based on an initial assessment of the digital skills level of the beneficiaries,</w:t>
      </w:r>
      <w:r w:rsidR="008F04F1" w:rsidRPr="00477AB6">
        <w:rPr>
          <w:noProof/>
        </w:rPr>
        <w:t xml:space="preserve"> </w:t>
      </w:r>
      <w:r w:rsidR="001A62D7" w:rsidRPr="00477AB6">
        <w:rPr>
          <w:noProof/>
        </w:rPr>
        <w:t>caters for the dissemination of the skills required in the digital industrial age and in a resource-efficient economy, as required by Article 7(2) of Regulation (EU) 2021/691.</w:t>
      </w:r>
      <w:r w:rsidR="001A62D7" w:rsidRPr="00125A6E">
        <w:rPr>
          <w:noProof/>
        </w:rPr>
        <w:t xml:space="preserve"> </w:t>
      </w:r>
    </w:p>
    <w:p w:rsidR="001A62D7" w:rsidRPr="00C96520" w:rsidRDefault="001A62D7" w:rsidP="009C50F6">
      <w:pPr>
        <w:pStyle w:val="ManualNumPar1"/>
        <w:rPr>
          <w:noProof/>
        </w:rPr>
      </w:pPr>
      <w:r>
        <w:rPr>
          <w:noProof/>
        </w:rPr>
        <w:t>29.</w:t>
      </w:r>
      <w:r>
        <w:rPr>
          <w:noProof/>
        </w:rPr>
        <w:tab/>
      </w:r>
      <w:bookmarkStart w:id="7" w:name="_Ref372214242"/>
      <w:r w:rsidRPr="00C96520">
        <w:rPr>
          <w:noProof/>
        </w:rPr>
        <w:t>The proposed</w:t>
      </w:r>
      <w:r>
        <w:rPr>
          <w:noProof/>
        </w:rPr>
        <w:t xml:space="preserve"> actions</w:t>
      </w:r>
      <w:r w:rsidRPr="00C96520">
        <w:rPr>
          <w:noProof/>
        </w:rPr>
        <w:t xml:space="preserve">, here described, </w:t>
      </w:r>
      <w:r>
        <w:rPr>
          <w:noProof/>
        </w:rPr>
        <w:t>constitute</w:t>
      </w:r>
      <w:r w:rsidRPr="00C96520">
        <w:rPr>
          <w:noProof/>
        </w:rPr>
        <w:t xml:space="preserve"> active labour market </w:t>
      </w:r>
      <w:r>
        <w:rPr>
          <w:noProof/>
        </w:rPr>
        <w:t xml:space="preserve">policy </w:t>
      </w:r>
      <w:r w:rsidRPr="00C96520">
        <w:rPr>
          <w:noProof/>
        </w:rPr>
        <w:t xml:space="preserve">measures within the eligible </w:t>
      </w:r>
      <w:r>
        <w:rPr>
          <w:noProof/>
        </w:rPr>
        <w:t>actions</w:t>
      </w:r>
      <w:r w:rsidRPr="00C96520">
        <w:rPr>
          <w:noProof/>
        </w:rPr>
        <w:t xml:space="preserve"> set out in Article 7 of </w:t>
      </w:r>
      <w:r>
        <w:rPr>
          <w:noProof/>
        </w:rPr>
        <w:t>Regulation (EU) 2021/691</w:t>
      </w:r>
      <w:r w:rsidRPr="00C96520">
        <w:rPr>
          <w:noProof/>
        </w:rPr>
        <w:t xml:space="preserve">. </w:t>
      </w:r>
      <w:r>
        <w:rPr>
          <w:noProof/>
        </w:rPr>
        <w:t>These actions</w:t>
      </w:r>
      <w:r w:rsidRPr="00C96520">
        <w:rPr>
          <w:noProof/>
        </w:rPr>
        <w:t xml:space="preserve"> do not substitute passive social protection measures. </w:t>
      </w:r>
    </w:p>
    <w:p w:rsidR="001A62D7" w:rsidRDefault="0087281C" w:rsidP="009C50F6">
      <w:pPr>
        <w:pStyle w:val="ManualNumPar1"/>
        <w:rPr>
          <w:noProof/>
        </w:rPr>
      </w:pPr>
      <w:r>
        <w:rPr>
          <w:noProof/>
        </w:rPr>
        <w:t>30.</w:t>
      </w:r>
      <w:r>
        <w:rPr>
          <w:noProof/>
        </w:rPr>
        <w:tab/>
        <w:t>Finland</w:t>
      </w:r>
      <w:r w:rsidR="001A62D7">
        <w:rPr>
          <w:noProof/>
        </w:rPr>
        <w:t xml:space="preserve"> has provided the required information on measures that are mandatory for the enterprise concerned by virtue of national law or pursuant to collective agreements. In accordance with Article 9(1) of Regulation (EU) 2021/691, </w:t>
      </w:r>
      <w:r>
        <w:rPr>
          <w:noProof/>
        </w:rPr>
        <w:t>Finland</w:t>
      </w:r>
      <w:r w:rsidR="001A62D7">
        <w:rPr>
          <w:noProof/>
        </w:rPr>
        <w:t xml:space="preserve"> </w:t>
      </w:r>
      <w:r w:rsidR="001A62D7">
        <w:rPr>
          <w:noProof/>
        </w:rPr>
        <w:lastRenderedPageBreak/>
        <w:t>has confirmed that a financial contribution from the EGF will not replace such measures.</w:t>
      </w:r>
      <w:bookmarkEnd w:id="7"/>
    </w:p>
    <w:p w:rsidR="001A62D7" w:rsidRPr="002730E5" w:rsidRDefault="001A62D7" w:rsidP="001A62D7">
      <w:pPr>
        <w:pStyle w:val="ManualHeading3"/>
        <w:rPr>
          <w:noProof/>
        </w:rPr>
      </w:pPr>
      <w:r w:rsidRPr="002730E5">
        <w:rPr>
          <w:noProof/>
        </w:rPr>
        <w:t>Estimated budget</w:t>
      </w:r>
    </w:p>
    <w:p w:rsidR="001A62D7" w:rsidRDefault="001A62D7" w:rsidP="00C8368A">
      <w:pPr>
        <w:pStyle w:val="Text1"/>
        <w:rPr>
          <w:noProof/>
        </w:rPr>
      </w:pPr>
      <w:r>
        <w:rPr>
          <w:noProof/>
        </w:rPr>
        <w:t>The estimated total costs are EUR</w:t>
      </w:r>
      <w:r w:rsidR="00B16D40">
        <w:rPr>
          <w:noProof/>
        </w:rPr>
        <w:t> </w:t>
      </w:r>
      <w:r w:rsidR="00B24C2C" w:rsidRPr="002322CE">
        <w:rPr>
          <w:rFonts w:ascii="TimesNewRoman" w:hAnsi="TimesNewRoman"/>
          <w:noProof/>
          <w:color w:val="000000"/>
        </w:rPr>
        <w:t>683</w:t>
      </w:r>
      <w:r w:rsidR="00B24C2C" w:rsidRPr="002322CE">
        <w:rPr>
          <w:rFonts w:ascii="TimesNewRoman" w:hAnsi="TimesNewRoman" w:hint="eastAsia"/>
          <w:noProof/>
          <w:color w:val="000000"/>
        </w:rPr>
        <w:t> </w:t>
      </w:r>
      <w:r w:rsidR="00B24C2C" w:rsidRPr="002322CE">
        <w:rPr>
          <w:rFonts w:ascii="TimesNewRoman" w:hAnsi="TimesNewRoman"/>
          <w:noProof/>
          <w:color w:val="000000"/>
        </w:rPr>
        <w:t>850</w:t>
      </w:r>
      <w:r>
        <w:rPr>
          <w:noProof/>
        </w:rPr>
        <w:t>, comprising expenditure for personalised services of EUR</w:t>
      </w:r>
      <w:r w:rsidR="00B16D40">
        <w:rPr>
          <w:noProof/>
        </w:rPr>
        <w:t> </w:t>
      </w:r>
      <w:r w:rsidR="00B24C2C" w:rsidRPr="002322CE">
        <w:rPr>
          <w:rFonts w:ascii="TimesNewRoman" w:hAnsi="TimesNewRoman"/>
          <w:noProof/>
          <w:color w:val="000000"/>
        </w:rPr>
        <w:t>6</w:t>
      </w:r>
      <w:r w:rsidR="00B24C2C">
        <w:rPr>
          <w:rFonts w:ascii="TimesNewRoman" w:hAnsi="TimesNewRoman"/>
          <w:noProof/>
          <w:color w:val="000000"/>
        </w:rPr>
        <w:t>6</w:t>
      </w:r>
      <w:r w:rsidR="00B24C2C" w:rsidRPr="002322CE">
        <w:rPr>
          <w:rFonts w:ascii="TimesNewRoman" w:hAnsi="TimesNewRoman"/>
          <w:noProof/>
          <w:color w:val="000000"/>
        </w:rPr>
        <w:t>3</w:t>
      </w:r>
      <w:r w:rsidR="00B24C2C" w:rsidRPr="002322CE">
        <w:rPr>
          <w:rFonts w:ascii="TimesNewRoman" w:hAnsi="TimesNewRoman" w:hint="eastAsia"/>
          <w:noProof/>
          <w:color w:val="000000"/>
        </w:rPr>
        <w:t> </w:t>
      </w:r>
      <w:r w:rsidR="00B24C2C" w:rsidRPr="002322CE">
        <w:rPr>
          <w:rFonts w:ascii="TimesNewRoman" w:hAnsi="TimesNewRoman"/>
          <w:noProof/>
          <w:color w:val="000000"/>
        </w:rPr>
        <w:t>850</w:t>
      </w:r>
      <w:r w:rsidR="00B24C2C">
        <w:rPr>
          <w:rFonts w:ascii="TimesNewRoman" w:hAnsi="TimesNewRoman"/>
          <w:noProof/>
          <w:color w:val="000000"/>
        </w:rPr>
        <w:t xml:space="preserve"> </w:t>
      </w:r>
      <w:r>
        <w:rPr>
          <w:noProof/>
        </w:rPr>
        <w:t>and expenditure for preparatory, management, information and publicity, control and reporting activities of EUR</w:t>
      </w:r>
      <w:r w:rsidR="00B16D40">
        <w:rPr>
          <w:noProof/>
        </w:rPr>
        <w:t> </w:t>
      </w:r>
      <w:r w:rsidR="00B24C2C">
        <w:rPr>
          <w:noProof/>
        </w:rPr>
        <w:t>20</w:t>
      </w:r>
      <w:r w:rsidR="004D6C9E">
        <w:rPr>
          <w:noProof/>
        </w:rPr>
        <w:t> </w:t>
      </w:r>
      <w:r w:rsidR="002C7E98">
        <w:rPr>
          <w:noProof/>
        </w:rPr>
        <w:t>000</w:t>
      </w:r>
      <w:r>
        <w:rPr>
          <w:noProof/>
        </w:rPr>
        <w:t>.</w:t>
      </w:r>
    </w:p>
    <w:p w:rsidR="001A62D7" w:rsidRDefault="001A62D7" w:rsidP="009C50F6">
      <w:pPr>
        <w:pStyle w:val="ManualNumPar1"/>
        <w:rPr>
          <w:noProof/>
        </w:rPr>
      </w:pPr>
      <w:r>
        <w:rPr>
          <w:noProof/>
        </w:rPr>
        <w:t>31.</w:t>
      </w:r>
      <w:r>
        <w:rPr>
          <w:noProof/>
        </w:rPr>
        <w:tab/>
      </w:r>
      <w:bookmarkStart w:id="8" w:name="_Ref372550770"/>
      <w:r>
        <w:rPr>
          <w:noProof/>
        </w:rPr>
        <w:t>The total financial contribution requested from the EGF is EUR</w:t>
      </w:r>
      <w:r w:rsidR="00B16D40">
        <w:rPr>
          <w:noProof/>
        </w:rPr>
        <w:t> </w:t>
      </w:r>
      <w:r w:rsidR="00B24C2C" w:rsidRPr="002322CE">
        <w:rPr>
          <w:rFonts w:ascii="TimesNewRoman" w:hAnsi="TimesNewRoman"/>
          <w:noProof/>
          <w:color w:val="000000"/>
        </w:rPr>
        <w:t>410</w:t>
      </w:r>
      <w:r w:rsidR="00B24C2C" w:rsidRPr="002322CE">
        <w:rPr>
          <w:rFonts w:ascii="TimesNewRoman" w:hAnsi="TimesNewRoman" w:hint="eastAsia"/>
          <w:noProof/>
          <w:color w:val="000000"/>
        </w:rPr>
        <w:t> </w:t>
      </w:r>
      <w:r w:rsidR="00B24C2C" w:rsidRPr="002322CE">
        <w:rPr>
          <w:rFonts w:ascii="TimesNewRoman" w:hAnsi="TimesNewRoman"/>
          <w:noProof/>
          <w:color w:val="000000"/>
        </w:rPr>
        <w:t>310</w:t>
      </w:r>
      <w:r w:rsidR="00B24C2C">
        <w:rPr>
          <w:noProof/>
        </w:rPr>
        <w:t xml:space="preserve"> </w:t>
      </w:r>
      <w:r>
        <w:rPr>
          <w:noProof/>
        </w:rPr>
        <w:t>(</w:t>
      </w:r>
      <w:r w:rsidR="00B24C2C">
        <w:rPr>
          <w:noProof/>
        </w:rPr>
        <w:t>60</w:t>
      </w:r>
      <w:r w:rsidR="00054BC8">
        <w:rPr>
          <w:noProof/>
        </w:rPr>
        <w:t> </w:t>
      </w:r>
      <w:r>
        <w:rPr>
          <w:noProof/>
        </w:rPr>
        <w:t>% of total costs).</w:t>
      </w:r>
      <w:bookmarkEnd w:id="8"/>
    </w:p>
    <w:p w:rsidR="00D25904" w:rsidRPr="0009566F" w:rsidRDefault="00D25904" w:rsidP="009C50F6">
      <w:pPr>
        <w:pStyle w:val="ManualNumPar1"/>
        <w:spacing w:after="600"/>
        <w:ind w:left="851" w:hanging="851"/>
        <w:rPr>
          <w:noProof/>
        </w:rPr>
      </w:pPr>
      <w:r>
        <w:rPr>
          <w:noProof/>
        </w:rPr>
        <w:t>32.</w:t>
      </w:r>
      <w:r>
        <w:rPr>
          <w:noProof/>
        </w:rPr>
        <w:tab/>
      </w:r>
      <w:r w:rsidRPr="0009566F">
        <w:rPr>
          <w:noProof/>
        </w:rPr>
        <w:t xml:space="preserve">Pursuant to Article 8(7), point (m), of Regulation (EU) 2021/691, </w:t>
      </w:r>
      <w:r w:rsidR="00B24C2C">
        <w:rPr>
          <w:noProof/>
        </w:rPr>
        <w:t>Finland</w:t>
      </w:r>
      <w:r w:rsidRPr="0009566F">
        <w:rPr>
          <w:noProof/>
        </w:rPr>
        <w:t xml:space="preserve"> has specified that the national pre-financing and co-funding i</w:t>
      </w:r>
      <w:r w:rsidRPr="007D6186">
        <w:rPr>
          <w:noProof/>
        </w:rPr>
        <w:t xml:space="preserve">s provided by </w:t>
      </w:r>
      <w:r w:rsidR="00B53FAA" w:rsidRPr="007D6186">
        <w:rPr>
          <w:noProof/>
        </w:rPr>
        <w:t>Turku Employment Region</w:t>
      </w:r>
      <w:r w:rsidRPr="007D6186">
        <w:rPr>
          <w:noProof/>
        </w:rPr>
        <w:t>.</w:t>
      </w: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rsidR="001A62D7" w:rsidRPr="006E2470" w:rsidTr="001D5990">
        <w:tc>
          <w:tcPr>
            <w:tcW w:w="4644" w:type="dxa"/>
            <w:shd w:val="clear" w:color="auto" w:fill="auto"/>
            <w:vAlign w:val="center"/>
          </w:tcPr>
          <w:p w:rsidR="001A62D7" w:rsidRPr="006E2470" w:rsidRDefault="001A62D7" w:rsidP="001D5990">
            <w:pPr>
              <w:spacing w:before="60" w:after="60"/>
              <w:jc w:val="center"/>
              <w:rPr>
                <w:rFonts w:eastAsia="Times New Roman"/>
                <w:noProof/>
                <w:sz w:val="22"/>
              </w:rPr>
            </w:pPr>
            <w:bookmarkStart w:id="9" w:name="_Hlk231812320"/>
            <w:r>
              <w:rPr>
                <w:rFonts w:eastAsia="Times New Roman"/>
                <w:noProof/>
                <w:sz w:val="22"/>
              </w:rPr>
              <w:t>Measures</w:t>
            </w:r>
          </w:p>
        </w:tc>
        <w:tc>
          <w:tcPr>
            <w:tcW w:w="1548" w:type="dxa"/>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Estimated number of participants</w:t>
            </w:r>
          </w:p>
        </w:tc>
        <w:tc>
          <w:tcPr>
            <w:tcW w:w="1548" w:type="dxa"/>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Estimated cost per participant</w:t>
            </w:r>
            <w:r w:rsidRPr="006E2470">
              <w:rPr>
                <w:rFonts w:eastAsia="Times New Roman"/>
                <w:noProof/>
                <w:sz w:val="22"/>
              </w:rPr>
              <w:br/>
            </w:r>
            <w:r w:rsidRPr="006E2470">
              <w:rPr>
                <w:rFonts w:eastAsia="Times New Roman"/>
                <w:i/>
                <w:noProof/>
                <w:sz w:val="22"/>
              </w:rPr>
              <w:t>(EUR)</w:t>
            </w:r>
            <w:r>
              <w:rPr>
                <w:rStyle w:val="FootnoteReference"/>
                <w:rFonts w:eastAsia="Times New Roman"/>
                <w:i/>
                <w:noProof/>
                <w:sz w:val="22"/>
              </w:rPr>
              <w:footnoteReference w:id="16"/>
            </w:r>
          </w:p>
        </w:tc>
        <w:tc>
          <w:tcPr>
            <w:tcW w:w="1548" w:type="dxa"/>
            <w:shd w:val="clear" w:color="auto" w:fill="auto"/>
            <w:vAlign w:val="center"/>
          </w:tcPr>
          <w:p w:rsidR="001A62D7" w:rsidRPr="006E2470" w:rsidRDefault="001A62D7" w:rsidP="001D5990">
            <w:pPr>
              <w:spacing w:before="60" w:after="60"/>
              <w:jc w:val="center"/>
              <w:rPr>
                <w:rFonts w:eastAsia="Times New Roman"/>
                <w:noProof/>
                <w:sz w:val="22"/>
              </w:rPr>
            </w:pPr>
            <w:r w:rsidRPr="006E2470">
              <w:rPr>
                <w:rFonts w:eastAsia="Times New Roman"/>
                <w:noProof/>
                <w:sz w:val="22"/>
              </w:rPr>
              <w:t>Estimated total costs</w:t>
            </w:r>
          </w:p>
          <w:p w:rsidR="001A62D7" w:rsidRPr="006E2470" w:rsidRDefault="001A62D7" w:rsidP="001D5990">
            <w:pPr>
              <w:spacing w:before="60" w:after="60"/>
              <w:jc w:val="center"/>
              <w:rPr>
                <w:rFonts w:eastAsia="Times New Roman"/>
                <w:noProof/>
                <w:sz w:val="22"/>
              </w:rPr>
            </w:pPr>
            <w:r w:rsidRPr="006E2470">
              <w:rPr>
                <w:rFonts w:eastAsia="Times New Roman"/>
                <w:i/>
                <w:noProof/>
                <w:sz w:val="22"/>
              </w:rPr>
              <w:t>(EUR)</w:t>
            </w:r>
            <w:r>
              <w:rPr>
                <w:rStyle w:val="FootnoteReference"/>
                <w:rFonts w:eastAsia="Times New Roman"/>
                <w:i/>
                <w:noProof/>
                <w:sz w:val="22"/>
              </w:rPr>
              <w:footnoteReference w:id="17"/>
            </w:r>
            <w:r w:rsidRPr="006E2470">
              <w:rPr>
                <w:rFonts w:eastAsia="Times New Roman"/>
                <w:i/>
                <w:noProof/>
                <w:sz w:val="22"/>
              </w:rPr>
              <w:t xml:space="preserve"> </w:t>
            </w:r>
          </w:p>
        </w:tc>
      </w:tr>
      <w:tr w:rsidR="001A62D7" w:rsidRPr="006E2470" w:rsidTr="001D5990">
        <w:tc>
          <w:tcPr>
            <w:tcW w:w="9288" w:type="dxa"/>
            <w:gridSpan w:val="4"/>
            <w:shd w:val="clear" w:color="auto" w:fill="auto"/>
          </w:tcPr>
          <w:p w:rsidR="001A62D7" w:rsidRPr="006E2470" w:rsidRDefault="001A62D7" w:rsidP="001D5990">
            <w:pPr>
              <w:spacing w:before="60" w:after="60"/>
              <w:jc w:val="left"/>
              <w:rPr>
                <w:rFonts w:eastAsia="Times New Roman"/>
                <w:noProof/>
                <w:sz w:val="22"/>
              </w:rPr>
            </w:pPr>
            <w:r w:rsidRPr="006E2470">
              <w:rPr>
                <w:rFonts w:eastAsia="Times New Roman"/>
                <w:noProof/>
                <w:sz w:val="22"/>
              </w:rPr>
              <w:t>Personalised services (</w:t>
            </w:r>
            <w:r>
              <w:rPr>
                <w:rFonts w:eastAsia="Times New Roman"/>
                <w:noProof/>
                <w:sz w:val="22"/>
              </w:rPr>
              <w:t>measures</w:t>
            </w:r>
            <w:r w:rsidRPr="006E2470">
              <w:rPr>
                <w:rFonts w:eastAsia="Times New Roman"/>
                <w:noProof/>
                <w:sz w:val="22"/>
              </w:rPr>
              <w:t xml:space="preserve"> under Article</w:t>
            </w:r>
            <w:r>
              <w:rPr>
                <w:rFonts w:eastAsia="Times New Roman"/>
                <w:noProof/>
                <w:sz w:val="22"/>
              </w:rPr>
              <w:t> 7(2</w:t>
            </w:r>
            <w:r w:rsidRPr="006E2470">
              <w:rPr>
                <w:rFonts w:eastAsia="Times New Roman"/>
                <w:noProof/>
                <w:sz w:val="22"/>
              </w:rPr>
              <w:t>)</w:t>
            </w:r>
            <w:r>
              <w:rPr>
                <w:rFonts w:eastAsia="Times New Roman"/>
                <w:noProof/>
                <w:sz w:val="22"/>
              </w:rPr>
              <w:t xml:space="preserve">, </w:t>
            </w:r>
            <w:r>
              <w:rPr>
                <w:noProof/>
              </w:rPr>
              <w:t>second subparagraph</w:t>
            </w:r>
            <w:r>
              <w:rPr>
                <w:rFonts w:eastAsia="Times New Roman"/>
                <w:noProof/>
                <w:sz w:val="22"/>
              </w:rPr>
              <w:t xml:space="preserve">, point </w:t>
            </w:r>
            <w:r w:rsidRPr="006E2470">
              <w:rPr>
                <w:rFonts w:eastAsia="Times New Roman"/>
                <w:noProof/>
                <w:sz w:val="22"/>
              </w:rPr>
              <w:t>(a)</w:t>
            </w:r>
            <w:r>
              <w:rPr>
                <w:rFonts w:eastAsia="Times New Roman"/>
                <w:noProof/>
                <w:sz w:val="22"/>
              </w:rPr>
              <w:t>,</w:t>
            </w:r>
            <w:r w:rsidRPr="006E2470">
              <w:rPr>
                <w:rFonts w:eastAsia="Times New Roman"/>
                <w:noProof/>
                <w:sz w:val="22"/>
              </w:rPr>
              <w:t xml:space="preserve"> of </w:t>
            </w:r>
            <w:r>
              <w:rPr>
                <w:rFonts w:eastAsia="Times New Roman"/>
                <w:noProof/>
                <w:sz w:val="22"/>
              </w:rPr>
              <w:t>Regulation (EU) 2021/691</w:t>
            </w:r>
            <w:r w:rsidRPr="006E2470">
              <w:rPr>
                <w:rFonts w:eastAsia="Times New Roman"/>
                <w:noProof/>
                <w:sz w:val="22"/>
              </w:rPr>
              <w:t>)</w:t>
            </w:r>
          </w:p>
        </w:tc>
      </w:tr>
      <w:tr w:rsidR="001A62D7"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1A62D7" w:rsidRPr="001D5BFF" w:rsidRDefault="001B771C" w:rsidP="001D5990">
            <w:pPr>
              <w:spacing w:before="60" w:after="60"/>
              <w:jc w:val="left"/>
              <w:rPr>
                <w:noProof/>
                <w:lang w:val="en-IE"/>
              </w:rPr>
            </w:pPr>
            <w:r>
              <w:rPr>
                <w:noProof/>
                <w:color w:val="000000"/>
              </w:rPr>
              <w:t>Job-seeking</w:t>
            </w:r>
            <w:r w:rsidR="00916973">
              <w:rPr>
                <w:noProof/>
                <w:color w:val="000000"/>
              </w:rPr>
              <w:t xml:space="preserve"> </w:t>
            </w:r>
            <w:r w:rsidR="004C5DC2">
              <w:rPr>
                <w:noProof/>
                <w:color w:val="000000"/>
              </w:rPr>
              <w:t>training</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4C5DC2" w:rsidP="001D5990">
            <w:pPr>
              <w:spacing w:before="60" w:after="60"/>
              <w:jc w:val="center"/>
              <w:rPr>
                <w:noProof/>
              </w:rPr>
            </w:pPr>
            <w:r>
              <w:rPr>
                <w:noProof/>
              </w:rPr>
              <w:t>233</w:t>
            </w:r>
          </w:p>
        </w:tc>
        <w:tc>
          <w:tcPr>
            <w:tcW w:w="1548" w:type="dxa"/>
            <w:tcBorders>
              <w:top w:val="single" w:sz="4" w:space="0" w:color="auto"/>
              <w:left w:val="single" w:sz="4" w:space="0" w:color="auto"/>
              <w:bottom w:val="single" w:sz="4" w:space="0" w:color="auto"/>
              <w:right w:val="single" w:sz="4" w:space="0" w:color="auto"/>
            </w:tcBorders>
            <w:vAlign w:val="center"/>
            <w:hideMark/>
          </w:tcPr>
          <w:p w:rsidR="001A62D7" w:rsidRDefault="004C5DC2" w:rsidP="001D5990">
            <w:pPr>
              <w:spacing w:before="60" w:after="60"/>
              <w:jc w:val="center"/>
              <w:rPr>
                <w:noProof/>
              </w:rPr>
            </w:pPr>
            <w:r>
              <w:rPr>
                <w:noProof/>
              </w:rPr>
              <w:t>968</w:t>
            </w:r>
          </w:p>
        </w:tc>
        <w:tc>
          <w:tcPr>
            <w:tcW w:w="1548" w:type="dxa"/>
            <w:tcBorders>
              <w:top w:val="single" w:sz="4" w:space="0" w:color="auto"/>
              <w:left w:val="single" w:sz="4" w:space="0" w:color="auto"/>
              <w:bottom w:val="single" w:sz="4" w:space="0" w:color="auto"/>
              <w:right w:val="nil"/>
            </w:tcBorders>
            <w:vAlign w:val="center"/>
            <w:hideMark/>
          </w:tcPr>
          <w:p w:rsidR="001A62D7" w:rsidRDefault="004C5DC2" w:rsidP="001D5990">
            <w:pPr>
              <w:spacing w:before="60" w:after="60"/>
              <w:jc w:val="center"/>
              <w:rPr>
                <w:noProof/>
              </w:rPr>
            </w:pPr>
            <w:r>
              <w:rPr>
                <w:noProof/>
              </w:rPr>
              <w:t>22</w:t>
            </w:r>
            <w:r w:rsidR="00137920">
              <w:rPr>
                <w:noProof/>
              </w:rPr>
              <w:t>5</w:t>
            </w:r>
            <w:r w:rsidR="00B16D40">
              <w:rPr>
                <w:noProof/>
              </w:rPr>
              <w:t> </w:t>
            </w:r>
            <w:r w:rsidR="00137920">
              <w:rPr>
                <w:noProof/>
              </w:rPr>
              <w:t>6</w:t>
            </w:r>
            <w:r w:rsidR="00D25904">
              <w:rPr>
                <w:noProof/>
              </w:rPr>
              <w:t>00</w:t>
            </w:r>
          </w:p>
        </w:tc>
      </w:tr>
      <w:tr w:rsidR="00737FB8" w:rsidTr="001D5990">
        <w:trPr>
          <w:trHeight w:val="802"/>
        </w:trPr>
        <w:tc>
          <w:tcPr>
            <w:tcW w:w="4644" w:type="dxa"/>
            <w:tcBorders>
              <w:top w:val="single" w:sz="4" w:space="0" w:color="auto"/>
              <w:left w:val="nil"/>
              <w:bottom w:val="single" w:sz="4" w:space="0" w:color="auto"/>
              <w:right w:val="single" w:sz="4" w:space="0" w:color="auto"/>
            </w:tcBorders>
            <w:vAlign w:val="center"/>
          </w:tcPr>
          <w:p w:rsidR="00737FB8" w:rsidRPr="00FA097A" w:rsidRDefault="001B771C" w:rsidP="00737FB8">
            <w:pPr>
              <w:spacing w:before="60" w:after="60"/>
              <w:jc w:val="left"/>
              <w:rPr>
                <w:noProof/>
                <w:lang w:val="nl-BE"/>
              </w:rPr>
            </w:pPr>
            <w:r>
              <w:rPr>
                <w:noProof/>
                <w:color w:val="000000"/>
              </w:rPr>
              <w:t xml:space="preserve">Job and career coaching </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Default="00515D18" w:rsidP="00737FB8">
            <w:pPr>
              <w:spacing w:before="60" w:after="60"/>
              <w:jc w:val="center"/>
              <w:rPr>
                <w:noProof/>
              </w:rPr>
            </w:pPr>
            <w:r>
              <w:rPr>
                <w:noProof/>
              </w:rPr>
              <w:t>70</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Default="00515D18" w:rsidP="00737FB8">
            <w:pPr>
              <w:spacing w:before="60" w:after="60"/>
              <w:jc w:val="center"/>
              <w:rPr>
                <w:noProof/>
              </w:rPr>
            </w:pPr>
            <w:r>
              <w:rPr>
                <w:noProof/>
              </w:rPr>
              <w:t>675</w:t>
            </w:r>
          </w:p>
        </w:tc>
        <w:tc>
          <w:tcPr>
            <w:tcW w:w="1548" w:type="dxa"/>
            <w:tcBorders>
              <w:top w:val="single" w:sz="4" w:space="0" w:color="auto"/>
              <w:left w:val="single" w:sz="4" w:space="0" w:color="auto"/>
              <w:bottom w:val="single" w:sz="4" w:space="0" w:color="auto"/>
              <w:right w:val="nil"/>
            </w:tcBorders>
            <w:vAlign w:val="center"/>
          </w:tcPr>
          <w:p w:rsidR="00737FB8" w:rsidRDefault="00515D18" w:rsidP="00737FB8">
            <w:pPr>
              <w:spacing w:before="60" w:after="60"/>
              <w:jc w:val="center"/>
              <w:rPr>
                <w:noProof/>
              </w:rPr>
            </w:pPr>
            <w:r>
              <w:rPr>
                <w:noProof/>
              </w:rPr>
              <w:t>47</w:t>
            </w:r>
            <w:r w:rsidR="00737FB8">
              <w:rPr>
                <w:noProof/>
              </w:rPr>
              <w:t> </w:t>
            </w:r>
            <w:r>
              <w:rPr>
                <w:noProof/>
              </w:rPr>
              <w:t>25</w:t>
            </w:r>
            <w:r w:rsidR="00737FB8">
              <w:rPr>
                <w:noProof/>
              </w:rPr>
              <w:t>0</w:t>
            </w:r>
          </w:p>
        </w:tc>
      </w:tr>
      <w:tr w:rsidR="00737FB8"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737FB8" w:rsidRDefault="001B771C" w:rsidP="00737FB8">
            <w:pPr>
              <w:spacing w:before="60" w:after="60"/>
              <w:jc w:val="left"/>
              <w:rPr>
                <w:noProof/>
              </w:rPr>
            </w:pPr>
            <w:r>
              <w:rPr>
                <w:noProof/>
                <w:color w:val="000000"/>
              </w:rPr>
              <w:t xml:space="preserve">Vocational training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Default="00737FB8" w:rsidP="00737FB8">
            <w:pPr>
              <w:spacing w:before="60" w:after="60"/>
              <w:jc w:val="center"/>
              <w:rPr>
                <w:noProof/>
              </w:rPr>
            </w:pPr>
            <w:r>
              <w:rPr>
                <w:noProof/>
              </w:rPr>
              <w:t>16</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Default="00515D18" w:rsidP="00737FB8">
            <w:pPr>
              <w:spacing w:before="60" w:after="60"/>
              <w:jc w:val="center"/>
              <w:rPr>
                <w:noProof/>
              </w:rPr>
            </w:pPr>
            <w:r>
              <w:rPr>
                <w:noProof/>
              </w:rPr>
              <w:t>5</w:t>
            </w:r>
            <w:r w:rsidR="00737FB8">
              <w:rPr>
                <w:noProof/>
              </w:rPr>
              <w:t> </w:t>
            </w:r>
            <w:r>
              <w:rPr>
                <w:noProof/>
              </w:rPr>
              <w:t>000</w:t>
            </w:r>
          </w:p>
        </w:tc>
        <w:tc>
          <w:tcPr>
            <w:tcW w:w="1548" w:type="dxa"/>
            <w:tcBorders>
              <w:top w:val="single" w:sz="4" w:space="0" w:color="auto"/>
              <w:left w:val="single" w:sz="4" w:space="0" w:color="auto"/>
              <w:bottom w:val="single" w:sz="4" w:space="0" w:color="auto"/>
              <w:right w:val="nil"/>
            </w:tcBorders>
            <w:vAlign w:val="center"/>
            <w:hideMark/>
          </w:tcPr>
          <w:p w:rsidR="00737FB8" w:rsidRDefault="00515D18" w:rsidP="00737FB8">
            <w:pPr>
              <w:spacing w:before="60" w:after="60"/>
              <w:jc w:val="center"/>
              <w:rPr>
                <w:noProof/>
              </w:rPr>
            </w:pPr>
            <w:r>
              <w:rPr>
                <w:noProof/>
              </w:rPr>
              <w:t>80</w:t>
            </w:r>
            <w:r w:rsidR="00737FB8">
              <w:rPr>
                <w:noProof/>
              </w:rPr>
              <w:t> </w:t>
            </w:r>
            <w:r>
              <w:rPr>
                <w:noProof/>
              </w:rPr>
              <w:t>0</w:t>
            </w:r>
            <w:r w:rsidR="00737FB8">
              <w:rPr>
                <w:noProof/>
              </w:rPr>
              <w:t>00</w:t>
            </w:r>
          </w:p>
        </w:tc>
      </w:tr>
      <w:tr w:rsidR="00737FB8" w:rsidTr="001D5990">
        <w:trPr>
          <w:trHeight w:val="802"/>
        </w:trPr>
        <w:tc>
          <w:tcPr>
            <w:tcW w:w="4644" w:type="dxa"/>
            <w:tcBorders>
              <w:top w:val="single" w:sz="4" w:space="0" w:color="auto"/>
              <w:left w:val="nil"/>
              <w:bottom w:val="single" w:sz="4" w:space="0" w:color="auto"/>
              <w:right w:val="single" w:sz="4" w:space="0" w:color="auto"/>
            </w:tcBorders>
            <w:vAlign w:val="center"/>
          </w:tcPr>
          <w:p w:rsidR="00737FB8" w:rsidRDefault="001B771C" w:rsidP="00737FB8">
            <w:pPr>
              <w:spacing w:before="60" w:after="60"/>
              <w:jc w:val="left"/>
              <w:rPr>
                <w:noProof/>
                <w:color w:val="000000"/>
              </w:rPr>
            </w:pPr>
            <w:r>
              <w:rPr>
                <w:noProof/>
                <w:color w:val="000000"/>
              </w:rPr>
              <w:t xml:space="preserve">Occupational safety and competence cards </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Default="00515D18" w:rsidP="00737FB8">
            <w:pPr>
              <w:spacing w:before="60" w:after="60"/>
              <w:jc w:val="center"/>
              <w:rPr>
                <w:noProof/>
              </w:rPr>
            </w:pPr>
            <w:r>
              <w:rPr>
                <w:noProof/>
              </w:rPr>
              <w:t>2</w:t>
            </w:r>
            <w:r w:rsidR="00737FB8">
              <w:rPr>
                <w:noProof/>
              </w:rPr>
              <w:t>0</w:t>
            </w:r>
          </w:p>
        </w:tc>
        <w:tc>
          <w:tcPr>
            <w:tcW w:w="1548" w:type="dxa"/>
            <w:tcBorders>
              <w:top w:val="single" w:sz="4" w:space="0" w:color="auto"/>
              <w:left w:val="single" w:sz="4" w:space="0" w:color="auto"/>
              <w:bottom w:val="single" w:sz="4" w:space="0" w:color="auto"/>
              <w:right w:val="single" w:sz="4" w:space="0" w:color="auto"/>
            </w:tcBorders>
            <w:vAlign w:val="center"/>
          </w:tcPr>
          <w:p w:rsidR="00737FB8" w:rsidRDefault="00515D18" w:rsidP="00737FB8">
            <w:pPr>
              <w:spacing w:before="60" w:after="60"/>
              <w:jc w:val="center"/>
              <w:rPr>
                <w:noProof/>
              </w:rPr>
            </w:pPr>
            <w:r>
              <w:rPr>
                <w:noProof/>
              </w:rPr>
              <w:t>15</w:t>
            </w:r>
            <w:r w:rsidR="00737FB8">
              <w:rPr>
                <w:noProof/>
              </w:rPr>
              <w:t>0</w:t>
            </w:r>
          </w:p>
        </w:tc>
        <w:tc>
          <w:tcPr>
            <w:tcW w:w="1548" w:type="dxa"/>
            <w:tcBorders>
              <w:top w:val="single" w:sz="4" w:space="0" w:color="auto"/>
              <w:left w:val="single" w:sz="4" w:space="0" w:color="auto"/>
              <w:bottom w:val="single" w:sz="4" w:space="0" w:color="auto"/>
              <w:right w:val="nil"/>
            </w:tcBorders>
            <w:vAlign w:val="center"/>
          </w:tcPr>
          <w:p w:rsidR="00737FB8" w:rsidRDefault="00515D18" w:rsidP="00737FB8">
            <w:pPr>
              <w:spacing w:before="60" w:after="60"/>
              <w:jc w:val="center"/>
              <w:rPr>
                <w:noProof/>
              </w:rPr>
            </w:pPr>
            <w:r>
              <w:rPr>
                <w:noProof/>
              </w:rPr>
              <w:t>3</w:t>
            </w:r>
            <w:r w:rsidR="00737FB8">
              <w:rPr>
                <w:noProof/>
              </w:rPr>
              <w:t> 000</w:t>
            </w:r>
          </w:p>
        </w:tc>
      </w:tr>
      <w:tr w:rsidR="00737FB8" w:rsidTr="001D5990">
        <w:trPr>
          <w:trHeight w:val="802"/>
        </w:trPr>
        <w:tc>
          <w:tcPr>
            <w:tcW w:w="4644" w:type="dxa"/>
            <w:tcBorders>
              <w:top w:val="single" w:sz="4" w:space="0" w:color="auto"/>
              <w:left w:val="nil"/>
              <w:bottom w:val="single" w:sz="4" w:space="0" w:color="auto"/>
              <w:right w:val="single" w:sz="4" w:space="0" w:color="auto"/>
            </w:tcBorders>
            <w:vAlign w:val="center"/>
            <w:hideMark/>
          </w:tcPr>
          <w:p w:rsidR="00737FB8" w:rsidRPr="00E80EA5" w:rsidRDefault="001B771C" w:rsidP="00737FB8">
            <w:pPr>
              <w:spacing w:before="60" w:after="60"/>
              <w:jc w:val="left"/>
              <w:rPr>
                <w:i/>
                <w:iCs/>
                <w:noProof/>
              </w:rPr>
            </w:pPr>
            <w:r>
              <w:rPr>
                <w:noProof/>
                <w:color w:val="000000"/>
              </w:rPr>
              <w:t xml:space="preserve">Language training </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Default="00515D18" w:rsidP="00737FB8">
            <w:pPr>
              <w:spacing w:before="60" w:after="60"/>
              <w:jc w:val="center"/>
              <w:rPr>
                <w:noProof/>
              </w:rPr>
            </w:pPr>
            <w:r>
              <w:rPr>
                <w:noProof/>
              </w:rPr>
              <w:t>40</w:t>
            </w:r>
          </w:p>
        </w:tc>
        <w:tc>
          <w:tcPr>
            <w:tcW w:w="1548" w:type="dxa"/>
            <w:tcBorders>
              <w:top w:val="single" w:sz="4" w:space="0" w:color="auto"/>
              <w:left w:val="single" w:sz="4" w:space="0" w:color="auto"/>
              <w:bottom w:val="single" w:sz="4" w:space="0" w:color="auto"/>
              <w:right w:val="single" w:sz="4" w:space="0" w:color="auto"/>
            </w:tcBorders>
            <w:vAlign w:val="center"/>
            <w:hideMark/>
          </w:tcPr>
          <w:p w:rsidR="00737FB8" w:rsidRDefault="00515D18" w:rsidP="00737FB8">
            <w:pPr>
              <w:spacing w:before="60" w:after="60"/>
              <w:jc w:val="center"/>
              <w:rPr>
                <w:noProof/>
              </w:rPr>
            </w:pPr>
            <w:r>
              <w:rPr>
                <w:noProof/>
              </w:rPr>
              <w:t>750</w:t>
            </w:r>
          </w:p>
        </w:tc>
        <w:tc>
          <w:tcPr>
            <w:tcW w:w="1548" w:type="dxa"/>
            <w:tcBorders>
              <w:top w:val="single" w:sz="4" w:space="0" w:color="auto"/>
              <w:left w:val="single" w:sz="4" w:space="0" w:color="auto"/>
              <w:bottom w:val="single" w:sz="4" w:space="0" w:color="auto"/>
              <w:right w:val="nil"/>
            </w:tcBorders>
            <w:vAlign w:val="center"/>
            <w:hideMark/>
          </w:tcPr>
          <w:p w:rsidR="00737FB8" w:rsidRDefault="00515D18" w:rsidP="00737FB8">
            <w:pPr>
              <w:spacing w:before="60" w:after="60"/>
              <w:jc w:val="center"/>
              <w:rPr>
                <w:noProof/>
              </w:rPr>
            </w:pPr>
            <w:r>
              <w:rPr>
                <w:noProof/>
              </w:rPr>
              <w:t>30</w:t>
            </w:r>
            <w:r w:rsidR="00F25749">
              <w:rPr>
                <w:noProof/>
              </w:rPr>
              <w:t> </w:t>
            </w:r>
            <w:r>
              <w:rPr>
                <w:noProof/>
              </w:rPr>
              <w:t>0</w:t>
            </w:r>
            <w:r w:rsidR="00737FB8">
              <w:rPr>
                <w:noProof/>
              </w:rPr>
              <w:t>00</w:t>
            </w:r>
          </w:p>
        </w:tc>
      </w:tr>
      <w:tr w:rsidR="00A63547" w:rsidTr="001D5BFF">
        <w:trPr>
          <w:trHeight w:val="802"/>
        </w:trPr>
        <w:tc>
          <w:tcPr>
            <w:tcW w:w="4644" w:type="dxa"/>
            <w:tcBorders>
              <w:top w:val="single" w:sz="4" w:space="0" w:color="auto"/>
              <w:left w:val="nil"/>
              <w:bottom w:val="single" w:sz="4" w:space="0" w:color="auto"/>
              <w:right w:val="single" w:sz="4" w:space="0" w:color="auto"/>
            </w:tcBorders>
            <w:vAlign w:val="center"/>
          </w:tcPr>
          <w:p w:rsidR="00A63547" w:rsidRPr="002A22AB" w:rsidRDefault="00A63547" w:rsidP="00A63547">
            <w:pPr>
              <w:spacing w:before="60" w:after="60"/>
              <w:jc w:val="left"/>
              <w:rPr>
                <w:noProof/>
                <w:color w:val="000000"/>
              </w:rPr>
            </w:pPr>
            <w:r w:rsidRPr="002A22AB">
              <w:rPr>
                <w:noProof/>
                <w:color w:val="000000"/>
              </w:rPr>
              <w:t xml:space="preserve">Start-up grant </w:t>
            </w:r>
          </w:p>
        </w:tc>
        <w:tc>
          <w:tcPr>
            <w:tcW w:w="1548" w:type="dxa"/>
            <w:tcBorders>
              <w:top w:val="single" w:sz="4" w:space="0" w:color="auto"/>
              <w:left w:val="single" w:sz="4" w:space="0" w:color="auto"/>
              <w:bottom w:val="single" w:sz="4" w:space="0" w:color="auto"/>
              <w:right w:val="single" w:sz="4" w:space="0" w:color="auto"/>
            </w:tcBorders>
            <w:vAlign w:val="center"/>
          </w:tcPr>
          <w:p w:rsidR="00A63547" w:rsidRPr="002A22AB" w:rsidRDefault="00137920" w:rsidP="00A63547">
            <w:pPr>
              <w:spacing w:before="60" w:after="60"/>
              <w:jc w:val="center"/>
              <w:rPr>
                <w:noProof/>
              </w:rPr>
            </w:pPr>
            <w:r>
              <w:rPr>
                <w:noProof/>
              </w:rPr>
              <w:t>5</w:t>
            </w:r>
          </w:p>
        </w:tc>
        <w:tc>
          <w:tcPr>
            <w:tcW w:w="1548" w:type="dxa"/>
            <w:tcBorders>
              <w:top w:val="single" w:sz="4" w:space="0" w:color="auto"/>
              <w:left w:val="single" w:sz="4" w:space="0" w:color="auto"/>
              <w:bottom w:val="single" w:sz="4" w:space="0" w:color="auto"/>
              <w:right w:val="single" w:sz="4" w:space="0" w:color="auto"/>
            </w:tcBorders>
            <w:vAlign w:val="center"/>
          </w:tcPr>
          <w:p w:rsidR="00A63547" w:rsidRPr="002A22AB" w:rsidRDefault="00A63547" w:rsidP="00A63547">
            <w:pPr>
              <w:spacing w:before="60" w:after="60"/>
              <w:jc w:val="center"/>
              <w:rPr>
                <w:noProof/>
              </w:rPr>
            </w:pPr>
            <w:r w:rsidRPr="002A22AB">
              <w:rPr>
                <w:noProof/>
              </w:rPr>
              <w:t>9 600</w:t>
            </w:r>
          </w:p>
        </w:tc>
        <w:tc>
          <w:tcPr>
            <w:tcW w:w="1548" w:type="dxa"/>
            <w:tcBorders>
              <w:top w:val="single" w:sz="4" w:space="0" w:color="auto"/>
              <w:left w:val="single" w:sz="4" w:space="0" w:color="auto"/>
              <w:bottom w:val="single" w:sz="4" w:space="0" w:color="auto"/>
              <w:right w:val="nil"/>
            </w:tcBorders>
            <w:vAlign w:val="center"/>
          </w:tcPr>
          <w:p w:rsidR="00A63547" w:rsidRPr="002A22AB" w:rsidRDefault="00137920" w:rsidP="00A63547">
            <w:pPr>
              <w:spacing w:before="60" w:after="60"/>
              <w:jc w:val="center"/>
              <w:rPr>
                <w:noProof/>
              </w:rPr>
            </w:pPr>
            <w:r>
              <w:rPr>
                <w:noProof/>
              </w:rPr>
              <w:t>48</w:t>
            </w:r>
            <w:r w:rsidR="00A63547" w:rsidRPr="002A22AB">
              <w:rPr>
                <w:noProof/>
              </w:rPr>
              <w:t> </w:t>
            </w:r>
            <w:r>
              <w:rPr>
                <w:noProof/>
              </w:rPr>
              <w:t>0</w:t>
            </w:r>
            <w:r w:rsidR="00A63547" w:rsidRPr="002A22AB">
              <w:rPr>
                <w:noProof/>
              </w:rPr>
              <w:t>00</w:t>
            </w:r>
          </w:p>
        </w:tc>
      </w:tr>
      <w:tr w:rsidR="00A63547" w:rsidTr="00CD50CD">
        <w:trPr>
          <w:trHeight w:val="802"/>
        </w:trPr>
        <w:tc>
          <w:tcPr>
            <w:tcW w:w="4644" w:type="dxa"/>
            <w:tcBorders>
              <w:top w:val="single" w:sz="4" w:space="0" w:color="auto"/>
              <w:left w:val="nil"/>
              <w:bottom w:val="single" w:sz="4" w:space="0" w:color="auto"/>
              <w:right w:val="single" w:sz="4" w:space="0" w:color="auto"/>
            </w:tcBorders>
            <w:vAlign w:val="center"/>
          </w:tcPr>
          <w:p w:rsidR="00A63547" w:rsidRPr="006E2470" w:rsidRDefault="00A63547" w:rsidP="00A63547">
            <w:pPr>
              <w:spacing w:before="60" w:after="60"/>
              <w:jc w:val="right"/>
              <w:rPr>
                <w:rFonts w:eastAsia="Times New Roman"/>
                <w:noProof/>
                <w:sz w:val="22"/>
              </w:rPr>
            </w:pPr>
            <w:r w:rsidRPr="006E2470">
              <w:rPr>
                <w:rFonts w:eastAsia="Times New Roman"/>
                <w:noProof/>
                <w:sz w:val="22"/>
              </w:rPr>
              <w:t>Sub-total (a):</w:t>
            </w:r>
          </w:p>
          <w:p w:rsidR="00A63547" w:rsidRDefault="00A63547" w:rsidP="00A63547">
            <w:pPr>
              <w:spacing w:before="60" w:after="60"/>
              <w:jc w:val="right"/>
              <w:rPr>
                <w:noProof/>
                <w:color w:val="000000"/>
              </w:rPr>
            </w:pPr>
            <w:r w:rsidRPr="006E2470">
              <w:rPr>
                <w:rFonts w:eastAsia="Times New Roman"/>
                <w:noProof/>
                <w:sz w:val="22"/>
              </w:rPr>
              <w:t>Percentage of the package of personalised services</w:t>
            </w:r>
          </w:p>
        </w:tc>
        <w:tc>
          <w:tcPr>
            <w:tcW w:w="309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A63547" w:rsidRPr="00515D18" w:rsidRDefault="00A63547" w:rsidP="00A63547">
            <w:pPr>
              <w:spacing w:before="60" w:after="60"/>
              <w:jc w:val="center"/>
              <w:rPr>
                <w:noProof/>
                <w:highlight w:val="yellow"/>
              </w:rPr>
            </w:pPr>
            <w:r w:rsidRPr="006E2470">
              <w:rPr>
                <w:rFonts w:eastAsia="Times New Roman"/>
                <w:noProof/>
                <w:sz w:val="22"/>
              </w:rPr>
              <w:t>–</w:t>
            </w:r>
            <w:r>
              <w:rPr>
                <w:rFonts w:eastAsia="Times New Roman"/>
                <w:noProof/>
                <w:sz w:val="22"/>
              </w:rPr>
              <w:t xml:space="preserve"> </w:t>
            </w:r>
          </w:p>
        </w:tc>
        <w:tc>
          <w:tcPr>
            <w:tcW w:w="1548" w:type="dxa"/>
            <w:tcBorders>
              <w:top w:val="single" w:sz="4" w:space="0" w:color="auto"/>
              <w:left w:val="single" w:sz="4" w:space="0" w:color="auto"/>
              <w:bottom w:val="single" w:sz="4" w:space="0" w:color="auto"/>
              <w:right w:val="nil"/>
            </w:tcBorders>
            <w:vAlign w:val="center"/>
          </w:tcPr>
          <w:p w:rsidR="00A63547" w:rsidRPr="002A22AB" w:rsidRDefault="00A63547" w:rsidP="00A63547">
            <w:pPr>
              <w:spacing w:before="60" w:after="60"/>
              <w:jc w:val="center"/>
              <w:rPr>
                <w:noProof/>
              </w:rPr>
            </w:pPr>
            <w:r w:rsidRPr="002A22AB">
              <w:rPr>
                <w:noProof/>
              </w:rPr>
              <w:t>433 850</w:t>
            </w:r>
          </w:p>
          <w:p w:rsidR="00A63547" w:rsidRPr="00515D18" w:rsidRDefault="00A63547" w:rsidP="00A63547">
            <w:pPr>
              <w:spacing w:before="60" w:after="60"/>
              <w:jc w:val="center"/>
              <w:rPr>
                <w:noProof/>
                <w:highlight w:val="yellow"/>
              </w:rPr>
            </w:pPr>
            <w:r w:rsidRPr="002A22AB">
              <w:rPr>
                <w:noProof/>
              </w:rPr>
              <w:t>(65,35</w:t>
            </w:r>
            <w:r w:rsidR="00054BC8">
              <w:rPr>
                <w:noProof/>
              </w:rPr>
              <w:t> </w:t>
            </w:r>
            <w:r w:rsidRPr="002A22AB">
              <w:rPr>
                <w:noProof/>
              </w:rPr>
              <w:t>%)</w:t>
            </w:r>
          </w:p>
        </w:tc>
      </w:tr>
      <w:tr w:rsidR="00A63547" w:rsidTr="001D5BFF">
        <w:trPr>
          <w:trHeight w:val="802"/>
        </w:trPr>
        <w:tc>
          <w:tcPr>
            <w:tcW w:w="9288" w:type="dxa"/>
            <w:gridSpan w:val="4"/>
            <w:tcBorders>
              <w:top w:val="single" w:sz="4" w:space="0" w:color="auto"/>
              <w:left w:val="nil"/>
              <w:bottom w:val="single" w:sz="4" w:space="0" w:color="auto"/>
              <w:right w:val="nil"/>
            </w:tcBorders>
            <w:vAlign w:val="center"/>
          </w:tcPr>
          <w:p w:rsidR="00A63547" w:rsidRPr="00515D18" w:rsidRDefault="00A63547" w:rsidP="00A63547">
            <w:pPr>
              <w:spacing w:before="60" w:after="60"/>
              <w:jc w:val="left"/>
              <w:rPr>
                <w:noProof/>
                <w:highlight w:val="yellow"/>
              </w:rPr>
            </w:pPr>
            <w:r w:rsidRPr="006E2470">
              <w:rPr>
                <w:rFonts w:eastAsia="Times New Roman"/>
                <w:noProof/>
                <w:sz w:val="22"/>
              </w:rPr>
              <w:t>Allowances and incentives (</w:t>
            </w:r>
            <w:r>
              <w:rPr>
                <w:rFonts w:eastAsia="Times New Roman"/>
                <w:noProof/>
                <w:sz w:val="22"/>
              </w:rPr>
              <w:t>measures</w:t>
            </w:r>
            <w:r w:rsidRPr="006E2470">
              <w:rPr>
                <w:rFonts w:eastAsia="Times New Roman"/>
                <w:noProof/>
                <w:sz w:val="22"/>
              </w:rPr>
              <w:t xml:space="preserve"> under Article</w:t>
            </w:r>
            <w:r>
              <w:rPr>
                <w:rFonts w:eastAsia="Times New Roman"/>
                <w:noProof/>
                <w:sz w:val="22"/>
              </w:rPr>
              <w:t> 7(2</w:t>
            </w:r>
            <w:r w:rsidRPr="006E2470">
              <w:rPr>
                <w:rFonts w:eastAsia="Times New Roman"/>
                <w:noProof/>
                <w:sz w:val="22"/>
              </w:rPr>
              <w:t>)</w:t>
            </w:r>
            <w:r>
              <w:rPr>
                <w:rFonts w:eastAsia="Times New Roman"/>
                <w:noProof/>
                <w:sz w:val="22"/>
              </w:rPr>
              <w:t xml:space="preserve">, </w:t>
            </w:r>
            <w:r>
              <w:rPr>
                <w:noProof/>
              </w:rPr>
              <w:t>second subparagraph</w:t>
            </w:r>
            <w:r>
              <w:rPr>
                <w:rFonts w:eastAsia="Times New Roman"/>
                <w:noProof/>
                <w:sz w:val="22"/>
              </w:rPr>
              <w:t xml:space="preserve">, point </w:t>
            </w:r>
            <w:r w:rsidRPr="006E2470">
              <w:rPr>
                <w:rFonts w:eastAsia="Times New Roman"/>
                <w:noProof/>
                <w:sz w:val="22"/>
              </w:rPr>
              <w:t>(b)</w:t>
            </w:r>
            <w:r>
              <w:rPr>
                <w:rFonts w:eastAsia="Times New Roman"/>
                <w:noProof/>
                <w:sz w:val="22"/>
              </w:rPr>
              <w:t>,</w:t>
            </w:r>
            <w:r w:rsidRPr="006E2470">
              <w:rPr>
                <w:rFonts w:eastAsia="Times New Roman"/>
                <w:noProof/>
                <w:sz w:val="22"/>
              </w:rPr>
              <w:t xml:space="preserve"> of </w:t>
            </w:r>
            <w:r>
              <w:rPr>
                <w:rFonts w:eastAsia="Times New Roman"/>
                <w:noProof/>
                <w:sz w:val="22"/>
              </w:rPr>
              <w:t>Regulation (EU) 2021/691</w:t>
            </w:r>
            <w:r w:rsidRPr="006E2470">
              <w:rPr>
                <w:rFonts w:eastAsia="Times New Roman"/>
                <w:noProof/>
                <w:sz w:val="22"/>
              </w:rPr>
              <w:t>)</w:t>
            </w:r>
          </w:p>
        </w:tc>
      </w:tr>
      <w:tr w:rsidR="00A63547" w:rsidTr="001D5990">
        <w:trPr>
          <w:trHeight w:val="802"/>
        </w:trPr>
        <w:tc>
          <w:tcPr>
            <w:tcW w:w="4644" w:type="dxa"/>
            <w:tcBorders>
              <w:top w:val="single" w:sz="4" w:space="0" w:color="auto"/>
              <w:left w:val="nil"/>
              <w:bottom w:val="single" w:sz="4" w:space="0" w:color="auto"/>
              <w:right w:val="single" w:sz="4" w:space="0" w:color="auto"/>
            </w:tcBorders>
            <w:vAlign w:val="center"/>
          </w:tcPr>
          <w:p w:rsidR="00A63547" w:rsidRDefault="00A63547" w:rsidP="00A63547">
            <w:pPr>
              <w:spacing w:before="60" w:after="60"/>
              <w:jc w:val="left"/>
              <w:rPr>
                <w:noProof/>
                <w:color w:val="000000"/>
              </w:rPr>
            </w:pPr>
            <w:r>
              <w:rPr>
                <w:noProof/>
                <w:color w:val="000000"/>
              </w:rPr>
              <w:lastRenderedPageBreak/>
              <w:t xml:space="preserve">Pay subsidy </w:t>
            </w:r>
          </w:p>
        </w:tc>
        <w:tc>
          <w:tcPr>
            <w:tcW w:w="1548" w:type="dxa"/>
            <w:tcBorders>
              <w:top w:val="single" w:sz="4" w:space="0" w:color="auto"/>
              <w:left w:val="single" w:sz="4" w:space="0" w:color="auto"/>
              <w:bottom w:val="single" w:sz="4" w:space="0" w:color="auto"/>
              <w:right w:val="single" w:sz="4" w:space="0" w:color="auto"/>
            </w:tcBorders>
            <w:vAlign w:val="center"/>
          </w:tcPr>
          <w:p w:rsidR="00A63547" w:rsidRDefault="00A63547" w:rsidP="00A63547">
            <w:pPr>
              <w:spacing w:before="60" w:after="60"/>
              <w:jc w:val="center"/>
              <w:rPr>
                <w:noProof/>
              </w:rPr>
            </w:pPr>
            <w:r>
              <w:rPr>
                <w:noProof/>
              </w:rPr>
              <w:t>23</w:t>
            </w:r>
          </w:p>
        </w:tc>
        <w:tc>
          <w:tcPr>
            <w:tcW w:w="1548" w:type="dxa"/>
            <w:tcBorders>
              <w:top w:val="single" w:sz="4" w:space="0" w:color="auto"/>
              <w:left w:val="single" w:sz="4" w:space="0" w:color="auto"/>
              <w:bottom w:val="single" w:sz="4" w:space="0" w:color="auto"/>
              <w:right w:val="single" w:sz="4" w:space="0" w:color="auto"/>
            </w:tcBorders>
            <w:vAlign w:val="center"/>
          </w:tcPr>
          <w:p w:rsidR="00A63547" w:rsidRDefault="00A63547" w:rsidP="00A63547">
            <w:pPr>
              <w:spacing w:before="60" w:after="60"/>
              <w:jc w:val="center"/>
              <w:rPr>
                <w:noProof/>
              </w:rPr>
            </w:pPr>
            <w:r>
              <w:rPr>
                <w:noProof/>
              </w:rPr>
              <w:t>10 000</w:t>
            </w:r>
          </w:p>
        </w:tc>
        <w:tc>
          <w:tcPr>
            <w:tcW w:w="1548" w:type="dxa"/>
            <w:tcBorders>
              <w:top w:val="single" w:sz="4" w:space="0" w:color="auto"/>
              <w:left w:val="single" w:sz="4" w:space="0" w:color="auto"/>
              <w:bottom w:val="single" w:sz="4" w:space="0" w:color="auto"/>
              <w:right w:val="nil"/>
            </w:tcBorders>
            <w:vAlign w:val="center"/>
          </w:tcPr>
          <w:p w:rsidR="00A63547" w:rsidRDefault="00A63547" w:rsidP="00A63547">
            <w:pPr>
              <w:spacing w:before="60" w:after="60"/>
              <w:jc w:val="center"/>
              <w:rPr>
                <w:noProof/>
              </w:rPr>
            </w:pPr>
            <w:r>
              <w:rPr>
                <w:noProof/>
              </w:rPr>
              <w:t>230 000</w:t>
            </w:r>
          </w:p>
        </w:tc>
      </w:tr>
      <w:tr w:rsidR="00A63547" w:rsidRPr="006E2470" w:rsidTr="001D5990">
        <w:trPr>
          <w:trHeight w:val="398"/>
        </w:trPr>
        <w:tc>
          <w:tcPr>
            <w:tcW w:w="4644" w:type="dxa"/>
            <w:vMerge w:val="restart"/>
            <w:shd w:val="clear" w:color="auto" w:fill="auto"/>
            <w:vAlign w:val="center"/>
          </w:tcPr>
          <w:p w:rsidR="00A63547" w:rsidRPr="006E2470" w:rsidRDefault="00A63547" w:rsidP="00A63547">
            <w:pPr>
              <w:spacing w:before="60" w:after="60"/>
              <w:jc w:val="right"/>
              <w:rPr>
                <w:rFonts w:eastAsia="Times New Roman"/>
                <w:noProof/>
                <w:sz w:val="22"/>
              </w:rPr>
            </w:pPr>
            <w:r w:rsidRPr="006E2470">
              <w:rPr>
                <w:rFonts w:eastAsia="Times New Roman"/>
                <w:noProof/>
                <w:sz w:val="22"/>
              </w:rPr>
              <w:t>Sub-total (</w:t>
            </w:r>
            <w:r>
              <w:rPr>
                <w:rFonts w:eastAsia="Times New Roman"/>
                <w:noProof/>
                <w:sz w:val="22"/>
              </w:rPr>
              <w:t>b</w:t>
            </w:r>
            <w:r w:rsidRPr="006E2470">
              <w:rPr>
                <w:rFonts w:eastAsia="Times New Roman"/>
                <w:noProof/>
                <w:sz w:val="22"/>
              </w:rPr>
              <w:t>):</w:t>
            </w:r>
          </w:p>
          <w:p w:rsidR="00A63547" w:rsidRPr="006E2470" w:rsidRDefault="00A63547" w:rsidP="00A63547">
            <w:pPr>
              <w:spacing w:before="60" w:after="60"/>
              <w:jc w:val="right"/>
              <w:rPr>
                <w:rFonts w:eastAsia="Times New Roman"/>
                <w:noProof/>
                <w:sz w:val="22"/>
              </w:rPr>
            </w:pPr>
            <w:r w:rsidRPr="006E2470">
              <w:rPr>
                <w:rFonts w:eastAsia="Times New Roman"/>
                <w:noProof/>
                <w:sz w:val="22"/>
              </w:rPr>
              <w:t xml:space="preserve">Percentage of the package of personalised services </w:t>
            </w:r>
          </w:p>
        </w:tc>
        <w:tc>
          <w:tcPr>
            <w:tcW w:w="3096" w:type="dxa"/>
            <w:gridSpan w:val="2"/>
            <w:vMerge w:val="restart"/>
            <w:shd w:val="clear" w:color="auto" w:fill="D9D9D9"/>
            <w:vAlign w:val="center"/>
          </w:tcPr>
          <w:p w:rsidR="00A63547" w:rsidRPr="006E2470" w:rsidRDefault="00A63547" w:rsidP="00A63547">
            <w:pPr>
              <w:spacing w:before="60" w:after="60"/>
              <w:jc w:val="center"/>
              <w:rPr>
                <w:rFonts w:eastAsia="Times New Roman"/>
                <w:noProof/>
                <w:sz w:val="22"/>
              </w:rPr>
            </w:pPr>
            <w:r w:rsidRPr="006E2470">
              <w:rPr>
                <w:rFonts w:eastAsia="Times New Roman"/>
                <w:noProof/>
                <w:sz w:val="22"/>
              </w:rPr>
              <w:t>–</w:t>
            </w:r>
          </w:p>
        </w:tc>
        <w:tc>
          <w:tcPr>
            <w:tcW w:w="1548" w:type="dxa"/>
            <w:tcBorders>
              <w:bottom w:val="nil"/>
            </w:tcBorders>
            <w:shd w:val="clear" w:color="auto" w:fill="auto"/>
            <w:vAlign w:val="center"/>
          </w:tcPr>
          <w:p w:rsidR="00A63547" w:rsidRPr="002A22AB" w:rsidRDefault="00A63547" w:rsidP="00A63547">
            <w:pPr>
              <w:spacing w:before="60" w:after="60"/>
              <w:jc w:val="center"/>
              <w:rPr>
                <w:rFonts w:eastAsia="Times New Roman"/>
                <w:noProof/>
                <w:sz w:val="22"/>
              </w:rPr>
            </w:pPr>
            <w:r w:rsidRPr="002A22AB">
              <w:rPr>
                <w:noProof/>
              </w:rPr>
              <w:t>230 000</w:t>
            </w:r>
          </w:p>
        </w:tc>
      </w:tr>
      <w:tr w:rsidR="00A63547" w:rsidRPr="006E2470" w:rsidTr="002F254E">
        <w:trPr>
          <w:trHeight w:val="780"/>
        </w:trPr>
        <w:tc>
          <w:tcPr>
            <w:tcW w:w="4644" w:type="dxa"/>
            <w:vMerge/>
            <w:shd w:val="clear" w:color="auto" w:fill="auto"/>
            <w:vAlign w:val="center"/>
          </w:tcPr>
          <w:p w:rsidR="00A63547" w:rsidRPr="006E2470" w:rsidRDefault="00A63547" w:rsidP="00A63547">
            <w:pPr>
              <w:spacing w:before="60" w:after="60"/>
              <w:jc w:val="right"/>
              <w:rPr>
                <w:rFonts w:eastAsia="Times New Roman"/>
                <w:noProof/>
                <w:sz w:val="22"/>
              </w:rPr>
            </w:pPr>
          </w:p>
        </w:tc>
        <w:tc>
          <w:tcPr>
            <w:tcW w:w="3096" w:type="dxa"/>
            <w:gridSpan w:val="2"/>
            <w:vMerge/>
            <w:shd w:val="clear" w:color="auto" w:fill="D9D9D9"/>
            <w:vAlign w:val="center"/>
          </w:tcPr>
          <w:p w:rsidR="00A63547" w:rsidRPr="006E2470" w:rsidRDefault="00A63547" w:rsidP="00A63547">
            <w:pPr>
              <w:spacing w:before="60" w:after="60"/>
              <w:jc w:val="center"/>
              <w:rPr>
                <w:rFonts w:eastAsia="Times New Roman"/>
                <w:noProof/>
                <w:sz w:val="22"/>
              </w:rPr>
            </w:pPr>
          </w:p>
        </w:tc>
        <w:tc>
          <w:tcPr>
            <w:tcW w:w="1548" w:type="dxa"/>
            <w:tcBorders>
              <w:top w:val="nil"/>
            </w:tcBorders>
            <w:shd w:val="clear" w:color="auto" w:fill="auto"/>
            <w:vAlign w:val="center"/>
          </w:tcPr>
          <w:p w:rsidR="00A63547" w:rsidRPr="002A22AB" w:rsidRDefault="00A63547" w:rsidP="00A63547">
            <w:pPr>
              <w:spacing w:before="60" w:after="60"/>
              <w:jc w:val="center"/>
              <w:rPr>
                <w:rFonts w:eastAsia="Times New Roman"/>
                <w:noProof/>
                <w:sz w:val="22"/>
              </w:rPr>
            </w:pPr>
            <w:r w:rsidRPr="002A22AB">
              <w:rPr>
                <w:rFonts w:eastAsia="Times New Roman"/>
                <w:noProof/>
                <w:sz w:val="22"/>
              </w:rPr>
              <w:t>(34</w:t>
            </w:r>
            <w:r w:rsidRPr="002A22AB">
              <w:rPr>
                <w:rFonts w:eastAsia="Times New Roman"/>
                <w:noProof/>
              </w:rPr>
              <w:t>,65</w:t>
            </w:r>
            <w:r w:rsidRPr="002A22AB">
              <w:rPr>
                <w:noProof/>
              </w:rPr>
              <w:t> </w:t>
            </w:r>
            <w:r w:rsidRPr="002A22AB">
              <w:rPr>
                <w:rFonts w:eastAsia="Times New Roman"/>
                <w:noProof/>
                <w:sz w:val="22"/>
              </w:rPr>
              <w:t>%)</w:t>
            </w:r>
          </w:p>
        </w:tc>
      </w:tr>
      <w:tr w:rsidR="00A63547" w:rsidRPr="006E2470" w:rsidTr="001D5990">
        <w:tc>
          <w:tcPr>
            <w:tcW w:w="9288" w:type="dxa"/>
            <w:gridSpan w:val="4"/>
            <w:shd w:val="clear" w:color="auto" w:fill="auto"/>
            <w:vAlign w:val="center"/>
          </w:tcPr>
          <w:p w:rsidR="00A63547" w:rsidRPr="006E2470" w:rsidRDefault="00A63547" w:rsidP="00A63547">
            <w:pPr>
              <w:spacing w:before="60" w:after="60"/>
              <w:jc w:val="left"/>
              <w:rPr>
                <w:rFonts w:eastAsia="Times New Roman"/>
                <w:noProof/>
                <w:sz w:val="22"/>
              </w:rPr>
            </w:pPr>
            <w:r>
              <w:rPr>
                <w:rFonts w:eastAsia="Times New Roman"/>
                <w:noProof/>
                <w:sz w:val="22"/>
              </w:rPr>
              <w:t xml:space="preserve">Activities </w:t>
            </w:r>
            <w:r w:rsidRPr="006E2470">
              <w:rPr>
                <w:rFonts w:eastAsia="Times New Roman"/>
                <w:noProof/>
                <w:sz w:val="22"/>
              </w:rPr>
              <w:t>under Article</w:t>
            </w:r>
            <w:r>
              <w:rPr>
                <w:rFonts w:eastAsia="Times New Roman"/>
                <w:noProof/>
                <w:sz w:val="22"/>
              </w:rPr>
              <w:t> 7(5</w:t>
            </w:r>
            <w:r w:rsidRPr="006E2470">
              <w:rPr>
                <w:rFonts w:eastAsia="Times New Roman"/>
                <w:noProof/>
                <w:sz w:val="22"/>
              </w:rPr>
              <w:t xml:space="preserve">) of </w:t>
            </w:r>
            <w:r>
              <w:rPr>
                <w:rFonts w:eastAsia="Times New Roman"/>
                <w:noProof/>
                <w:sz w:val="22"/>
              </w:rPr>
              <w:t>Regulation (EU) 2021/691</w:t>
            </w:r>
          </w:p>
        </w:tc>
      </w:tr>
      <w:tr w:rsidR="00A63547" w:rsidRPr="006E2470" w:rsidTr="001D5990">
        <w:tc>
          <w:tcPr>
            <w:tcW w:w="4644" w:type="dxa"/>
            <w:shd w:val="clear" w:color="auto" w:fill="auto"/>
          </w:tcPr>
          <w:p w:rsidR="00A63547" w:rsidRPr="006E2470" w:rsidRDefault="00A63547" w:rsidP="00A63547">
            <w:pPr>
              <w:spacing w:before="60" w:after="60"/>
              <w:ind w:left="284"/>
              <w:jc w:val="left"/>
              <w:rPr>
                <w:rFonts w:eastAsia="Times New Roman"/>
                <w:noProof/>
                <w:sz w:val="22"/>
              </w:rPr>
            </w:pPr>
            <w:r w:rsidRPr="006E2470">
              <w:rPr>
                <w:rFonts w:eastAsia="Times New Roman"/>
                <w:noProof/>
                <w:sz w:val="22"/>
              </w:rPr>
              <w:t>1. Preparatory activities</w:t>
            </w:r>
          </w:p>
        </w:tc>
        <w:tc>
          <w:tcPr>
            <w:tcW w:w="3096" w:type="dxa"/>
            <w:gridSpan w:val="2"/>
            <w:shd w:val="clear" w:color="auto" w:fill="D9D9D9"/>
            <w:vAlign w:val="center"/>
          </w:tcPr>
          <w:p w:rsidR="00A63547" w:rsidRPr="006E2470" w:rsidRDefault="00A63547" w:rsidP="00A63547">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A63547" w:rsidRPr="006E2470" w:rsidRDefault="00A63547" w:rsidP="00A63547">
            <w:pPr>
              <w:spacing w:before="60" w:after="60"/>
              <w:jc w:val="center"/>
              <w:rPr>
                <w:rFonts w:eastAsia="Times New Roman"/>
                <w:noProof/>
                <w:sz w:val="22"/>
              </w:rPr>
            </w:pPr>
            <w:r>
              <w:rPr>
                <w:noProof/>
              </w:rPr>
              <w:t>2 000</w:t>
            </w:r>
          </w:p>
        </w:tc>
      </w:tr>
      <w:tr w:rsidR="00A63547" w:rsidRPr="006E2470" w:rsidTr="001D5990">
        <w:tc>
          <w:tcPr>
            <w:tcW w:w="4644" w:type="dxa"/>
            <w:shd w:val="clear" w:color="auto" w:fill="auto"/>
          </w:tcPr>
          <w:p w:rsidR="00A63547" w:rsidRPr="006E2470" w:rsidRDefault="00A63547" w:rsidP="00A63547">
            <w:pPr>
              <w:spacing w:before="60" w:after="60"/>
              <w:ind w:left="284"/>
              <w:jc w:val="left"/>
              <w:rPr>
                <w:rFonts w:eastAsia="Times New Roman"/>
                <w:noProof/>
                <w:sz w:val="22"/>
              </w:rPr>
            </w:pPr>
            <w:r w:rsidRPr="006E2470">
              <w:rPr>
                <w:rFonts w:eastAsia="Times New Roman"/>
                <w:noProof/>
                <w:sz w:val="22"/>
              </w:rPr>
              <w:t>2. Management</w:t>
            </w:r>
          </w:p>
        </w:tc>
        <w:tc>
          <w:tcPr>
            <w:tcW w:w="3096" w:type="dxa"/>
            <w:gridSpan w:val="2"/>
            <w:shd w:val="clear" w:color="auto" w:fill="D9D9D9"/>
            <w:vAlign w:val="center"/>
          </w:tcPr>
          <w:p w:rsidR="00A63547" w:rsidRPr="006E2470" w:rsidRDefault="00A63547" w:rsidP="00A63547">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A63547" w:rsidRPr="006E2470" w:rsidRDefault="00A63547" w:rsidP="00A63547">
            <w:pPr>
              <w:spacing w:before="60" w:after="60"/>
              <w:jc w:val="center"/>
              <w:rPr>
                <w:rFonts w:eastAsia="Times New Roman"/>
                <w:noProof/>
                <w:sz w:val="22"/>
              </w:rPr>
            </w:pPr>
            <w:r>
              <w:rPr>
                <w:noProof/>
              </w:rPr>
              <w:t>12 000</w:t>
            </w:r>
          </w:p>
        </w:tc>
      </w:tr>
      <w:tr w:rsidR="00A63547" w:rsidRPr="006E2470" w:rsidTr="001D5990">
        <w:tc>
          <w:tcPr>
            <w:tcW w:w="4644" w:type="dxa"/>
            <w:shd w:val="clear" w:color="auto" w:fill="auto"/>
          </w:tcPr>
          <w:p w:rsidR="00A63547" w:rsidRPr="006E2470" w:rsidRDefault="00A63547" w:rsidP="00A63547">
            <w:pPr>
              <w:spacing w:before="60" w:after="60"/>
              <w:ind w:left="284"/>
              <w:jc w:val="left"/>
              <w:rPr>
                <w:rFonts w:eastAsia="Times New Roman"/>
                <w:noProof/>
                <w:sz w:val="22"/>
              </w:rPr>
            </w:pPr>
            <w:r w:rsidRPr="006E2470">
              <w:rPr>
                <w:rFonts w:eastAsia="Times New Roman"/>
                <w:noProof/>
                <w:sz w:val="22"/>
              </w:rPr>
              <w:t>3. Information and publicity</w:t>
            </w:r>
          </w:p>
        </w:tc>
        <w:tc>
          <w:tcPr>
            <w:tcW w:w="3096" w:type="dxa"/>
            <w:gridSpan w:val="2"/>
            <w:shd w:val="clear" w:color="auto" w:fill="D9D9D9"/>
            <w:vAlign w:val="center"/>
          </w:tcPr>
          <w:p w:rsidR="00A63547" w:rsidRPr="006E2470" w:rsidRDefault="00A63547" w:rsidP="00A63547">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A63547" w:rsidRPr="006E2470" w:rsidRDefault="00A63547" w:rsidP="00A63547">
            <w:pPr>
              <w:spacing w:before="60" w:after="60"/>
              <w:jc w:val="center"/>
              <w:rPr>
                <w:rFonts w:eastAsia="Times New Roman"/>
                <w:noProof/>
                <w:sz w:val="22"/>
              </w:rPr>
            </w:pPr>
            <w:r>
              <w:rPr>
                <w:noProof/>
              </w:rPr>
              <w:t>5 000</w:t>
            </w:r>
          </w:p>
        </w:tc>
      </w:tr>
      <w:tr w:rsidR="00A63547" w:rsidRPr="006E2470" w:rsidTr="001D5990">
        <w:tc>
          <w:tcPr>
            <w:tcW w:w="4644" w:type="dxa"/>
            <w:shd w:val="clear" w:color="auto" w:fill="auto"/>
          </w:tcPr>
          <w:p w:rsidR="00A63547" w:rsidRPr="006E2470" w:rsidRDefault="00A63547" w:rsidP="00A63547">
            <w:pPr>
              <w:spacing w:before="60" w:after="60"/>
              <w:ind w:left="284"/>
              <w:jc w:val="left"/>
              <w:rPr>
                <w:rFonts w:eastAsia="Times New Roman"/>
                <w:noProof/>
                <w:sz w:val="22"/>
              </w:rPr>
            </w:pPr>
            <w:r w:rsidRPr="006E2470">
              <w:rPr>
                <w:rFonts w:eastAsia="Times New Roman"/>
                <w:noProof/>
                <w:sz w:val="22"/>
              </w:rPr>
              <w:t>4. Control and reporting</w:t>
            </w:r>
          </w:p>
        </w:tc>
        <w:tc>
          <w:tcPr>
            <w:tcW w:w="3096" w:type="dxa"/>
            <w:gridSpan w:val="2"/>
            <w:shd w:val="clear" w:color="auto" w:fill="D9D9D9"/>
            <w:vAlign w:val="center"/>
          </w:tcPr>
          <w:p w:rsidR="00A63547" w:rsidRPr="006E2470" w:rsidRDefault="00A63547" w:rsidP="00A63547">
            <w:pPr>
              <w:spacing w:before="60" w:after="60"/>
              <w:jc w:val="center"/>
              <w:rPr>
                <w:rFonts w:eastAsia="Times New Roman"/>
                <w:noProof/>
                <w:sz w:val="22"/>
              </w:rPr>
            </w:pPr>
            <w:r w:rsidRPr="006E2470">
              <w:rPr>
                <w:rFonts w:eastAsia="Times New Roman"/>
                <w:noProof/>
                <w:sz w:val="22"/>
              </w:rPr>
              <w:t>–</w:t>
            </w:r>
          </w:p>
        </w:tc>
        <w:tc>
          <w:tcPr>
            <w:tcW w:w="1548" w:type="dxa"/>
            <w:tcBorders>
              <w:bottom w:val="single" w:sz="4" w:space="0" w:color="auto"/>
            </w:tcBorders>
            <w:shd w:val="clear" w:color="auto" w:fill="auto"/>
          </w:tcPr>
          <w:p w:rsidR="00A63547" w:rsidRPr="006E2470" w:rsidRDefault="00A63547" w:rsidP="00A63547">
            <w:pPr>
              <w:spacing w:before="60" w:after="60"/>
              <w:jc w:val="center"/>
              <w:rPr>
                <w:rFonts w:eastAsia="Times New Roman"/>
                <w:noProof/>
                <w:sz w:val="22"/>
              </w:rPr>
            </w:pPr>
            <w:r>
              <w:rPr>
                <w:noProof/>
              </w:rPr>
              <w:t>1 000</w:t>
            </w:r>
          </w:p>
        </w:tc>
      </w:tr>
      <w:tr w:rsidR="00A63547" w:rsidRPr="006E2470" w:rsidTr="001D5990">
        <w:trPr>
          <w:trHeight w:val="203"/>
        </w:trPr>
        <w:tc>
          <w:tcPr>
            <w:tcW w:w="4644" w:type="dxa"/>
            <w:vMerge w:val="restart"/>
            <w:shd w:val="clear" w:color="auto" w:fill="auto"/>
            <w:vAlign w:val="center"/>
          </w:tcPr>
          <w:p w:rsidR="00A63547" w:rsidRPr="006E2470" w:rsidRDefault="00A63547" w:rsidP="00A63547">
            <w:pPr>
              <w:spacing w:before="60" w:after="60"/>
              <w:jc w:val="right"/>
              <w:rPr>
                <w:rFonts w:eastAsia="Times New Roman"/>
                <w:noProof/>
                <w:sz w:val="22"/>
              </w:rPr>
            </w:pPr>
            <w:r w:rsidRPr="006E2470">
              <w:rPr>
                <w:rFonts w:eastAsia="Times New Roman"/>
                <w:noProof/>
                <w:sz w:val="22"/>
              </w:rPr>
              <w:t>Sub-total (</w:t>
            </w:r>
            <w:r>
              <w:rPr>
                <w:rFonts w:eastAsia="Times New Roman"/>
                <w:noProof/>
                <w:sz w:val="22"/>
              </w:rPr>
              <w:t>c</w:t>
            </w:r>
            <w:r w:rsidRPr="006E2470">
              <w:rPr>
                <w:rFonts w:eastAsia="Times New Roman"/>
                <w:noProof/>
                <w:sz w:val="22"/>
              </w:rPr>
              <w:t>):</w:t>
            </w:r>
          </w:p>
          <w:p w:rsidR="00A63547" w:rsidRPr="006E2470" w:rsidRDefault="00A63547" w:rsidP="00A63547">
            <w:pPr>
              <w:spacing w:before="60" w:after="60"/>
              <w:jc w:val="right"/>
              <w:rPr>
                <w:rFonts w:eastAsia="Times New Roman"/>
                <w:noProof/>
                <w:sz w:val="22"/>
              </w:rPr>
            </w:pPr>
            <w:r w:rsidRPr="006E2470">
              <w:rPr>
                <w:rFonts w:eastAsia="Times New Roman"/>
                <w:noProof/>
                <w:sz w:val="22"/>
              </w:rPr>
              <w:t>Percentage of the total costs:</w:t>
            </w:r>
          </w:p>
        </w:tc>
        <w:tc>
          <w:tcPr>
            <w:tcW w:w="3096" w:type="dxa"/>
            <w:gridSpan w:val="2"/>
            <w:vMerge w:val="restart"/>
            <w:shd w:val="clear" w:color="auto" w:fill="D9D9D9"/>
            <w:vAlign w:val="center"/>
          </w:tcPr>
          <w:p w:rsidR="00A63547" w:rsidRPr="006E2470" w:rsidRDefault="00A63547" w:rsidP="00A63547">
            <w:pPr>
              <w:spacing w:before="0" w:after="0"/>
              <w:jc w:val="center"/>
              <w:rPr>
                <w:rFonts w:eastAsia="Times New Roman"/>
                <w:noProof/>
                <w:sz w:val="22"/>
              </w:rPr>
            </w:pPr>
            <w:r w:rsidRPr="006E2470">
              <w:rPr>
                <w:rFonts w:eastAsia="Times New Roman"/>
                <w:noProof/>
                <w:sz w:val="22"/>
              </w:rPr>
              <w:t>–</w:t>
            </w:r>
          </w:p>
        </w:tc>
        <w:tc>
          <w:tcPr>
            <w:tcW w:w="1548" w:type="dxa"/>
            <w:tcBorders>
              <w:bottom w:val="nil"/>
            </w:tcBorders>
            <w:shd w:val="clear" w:color="auto" w:fill="auto"/>
            <w:vAlign w:val="center"/>
          </w:tcPr>
          <w:p w:rsidR="00A63547" w:rsidRPr="006E2470" w:rsidRDefault="00A63547" w:rsidP="00A63547">
            <w:pPr>
              <w:spacing w:before="60" w:after="60"/>
              <w:jc w:val="center"/>
              <w:rPr>
                <w:rFonts w:eastAsia="Times New Roman"/>
                <w:noProof/>
                <w:sz w:val="22"/>
              </w:rPr>
            </w:pPr>
            <w:r>
              <w:rPr>
                <w:noProof/>
              </w:rPr>
              <w:t>20 000</w:t>
            </w:r>
          </w:p>
        </w:tc>
      </w:tr>
      <w:tr w:rsidR="00A63547" w:rsidRPr="006E2470" w:rsidTr="001D5990">
        <w:trPr>
          <w:trHeight w:val="202"/>
        </w:trPr>
        <w:tc>
          <w:tcPr>
            <w:tcW w:w="4644" w:type="dxa"/>
            <w:vMerge/>
            <w:shd w:val="clear" w:color="auto" w:fill="auto"/>
          </w:tcPr>
          <w:p w:rsidR="00A63547" w:rsidRPr="006E2470" w:rsidRDefault="00A63547" w:rsidP="00A63547">
            <w:pPr>
              <w:spacing w:before="0" w:after="0"/>
              <w:jc w:val="right"/>
              <w:rPr>
                <w:rFonts w:eastAsia="Times New Roman"/>
                <w:noProof/>
                <w:sz w:val="22"/>
              </w:rPr>
            </w:pPr>
          </w:p>
        </w:tc>
        <w:tc>
          <w:tcPr>
            <w:tcW w:w="3096" w:type="dxa"/>
            <w:gridSpan w:val="2"/>
            <w:vMerge/>
            <w:shd w:val="clear" w:color="auto" w:fill="D9D9D9"/>
            <w:vAlign w:val="center"/>
          </w:tcPr>
          <w:p w:rsidR="00A63547" w:rsidRPr="006E2470" w:rsidRDefault="00A63547" w:rsidP="00A63547">
            <w:pPr>
              <w:spacing w:before="0" w:after="0"/>
              <w:jc w:val="center"/>
              <w:rPr>
                <w:rFonts w:eastAsia="Times New Roman"/>
                <w:noProof/>
                <w:sz w:val="22"/>
              </w:rPr>
            </w:pPr>
          </w:p>
        </w:tc>
        <w:tc>
          <w:tcPr>
            <w:tcW w:w="1548" w:type="dxa"/>
            <w:tcBorders>
              <w:top w:val="nil"/>
            </w:tcBorders>
            <w:shd w:val="clear" w:color="auto" w:fill="auto"/>
            <w:vAlign w:val="center"/>
          </w:tcPr>
          <w:p w:rsidR="00A63547" w:rsidRPr="006E2470" w:rsidRDefault="00A63547" w:rsidP="00A63547">
            <w:pPr>
              <w:spacing w:before="60" w:after="60"/>
              <w:jc w:val="center"/>
              <w:rPr>
                <w:rFonts w:eastAsia="Times New Roman"/>
                <w:noProof/>
                <w:sz w:val="22"/>
              </w:rPr>
            </w:pPr>
            <w:r w:rsidRPr="00EC6F00">
              <w:rPr>
                <w:rFonts w:eastAsia="Times New Roman"/>
                <w:noProof/>
                <w:sz w:val="22"/>
              </w:rPr>
              <w:t>(</w:t>
            </w:r>
            <w:r>
              <w:rPr>
                <w:rFonts w:eastAsia="Times New Roman"/>
                <w:noProof/>
                <w:sz w:val="22"/>
              </w:rPr>
              <w:t>2</w:t>
            </w:r>
            <w:r w:rsidRPr="00EC6F00">
              <w:rPr>
                <w:noProof/>
              </w:rPr>
              <w:t>,</w:t>
            </w:r>
            <w:r>
              <w:rPr>
                <w:noProof/>
              </w:rPr>
              <w:t>92</w:t>
            </w:r>
            <w:r w:rsidRPr="00EC6F00">
              <w:rPr>
                <w:noProof/>
              </w:rPr>
              <w:t> </w:t>
            </w:r>
            <w:r w:rsidRPr="00EC6F00">
              <w:rPr>
                <w:rFonts w:eastAsia="Times New Roman"/>
                <w:noProof/>
                <w:sz w:val="22"/>
              </w:rPr>
              <w:t>%)</w:t>
            </w:r>
          </w:p>
        </w:tc>
      </w:tr>
      <w:tr w:rsidR="00A63547" w:rsidRPr="006E2470" w:rsidTr="001D5990">
        <w:tc>
          <w:tcPr>
            <w:tcW w:w="4644" w:type="dxa"/>
            <w:shd w:val="clear" w:color="auto" w:fill="auto"/>
          </w:tcPr>
          <w:p w:rsidR="00A63547" w:rsidRPr="006E2470" w:rsidRDefault="00A63547" w:rsidP="00A63547">
            <w:pPr>
              <w:spacing w:before="60" w:after="60"/>
              <w:jc w:val="left"/>
              <w:rPr>
                <w:rFonts w:eastAsia="Times New Roman"/>
                <w:noProof/>
                <w:sz w:val="22"/>
              </w:rPr>
            </w:pPr>
            <w:r w:rsidRPr="006E2470">
              <w:rPr>
                <w:rFonts w:eastAsia="Times New Roman"/>
                <w:noProof/>
                <w:sz w:val="22"/>
              </w:rPr>
              <w:t>Total costs (a + b</w:t>
            </w:r>
            <w:r>
              <w:rPr>
                <w:rFonts w:eastAsia="Times New Roman"/>
                <w:noProof/>
                <w:sz w:val="22"/>
              </w:rPr>
              <w:t xml:space="preserve"> + c</w:t>
            </w:r>
            <w:r w:rsidRPr="006E2470">
              <w:rPr>
                <w:rFonts w:eastAsia="Times New Roman"/>
                <w:noProof/>
                <w:sz w:val="22"/>
              </w:rPr>
              <w:t>):</w:t>
            </w:r>
          </w:p>
        </w:tc>
        <w:tc>
          <w:tcPr>
            <w:tcW w:w="3096" w:type="dxa"/>
            <w:gridSpan w:val="2"/>
            <w:shd w:val="clear" w:color="auto" w:fill="D9D9D9"/>
            <w:vAlign w:val="center"/>
          </w:tcPr>
          <w:p w:rsidR="00A63547" w:rsidRPr="006E2470" w:rsidRDefault="00A63547" w:rsidP="00A63547">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A63547" w:rsidRPr="002322CE" w:rsidRDefault="00A63547" w:rsidP="00A63547">
            <w:pPr>
              <w:spacing w:before="60" w:after="60"/>
              <w:jc w:val="center"/>
              <w:rPr>
                <w:noProof/>
                <w:sz w:val="22"/>
              </w:rPr>
            </w:pPr>
            <w:r w:rsidRPr="002322CE">
              <w:rPr>
                <w:rFonts w:ascii="TimesNewRoman" w:hAnsi="TimesNewRoman" w:hint="eastAsia"/>
                <w:noProof/>
                <w:color w:val="000000"/>
              </w:rPr>
              <w:t> </w:t>
            </w:r>
            <w:r w:rsidRPr="002322CE">
              <w:rPr>
                <w:rFonts w:ascii="TimesNewRoman" w:hAnsi="TimesNewRoman"/>
                <w:noProof/>
                <w:color w:val="000000"/>
              </w:rPr>
              <w:t>683</w:t>
            </w:r>
            <w:r w:rsidRPr="002322CE">
              <w:rPr>
                <w:rFonts w:ascii="TimesNewRoman" w:hAnsi="TimesNewRoman" w:hint="eastAsia"/>
                <w:noProof/>
                <w:color w:val="000000"/>
              </w:rPr>
              <w:t> </w:t>
            </w:r>
            <w:r w:rsidRPr="002322CE">
              <w:rPr>
                <w:rFonts w:ascii="TimesNewRoman" w:hAnsi="TimesNewRoman"/>
                <w:noProof/>
                <w:color w:val="000000"/>
              </w:rPr>
              <w:t>850</w:t>
            </w:r>
          </w:p>
        </w:tc>
      </w:tr>
      <w:tr w:rsidR="00A63547" w:rsidRPr="006E2470" w:rsidTr="001D5990">
        <w:tc>
          <w:tcPr>
            <w:tcW w:w="4644" w:type="dxa"/>
            <w:shd w:val="clear" w:color="auto" w:fill="auto"/>
          </w:tcPr>
          <w:p w:rsidR="00A63547" w:rsidRPr="006E2470" w:rsidRDefault="00A63547" w:rsidP="00A63547">
            <w:pPr>
              <w:spacing w:before="60" w:after="60"/>
              <w:jc w:val="left"/>
              <w:rPr>
                <w:rFonts w:eastAsia="Times New Roman"/>
                <w:noProof/>
                <w:sz w:val="22"/>
              </w:rPr>
            </w:pPr>
            <w:r w:rsidRPr="006E2470">
              <w:rPr>
                <w:rFonts w:eastAsia="Times New Roman"/>
                <w:noProof/>
                <w:sz w:val="22"/>
              </w:rPr>
              <w:t>EGF contribution (</w:t>
            </w:r>
            <w:r>
              <w:rPr>
                <w:rFonts w:eastAsia="Times New Roman"/>
                <w:noProof/>
              </w:rPr>
              <w:t>60</w:t>
            </w:r>
            <w:r>
              <w:rPr>
                <w:rFonts w:eastAsia="Times New Roman"/>
                <w:noProof/>
                <w:sz w:val="22"/>
              </w:rPr>
              <w:t> </w:t>
            </w:r>
            <w:r w:rsidRPr="006E2470">
              <w:rPr>
                <w:rFonts w:eastAsia="Times New Roman"/>
                <w:noProof/>
                <w:sz w:val="22"/>
              </w:rPr>
              <w:t>% of total costs)</w:t>
            </w:r>
          </w:p>
        </w:tc>
        <w:tc>
          <w:tcPr>
            <w:tcW w:w="3096" w:type="dxa"/>
            <w:gridSpan w:val="2"/>
            <w:shd w:val="clear" w:color="auto" w:fill="D9D9D9"/>
            <w:vAlign w:val="center"/>
          </w:tcPr>
          <w:p w:rsidR="00A63547" w:rsidRPr="006E2470" w:rsidRDefault="00A63547" w:rsidP="00A63547">
            <w:pPr>
              <w:spacing w:before="60" w:after="60"/>
              <w:jc w:val="center"/>
              <w:rPr>
                <w:rFonts w:eastAsia="Times New Roman"/>
                <w:noProof/>
                <w:sz w:val="22"/>
              </w:rPr>
            </w:pPr>
            <w:r w:rsidRPr="006E2470">
              <w:rPr>
                <w:rFonts w:eastAsia="Times New Roman"/>
                <w:noProof/>
                <w:sz w:val="22"/>
              </w:rPr>
              <w:t>–</w:t>
            </w:r>
          </w:p>
        </w:tc>
        <w:tc>
          <w:tcPr>
            <w:tcW w:w="1548" w:type="dxa"/>
            <w:shd w:val="clear" w:color="auto" w:fill="auto"/>
          </w:tcPr>
          <w:p w:rsidR="00A63547" w:rsidRPr="002322CE" w:rsidRDefault="00A63547" w:rsidP="00A63547">
            <w:pPr>
              <w:spacing w:before="60" w:after="60"/>
              <w:jc w:val="center"/>
              <w:rPr>
                <w:rFonts w:eastAsia="Times New Roman"/>
                <w:noProof/>
                <w:sz w:val="22"/>
              </w:rPr>
            </w:pPr>
            <w:r w:rsidRPr="002322CE">
              <w:rPr>
                <w:rFonts w:ascii="TimesNewRoman" w:hAnsi="TimesNewRoman"/>
                <w:noProof/>
                <w:color w:val="000000"/>
              </w:rPr>
              <w:t>410</w:t>
            </w:r>
            <w:r w:rsidRPr="002322CE">
              <w:rPr>
                <w:rFonts w:ascii="TimesNewRoman" w:hAnsi="TimesNewRoman" w:hint="eastAsia"/>
                <w:noProof/>
                <w:color w:val="000000"/>
              </w:rPr>
              <w:t> </w:t>
            </w:r>
            <w:r w:rsidRPr="002322CE">
              <w:rPr>
                <w:rFonts w:ascii="TimesNewRoman" w:hAnsi="TimesNewRoman"/>
                <w:noProof/>
                <w:color w:val="000000"/>
              </w:rPr>
              <w:t>310</w:t>
            </w:r>
          </w:p>
        </w:tc>
      </w:tr>
    </w:tbl>
    <w:bookmarkEnd w:id="9"/>
    <w:p w:rsidR="00AA59F5" w:rsidRPr="002C07B0" w:rsidRDefault="00AA59F5" w:rsidP="00AA59F5">
      <w:pPr>
        <w:pStyle w:val="ManualNumPar1"/>
        <w:rPr>
          <w:noProof/>
          <w:szCs w:val="20"/>
        </w:rPr>
      </w:pPr>
      <w:r>
        <w:rPr>
          <w:noProof/>
        </w:rPr>
        <w:t>33.</w:t>
      </w:r>
      <w:r>
        <w:rPr>
          <w:noProof/>
        </w:rPr>
        <w:tab/>
      </w:r>
      <w:r w:rsidRPr="002C07B0">
        <w:rPr>
          <w:noProof/>
        </w:rPr>
        <w:t xml:space="preserve">The costs of the measures identified in the table above as measures under Article 7(2), second subparagraph, point (b), of Regulation (EU) 2021/691 do not exceed 35 % of the total costs for the coordinated package of personalised services. </w:t>
      </w:r>
      <w:r>
        <w:rPr>
          <w:noProof/>
        </w:rPr>
        <w:t>Finland</w:t>
      </w:r>
      <w:r w:rsidRPr="002C07B0">
        <w:rPr>
          <w:noProof/>
        </w:rPr>
        <w:t xml:space="preserve"> confirmed that these measures are conditional on the active participation of the targeted beneficiaries in job-search or training activities.</w:t>
      </w:r>
    </w:p>
    <w:p w:rsidR="00AA59F5" w:rsidRPr="002C07B0" w:rsidRDefault="00AA59F5" w:rsidP="00AA59F5">
      <w:pPr>
        <w:pStyle w:val="ManualNumPar1"/>
        <w:rPr>
          <w:noProof/>
        </w:rPr>
      </w:pPr>
      <w:r>
        <w:rPr>
          <w:noProof/>
        </w:rPr>
        <w:t>34.</w:t>
      </w:r>
      <w:r>
        <w:rPr>
          <w:noProof/>
        </w:rPr>
        <w:tab/>
      </w:r>
      <w:r w:rsidRPr="002C07B0">
        <w:rPr>
          <w:noProof/>
        </w:rPr>
        <w:t xml:space="preserve">In accordance with Article 7(2), fourth subparagraph, of Regulation (EU) 2021/691, </w:t>
      </w:r>
      <w:r>
        <w:rPr>
          <w:noProof/>
        </w:rPr>
        <w:t>Finland</w:t>
      </w:r>
      <w:r w:rsidRPr="002C07B0">
        <w:rPr>
          <w:noProof/>
        </w:rPr>
        <w:t xml:space="preserve"> confirmed that the costs of investments for self-employment, business start-ups and employee take-overs will not exceed EUR 22 000 per beneficiary.</w:t>
      </w:r>
    </w:p>
    <w:p w:rsidR="001A62D7" w:rsidRPr="002730E5" w:rsidRDefault="001A62D7" w:rsidP="001A62D7">
      <w:pPr>
        <w:pStyle w:val="ManualHeading3"/>
        <w:rPr>
          <w:noProof/>
        </w:rPr>
      </w:pPr>
      <w:r w:rsidRPr="002730E5">
        <w:rPr>
          <w:noProof/>
        </w:rPr>
        <w:t>Period of eligibility of expenditure</w:t>
      </w:r>
    </w:p>
    <w:p w:rsidR="007A26EC" w:rsidRPr="0009566F" w:rsidRDefault="007E3186" w:rsidP="009C50F6">
      <w:pPr>
        <w:pStyle w:val="ManualNumPar1"/>
        <w:rPr>
          <w:noProof/>
        </w:rPr>
      </w:pPr>
      <w:r>
        <w:rPr>
          <w:noProof/>
        </w:rPr>
        <w:t>35.</w:t>
      </w:r>
      <w:r>
        <w:rPr>
          <w:noProof/>
        </w:rPr>
        <w:tab/>
        <w:t>Finland</w:t>
      </w:r>
      <w:r w:rsidR="007A26EC" w:rsidRPr="0009566F">
        <w:rPr>
          <w:noProof/>
        </w:rPr>
        <w:t xml:space="preserve"> started providing the personalised services to the targeted beneficiaries on </w:t>
      </w:r>
      <w:r>
        <w:rPr>
          <w:noProof/>
        </w:rPr>
        <w:t>23</w:t>
      </w:r>
      <w:r w:rsidR="00C84E77">
        <w:rPr>
          <w:noProof/>
        </w:rPr>
        <w:t xml:space="preserve"> March 202</w:t>
      </w:r>
      <w:r>
        <w:rPr>
          <w:noProof/>
        </w:rPr>
        <w:t>6</w:t>
      </w:r>
      <w:r w:rsidR="007A26EC" w:rsidRPr="0009566F">
        <w:rPr>
          <w:noProof/>
        </w:rPr>
        <w:t xml:space="preserve">. The expenditure on the measures will therefore be eligible for a financial contribution from the EGF from </w:t>
      </w:r>
      <w:r>
        <w:rPr>
          <w:noProof/>
        </w:rPr>
        <w:t>23</w:t>
      </w:r>
      <w:r w:rsidR="00C84E77">
        <w:rPr>
          <w:noProof/>
        </w:rPr>
        <w:t xml:space="preserve"> March 202</w:t>
      </w:r>
      <w:r>
        <w:rPr>
          <w:noProof/>
        </w:rPr>
        <w:t>6</w:t>
      </w:r>
      <w:r w:rsidR="007A26EC" w:rsidRPr="0009566F">
        <w:rPr>
          <w:noProof/>
        </w:rPr>
        <w:t xml:space="preserve"> until 24 months after the date of the entry into force of the Financing Decision.</w:t>
      </w:r>
    </w:p>
    <w:p w:rsidR="007A26EC" w:rsidRPr="0009566F" w:rsidRDefault="007E3186" w:rsidP="009C50F6">
      <w:pPr>
        <w:pStyle w:val="ManualNumPar1"/>
        <w:rPr>
          <w:noProof/>
        </w:rPr>
      </w:pPr>
      <w:r>
        <w:rPr>
          <w:noProof/>
        </w:rPr>
        <w:t>36.</w:t>
      </w:r>
      <w:r>
        <w:rPr>
          <w:noProof/>
        </w:rPr>
        <w:tab/>
        <w:t>Finland</w:t>
      </w:r>
      <w:r w:rsidR="007A26EC" w:rsidRPr="0009566F">
        <w:rPr>
          <w:noProof/>
        </w:rPr>
        <w:t xml:space="preserve"> started incurring the administrative expenditure to implement the EGF on </w:t>
      </w:r>
      <w:r>
        <w:rPr>
          <w:noProof/>
        </w:rPr>
        <w:t>23</w:t>
      </w:r>
      <w:r w:rsidR="007A26EC" w:rsidRPr="0009566F">
        <w:rPr>
          <w:noProof/>
        </w:rPr>
        <w:t xml:space="preserve"> March 202</w:t>
      </w:r>
      <w:r>
        <w:rPr>
          <w:noProof/>
        </w:rPr>
        <w:t>6</w:t>
      </w:r>
      <w:r w:rsidR="007A26EC" w:rsidRPr="0009566F">
        <w:rPr>
          <w:noProof/>
        </w:rPr>
        <w:t xml:space="preserve">. The expenditure for preparatory, management, information and publicity, control and reporting activities shall therefore be eligible for a financial contribution from the EGF from </w:t>
      </w:r>
      <w:r>
        <w:rPr>
          <w:noProof/>
        </w:rPr>
        <w:t>23</w:t>
      </w:r>
      <w:r w:rsidR="007A26EC" w:rsidRPr="0009566F">
        <w:rPr>
          <w:noProof/>
        </w:rPr>
        <w:t xml:space="preserve"> March 202</w:t>
      </w:r>
      <w:r>
        <w:rPr>
          <w:noProof/>
        </w:rPr>
        <w:t>6</w:t>
      </w:r>
      <w:r w:rsidR="007A26EC" w:rsidRPr="0009566F">
        <w:rPr>
          <w:noProof/>
        </w:rPr>
        <w:t xml:space="preserve"> until 31 months after the date of the entry into force of the Financing Decision.  </w:t>
      </w:r>
    </w:p>
    <w:p w:rsidR="001A62D7" w:rsidRPr="007D6186" w:rsidRDefault="001A62D7" w:rsidP="001A62D7">
      <w:pPr>
        <w:pStyle w:val="ManualHeading2"/>
        <w:rPr>
          <w:noProof/>
        </w:rPr>
      </w:pPr>
      <w:r w:rsidRPr="007D6186">
        <w:rPr>
          <w:noProof/>
        </w:rPr>
        <w:t>Management and control systems</w:t>
      </w:r>
    </w:p>
    <w:p w:rsidR="007A26EC" w:rsidRPr="007D6186" w:rsidRDefault="007A26EC" w:rsidP="009C50F6">
      <w:pPr>
        <w:pStyle w:val="ManualNumPar1"/>
        <w:rPr>
          <w:noProof/>
        </w:rPr>
      </w:pPr>
      <w:r>
        <w:rPr>
          <w:noProof/>
        </w:rPr>
        <w:t>37.</w:t>
      </w:r>
      <w:r>
        <w:rPr>
          <w:noProof/>
        </w:rPr>
        <w:tab/>
      </w:r>
      <w:r w:rsidRPr="007D6186">
        <w:rPr>
          <w:noProof/>
        </w:rPr>
        <w:t xml:space="preserve">The application contains a description of the management and control system required under Article 23 of Regulation (EU) 2021/691, which specifies the responsibilities of the bodies involved. </w:t>
      </w:r>
      <w:r w:rsidR="00B24C2C" w:rsidRPr="007D6186">
        <w:rPr>
          <w:noProof/>
        </w:rPr>
        <w:t>Finland</w:t>
      </w:r>
      <w:r w:rsidRPr="007D6186">
        <w:rPr>
          <w:noProof/>
        </w:rPr>
        <w:t xml:space="preserve"> has notified the Commission that the financial contribution will be </w:t>
      </w:r>
      <w:r w:rsidR="00BC333F" w:rsidRPr="007D6186">
        <w:rPr>
          <w:noProof/>
        </w:rPr>
        <w:t xml:space="preserve">managed and controlled </w:t>
      </w:r>
      <w:r w:rsidRPr="007D6186">
        <w:rPr>
          <w:noProof/>
        </w:rPr>
        <w:t xml:space="preserve">by </w:t>
      </w:r>
      <w:r w:rsidR="0079639E" w:rsidRPr="007D6186">
        <w:rPr>
          <w:noProof/>
        </w:rPr>
        <w:t xml:space="preserve">the Ministry of </w:t>
      </w:r>
      <w:r w:rsidR="00BC333F" w:rsidRPr="007D6186">
        <w:rPr>
          <w:noProof/>
          <w:color w:val="000000"/>
        </w:rPr>
        <w:t xml:space="preserve">Economic Affairs and </w:t>
      </w:r>
      <w:r w:rsidR="0079639E" w:rsidRPr="007D6186">
        <w:rPr>
          <w:noProof/>
        </w:rPr>
        <w:t>Employment</w:t>
      </w:r>
      <w:r w:rsidR="00BC333F" w:rsidRPr="007D6186">
        <w:rPr>
          <w:noProof/>
        </w:rPr>
        <w:t>, by the same units who act as managing and certifying authority for ESF</w:t>
      </w:r>
      <w:r w:rsidR="001B2E14">
        <w:rPr>
          <w:noProof/>
        </w:rPr>
        <w:t>+ in Finland</w:t>
      </w:r>
      <w:r w:rsidRPr="007D6186">
        <w:rPr>
          <w:noProof/>
        </w:rPr>
        <w:t>.</w:t>
      </w:r>
      <w:r w:rsidR="003A0B2C" w:rsidRPr="007D6186">
        <w:rPr>
          <w:noProof/>
        </w:rPr>
        <w:t xml:space="preserve"> </w:t>
      </w:r>
      <w:r w:rsidRPr="007D6186">
        <w:rPr>
          <w:noProof/>
        </w:rPr>
        <w:t xml:space="preserve">The </w:t>
      </w:r>
      <w:r w:rsidR="0079639E" w:rsidRPr="007D6186">
        <w:rPr>
          <w:noProof/>
          <w:color w:val="000000"/>
        </w:rPr>
        <w:t xml:space="preserve">independent Internal audit under the authority of the Permanent Secretary of the Ministry </w:t>
      </w:r>
      <w:r w:rsidR="007D6186" w:rsidRPr="007D6186">
        <w:rPr>
          <w:noProof/>
        </w:rPr>
        <w:t xml:space="preserve">of </w:t>
      </w:r>
      <w:r w:rsidR="007D6186" w:rsidRPr="007D6186">
        <w:rPr>
          <w:noProof/>
          <w:color w:val="000000"/>
        </w:rPr>
        <w:t xml:space="preserve">Economic Affairs and </w:t>
      </w:r>
      <w:r w:rsidR="007D6186" w:rsidRPr="007D6186">
        <w:rPr>
          <w:noProof/>
        </w:rPr>
        <w:t xml:space="preserve">Employment </w:t>
      </w:r>
      <w:r w:rsidR="003A0B2C" w:rsidRPr="007D6186">
        <w:rPr>
          <w:noProof/>
        </w:rPr>
        <w:t>acts a</w:t>
      </w:r>
      <w:r w:rsidRPr="007D6186">
        <w:rPr>
          <w:noProof/>
        </w:rPr>
        <w:t xml:space="preserve">s the audit authority for the EGF. </w:t>
      </w:r>
    </w:p>
    <w:p w:rsidR="001A62D7" w:rsidRDefault="001A62D7" w:rsidP="001A62D7">
      <w:pPr>
        <w:pStyle w:val="ManualHeading2"/>
        <w:rPr>
          <w:noProof/>
        </w:rPr>
      </w:pPr>
      <w:r w:rsidRPr="00A144B7">
        <w:rPr>
          <w:noProof/>
        </w:rPr>
        <w:lastRenderedPageBreak/>
        <w:t>Commitments provided by the Member State concerned</w:t>
      </w:r>
    </w:p>
    <w:p w:rsidR="001A62D7" w:rsidRDefault="007E3186" w:rsidP="009C50F6">
      <w:pPr>
        <w:pStyle w:val="ManualNumPar1"/>
        <w:rPr>
          <w:noProof/>
        </w:rPr>
      </w:pPr>
      <w:r>
        <w:rPr>
          <w:noProof/>
        </w:rPr>
        <w:t>38.</w:t>
      </w:r>
      <w:r>
        <w:rPr>
          <w:noProof/>
        </w:rPr>
        <w:tab/>
        <w:t>Finland</w:t>
      </w:r>
      <w:r w:rsidR="001A62D7">
        <w:rPr>
          <w:noProof/>
        </w:rPr>
        <w:t xml:space="preserve"> has provided all necessary assurances regarding the following: </w:t>
      </w:r>
    </w:p>
    <w:p w:rsidR="001A62D7" w:rsidRDefault="001A62D7" w:rsidP="001A62D7">
      <w:pPr>
        <w:pStyle w:val="Tiret1"/>
        <w:rPr>
          <w:noProof/>
        </w:rPr>
      </w:pPr>
      <w:r>
        <w:rPr>
          <w:noProof/>
        </w:rPr>
        <w:t>the principles of equality of treatment and non-discrimination will be respected in access to the proposed measures and their implementation,</w:t>
      </w:r>
    </w:p>
    <w:p w:rsidR="001A62D7" w:rsidRDefault="001A62D7" w:rsidP="001A62D7">
      <w:pPr>
        <w:pStyle w:val="Tiret1"/>
        <w:rPr>
          <w:noProof/>
        </w:rPr>
      </w:pPr>
      <w:r>
        <w:rPr>
          <w:noProof/>
        </w:rPr>
        <w:t>the requirements laid down in national and EU legislation concerning collective redundancies have been complied with,</w:t>
      </w:r>
    </w:p>
    <w:p w:rsidR="001A62D7" w:rsidRDefault="001A62D7" w:rsidP="001A62D7">
      <w:pPr>
        <w:pStyle w:val="Tiret1"/>
        <w:rPr>
          <w:noProof/>
        </w:rPr>
      </w:pPr>
      <w:r>
        <w:rPr>
          <w:noProof/>
        </w:rPr>
        <w:t>any double financing will be prevented,</w:t>
      </w:r>
    </w:p>
    <w:p w:rsidR="001A62D7" w:rsidRDefault="001A62D7" w:rsidP="001A62D7">
      <w:pPr>
        <w:pStyle w:val="Tiret1"/>
        <w:rPr>
          <w:noProof/>
        </w:rPr>
      </w:pPr>
      <w:r>
        <w:rPr>
          <w:noProof/>
        </w:rPr>
        <w:t>the financial contribution from the EGF will comply with the procedural and material Union rules on State aid.</w:t>
      </w:r>
    </w:p>
    <w:p w:rsidR="001A62D7" w:rsidRPr="006F770D" w:rsidRDefault="001A62D7" w:rsidP="001A62D7">
      <w:pPr>
        <w:pStyle w:val="ManualHeading1"/>
        <w:rPr>
          <w:noProof/>
        </w:rPr>
      </w:pPr>
      <w:r>
        <w:rPr>
          <w:noProof/>
        </w:rPr>
        <w:t>BUDGETARY IMPLICATION</w:t>
      </w:r>
    </w:p>
    <w:p w:rsidR="001A62D7" w:rsidRDefault="001A62D7" w:rsidP="001A62D7">
      <w:pPr>
        <w:pStyle w:val="ManualHeading2"/>
        <w:rPr>
          <w:noProof/>
        </w:rPr>
      </w:pPr>
      <w:r w:rsidRPr="00FD7C2F">
        <w:rPr>
          <w:noProof/>
        </w:rPr>
        <w:t>Budgetary proposal</w:t>
      </w:r>
    </w:p>
    <w:p w:rsidR="001A62D7" w:rsidRPr="0096300F" w:rsidRDefault="001A62D7" w:rsidP="009C50F6">
      <w:pPr>
        <w:pStyle w:val="ManualNumPar1"/>
        <w:rPr>
          <w:noProof/>
        </w:rPr>
      </w:pPr>
      <w:r>
        <w:rPr>
          <w:noProof/>
        </w:rPr>
        <w:t>39.</w:t>
      </w:r>
      <w:r>
        <w:rPr>
          <w:noProof/>
        </w:rPr>
        <w:tab/>
        <w:t xml:space="preserve">The EGF shall not exceed a maximum annual amount of </w:t>
      </w:r>
      <w:r w:rsidRPr="00B43DF2">
        <w:rPr>
          <w:noProof/>
        </w:rPr>
        <w:t>EUR </w:t>
      </w:r>
      <w:r>
        <w:rPr>
          <w:noProof/>
        </w:rPr>
        <w:t>30</w:t>
      </w:r>
      <w:r w:rsidRPr="00B43DF2">
        <w:rPr>
          <w:noProof/>
        </w:rPr>
        <w:t xml:space="preserve"> million </w:t>
      </w:r>
      <w:r w:rsidRPr="0089670E">
        <w:rPr>
          <w:noProof/>
        </w:rPr>
        <w:t>(in 2018 prices)</w:t>
      </w:r>
      <w:r>
        <w:rPr>
          <w:noProof/>
        </w:rPr>
        <w:t xml:space="preserve">, as laid down in Article 8 of </w:t>
      </w:r>
      <w:r w:rsidRPr="0089670E">
        <w:rPr>
          <w:noProof/>
        </w:rPr>
        <w:t>Council Regulation (EU, Euratom) 2020/2093 of 17 December 2020 laying down the multiannual financial framework for the years 2021 to 2027</w:t>
      </w:r>
      <w:r>
        <w:rPr>
          <w:rStyle w:val="FootnoteReference"/>
          <w:noProof/>
        </w:rPr>
        <w:footnoteReference w:id="18"/>
      </w:r>
      <w:r w:rsidR="00517E70">
        <w:rPr>
          <w:noProof/>
        </w:rPr>
        <w:t>.</w:t>
      </w:r>
    </w:p>
    <w:p w:rsidR="001A62D7" w:rsidRDefault="001A62D7" w:rsidP="009C50F6">
      <w:pPr>
        <w:pStyle w:val="ManualNumPar1"/>
        <w:rPr>
          <w:rFonts w:eastAsia="Calibri"/>
          <w:noProof/>
        </w:rPr>
      </w:pPr>
      <w:r>
        <w:rPr>
          <w:noProof/>
        </w:rPr>
        <w:t>40.</w:t>
      </w:r>
      <w:r>
        <w:rPr>
          <w:noProof/>
        </w:rPr>
        <w:tab/>
        <w:t>Having examined the application in respect of the conditions set out in Article 13(1) and (2) of Regulation (EU) 2021/691, and having taken into account the number of targeted beneficiaries, the proposed measures and the estimated costs, the Commission proposes to mobilise the EGF for the amount of EUR</w:t>
      </w:r>
      <w:r w:rsidR="00B16D40">
        <w:rPr>
          <w:noProof/>
        </w:rPr>
        <w:t> </w:t>
      </w:r>
      <w:r w:rsidR="00B24C2C" w:rsidRPr="002322CE">
        <w:rPr>
          <w:rFonts w:ascii="TimesNewRoman" w:hAnsi="TimesNewRoman"/>
          <w:noProof/>
          <w:color w:val="000000"/>
        </w:rPr>
        <w:t>410</w:t>
      </w:r>
      <w:r w:rsidR="00B24C2C" w:rsidRPr="002322CE">
        <w:rPr>
          <w:rFonts w:ascii="TimesNewRoman" w:hAnsi="TimesNewRoman" w:hint="eastAsia"/>
          <w:noProof/>
          <w:color w:val="000000"/>
        </w:rPr>
        <w:t> </w:t>
      </w:r>
      <w:r w:rsidR="00B24C2C" w:rsidRPr="002322CE">
        <w:rPr>
          <w:rFonts w:ascii="TimesNewRoman" w:hAnsi="TimesNewRoman"/>
          <w:noProof/>
          <w:color w:val="000000"/>
        </w:rPr>
        <w:t>310</w:t>
      </w:r>
      <w:r>
        <w:rPr>
          <w:rFonts w:eastAsia="Calibri"/>
          <w:noProof/>
        </w:rPr>
        <w:t xml:space="preserve">, representing </w:t>
      </w:r>
      <w:r w:rsidR="00B24C2C">
        <w:rPr>
          <w:rFonts w:eastAsia="Calibri"/>
          <w:noProof/>
        </w:rPr>
        <w:t>60</w:t>
      </w:r>
      <w:r>
        <w:rPr>
          <w:rFonts w:eastAsia="Calibri"/>
          <w:noProof/>
        </w:rPr>
        <w:t> % of the total costs of the proposed measures,</w:t>
      </w:r>
      <w:r>
        <w:rPr>
          <w:noProof/>
        </w:rPr>
        <w:t xml:space="preserve"> </w:t>
      </w:r>
      <w:r>
        <w:rPr>
          <w:rFonts w:eastAsia="Calibri"/>
          <w:noProof/>
        </w:rPr>
        <w:t>in order to provide a financial contribution for the application.</w:t>
      </w:r>
    </w:p>
    <w:p w:rsidR="001A62D7" w:rsidRPr="00C370E1" w:rsidRDefault="001A62D7" w:rsidP="009C50F6">
      <w:pPr>
        <w:pStyle w:val="ManualNumPar1"/>
        <w:rPr>
          <w:rFonts w:eastAsia="Times New Roman"/>
          <w:noProof/>
        </w:rPr>
      </w:pPr>
      <w:r>
        <w:rPr>
          <w:noProof/>
        </w:rPr>
        <w:t>41.</w:t>
      </w:r>
      <w:r>
        <w:rPr>
          <w:noProof/>
        </w:rPr>
        <w:tab/>
        <w:t xml:space="preserve">The proposed decision to mobilise the EGF will be taken jointly by the European Parliament and the Council pursuant to Article 15(1), first subparagraph, second sentence, of Regulation (EU) 2021/691 and, as laid down in point 9 of the </w:t>
      </w:r>
      <w:r w:rsidRPr="00E544E0">
        <w:rPr>
          <w:noProof/>
        </w:rPr>
        <w:t>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Style w:val="FootnoteReference"/>
          <w:noProof/>
        </w:rPr>
        <w:footnoteReference w:id="19"/>
      </w:r>
      <w:r>
        <w:rPr>
          <w:noProof/>
        </w:rPr>
        <w:t>.</w:t>
      </w:r>
    </w:p>
    <w:p w:rsidR="001A62D7" w:rsidRDefault="001A62D7" w:rsidP="001A62D7">
      <w:pPr>
        <w:pStyle w:val="ManualHeading2"/>
        <w:rPr>
          <w:noProof/>
        </w:rPr>
      </w:pPr>
      <w:r w:rsidRPr="00C850D7">
        <w:rPr>
          <w:noProof/>
        </w:rPr>
        <w:t>Related acts</w:t>
      </w:r>
    </w:p>
    <w:p w:rsidR="001A62D7" w:rsidRPr="00E544E0" w:rsidRDefault="001A62D7" w:rsidP="009C50F6">
      <w:pPr>
        <w:pStyle w:val="ManualNumPar1"/>
        <w:rPr>
          <w:noProof/>
        </w:rPr>
      </w:pPr>
      <w:r>
        <w:rPr>
          <w:noProof/>
        </w:rPr>
        <w:t>42.</w:t>
      </w:r>
      <w:r>
        <w:rPr>
          <w:noProof/>
        </w:rPr>
        <w:tab/>
        <w:t>At the same time as it presents this proposal for a decision to mobilise the EGF, the Commission will present to the European Parliament and to the Council a proposal to transfer to the relevant budgetary line the amount of EUR</w:t>
      </w:r>
      <w:r w:rsidR="00B16D40">
        <w:rPr>
          <w:noProof/>
        </w:rPr>
        <w:t> </w:t>
      </w:r>
      <w:r w:rsidR="00194F20" w:rsidRPr="002322CE">
        <w:rPr>
          <w:rFonts w:ascii="TimesNewRoman" w:hAnsi="TimesNewRoman"/>
          <w:noProof/>
          <w:color w:val="000000"/>
        </w:rPr>
        <w:t>410</w:t>
      </w:r>
      <w:r w:rsidR="00194F20" w:rsidRPr="002322CE">
        <w:rPr>
          <w:rFonts w:ascii="TimesNewRoman" w:hAnsi="TimesNewRoman" w:hint="eastAsia"/>
          <w:noProof/>
          <w:color w:val="000000"/>
        </w:rPr>
        <w:t> </w:t>
      </w:r>
      <w:r w:rsidR="00194F20" w:rsidRPr="002322CE">
        <w:rPr>
          <w:rFonts w:ascii="TimesNewRoman" w:hAnsi="TimesNewRoman"/>
          <w:noProof/>
          <w:color w:val="000000"/>
        </w:rPr>
        <w:t>310</w:t>
      </w:r>
      <w:r>
        <w:rPr>
          <w:noProof/>
        </w:rPr>
        <w:t>.</w:t>
      </w:r>
    </w:p>
    <w:p w:rsidR="001A62D7" w:rsidRPr="00BB42D9" w:rsidRDefault="001A62D7" w:rsidP="009C50F6">
      <w:pPr>
        <w:pStyle w:val="ManualNumPar1"/>
        <w:rPr>
          <w:noProof/>
        </w:rPr>
      </w:pPr>
      <w:r>
        <w:rPr>
          <w:noProof/>
        </w:rPr>
        <w:t>43.</w:t>
      </w:r>
      <w:r>
        <w:rPr>
          <w:noProof/>
        </w:rPr>
        <w:tab/>
        <w:t xml:space="preserve">At the same time as it adopted this proposal for a decision to mobilise the EGF, the Commission adopted a decision on a financial contribution </w:t>
      </w:r>
      <w:r w:rsidRPr="00E90B72">
        <w:rPr>
          <w:noProof/>
        </w:rPr>
        <w:t>that constitutes a financing decision within the mea</w:t>
      </w:r>
      <w:r>
        <w:rPr>
          <w:noProof/>
        </w:rPr>
        <w:t>ning</w:t>
      </w:r>
      <w:r w:rsidRPr="00E90B72">
        <w:rPr>
          <w:noProof/>
        </w:rPr>
        <w:t xml:space="preserve"> of Article 110 of </w:t>
      </w:r>
      <w:r w:rsidRPr="00B54269">
        <w:rPr>
          <w:noProof/>
        </w:rPr>
        <w:t>Regulation (EU, Euratom) 2024/2509</w:t>
      </w:r>
      <w:r>
        <w:rPr>
          <w:rStyle w:val="FootnoteReference"/>
          <w:noProof/>
        </w:rPr>
        <w:footnoteReference w:id="20"/>
      </w:r>
      <w:r>
        <w:rPr>
          <w:noProof/>
        </w:rPr>
        <w:t>. T</w:t>
      </w:r>
      <w:r w:rsidRPr="00853BB7">
        <w:rPr>
          <w:noProof/>
        </w:rPr>
        <w:t xml:space="preserve">hat </w:t>
      </w:r>
      <w:r>
        <w:rPr>
          <w:noProof/>
        </w:rPr>
        <w:t xml:space="preserve">financing </w:t>
      </w:r>
      <w:r w:rsidRPr="00853BB7">
        <w:rPr>
          <w:noProof/>
        </w:rPr>
        <w:t xml:space="preserve">decision </w:t>
      </w:r>
      <w:r>
        <w:rPr>
          <w:noProof/>
        </w:rPr>
        <w:t xml:space="preserve">will enter into force on the date on which the Commission is notified of the approval of the budgetary transfer by the European </w:t>
      </w:r>
      <w:r>
        <w:rPr>
          <w:noProof/>
        </w:rPr>
        <w:lastRenderedPageBreak/>
        <w:t>Parliament and the Council pursuant to Article 15(2), first</w:t>
      </w:r>
      <w:r w:rsidR="004B6215">
        <w:rPr>
          <w:noProof/>
        </w:rPr>
        <w:t xml:space="preserve"> </w:t>
      </w:r>
      <w:r>
        <w:rPr>
          <w:noProof/>
        </w:rPr>
        <w:t>subparagraph, of Regulation (EU) 2021/691.</w:t>
      </w:r>
    </w:p>
    <w:p w:rsidR="001A62D7" w:rsidRPr="00A9097A" w:rsidRDefault="001A62D7" w:rsidP="001A62D7">
      <w:pPr>
        <w:rPr>
          <w:noProof/>
        </w:rPr>
        <w:sectPr w:rsidR="001A62D7" w:rsidRPr="00A9097A" w:rsidSect="0075659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pgNumType w:start="1"/>
          <w:cols w:space="708"/>
          <w:docGrid w:linePitch="360"/>
        </w:sectPr>
      </w:pPr>
    </w:p>
    <w:p w:rsidR="007D6B82" w:rsidRDefault="00CD4883">
      <w:pPr>
        <w:pStyle w:val="Rfrenceinterinstitutionnelle"/>
        <w:rPr>
          <w:noProof/>
        </w:rPr>
      </w:pPr>
      <w:r>
        <w:rPr>
          <w:noProof/>
        </w:rPr>
        <w:lastRenderedPageBreak/>
        <w:t>2026/0220 (BUD)</w:t>
      </w:r>
    </w:p>
    <w:p w:rsidR="001A62D7" w:rsidRPr="00A9097A" w:rsidRDefault="001E1AFF" w:rsidP="001E1AFF">
      <w:pPr>
        <w:pStyle w:val="Statut"/>
        <w:rPr>
          <w:noProof/>
        </w:rPr>
      </w:pPr>
      <w:r w:rsidRPr="001E1AFF">
        <w:rPr>
          <w:noProof/>
        </w:rPr>
        <w:t>Proposal for a</w:t>
      </w:r>
    </w:p>
    <w:p w:rsidR="001A62D7" w:rsidRPr="00A9097A" w:rsidRDefault="001E1AFF" w:rsidP="001E1AFF">
      <w:pPr>
        <w:pStyle w:val="Typedudocument"/>
        <w:rPr>
          <w:noProof/>
        </w:rPr>
      </w:pPr>
      <w:r w:rsidRPr="001E1AFF">
        <w:rPr>
          <w:noProof/>
        </w:rPr>
        <w:t>DECISION OF THE EUROPEAN PARLIAMENT AND OF THE COUNCIL</w:t>
      </w:r>
    </w:p>
    <w:p w:rsidR="001A62D7" w:rsidRPr="00A9097A" w:rsidRDefault="001E1AFF" w:rsidP="001E1AFF">
      <w:pPr>
        <w:pStyle w:val="Titreobjet"/>
        <w:rPr>
          <w:noProof/>
        </w:rPr>
      </w:pPr>
      <w:r w:rsidRPr="001E1AFF">
        <w:rPr>
          <w:noProof/>
        </w:rPr>
        <w:t>on the mobilisation of the European Globalisation Adjustment Fund for Displaced Workers following an application from Finland – EGF/2026/003 FI/Valmet Automotive</w:t>
      </w:r>
    </w:p>
    <w:p w:rsidR="001A62D7" w:rsidRDefault="001A62D7" w:rsidP="001A62D7">
      <w:pPr>
        <w:pStyle w:val="Institutionquiagit"/>
        <w:rPr>
          <w:noProof/>
        </w:rPr>
      </w:pPr>
      <w:r>
        <w:rPr>
          <w:noProof/>
        </w:rPr>
        <w:t>THE EUROPEAN PARLIAMENT AND THE COUNCIL OF THE EUROPEAN UNION,</w:t>
      </w:r>
    </w:p>
    <w:p w:rsidR="001A62D7" w:rsidRDefault="001A62D7" w:rsidP="001A62D7">
      <w:pPr>
        <w:rPr>
          <w:noProof/>
        </w:rPr>
      </w:pPr>
      <w:r>
        <w:rPr>
          <w:noProof/>
        </w:rPr>
        <w:t>Having regard to the Treaty on the Functioning of the European Union,</w:t>
      </w:r>
    </w:p>
    <w:p w:rsidR="001A62D7" w:rsidRDefault="001A62D7" w:rsidP="001A62D7">
      <w:pPr>
        <w:rPr>
          <w:noProof/>
        </w:rPr>
      </w:pPr>
      <w:r w:rsidRPr="00973296">
        <w:rPr>
          <w:noProof/>
        </w:rPr>
        <w:t>Having regard to Regulation (EU) 2021/691 of the European Parliament and of the Council of 28 April 2021 on the European Globalisation Adjustment Fund for Displaced Workers (EGF) and repealing Regulation (EU) No 1309/2013</w:t>
      </w:r>
      <w:r w:rsidRPr="00973296">
        <w:rPr>
          <w:rStyle w:val="FootnoteReference"/>
          <w:noProof/>
        </w:rPr>
        <w:footnoteReference w:id="21"/>
      </w:r>
      <w:r w:rsidRPr="00973296">
        <w:rPr>
          <w:noProof/>
        </w:rPr>
        <w:t>, and in particular Article 15(1)</w:t>
      </w:r>
      <w:r>
        <w:rPr>
          <w:noProof/>
        </w:rPr>
        <w:t>, first subparagraph,</w:t>
      </w:r>
      <w:r w:rsidRPr="00973296">
        <w:rPr>
          <w:noProof/>
        </w:rPr>
        <w:t xml:space="preserve"> thereof,</w:t>
      </w:r>
    </w:p>
    <w:p w:rsidR="001A62D7" w:rsidRDefault="001A62D7" w:rsidP="001A62D7">
      <w:pPr>
        <w:rPr>
          <w:noProof/>
        </w:rPr>
      </w:pPr>
      <w:r w:rsidRPr="006C1641">
        <w:rPr>
          <w:noProof/>
        </w:rPr>
        <w:t xml:space="preserve">Having regard to the </w:t>
      </w:r>
      <w:r w:rsidRPr="008238DD">
        <w:rPr>
          <w:noProof/>
        </w:rPr>
        <w:t>Interinstitutional Agreement of 16 December 2020 between the European Parliament, the Council of the European Union and the European Commission on budgetary discipline, on cooperation in budgetary matters and on sound financial management, as well as on new own resources, including a roadmap towards the introduction of new own resources</w:t>
      </w:r>
      <w:r>
        <w:rPr>
          <w:rStyle w:val="FootnoteReference"/>
          <w:noProof/>
        </w:rPr>
        <w:footnoteReference w:id="22"/>
      </w:r>
      <w:r>
        <w:rPr>
          <w:noProof/>
        </w:rPr>
        <w:t xml:space="preserve">, </w:t>
      </w:r>
      <w:r w:rsidRPr="006C1641">
        <w:rPr>
          <w:noProof/>
        </w:rPr>
        <w:t xml:space="preserve">and in particular point </w:t>
      </w:r>
      <w:r>
        <w:rPr>
          <w:noProof/>
        </w:rPr>
        <w:t>9</w:t>
      </w:r>
      <w:r w:rsidRPr="006C1641">
        <w:rPr>
          <w:noProof/>
        </w:rPr>
        <w:t xml:space="preserve"> thereof,</w:t>
      </w:r>
    </w:p>
    <w:p w:rsidR="001A62D7" w:rsidRDefault="001A62D7" w:rsidP="001A62D7">
      <w:pPr>
        <w:rPr>
          <w:noProof/>
        </w:rPr>
      </w:pPr>
      <w:r>
        <w:rPr>
          <w:noProof/>
        </w:rPr>
        <w:t>Having regard to the proposal from the European Commission,</w:t>
      </w:r>
    </w:p>
    <w:p w:rsidR="001A62D7" w:rsidRDefault="001A62D7" w:rsidP="001A62D7">
      <w:pPr>
        <w:rPr>
          <w:noProof/>
        </w:rPr>
      </w:pPr>
      <w:r>
        <w:rPr>
          <w:noProof/>
        </w:rPr>
        <w:t>Whereas:</w:t>
      </w:r>
    </w:p>
    <w:p w:rsidR="001A62D7" w:rsidRDefault="001A62D7" w:rsidP="009C50F6">
      <w:pPr>
        <w:pStyle w:val="ManualConsidrant"/>
        <w:rPr>
          <w:noProof/>
        </w:rPr>
      </w:pPr>
      <w:r>
        <w:rPr>
          <w:noProof/>
        </w:rPr>
        <w:t>(1)</w:t>
      </w:r>
      <w:r>
        <w:rPr>
          <w:noProof/>
        </w:rPr>
        <w:tab/>
        <w:t xml:space="preserve">The European Globalisation Adjustment Fund for Displaced Workers (EGF) aims to demonstrate solidarity and promote decent and sustainable employment in the Union by providing support for workers made redundant and self-employed persons whose activity has ceased in the case of major restructuring events and assisting them in returning to decent and sustainable employment as soon as possible. </w:t>
      </w:r>
    </w:p>
    <w:p w:rsidR="001A62D7" w:rsidRDefault="001A62D7" w:rsidP="009C50F6">
      <w:pPr>
        <w:pStyle w:val="ManualConsidrant"/>
        <w:rPr>
          <w:noProof/>
        </w:rPr>
      </w:pPr>
      <w:r>
        <w:rPr>
          <w:noProof/>
        </w:rPr>
        <w:t>(2)</w:t>
      </w:r>
      <w:r>
        <w:rPr>
          <w:noProof/>
        </w:rPr>
        <w:tab/>
      </w:r>
      <w:r w:rsidRPr="008D462D">
        <w:rPr>
          <w:noProof/>
        </w:rPr>
        <w:t xml:space="preserve">The EGF </w:t>
      </w:r>
      <w:r>
        <w:rPr>
          <w:noProof/>
        </w:rPr>
        <w:t>is</w:t>
      </w:r>
      <w:r w:rsidRPr="008D462D">
        <w:rPr>
          <w:noProof/>
        </w:rPr>
        <w:t xml:space="preserve"> not </w:t>
      </w:r>
      <w:r>
        <w:rPr>
          <w:noProof/>
        </w:rPr>
        <w:t xml:space="preserve">to </w:t>
      </w:r>
      <w:r w:rsidRPr="008D462D">
        <w:rPr>
          <w:noProof/>
        </w:rPr>
        <w:t xml:space="preserve">exceed a maximum annual amount of </w:t>
      </w:r>
      <w:r w:rsidRPr="00B43DF2">
        <w:rPr>
          <w:noProof/>
        </w:rPr>
        <w:t>EUR </w:t>
      </w:r>
      <w:r>
        <w:rPr>
          <w:noProof/>
        </w:rPr>
        <w:t>30</w:t>
      </w:r>
      <w:r w:rsidRPr="00B43DF2">
        <w:rPr>
          <w:noProof/>
        </w:rPr>
        <w:t xml:space="preserve"> million </w:t>
      </w:r>
      <w:r w:rsidRPr="00270F9D">
        <w:rPr>
          <w:noProof/>
        </w:rPr>
        <w:t>(in 2018 prices), as laid down in Article 8 of Council Reg</w:t>
      </w:r>
      <w:r>
        <w:rPr>
          <w:noProof/>
        </w:rPr>
        <w:t>ulation (EU, Euratom) 2020/2093</w:t>
      </w:r>
      <w:r w:rsidRPr="008D462D">
        <w:rPr>
          <w:rStyle w:val="FootnoteReference"/>
          <w:noProof/>
        </w:rPr>
        <w:footnoteReference w:id="23"/>
      </w:r>
      <w:r>
        <w:rPr>
          <w:noProof/>
        </w:rPr>
        <w:t>, and Article 16 of Regulation (EU) 2021/691</w:t>
      </w:r>
      <w:r w:rsidRPr="00D53BB8">
        <w:rPr>
          <w:noProof/>
        </w:rPr>
        <w:t>.</w:t>
      </w:r>
    </w:p>
    <w:p w:rsidR="001A62D7" w:rsidRPr="001D4700" w:rsidRDefault="001A62D7" w:rsidP="009C50F6">
      <w:pPr>
        <w:pStyle w:val="ManualConsidrant"/>
        <w:rPr>
          <w:noProof/>
        </w:rPr>
      </w:pPr>
      <w:r>
        <w:rPr>
          <w:noProof/>
        </w:rPr>
        <w:t>(3)</w:t>
      </w:r>
      <w:r>
        <w:rPr>
          <w:noProof/>
        </w:rPr>
        <w:tab/>
        <w:t xml:space="preserve">On </w:t>
      </w:r>
      <w:r w:rsidR="00121B5E">
        <w:rPr>
          <w:noProof/>
        </w:rPr>
        <w:t>5</w:t>
      </w:r>
      <w:r w:rsidR="00B16D40">
        <w:rPr>
          <w:noProof/>
        </w:rPr>
        <w:t xml:space="preserve"> </w:t>
      </w:r>
      <w:r w:rsidR="00121B5E">
        <w:rPr>
          <w:noProof/>
        </w:rPr>
        <w:t>May</w:t>
      </w:r>
      <w:r w:rsidR="00B16D40">
        <w:rPr>
          <w:noProof/>
        </w:rPr>
        <w:t xml:space="preserve"> 202</w:t>
      </w:r>
      <w:r w:rsidR="00121B5E">
        <w:rPr>
          <w:noProof/>
        </w:rPr>
        <w:t>6</w:t>
      </w:r>
      <w:r>
        <w:rPr>
          <w:noProof/>
        </w:rPr>
        <w:t xml:space="preserve">, </w:t>
      </w:r>
      <w:r w:rsidR="00121B5E">
        <w:rPr>
          <w:noProof/>
        </w:rPr>
        <w:t>Finland</w:t>
      </w:r>
      <w:r>
        <w:rPr>
          <w:noProof/>
        </w:rPr>
        <w:t xml:space="preserve"> </w:t>
      </w:r>
      <w:r w:rsidRPr="008D462D">
        <w:rPr>
          <w:noProof/>
        </w:rPr>
        <w:t xml:space="preserve">submitted </w:t>
      </w:r>
      <w:r>
        <w:rPr>
          <w:noProof/>
        </w:rPr>
        <w:t xml:space="preserve">an </w:t>
      </w:r>
      <w:r w:rsidRPr="008D462D">
        <w:rPr>
          <w:noProof/>
        </w:rPr>
        <w:t xml:space="preserve">application </w:t>
      </w:r>
      <w:r>
        <w:rPr>
          <w:noProof/>
        </w:rPr>
        <w:t xml:space="preserve">to mobilise </w:t>
      </w:r>
      <w:r w:rsidRPr="008D462D">
        <w:rPr>
          <w:noProof/>
        </w:rPr>
        <w:t>the EGF</w:t>
      </w:r>
      <w:r>
        <w:rPr>
          <w:noProof/>
        </w:rPr>
        <w:t xml:space="preserve"> in accordance with Article 8(1) of Regulation (EU) 2021/691</w:t>
      </w:r>
      <w:r w:rsidRPr="008D462D">
        <w:rPr>
          <w:noProof/>
        </w:rPr>
        <w:t xml:space="preserve">, </w:t>
      </w:r>
      <w:r>
        <w:rPr>
          <w:noProof/>
        </w:rPr>
        <w:t>in respect of</w:t>
      </w:r>
      <w:r w:rsidRPr="008D462D">
        <w:rPr>
          <w:noProof/>
        </w:rPr>
        <w:t xml:space="preserve"> </w:t>
      </w:r>
      <w:r>
        <w:rPr>
          <w:noProof/>
        </w:rPr>
        <w:t>worker</w:t>
      </w:r>
      <w:r w:rsidR="00B75014">
        <w:rPr>
          <w:noProof/>
        </w:rPr>
        <w:t>s</w:t>
      </w:r>
      <w:r>
        <w:rPr>
          <w:noProof/>
        </w:rPr>
        <w:t>’</w:t>
      </w:r>
      <w:r w:rsidR="009C2DEC">
        <w:rPr>
          <w:noProof/>
        </w:rPr>
        <w:t xml:space="preserve"> </w:t>
      </w:r>
      <w:r>
        <w:rPr>
          <w:noProof/>
        </w:rPr>
        <w:t>displacements</w:t>
      </w:r>
      <w:r w:rsidR="008875E5">
        <w:rPr>
          <w:noProof/>
        </w:rPr>
        <w:t xml:space="preserve"> </w:t>
      </w:r>
      <w:r w:rsidR="008875E5" w:rsidRPr="009429ED">
        <w:rPr>
          <w:noProof/>
        </w:rPr>
        <w:t>in</w:t>
      </w:r>
      <w:r w:rsidR="008875E5">
        <w:rPr>
          <w:noProof/>
        </w:rPr>
        <w:t xml:space="preserve"> </w:t>
      </w:r>
      <w:r w:rsidR="00121B5E">
        <w:rPr>
          <w:noProof/>
        </w:rPr>
        <w:t xml:space="preserve">Valmet </w:t>
      </w:r>
      <w:r w:rsidR="00121B5E" w:rsidRPr="006E53E9">
        <w:rPr>
          <w:noProof/>
        </w:rPr>
        <w:t>Automotive</w:t>
      </w:r>
      <w:r w:rsidR="008875E5" w:rsidRPr="006E53E9">
        <w:rPr>
          <w:noProof/>
        </w:rPr>
        <w:t xml:space="preserve"> </w:t>
      </w:r>
      <w:r w:rsidR="00121B5E" w:rsidRPr="006E53E9">
        <w:rPr>
          <w:noProof/>
        </w:rPr>
        <w:t xml:space="preserve">and 5 sub-contractors </w:t>
      </w:r>
      <w:r w:rsidR="006E53E9" w:rsidRPr="006E53E9">
        <w:rPr>
          <w:noProof/>
        </w:rPr>
        <w:t>and suppliers</w:t>
      </w:r>
      <w:r w:rsidR="006E53E9">
        <w:rPr>
          <w:noProof/>
        </w:rPr>
        <w:t xml:space="preserve"> </w:t>
      </w:r>
      <w:r w:rsidR="008875E5">
        <w:rPr>
          <w:noProof/>
        </w:rPr>
        <w:t xml:space="preserve">in </w:t>
      </w:r>
      <w:r w:rsidR="00121B5E">
        <w:rPr>
          <w:noProof/>
        </w:rPr>
        <w:t>Finland</w:t>
      </w:r>
      <w:r w:rsidR="008875E5">
        <w:rPr>
          <w:noProof/>
        </w:rPr>
        <w:t xml:space="preserve">. </w:t>
      </w:r>
      <w:r w:rsidR="008875E5" w:rsidRPr="00932FBB">
        <w:rPr>
          <w:noProof/>
        </w:rPr>
        <w:t xml:space="preserve">It was supplemented by additional information provided in accordance with Article 8(5) of Regulation (EU) 2021/691. </w:t>
      </w:r>
      <w:r>
        <w:rPr>
          <w:noProof/>
        </w:rPr>
        <w:t xml:space="preserve">That application </w:t>
      </w:r>
      <w:r w:rsidRPr="001D4700">
        <w:rPr>
          <w:iCs/>
          <w:noProof/>
        </w:rPr>
        <w:t xml:space="preserve">is considered to comply </w:t>
      </w:r>
      <w:r w:rsidRPr="001D4700">
        <w:rPr>
          <w:noProof/>
        </w:rPr>
        <w:t xml:space="preserve">with the conditions for </w:t>
      </w:r>
      <w:r w:rsidRPr="001D4700">
        <w:rPr>
          <w:iCs/>
          <w:noProof/>
        </w:rPr>
        <w:t xml:space="preserve">providing </w:t>
      </w:r>
      <w:r w:rsidRPr="001D4700">
        <w:rPr>
          <w:noProof/>
        </w:rPr>
        <w:t xml:space="preserve">a financial contribution from the EGF as laid down in Article 13 of Regulation (EU) 2021/691, </w:t>
      </w:r>
      <w:r w:rsidRPr="001D4700">
        <w:rPr>
          <w:iCs/>
          <w:noProof/>
        </w:rPr>
        <w:t>on the basis of the assessment made by the Commission in the Proposal for a mobilisation decision of the European Parliament and of the Council</w:t>
      </w:r>
      <w:r>
        <w:rPr>
          <w:rStyle w:val="FootnoteReference"/>
          <w:iCs/>
          <w:noProof/>
        </w:rPr>
        <w:footnoteReference w:id="24"/>
      </w:r>
      <w:r w:rsidRPr="001D4700">
        <w:rPr>
          <w:iCs/>
          <w:noProof/>
        </w:rPr>
        <w:t>.</w:t>
      </w:r>
    </w:p>
    <w:p w:rsidR="001A62D7" w:rsidRDefault="001A62D7" w:rsidP="009C50F6">
      <w:pPr>
        <w:pStyle w:val="ManualConsidrant"/>
        <w:rPr>
          <w:noProof/>
        </w:rPr>
      </w:pPr>
      <w:r>
        <w:rPr>
          <w:noProof/>
        </w:rPr>
        <w:lastRenderedPageBreak/>
        <w:t>(4)</w:t>
      </w:r>
      <w:r>
        <w:rPr>
          <w:noProof/>
        </w:rPr>
        <w:tab/>
        <w:t>The EGF should, therefore, be mobilised in order to provide a financial contribution of EUR </w:t>
      </w:r>
      <w:r w:rsidR="00CC4703" w:rsidRPr="002322CE">
        <w:rPr>
          <w:rFonts w:ascii="TimesNewRoman" w:hAnsi="TimesNewRoman"/>
          <w:noProof/>
          <w:color w:val="000000"/>
        </w:rPr>
        <w:t>410</w:t>
      </w:r>
      <w:r w:rsidR="00CC4703" w:rsidRPr="002322CE">
        <w:rPr>
          <w:rFonts w:ascii="TimesNewRoman" w:hAnsi="TimesNewRoman" w:hint="eastAsia"/>
          <w:noProof/>
          <w:color w:val="000000"/>
        </w:rPr>
        <w:t> </w:t>
      </w:r>
      <w:r w:rsidR="00CC4703" w:rsidRPr="002322CE">
        <w:rPr>
          <w:rFonts w:ascii="TimesNewRoman" w:hAnsi="TimesNewRoman"/>
          <w:noProof/>
          <w:color w:val="000000"/>
        </w:rPr>
        <w:t>310</w:t>
      </w:r>
      <w:r>
        <w:rPr>
          <w:noProof/>
        </w:rPr>
        <w:t xml:space="preserve"> in respect of the application submitted by </w:t>
      </w:r>
      <w:r w:rsidR="00CC4703">
        <w:rPr>
          <w:noProof/>
        </w:rPr>
        <w:t>Finland</w:t>
      </w:r>
      <w:r>
        <w:rPr>
          <w:noProof/>
        </w:rPr>
        <w:t>.</w:t>
      </w:r>
    </w:p>
    <w:p w:rsidR="001A62D7" w:rsidRDefault="001A62D7" w:rsidP="009C50F6">
      <w:pPr>
        <w:pStyle w:val="ManualConsidrant"/>
        <w:rPr>
          <w:noProof/>
        </w:rPr>
      </w:pPr>
      <w:r>
        <w:rPr>
          <w:noProof/>
        </w:rPr>
        <w:t>(5)</w:t>
      </w:r>
      <w:r>
        <w:rPr>
          <w:noProof/>
        </w:rPr>
        <w:tab/>
      </w:r>
      <w:r w:rsidRPr="00370985">
        <w:rPr>
          <w:noProof/>
        </w:rPr>
        <w:t xml:space="preserve">In order to minimise the time taken to mobilise the EGF, this </w:t>
      </w:r>
      <w:r w:rsidR="00B75014">
        <w:rPr>
          <w:noProof/>
        </w:rPr>
        <w:t>D</w:t>
      </w:r>
      <w:r w:rsidRPr="00370985">
        <w:rPr>
          <w:noProof/>
        </w:rPr>
        <w:t>ecision should apply from the date of its adoption</w:t>
      </w:r>
      <w:r>
        <w:rPr>
          <w:noProof/>
        </w:rPr>
        <w:t>,</w:t>
      </w:r>
    </w:p>
    <w:p w:rsidR="001A62D7" w:rsidRDefault="001A62D7" w:rsidP="001A62D7">
      <w:pPr>
        <w:pStyle w:val="Formuledadoption"/>
        <w:rPr>
          <w:noProof/>
        </w:rPr>
      </w:pPr>
      <w:r>
        <w:rPr>
          <w:noProof/>
        </w:rPr>
        <w:t xml:space="preserve">HAVE ADOPTED THIS DECISION: </w:t>
      </w:r>
    </w:p>
    <w:p w:rsidR="001A62D7" w:rsidRDefault="001A62D7" w:rsidP="001A62D7">
      <w:pPr>
        <w:pStyle w:val="Titrearticle"/>
        <w:rPr>
          <w:noProof/>
        </w:rPr>
      </w:pPr>
      <w:r>
        <w:rPr>
          <w:noProof/>
        </w:rPr>
        <w:t>Article 1</w:t>
      </w:r>
    </w:p>
    <w:p w:rsidR="001A62D7" w:rsidRDefault="001A62D7" w:rsidP="001A62D7">
      <w:pPr>
        <w:rPr>
          <w:noProof/>
        </w:rPr>
      </w:pPr>
      <w:r>
        <w:rPr>
          <w:noProof/>
        </w:rPr>
        <w:t>For the general budget of the Union for the financial yea</w:t>
      </w:r>
      <w:r w:rsidRPr="00C129C8">
        <w:rPr>
          <w:noProof/>
        </w:rPr>
        <w:t xml:space="preserve">r </w:t>
      </w:r>
      <w:r w:rsidR="00BC0F8C" w:rsidRPr="00C129C8">
        <w:rPr>
          <w:noProof/>
        </w:rPr>
        <w:t>2026</w:t>
      </w:r>
      <w:r w:rsidRPr="00C129C8">
        <w:rPr>
          <w:noProof/>
        </w:rPr>
        <w:t>,</w:t>
      </w:r>
      <w:r>
        <w:rPr>
          <w:noProof/>
        </w:rPr>
        <w:t xml:space="preserve"> the European Globalisation Adjustment Fund for Displaced Workers shall be mobilised to provide the amount of EUR </w:t>
      </w:r>
      <w:r w:rsidR="00CC4703" w:rsidRPr="002322CE">
        <w:rPr>
          <w:rFonts w:ascii="TimesNewRoman" w:hAnsi="TimesNewRoman"/>
          <w:noProof/>
          <w:color w:val="000000"/>
        </w:rPr>
        <w:t>410</w:t>
      </w:r>
      <w:r w:rsidR="00CC4703" w:rsidRPr="002322CE">
        <w:rPr>
          <w:rFonts w:ascii="TimesNewRoman" w:hAnsi="TimesNewRoman" w:hint="eastAsia"/>
          <w:noProof/>
          <w:color w:val="000000"/>
        </w:rPr>
        <w:t> </w:t>
      </w:r>
      <w:r w:rsidR="00CC4703" w:rsidRPr="002322CE">
        <w:rPr>
          <w:rFonts w:ascii="TimesNewRoman" w:hAnsi="TimesNewRoman"/>
          <w:noProof/>
          <w:color w:val="000000"/>
        </w:rPr>
        <w:t>310</w:t>
      </w:r>
      <w:r>
        <w:rPr>
          <w:noProof/>
        </w:rPr>
        <w:t xml:space="preserve"> in commitment and payment appropriations.</w:t>
      </w:r>
    </w:p>
    <w:p w:rsidR="001A62D7" w:rsidRDefault="001A62D7" w:rsidP="0011643C">
      <w:pPr>
        <w:pStyle w:val="Titrearticle"/>
        <w:rPr>
          <w:noProof/>
        </w:rPr>
      </w:pPr>
      <w:r>
        <w:rPr>
          <w:noProof/>
        </w:rPr>
        <w:t>Article 2</w:t>
      </w:r>
    </w:p>
    <w:p w:rsidR="001A62D7" w:rsidRDefault="001A62D7" w:rsidP="001A62D7">
      <w:pPr>
        <w:keepNext/>
        <w:keepLines/>
        <w:rPr>
          <w:noProof/>
        </w:rPr>
      </w:pPr>
      <w:r w:rsidRPr="001B05DF">
        <w:rPr>
          <w:noProof/>
        </w:rPr>
        <w:t xml:space="preserve">This Decision shall enter into force on </w:t>
      </w:r>
      <w:r>
        <w:rPr>
          <w:noProof/>
        </w:rPr>
        <w:t xml:space="preserve">the day of its </w:t>
      </w:r>
      <w:r w:rsidRPr="00370985">
        <w:rPr>
          <w:noProof/>
        </w:rPr>
        <w:t>publication in the Officia</w:t>
      </w:r>
      <w:r>
        <w:rPr>
          <w:noProof/>
        </w:rPr>
        <w:t>l Journal of the European Union.</w:t>
      </w:r>
      <w:r w:rsidR="00EC0935">
        <w:rPr>
          <w:noProof/>
        </w:rPr>
        <w:t xml:space="preserve"> </w:t>
      </w:r>
      <w:r w:rsidR="00EC0935" w:rsidRPr="00BE41FC">
        <w:rPr>
          <w:noProof/>
        </w:rPr>
        <w:t xml:space="preserve">It shall apply from </w:t>
      </w:r>
      <w:r w:rsidR="00EC0935" w:rsidRPr="00BE41FC">
        <w:rPr>
          <w:noProof/>
          <w:color w:val="FF0000"/>
        </w:rPr>
        <w:t>[</w:t>
      </w:r>
      <w:r w:rsidR="00EC0935" w:rsidRPr="00BE41FC">
        <w:rPr>
          <w:i/>
          <w:noProof/>
          <w:color w:val="FF0000"/>
        </w:rPr>
        <w:t>the date of its adoption</w:t>
      </w:r>
      <w:r w:rsidR="00EC0935" w:rsidRPr="00BE41FC">
        <w:rPr>
          <w:noProof/>
          <w:color w:val="FF0000"/>
        </w:rPr>
        <w:t>]</w:t>
      </w:r>
      <w:r w:rsidR="00EC0935">
        <w:rPr>
          <w:rStyle w:val="FootnoteReference"/>
          <w:noProof/>
          <w:color w:val="FF0000"/>
        </w:rPr>
        <w:footnoteReference w:customMarkFollows="1" w:id="25"/>
        <w:t>*</w:t>
      </w:r>
      <w:r w:rsidR="00EC0935" w:rsidRPr="00BE41FC">
        <w:rPr>
          <w:noProof/>
        </w:rPr>
        <w:t>.</w:t>
      </w:r>
      <w:r>
        <w:rPr>
          <w:noProof/>
        </w:rPr>
        <w:t xml:space="preserve"> </w:t>
      </w:r>
    </w:p>
    <w:p w:rsidR="001A62D7" w:rsidRDefault="001E1AFF" w:rsidP="0011643C">
      <w:pPr>
        <w:pStyle w:val="Fait"/>
        <w:rPr>
          <w:noProof/>
        </w:rPr>
      </w:pPr>
      <w:r>
        <w:rPr>
          <w:noProof/>
        </w:rPr>
        <w:t>Done at Brussels,</w:t>
      </w:r>
    </w:p>
    <w:p w:rsidR="001A62D7" w:rsidRDefault="001A62D7" w:rsidP="0011643C">
      <w:pPr>
        <w:pStyle w:val="Institutionquisigne"/>
        <w:rPr>
          <w:noProof/>
        </w:rPr>
      </w:pPr>
      <w:r>
        <w:rPr>
          <w:noProof/>
        </w:rPr>
        <w:t>For the European Parliament</w:t>
      </w:r>
      <w:r>
        <w:rPr>
          <w:noProof/>
        </w:rPr>
        <w:tab/>
        <w:t>For the Council</w:t>
      </w:r>
    </w:p>
    <w:p w:rsidR="001A62D7" w:rsidRPr="00D12B65" w:rsidRDefault="001A62D7" w:rsidP="001A62D7">
      <w:pPr>
        <w:pStyle w:val="Personnequisigne"/>
        <w:rPr>
          <w:noProof/>
        </w:rPr>
      </w:pPr>
      <w:r>
        <w:rPr>
          <w:noProof/>
        </w:rPr>
        <w:t>The President</w:t>
      </w:r>
      <w:r>
        <w:rPr>
          <w:noProof/>
        </w:rPr>
        <w:tab/>
        <w:t>The President</w:t>
      </w:r>
      <w:r>
        <w:rPr>
          <w:noProof/>
        </w:rPr>
        <w:br/>
      </w:r>
    </w:p>
    <w:sectPr w:rsidR="001A62D7" w:rsidRPr="00D12B65" w:rsidSect="0075659E">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63C3" w:rsidRDefault="00CE63C3" w:rsidP="001A62D7">
      <w:pPr>
        <w:spacing w:before="0" w:after="0"/>
      </w:pPr>
      <w:r>
        <w:separator/>
      </w:r>
    </w:p>
  </w:endnote>
  <w:endnote w:type="continuationSeparator" w:id="0">
    <w:p w:rsidR="00CE63C3" w:rsidRDefault="00CE63C3" w:rsidP="001A62D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59E" w:rsidRPr="0075659E" w:rsidRDefault="0075659E" w:rsidP="0075659E">
    <w:pPr>
      <w:pStyle w:val="Footer"/>
      <w:rPr>
        <w:rFonts w:ascii="Arial" w:hAnsi="Arial" w:cs="Arial"/>
        <w:b/>
        <w:sz w:val="48"/>
      </w:rPr>
    </w:pPr>
    <w:r w:rsidRPr="0075659E">
      <w:rPr>
        <w:rFonts w:ascii="Arial" w:hAnsi="Arial" w:cs="Arial"/>
        <w:b/>
        <w:sz w:val="48"/>
      </w:rPr>
      <w:t>EN</w:t>
    </w:r>
    <w:r w:rsidRPr="0075659E">
      <w:rPr>
        <w:rFonts w:ascii="Arial" w:hAnsi="Arial" w:cs="Arial"/>
        <w:b/>
        <w:sz w:val="48"/>
      </w:rPr>
      <w:tab/>
    </w:r>
    <w:r w:rsidRPr="0075659E">
      <w:rPr>
        <w:rFonts w:ascii="Arial" w:hAnsi="Arial" w:cs="Arial"/>
        <w:b/>
        <w:sz w:val="48"/>
      </w:rPr>
      <w:tab/>
    </w:r>
    <w:r w:rsidRPr="0075659E">
      <w:tab/>
    </w:r>
    <w:r w:rsidRPr="0075659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59E" w:rsidRPr="0075659E" w:rsidRDefault="0075659E" w:rsidP="0075659E">
    <w:pPr>
      <w:pStyle w:val="Footer"/>
      <w:rPr>
        <w:rFonts w:ascii="Arial" w:hAnsi="Arial" w:cs="Arial"/>
        <w:b/>
        <w:sz w:val="48"/>
      </w:rPr>
    </w:pPr>
    <w:r w:rsidRPr="0075659E">
      <w:rPr>
        <w:rFonts w:ascii="Arial" w:hAnsi="Arial" w:cs="Arial"/>
        <w:b/>
        <w:sz w:val="48"/>
      </w:rPr>
      <w:t>EN</w:t>
    </w:r>
    <w:r w:rsidRPr="0075659E">
      <w:rPr>
        <w:rFonts w:ascii="Arial" w:hAnsi="Arial" w:cs="Arial"/>
        <w:b/>
        <w:sz w:val="48"/>
      </w:rPr>
      <w:tab/>
    </w:r>
    <w:r w:rsidRPr="0075659E">
      <w:rPr>
        <w:rFonts w:ascii="Arial" w:hAnsi="Arial" w:cs="Arial"/>
        <w:b/>
        <w:sz w:val="48"/>
      </w:rPr>
      <w:tab/>
    </w:r>
    <w:r w:rsidRPr="0075659E">
      <w:tab/>
    </w:r>
    <w:r w:rsidRPr="0075659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59E" w:rsidRDefault="007565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59E" w:rsidRPr="0075659E" w:rsidRDefault="0075659E" w:rsidP="0075659E">
    <w:pPr>
      <w:pStyle w:val="Footer"/>
      <w:rPr>
        <w:rFonts w:ascii="Arial" w:hAnsi="Arial" w:cs="Arial"/>
        <w:b/>
        <w:sz w:val="48"/>
      </w:rPr>
    </w:pPr>
    <w:r w:rsidRPr="0075659E">
      <w:rPr>
        <w:rFonts w:ascii="Arial" w:hAnsi="Arial" w:cs="Arial"/>
        <w:b/>
        <w:sz w:val="48"/>
      </w:rPr>
      <w:t>EN</w:t>
    </w:r>
    <w:r w:rsidRPr="0075659E">
      <w:rPr>
        <w:rFonts w:ascii="Arial" w:hAnsi="Arial" w:cs="Arial"/>
        <w:b/>
        <w:sz w:val="48"/>
      </w:rPr>
      <w:tab/>
    </w:r>
    <w:r>
      <w:fldChar w:fldCharType="begin"/>
    </w:r>
    <w:r>
      <w:instrText xml:space="preserve"> PAGE  \* MERGEFORMAT </w:instrText>
    </w:r>
    <w:r>
      <w:fldChar w:fldCharType="separate"/>
    </w:r>
    <w:r w:rsidR="0011643C">
      <w:rPr>
        <w:noProof/>
      </w:rPr>
      <w:t>12</w:t>
    </w:r>
    <w:r>
      <w:fldChar w:fldCharType="end"/>
    </w:r>
    <w:r>
      <w:tab/>
    </w:r>
    <w:r w:rsidRPr="0075659E">
      <w:tab/>
    </w:r>
    <w:r w:rsidRPr="0075659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59E" w:rsidRDefault="0075659E" w:rsidP="007565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63C3" w:rsidRDefault="00CE63C3" w:rsidP="001A62D7">
      <w:pPr>
        <w:spacing w:before="0" w:after="0"/>
      </w:pPr>
      <w:r>
        <w:separator/>
      </w:r>
    </w:p>
  </w:footnote>
  <w:footnote w:type="continuationSeparator" w:id="0">
    <w:p w:rsidR="00CE63C3" w:rsidRDefault="00CE63C3" w:rsidP="001A62D7">
      <w:pPr>
        <w:spacing w:before="0" w:after="0"/>
      </w:pPr>
      <w:r>
        <w:continuationSeparator/>
      </w:r>
    </w:p>
  </w:footnote>
  <w:footnote w:id="1">
    <w:p w:rsidR="00D04DD1" w:rsidRPr="00517E70" w:rsidRDefault="00D04DD1" w:rsidP="00517E70">
      <w:pPr>
        <w:pStyle w:val="FootnoteText"/>
        <w:tabs>
          <w:tab w:val="left" w:pos="720"/>
          <w:tab w:val="left" w:pos="1440"/>
          <w:tab w:val="left" w:pos="2160"/>
          <w:tab w:val="left" w:pos="2880"/>
        </w:tabs>
        <w:rPr>
          <w:lang w:val="fi-FI"/>
        </w:rPr>
      </w:pPr>
      <w:r>
        <w:rPr>
          <w:rStyle w:val="FootnoteReference"/>
        </w:rPr>
        <w:footnoteRef/>
      </w:r>
      <w:r w:rsidRPr="00517E70">
        <w:rPr>
          <w:lang w:val="fi-FI"/>
        </w:rPr>
        <w:tab/>
        <w:t>OJ L 153, 3.5.2021, p. 48</w:t>
      </w:r>
      <w:r w:rsidR="00517E70" w:rsidRPr="00517E70">
        <w:rPr>
          <w:lang w:val="fi-FI"/>
        </w:rPr>
        <w:t xml:space="preserve">, </w:t>
      </w:r>
      <w:r w:rsidR="00517E70">
        <w:rPr>
          <w:lang w:val="pl-PL"/>
        </w:rPr>
        <w:t>,</w:t>
      </w:r>
      <w:r w:rsidR="00517E70" w:rsidRPr="004768B8">
        <w:rPr>
          <w:sz w:val="24"/>
          <w:szCs w:val="22"/>
          <w:lang w:val="fi-FI"/>
        </w:rPr>
        <w:t xml:space="preserve"> </w:t>
      </w:r>
      <w:r w:rsidR="00517E70" w:rsidRPr="0075062E">
        <w:rPr>
          <w:lang w:val="pl-PL"/>
        </w:rPr>
        <w:t>ELI: http://data.europa.eu/eli/reg/2021/691/oj</w:t>
      </w:r>
      <w:r w:rsidR="00517E70" w:rsidRPr="00021665">
        <w:rPr>
          <w:lang w:val="fi-FI"/>
        </w:rPr>
        <w:t>.</w:t>
      </w:r>
      <w:r w:rsidR="00517E70">
        <w:rPr>
          <w:lang w:val="fi-FI"/>
        </w:rPr>
        <w:t xml:space="preserve"> </w:t>
      </w:r>
    </w:p>
  </w:footnote>
  <w:footnote w:id="2">
    <w:p w:rsidR="00D04DD1" w:rsidRPr="002156AF" w:rsidRDefault="00D04DD1">
      <w:pPr>
        <w:pStyle w:val="FootnoteText"/>
        <w:rPr>
          <w:lang w:val="en-IE"/>
        </w:rPr>
      </w:pPr>
      <w:r>
        <w:rPr>
          <w:rStyle w:val="FootnoteReference"/>
        </w:rPr>
        <w:footnoteRef/>
      </w:r>
      <w:r w:rsidRPr="00D04DD1">
        <w:rPr>
          <w:lang w:val="en-IE"/>
        </w:rPr>
        <w:tab/>
      </w:r>
      <w:r w:rsidRPr="003D4C12">
        <w:t>Commission Delegated Regulation 2019/1755 of 8 August 2019 amending the Annexes to Regulation (EC) No 1059/2003 of the European Parliament and of the Council on the establishment of a common classification of territorial units for statistics (NUTS). OJ L 270, 24.10.2019, p. 1–56</w:t>
      </w:r>
      <w:r>
        <w:t>.</w:t>
      </w:r>
    </w:p>
  </w:footnote>
  <w:footnote w:id="3">
    <w:p w:rsidR="003E37DE" w:rsidRPr="003E37DE" w:rsidRDefault="003E37DE" w:rsidP="003E37DE">
      <w:pPr>
        <w:pStyle w:val="FootnoteText"/>
        <w:rPr>
          <w:lang w:val="en-IE"/>
        </w:rPr>
      </w:pPr>
      <w:r w:rsidRPr="00C9396A">
        <w:rPr>
          <w:rStyle w:val="FootnoteReference"/>
        </w:rPr>
        <w:footnoteRef/>
      </w:r>
      <w:r w:rsidR="00C9396A">
        <w:tab/>
      </w:r>
      <w:r>
        <w:rPr>
          <w:lang w:val="en-IE"/>
        </w:rPr>
        <w:t>The displacements took place during the reference period</w:t>
      </w:r>
      <w:r w:rsidR="00337D9F">
        <w:rPr>
          <w:lang w:val="en-IE"/>
        </w:rPr>
        <w:t xml:space="preserve"> in the primary enterprise and one supplier</w:t>
      </w:r>
      <w:r>
        <w:rPr>
          <w:lang w:val="en-IE"/>
        </w:rPr>
        <w:t>, and outside the reference period</w:t>
      </w:r>
      <w:r w:rsidR="00337D9F">
        <w:rPr>
          <w:lang w:val="en-IE"/>
        </w:rPr>
        <w:t xml:space="preserve"> in </w:t>
      </w:r>
      <w:r w:rsidR="00E47030">
        <w:rPr>
          <w:lang w:val="en-IE"/>
        </w:rPr>
        <w:t>four</w:t>
      </w:r>
      <w:r w:rsidR="00337D9F">
        <w:rPr>
          <w:lang w:val="en-IE"/>
        </w:rPr>
        <w:t xml:space="preserve"> subcontractors</w:t>
      </w:r>
      <w:r>
        <w:rPr>
          <w:lang w:val="en-IE"/>
        </w:rPr>
        <w:t>.</w:t>
      </w:r>
    </w:p>
  </w:footnote>
  <w:footnote w:id="4">
    <w:p w:rsidR="00D04DD1" w:rsidRPr="002156AF" w:rsidRDefault="00D04DD1">
      <w:pPr>
        <w:pStyle w:val="FootnoteText"/>
        <w:rPr>
          <w:lang w:val="en-IE"/>
        </w:rPr>
      </w:pPr>
      <w:r>
        <w:rPr>
          <w:rStyle w:val="FootnoteReference"/>
        </w:rPr>
        <w:footnoteRef/>
      </w:r>
      <w:r w:rsidRPr="002156AF">
        <w:rPr>
          <w:lang w:val="en-IE"/>
        </w:rPr>
        <w:tab/>
      </w:r>
      <w:r w:rsidRPr="00A50D50">
        <w:t>OJ L 393, 30.12.2006, p. 1.</w:t>
      </w:r>
    </w:p>
  </w:footnote>
  <w:footnote w:id="5">
    <w:p w:rsidR="00B45769" w:rsidRPr="00B45769" w:rsidRDefault="00B45769">
      <w:pPr>
        <w:pStyle w:val="FootnoteText"/>
        <w:rPr>
          <w:lang w:val="en-US"/>
        </w:rPr>
      </w:pPr>
      <w:r>
        <w:rPr>
          <w:rStyle w:val="FootnoteReference"/>
        </w:rPr>
        <w:footnoteRef/>
      </w:r>
      <w:r>
        <w:rPr>
          <w:lang w:val="en-US"/>
        </w:rPr>
        <w:tab/>
      </w:r>
      <w:r w:rsidRPr="00A50D50">
        <w:t>In accordance with Article</w:t>
      </w:r>
      <w:r>
        <w:t> 7(5)</w:t>
      </w:r>
      <w:r w:rsidRPr="00A50D50">
        <w:t xml:space="preserve"> of Regulation </w:t>
      </w:r>
      <w:r w:rsidRPr="0063277E">
        <w:t>(EU) 2021/691.</w:t>
      </w:r>
    </w:p>
  </w:footnote>
  <w:footnote w:id="6">
    <w:p w:rsidR="005E6A35" w:rsidRPr="00567057" w:rsidRDefault="005E6A35">
      <w:pPr>
        <w:pStyle w:val="FootnoteText"/>
        <w:rPr>
          <w:lang w:val="fi-FI"/>
        </w:rPr>
      </w:pPr>
      <w:r w:rsidRPr="00C9396A">
        <w:rPr>
          <w:rStyle w:val="FootnoteReference"/>
        </w:rPr>
        <w:footnoteRef/>
      </w:r>
      <w:r w:rsidR="00C9396A">
        <w:rPr>
          <w:lang w:val="fi-FI"/>
        </w:rPr>
        <w:tab/>
      </w:r>
      <w:r w:rsidR="00CD3DB7">
        <w:rPr>
          <w:lang w:val="fi-FI"/>
        </w:rPr>
        <w:t xml:space="preserve">Newspaper </w:t>
      </w:r>
      <w:r w:rsidRPr="00567057">
        <w:rPr>
          <w:lang w:val="fi-FI"/>
        </w:rPr>
        <w:t>Turun Sanomat 12.11.2025.</w:t>
      </w:r>
    </w:p>
  </w:footnote>
  <w:footnote w:id="7">
    <w:p w:rsidR="00567057" w:rsidRPr="00567057" w:rsidRDefault="00567057" w:rsidP="00567057">
      <w:pPr>
        <w:pStyle w:val="FootnoteText"/>
        <w:jc w:val="left"/>
        <w:rPr>
          <w:lang w:val="fi-FI"/>
        </w:rPr>
      </w:pPr>
      <w:r w:rsidRPr="00C9396A">
        <w:rPr>
          <w:rStyle w:val="FootnoteReference"/>
        </w:rPr>
        <w:footnoteRef/>
      </w:r>
      <w:r w:rsidR="00C9396A">
        <w:rPr>
          <w:lang w:val="fi-FI"/>
        </w:rPr>
        <w:tab/>
      </w:r>
      <w:r w:rsidRPr="00567057">
        <w:rPr>
          <w:lang w:val="fi-FI"/>
        </w:rPr>
        <w:t>Statistics Finland</w:t>
      </w:r>
      <w:r>
        <w:rPr>
          <w:lang w:val="fi-FI"/>
        </w:rPr>
        <w:t>:</w:t>
      </w:r>
      <w:r w:rsidRPr="00567057">
        <w:rPr>
          <w:lang w:val="fi-FI"/>
        </w:rPr>
        <w:t xml:space="preserve"> </w:t>
      </w:r>
      <w:hyperlink r:id="rId1" w:history="1">
        <w:r w:rsidRPr="00567057">
          <w:rPr>
            <w:rStyle w:val="Hyperlink"/>
            <w:lang w:val="fi-FI"/>
          </w:rPr>
          <w:t xml:space="preserve">Työttömien työnhakijoiden osuus työvoimasta kk:n lopussa </w:t>
        </w:r>
      </w:hyperlink>
      <w:r w:rsidRPr="00567057">
        <w:rPr>
          <w:lang w:val="fi-FI"/>
        </w:rPr>
        <w:t xml:space="preserve"> </w:t>
      </w:r>
    </w:p>
  </w:footnote>
  <w:footnote w:id="8">
    <w:p w:rsidR="00EC37C0" w:rsidRPr="000A75B9" w:rsidRDefault="00EC37C0" w:rsidP="00EC37C0">
      <w:pPr>
        <w:pStyle w:val="FootnoteText"/>
        <w:rPr>
          <w:lang w:val="fi-FI"/>
        </w:rPr>
      </w:pPr>
      <w:r w:rsidRPr="00C9396A">
        <w:rPr>
          <w:rStyle w:val="FootnoteReference"/>
        </w:rPr>
        <w:footnoteRef/>
      </w:r>
      <w:r w:rsidR="00C9396A">
        <w:rPr>
          <w:lang w:val="fi-FI"/>
        </w:rPr>
        <w:tab/>
      </w:r>
      <w:r w:rsidR="007D6186">
        <w:rPr>
          <w:lang w:val="fi-FI"/>
        </w:rPr>
        <w:t>Statistics Finland:</w:t>
      </w:r>
      <w:r w:rsidR="002C4839">
        <w:rPr>
          <w:lang w:val="fi-FI"/>
        </w:rPr>
        <w:t xml:space="preserve"> </w:t>
      </w:r>
      <w:hyperlink r:id="rId2" w:history="1">
        <w:r w:rsidRPr="000A75B9">
          <w:rPr>
            <w:rStyle w:val="Hyperlink"/>
            <w:lang w:val="fi-FI"/>
          </w:rPr>
          <w:t>Alle 25-vuotiaiden työttömien työnhakijoiden osuus alle 25-vuotiaasta työvoimasta</w:t>
        </w:r>
      </w:hyperlink>
    </w:p>
  </w:footnote>
  <w:footnote w:id="9">
    <w:p w:rsidR="000D3622" w:rsidRPr="000D3622" w:rsidRDefault="000D3622">
      <w:pPr>
        <w:pStyle w:val="FootnoteText"/>
        <w:rPr>
          <w:lang w:val="fi-FI"/>
        </w:rPr>
      </w:pPr>
      <w:r w:rsidRPr="00C9396A">
        <w:rPr>
          <w:rStyle w:val="FootnoteReference"/>
        </w:rPr>
        <w:footnoteRef/>
      </w:r>
      <w:r w:rsidR="00C9396A">
        <w:rPr>
          <w:lang w:val="fi-FI"/>
        </w:rPr>
        <w:tab/>
      </w:r>
      <w:r w:rsidR="00C52717">
        <w:rPr>
          <w:lang w:val="fi-FI"/>
        </w:rPr>
        <w:t xml:space="preserve">Statistics Finland: </w:t>
      </w:r>
      <w:hyperlink r:id="rId3" w:history="1">
        <w:r w:rsidRPr="00CF73DD">
          <w:rPr>
            <w:rStyle w:val="Hyperlink"/>
            <w:lang w:val="fi-FI"/>
          </w:rPr>
          <w:t>Työnvälitystilasto</w:t>
        </w:r>
      </w:hyperlink>
      <w:r w:rsidRPr="00CF73DD">
        <w:rPr>
          <w:lang w:val="fi-FI"/>
        </w:rPr>
        <w:t xml:space="preserve"> </w:t>
      </w:r>
    </w:p>
  </w:footnote>
  <w:footnote w:id="10">
    <w:p w:rsidR="00C52717" w:rsidRPr="00C52717" w:rsidRDefault="00C52717">
      <w:pPr>
        <w:pStyle w:val="FootnoteText"/>
        <w:rPr>
          <w:lang w:val="fi-FI"/>
        </w:rPr>
      </w:pPr>
      <w:r w:rsidRPr="00C9396A">
        <w:rPr>
          <w:rStyle w:val="FootnoteReference"/>
        </w:rPr>
        <w:footnoteRef/>
      </w:r>
      <w:r w:rsidR="00C9396A">
        <w:rPr>
          <w:lang w:val="fi-FI"/>
        </w:rPr>
        <w:tab/>
      </w:r>
      <w:r>
        <w:rPr>
          <w:lang w:val="fi-FI"/>
        </w:rPr>
        <w:t xml:space="preserve">Statistics Finland: </w:t>
      </w:r>
      <w:hyperlink r:id="rId4" w:history="1">
        <w:r w:rsidRPr="00C52717">
          <w:rPr>
            <w:rStyle w:val="Hyperlink"/>
            <w:lang w:val="fi-FI"/>
          </w:rPr>
          <w:t xml:space="preserve">Työnvälitystilasto </w:t>
        </w:r>
      </w:hyperlink>
    </w:p>
  </w:footnote>
  <w:footnote w:id="11">
    <w:p w:rsidR="00FA4425" w:rsidRPr="004434AB" w:rsidRDefault="00FA4425" w:rsidP="00FA4425">
      <w:pPr>
        <w:pStyle w:val="FootnoteText"/>
        <w:rPr>
          <w:lang w:val="en-IE"/>
        </w:rPr>
      </w:pPr>
      <w:r w:rsidRPr="00C9396A">
        <w:rPr>
          <w:rStyle w:val="FootnoteReference"/>
        </w:rPr>
        <w:footnoteRef/>
      </w:r>
      <w:r w:rsidR="00C9396A">
        <w:rPr>
          <w:lang w:val="en-IE"/>
        </w:rPr>
        <w:tab/>
      </w:r>
      <w:r w:rsidR="00C52717" w:rsidRPr="004434AB">
        <w:rPr>
          <w:lang w:val="en-IE"/>
        </w:rPr>
        <w:t xml:space="preserve">Statistics Finland: </w:t>
      </w:r>
      <w:hyperlink r:id="rId5" w:history="1">
        <w:r w:rsidRPr="004434AB">
          <w:rPr>
            <w:rStyle w:val="Hyperlink"/>
            <w:lang w:val="en-IE"/>
          </w:rPr>
          <w:t>Työnvälitystilasto</w:t>
        </w:r>
      </w:hyperlink>
      <w:r w:rsidRPr="004434AB">
        <w:rPr>
          <w:lang w:val="en-IE"/>
        </w:rPr>
        <w:t xml:space="preserve"> </w:t>
      </w:r>
    </w:p>
  </w:footnote>
  <w:footnote w:id="12">
    <w:p w:rsidR="00B45769" w:rsidRPr="004434AB" w:rsidRDefault="00B45769">
      <w:pPr>
        <w:pStyle w:val="FootnoteText"/>
        <w:rPr>
          <w:lang w:val="en-IE"/>
        </w:rPr>
      </w:pPr>
      <w:r>
        <w:rPr>
          <w:rStyle w:val="FootnoteReference"/>
        </w:rPr>
        <w:footnoteRef/>
      </w:r>
      <w:r w:rsidRPr="004434AB">
        <w:rPr>
          <w:lang w:val="en-IE"/>
        </w:rPr>
        <w:tab/>
        <w:t>ISCED 0-2</w:t>
      </w:r>
    </w:p>
  </w:footnote>
  <w:footnote w:id="13">
    <w:p w:rsidR="00B45769" w:rsidRPr="00B45769" w:rsidRDefault="00B45769">
      <w:pPr>
        <w:pStyle w:val="FootnoteText"/>
        <w:rPr>
          <w:lang w:val="en-US"/>
        </w:rPr>
      </w:pPr>
      <w:r>
        <w:rPr>
          <w:rStyle w:val="FootnoteReference"/>
        </w:rPr>
        <w:footnoteRef/>
      </w:r>
      <w:r>
        <w:rPr>
          <w:lang w:val="en-US"/>
        </w:rPr>
        <w:tab/>
      </w:r>
      <w:r w:rsidRPr="007244BC">
        <w:t>ISCED 3</w:t>
      </w:r>
    </w:p>
  </w:footnote>
  <w:footnote w:id="14">
    <w:p w:rsidR="00B45769" w:rsidRPr="00B45769" w:rsidRDefault="00B45769">
      <w:pPr>
        <w:pStyle w:val="FootnoteText"/>
        <w:rPr>
          <w:lang w:val="en-US"/>
        </w:rPr>
      </w:pPr>
      <w:r>
        <w:rPr>
          <w:rStyle w:val="FootnoteReference"/>
        </w:rPr>
        <w:footnoteRef/>
      </w:r>
      <w:r>
        <w:rPr>
          <w:lang w:val="en-US"/>
        </w:rPr>
        <w:tab/>
      </w:r>
      <w:r w:rsidRPr="007244BC">
        <w:t>ISCED 4</w:t>
      </w:r>
    </w:p>
  </w:footnote>
  <w:footnote w:id="15">
    <w:p w:rsidR="00B45769" w:rsidRPr="00B45769" w:rsidRDefault="00B45769">
      <w:pPr>
        <w:pStyle w:val="FootnoteText"/>
        <w:rPr>
          <w:lang w:val="en-US"/>
        </w:rPr>
      </w:pPr>
      <w:r>
        <w:rPr>
          <w:rStyle w:val="FootnoteReference"/>
        </w:rPr>
        <w:footnoteRef/>
      </w:r>
      <w:r>
        <w:rPr>
          <w:lang w:val="en-US"/>
        </w:rPr>
        <w:tab/>
      </w:r>
      <w:r w:rsidRPr="007244BC">
        <w:t>ISCED 5-8</w:t>
      </w:r>
    </w:p>
  </w:footnote>
  <w:footnote w:id="16">
    <w:p w:rsidR="001A62D7" w:rsidRPr="00A31F0E" w:rsidRDefault="001A62D7" w:rsidP="001A62D7">
      <w:pPr>
        <w:pStyle w:val="FootnoteText"/>
      </w:pPr>
      <w:r>
        <w:rPr>
          <w:rStyle w:val="FootnoteReference"/>
        </w:rPr>
        <w:footnoteRef/>
      </w:r>
      <w:r w:rsidRPr="007244BC">
        <w:tab/>
        <w:t>To avoid decimals, the estimated costs per worker have been rounded. However, the rounding has no impact on the total cost of each measure, which remains as in the application submitted by</w:t>
      </w:r>
      <w:r w:rsidR="00F25CC3">
        <w:t xml:space="preserve"> </w:t>
      </w:r>
      <w:r w:rsidR="00331700">
        <w:t>Finland</w:t>
      </w:r>
      <w:r w:rsidRPr="00B16D40">
        <w:t>.</w:t>
      </w:r>
    </w:p>
  </w:footnote>
  <w:footnote w:id="17">
    <w:p w:rsidR="001A62D7" w:rsidRPr="00B92FDB" w:rsidRDefault="001A62D7" w:rsidP="001A62D7">
      <w:pPr>
        <w:pStyle w:val="FootnoteText"/>
        <w:rPr>
          <w:lang w:val="en-IE"/>
        </w:rPr>
      </w:pPr>
      <w:r>
        <w:rPr>
          <w:rStyle w:val="FootnoteReference"/>
        </w:rPr>
        <w:footnoteRef/>
      </w:r>
      <w:r w:rsidRPr="007244BC">
        <w:tab/>
        <w:t>Totals do not tally due to rounding.</w:t>
      </w:r>
    </w:p>
  </w:footnote>
  <w:footnote w:id="18">
    <w:p w:rsidR="001A62D7" w:rsidRDefault="001A62D7" w:rsidP="001A62D7">
      <w:pPr>
        <w:pStyle w:val="FootnoteText"/>
        <w:rPr>
          <w:lang w:val="pl-PL"/>
        </w:rPr>
      </w:pPr>
      <w:r>
        <w:rPr>
          <w:rStyle w:val="FootnoteReference"/>
        </w:rPr>
        <w:footnoteRef/>
      </w:r>
      <w:r>
        <w:rPr>
          <w:lang w:val="pl-PL"/>
        </w:rPr>
        <w:tab/>
        <w:t>OJ L </w:t>
      </w:r>
      <w:r w:rsidRPr="0089670E">
        <w:rPr>
          <w:lang w:val="pl-PL"/>
        </w:rPr>
        <w:t>433</w:t>
      </w:r>
      <w:r>
        <w:rPr>
          <w:lang w:val="pl-PL"/>
        </w:rPr>
        <w:t xml:space="preserve"> I, 22.12.2020, p. 11</w:t>
      </w:r>
      <w:r w:rsidR="00517E70">
        <w:rPr>
          <w:lang w:val="pl-PL"/>
        </w:rPr>
        <w:t xml:space="preserve">, </w:t>
      </w:r>
      <w:r w:rsidR="00517E70" w:rsidRPr="005B2FE9">
        <w:rPr>
          <w:lang w:val="pl-PL"/>
        </w:rPr>
        <w:t>ELI: http://data.europa.eu/eli/reg/2020/2093/oj</w:t>
      </w:r>
      <w:r w:rsidR="00517E70">
        <w:rPr>
          <w:lang w:val="pl-PL"/>
        </w:rPr>
        <w:t xml:space="preserve">. </w:t>
      </w:r>
    </w:p>
  </w:footnote>
  <w:footnote w:id="19">
    <w:p w:rsidR="001A62D7" w:rsidRDefault="001A62D7" w:rsidP="001A62D7">
      <w:pPr>
        <w:pStyle w:val="FootnoteText"/>
        <w:rPr>
          <w:lang w:val="pl-PL"/>
        </w:rPr>
      </w:pPr>
      <w:r>
        <w:rPr>
          <w:rStyle w:val="FootnoteReference"/>
        </w:rPr>
        <w:footnoteRef/>
      </w:r>
      <w:r>
        <w:rPr>
          <w:lang w:val="pl-PL"/>
        </w:rPr>
        <w:tab/>
        <w:t>OJ L 433 I, 22.12.2020, p. 28</w:t>
      </w:r>
      <w:r w:rsidR="00837D49">
        <w:rPr>
          <w:lang w:val="pl-PL"/>
        </w:rPr>
        <w:t xml:space="preserve">, </w:t>
      </w:r>
      <w:r w:rsidR="00837D49" w:rsidRPr="00751DE2">
        <w:rPr>
          <w:lang w:val="it-IT"/>
        </w:rPr>
        <w:t>ELI: http://data.europa.eu/eli/agree_interinstit/2020/1222/oj</w:t>
      </w:r>
      <w:r w:rsidR="00837D49">
        <w:rPr>
          <w:lang w:val="pl-PL"/>
        </w:rPr>
        <w:t xml:space="preserve">. </w:t>
      </w:r>
    </w:p>
  </w:footnote>
  <w:footnote w:id="20">
    <w:p w:rsidR="001A62D7" w:rsidRPr="00E76684" w:rsidRDefault="001A62D7" w:rsidP="001A62D7">
      <w:pPr>
        <w:pStyle w:val="FootnoteText"/>
      </w:pPr>
      <w:r>
        <w:rPr>
          <w:rStyle w:val="FootnoteReference"/>
        </w:rPr>
        <w:footnoteRef/>
      </w:r>
      <w:r w:rsidRPr="00E76684">
        <w:tab/>
      </w:r>
      <w:r w:rsidRPr="00B54269">
        <w:t>Regulation (EU, Euratom) 2024/2509 of the European Parliament and of the Council of 23 September 2024 on the financial rules applicable to the general budget of the Union (recast), OJ L, 2024/2509, 26.9.2024</w:t>
      </w:r>
      <w:r w:rsidR="00EE2A20">
        <w:t xml:space="preserve">, </w:t>
      </w:r>
      <w:r w:rsidR="00EE2A20" w:rsidRPr="00C054F9">
        <w:t>ELI: http://data.europa.eu/eli/reg/2024/2509/oj</w:t>
      </w:r>
      <w:r w:rsidR="00EE2A20" w:rsidRPr="00B54269">
        <w:t>.</w:t>
      </w:r>
      <w:r w:rsidR="00EE2A20">
        <w:t xml:space="preserve"> </w:t>
      </w:r>
    </w:p>
  </w:footnote>
  <w:footnote w:id="21">
    <w:p w:rsidR="001A62D7" w:rsidRDefault="001A62D7" w:rsidP="001A62D7">
      <w:pPr>
        <w:pStyle w:val="FootnoteText"/>
        <w:rPr>
          <w:lang w:val="pl-PL"/>
        </w:rPr>
      </w:pPr>
      <w:r>
        <w:rPr>
          <w:rStyle w:val="FootnoteReference"/>
        </w:rPr>
        <w:footnoteRef/>
      </w:r>
      <w:r>
        <w:rPr>
          <w:lang w:val="pl-PL"/>
        </w:rPr>
        <w:tab/>
      </w:r>
      <w:r w:rsidRPr="006E53E9">
        <w:rPr>
          <w:lang w:val="pl-PL"/>
        </w:rPr>
        <w:t>OJ L 153, 3.5.2021, p. 48</w:t>
      </w:r>
      <w:r w:rsidR="00837D49" w:rsidRPr="006E53E9">
        <w:rPr>
          <w:lang w:val="pl-PL"/>
        </w:rPr>
        <w:t>, ELI: http://data.europa.eu/eli/reg/2021/691/oj.</w:t>
      </w:r>
      <w:r w:rsidR="00837D49">
        <w:rPr>
          <w:lang w:val="pl-PL"/>
        </w:rPr>
        <w:t xml:space="preserve"> </w:t>
      </w:r>
    </w:p>
  </w:footnote>
  <w:footnote w:id="22">
    <w:p w:rsidR="001A62D7" w:rsidRPr="00837D49" w:rsidRDefault="001A62D7" w:rsidP="001A62D7">
      <w:pPr>
        <w:pStyle w:val="FootnoteText"/>
        <w:rPr>
          <w:lang w:val="fi-FI"/>
        </w:rPr>
      </w:pPr>
      <w:r>
        <w:rPr>
          <w:rStyle w:val="FootnoteReference"/>
        </w:rPr>
        <w:footnoteRef/>
      </w:r>
      <w:r w:rsidRPr="00837D49">
        <w:rPr>
          <w:lang w:val="fi-FI"/>
        </w:rPr>
        <w:tab/>
        <w:t>OJ L 433 I, 22.12.2020, p. 28</w:t>
      </w:r>
      <w:r w:rsidR="00837D49" w:rsidRPr="00837D49">
        <w:rPr>
          <w:lang w:val="fi-FI"/>
        </w:rPr>
        <w:t xml:space="preserve">, </w:t>
      </w:r>
      <w:r w:rsidR="00837D49" w:rsidRPr="00751DE2">
        <w:rPr>
          <w:lang w:val="it-IT"/>
        </w:rPr>
        <w:t>ELI: http://data.europa.eu/eli/agree_interinstit/2020/1222/oj</w:t>
      </w:r>
      <w:r w:rsidR="00837D49">
        <w:rPr>
          <w:lang w:val="it-IT"/>
        </w:rPr>
        <w:t xml:space="preserve">. </w:t>
      </w:r>
    </w:p>
  </w:footnote>
  <w:footnote w:id="23">
    <w:p w:rsidR="001A62D7" w:rsidRPr="009F7C73" w:rsidRDefault="001A62D7" w:rsidP="001A62D7">
      <w:pPr>
        <w:pStyle w:val="FootnoteText"/>
      </w:pPr>
      <w:r w:rsidRPr="00872F86">
        <w:rPr>
          <w:rStyle w:val="FootnoteReference"/>
        </w:rPr>
        <w:footnoteRef/>
      </w:r>
      <w:r w:rsidRPr="009F7C73">
        <w:tab/>
      </w:r>
      <w:r w:rsidRPr="00270F9D">
        <w:t>Council Regulation (EU, Euratom) 2020/2093 of 17 December 2020 laying down the multiannual financial framework for the years 2021 to 2027</w:t>
      </w:r>
      <w:r>
        <w:t xml:space="preserve"> (</w:t>
      </w:r>
      <w:r>
        <w:rPr>
          <w:lang w:val="pl-PL"/>
        </w:rPr>
        <w:t>OJ L </w:t>
      </w:r>
      <w:r w:rsidRPr="0089670E">
        <w:rPr>
          <w:lang w:val="pl-PL"/>
        </w:rPr>
        <w:t>433</w:t>
      </w:r>
      <w:r>
        <w:rPr>
          <w:lang w:val="pl-PL"/>
        </w:rPr>
        <w:t xml:space="preserve"> I, 22.12.2020, p. 11</w:t>
      </w:r>
      <w:r w:rsidR="00BE00B2">
        <w:rPr>
          <w:lang w:val="pl-PL"/>
        </w:rPr>
        <w:t>,</w:t>
      </w:r>
      <w:r w:rsidR="00837D49">
        <w:rPr>
          <w:lang w:val="pl-PL"/>
        </w:rPr>
        <w:t xml:space="preserve"> </w:t>
      </w:r>
      <w:r w:rsidR="00837D49" w:rsidRPr="005B2FE9">
        <w:rPr>
          <w:lang w:val="pl-PL"/>
        </w:rPr>
        <w:t>ELI: http://data.europa.eu/eli/reg/2020/2093/oj</w:t>
      </w:r>
      <w:r w:rsidR="00837D49">
        <w:rPr>
          <w:lang w:val="pl-PL"/>
        </w:rPr>
        <w:t>).</w:t>
      </w:r>
    </w:p>
  </w:footnote>
  <w:footnote w:id="24">
    <w:p w:rsidR="001A62D7" w:rsidRPr="009D6A18" w:rsidRDefault="001A62D7" w:rsidP="001A62D7">
      <w:pPr>
        <w:pStyle w:val="FootnoteText"/>
        <w:rPr>
          <w:lang w:val="en-IE"/>
        </w:rPr>
      </w:pPr>
      <w:r>
        <w:rPr>
          <w:rStyle w:val="FootnoteReference"/>
        </w:rPr>
        <w:footnoteRef/>
      </w:r>
      <w:r w:rsidRPr="0097092E">
        <w:rPr>
          <w:lang w:val="en-IE"/>
        </w:rPr>
        <w:tab/>
      </w:r>
      <w:r w:rsidR="004B6215" w:rsidRPr="004B6215">
        <w:t>COM</w:t>
      </w:r>
      <w:r w:rsidR="004B6215">
        <w:t xml:space="preserve"> </w:t>
      </w:r>
      <w:r w:rsidR="004B6215" w:rsidRPr="000B44A2">
        <w:rPr>
          <w:lang w:val="en-IE"/>
        </w:rPr>
        <w:t>(2026)</w:t>
      </w:r>
      <w:r w:rsidR="00330C89">
        <w:rPr>
          <w:lang w:val="en-IE"/>
        </w:rPr>
        <w:t xml:space="preserve"> </w:t>
      </w:r>
      <w:r w:rsidR="00D11095">
        <w:rPr>
          <w:lang w:val="en-IE"/>
        </w:rPr>
        <w:t>400</w:t>
      </w:r>
    </w:p>
  </w:footnote>
  <w:footnote w:id="25">
    <w:p w:rsidR="00EC0935" w:rsidRPr="0048027E" w:rsidRDefault="00EC0935" w:rsidP="00EC0935">
      <w:pPr>
        <w:pStyle w:val="FootnoteText"/>
      </w:pPr>
      <w:r>
        <w:rPr>
          <w:rStyle w:val="FootnoteReference"/>
        </w:rPr>
        <w:t>*</w:t>
      </w:r>
      <w:r>
        <w:tab/>
      </w:r>
      <w:r w:rsidRPr="00855ED0">
        <w:rPr>
          <w:color w:val="FF0000"/>
        </w:rPr>
        <w:t>Date to be inserted by the Parliament before the publication in 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59E" w:rsidRDefault="007565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59E" w:rsidRDefault="007565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num>
  <w:num w:numId="19">
    <w:abstractNumId w:val="23"/>
  </w:num>
  <w:num w:numId="20">
    <w:abstractNumId w:val="12"/>
  </w:num>
  <w:num w:numId="21">
    <w:abstractNumId w:val="26"/>
  </w:num>
  <w:num w:numId="22">
    <w:abstractNumId w:val="6"/>
  </w:num>
  <w:num w:numId="23">
    <w:abstractNumId w:val="13"/>
  </w:num>
  <w:num w:numId="24">
    <w:abstractNumId w:val="14"/>
  </w:num>
  <w:num w:numId="25">
    <w:abstractNumId w:val="4"/>
  </w:num>
  <w:num w:numId="26">
    <w:abstractNumId w:val="25"/>
  </w:num>
  <w:num w:numId="27">
    <w:abstractNumId w:val="3"/>
  </w:num>
  <w:num w:numId="28">
    <w:abstractNumId w:val="15"/>
  </w:num>
  <w:num w:numId="29">
    <w:abstractNumId w:val="21"/>
  </w:num>
  <w:num w:numId="30">
    <w:abstractNumId w:val="22"/>
  </w:num>
  <w:num w:numId="31">
    <w:abstractNumId w:val="5"/>
  </w:num>
  <w:num w:numId="32">
    <w:abstractNumId w:val="19"/>
  </w:num>
  <w:num w:numId="33">
    <w:abstractNumId w:val="30"/>
  </w:num>
  <w:num w:numId="34">
    <w:abstractNumId w:val="12"/>
    <w:lvlOverride w:ilvl="0">
      <w:startOverride w:val="1"/>
    </w:lvlOverride>
  </w:num>
  <w:num w:numId="35">
    <w:abstractNumId w:val="23"/>
  </w:num>
  <w:num w:numId="36">
    <w:abstractNumId w:val="12"/>
  </w:num>
  <w:num w:numId="37">
    <w:abstractNumId w:val="26"/>
  </w:num>
  <w:num w:numId="38">
    <w:abstractNumId w:val="6"/>
  </w:num>
  <w:num w:numId="39">
    <w:abstractNumId w:val="13"/>
  </w:num>
  <w:num w:numId="40">
    <w:abstractNumId w:val="14"/>
  </w:num>
  <w:num w:numId="41">
    <w:abstractNumId w:val="4"/>
  </w:num>
  <w:num w:numId="42">
    <w:abstractNumId w:val="25"/>
  </w:num>
  <w:num w:numId="43">
    <w:abstractNumId w:val="3"/>
  </w:num>
  <w:num w:numId="44">
    <w:abstractNumId w:val="15"/>
  </w:num>
  <w:num w:numId="45">
    <w:abstractNumId w:val="21"/>
  </w:num>
  <w:num w:numId="46">
    <w:abstractNumId w:val="22"/>
  </w:num>
  <w:num w:numId="47">
    <w:abstractNumId w:val="5"/>
  </w:num>
  <w:num w:numId="48">
    <w:abstractNumId w:val="19"/>
  </w:num>
  <w:num w:numId="49">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ocumentProtection w:edit="forms" w:enforcement="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21 18:04:1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D4B5E27-6AC7-4DE9-88DA-4A5937E456E2"/>
    <w:docVar w:name="LW_COVERPAGE_TYPE" w:val="1"/>
    <w:docVar w:name="LW_CreatedUtc" w:val="2025-02-03T12:09:04.7855178Z"/>
    <w:docVar w:name="LW_CROSSREFERENCE" w:val="&lt;UNUSED&gt;"/>
    <w:docVar w:name="LW_DocType" w:val="COM"/>
    <w:docVar w:name="LW_EMISSION" w:val="24.7.2026"/>
    <w:docVar w:name="LW_EMISSION_ISODATE" w:val="2026-07-24"/>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BUD"/>
    <w:docVar w:name="LW_REF.II.NEW.CP_NUMBER" w:val="0220"/>
    <w:docVar w:name="LW_REF.II.NEW.CP_YEAR" w:val="2026"/>
    <w:docVar w:name="LW_REF.INST.NEW" w:val="COM"/>
    <w:docVar w:name="LW_REF.INST.NEW_ADOPTED" w:val="final"/>
    <w:docVar w:name="LW_REF.INST.NEW_TEXT" w:val="(2026) 40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mobilisation of the European Globalisation Adjustment Fund for Displaced Workers following an application from Finland \u8211? EGF/2026/003 FI/Valmet Automotive"/>
    <w:docVar w:name="LW_TYPE.DOC.CP" w:val="DECISION OF THE EUROPEAN PARLIAMENT AND OF THE COUNCIL"/>
    <w:docVar w:name="LwApiVersions" w:val="LW4CoDe 1.24.5.0; LW 9.2, Build 20251112"/>
  </w:docVars>
  <w:rsids>
    <w:rsidRoot w:val="001A62D7"/>
    <w:rsid w:val="00004EB3"/>
    <w:rsid w:val="000125BE"/>
    <w:rsid w:val="00023F90"/>
    <w:rsid w:val="00024087"/>
    <w:rsid w:val="000269AE"/>
    <w:rsid w:val="00030AE7"/>
    <w:rsid w:val="00051AD2"/>
    <w:rsid w:val="00053DDE"/>
    <w:rsid w:val="00054608"/>
    <w:rsid w:val="00054BC8"/>
    <w:rsid w:val="000609C3"/>
    <w:rsid w:val="00061791"/>
    <w:rsid w:val="00067E6D"/>
    <w:rsid w:val="00070B81"/>
    <w:rsid w:val="00072208"/>
    <w:rsid w:val="00076604"/>
    <w:rsid w:val="000A20E1"/>
    <w:rsid w:val="000A75B9"/>
    <w:rsid w:val="000B1FE1"/>
    <w:rsid w:val="000B44A2"/>
    <w:rsid w:val="000B4824"/>
    <w:rsid w:val="000B7C62"/>
    <w:rsid w:val="000C7F45"/>
    <w:rsid w:val="000D1507"/>
    <w:rsid w:val="000D3622"/>
    <w:rsid w:val="000D734A"/>
    <w:rsid w:val="000E18E5"/>
    <w:rsid w:val="000E1A08"/>
    <w:rsid w:val="000E28CA"/>
    <w:rsid w:val="000E7A0D"/>
    <w:rsid w:val="000F2ECE"/>
    <w:rsid w:val="000F3FBB"/>
    <w:rsid w:val="000F601E"/>
    <w:rsid w:val="001065F5"/>
    <w:rsid w:val="00113B50"/>
    <w:rsid w:val="0011643C"/>
    <w:rsid w:val="00121B5E"/>
    <w:rsid w:val="001238EF"/>
    <w:rsid w:val="00125A6E"/>
    <w:rsid w:val="00130162"/>
    <w:rsid w:val="00137920"/>
    <w:rsid w:val="001425E8"/>
    <w:rsid w:val="00147C69"/>
    <w:rsid w:val="001501F1"/>
    <w:rsid w:val="00160671"/>
    <w:rsid w:val="001635F4"/>
    <w:rsid w:val="0016531C"/>
    <w:rsid w:val="0016558E"/>
    <w:rsid w:val="0016637D"/>
    <w:rsid w:val="00173D49"/>
    <w:rsid w:val="00175BF1"/>
    <w:rsid w:val="001765F3"/>
    <w:rsid w:val="00181DB4"/>
    <w:rsid w:val="00184ABC"/>
    <w:rsid w:val="00192631"/>
    <w:rsid w:val="00194F20"/>
    <w:rsid w:val="00197613"/>
    <w:rsid w:val="001A0466"/>
    <w:rsid w:val="001A35CA"/>
    <w:rsid w:val="001A62D7"/>
    <w:rsid w:val="001B1932"/>
    <w:rsid w:val="001B2E14"/>
    <w:rsid w:val="001B6735"/>
    <w:rsid w:val="001B771C"/>
    <w:rsid w:val="001C0746"/>
    <w:rsid w:val="001C4784"/>
    <w:rsid w:val="001C5556"/>
    <w:rsid w:val="001C6959"/>
    <w:rsid w:val="001D2C71"/>
    <w:rsid w:val="001D5BFF"/>
    <w:rsid w:val="001E1AFF"/>
    <w:rsid w:val="001E1B79"/>
    <w:rsid w:val="00204907"/>
    <w:rsid w:val="00206E7F"/>
    <w:rsid w:val="00211138"/>
    <w:rsid w:val="002156AF"/>
    <w:rsid w:val="00225C7B"/>
    <w:rsid w:val="002322CE"/>
    <w:rsid w:val="00233DC7"/>
    <w:rsid w:val="002344E7"/>
    <w:rsid w:val="00241A60"/>
    <w:rsid w:val="00247779"/>
    <w:rsid w:val="00261F2A"/>
    <w:rsid w:val="00266CE5"/>
    <w:rsid w:val="00274D6E"/>
    <w:rsid w:val="002826E9"/>
    <w:rsid w:val="00285BEE"/>
    <w:rsid w:val="0029533F"/>
    <w:rsid w:val="00297D5D"/>
    <w:rsid w:val="002A057B"/>
    <w:rsid w:val="002A22AB"/>
    <w:rsid w:val="002B30AF"/>
    <w:rsid w:val="002C22A1"/>
    <w:rsid w:val="002C32FA"/>
    <w:rsid w:val="002C4437"/>
    <w:rsid w:val="002C4839"/>
    <w:rsid w:val="002C7E98"/>
    <w:rsid w:val="002D5A3B"/>
    <w:rsid w:val="002F24C0"/>
    <w:rsid w:val="002F3C4B"/>
    <w:rsid w:val="002F6AC0"/>
    <w:rsid w:val="002F6ED0"/>
    <w:rsid w:val="00300D14"/>
    <w:rsid w:val="003038E0"/>
    <w:rsid w:val="00314A5F"/>
    <w:rsid w:val="00324478"/>
    <w:rsid w:val="00330C89"/>
    <w:rsid w:val="00331700"/>
    <w:rsid w:val="0033344A"/>
    <w:rsid w:val="00337D9F"/>
    <w:rsid w:val="00343014"/>
    <w:rsid w:val="00344B82"/>
    <w:rsid w:val="00346CC8"/>
    <w:rsid w:val="00346FE2"/>
    <w:rsid w:val="00353D58"/>
    <w:rsid w:val="0036303C"/>
    <w:rsid w:val="0036684B"/>
    <w:rsid w:val="00370469"/>
    <w:rsid w:val="00373CEB"/>
    <w:rsid w:val="00391E94"/>
    <w:rsid w:val="003A0B2C"/>
    <w:rsid w:val="003A4EE2"/>
    <w:rsid w:val="003B342B"/>
    <w:rsid w:val="003B4A79"/>
    <w:rsid w:val="003D0A5F"/>
    <w:rsid w:val="003D19FA"/>
    <w:rsid w:val="003D261D"/>
    <w:rsid w:val="003D5C86"/>
    <w:rsid w:val="003E20C4"/>
    <w:rsid w:val="003E37DE"/>
    <w:rsid w:val="003E3B3A"/>
    <w:rsid w:val="003E6EDD"/>
    <w:rsid w:val="003F60EF"/>
    <w:rsid w:val="003F6FCC"/>
    <w:rsid w:val="0041603A"/>
    <w:rsid w:val="004223ED"/>
    <w:rsid w:val="00424C7A"/>
    <w:rsid w:val="0042648E"/>
    <w:rsid w:val="004302CE"/>
    <w:rsid w:val="0043146A"/>
    <w:rsid w:val="00434E5B"/>
    <w:rsid w:val="00437F72"/>
    <w:rsid w:val="004434AB"/>
    <w:rsid w:val="00443B2E"/>
    <w:rsid w:val="0044569F"/>
    <w:rsid w:val="00447FE9"/>
    <w:rsid w:val="00464552"/>
    <w:rsid w:val="00467D58"/>
    <w:rsid w:val="00472D66"/>
    <w:rsid w:val="00477AB6"/>
    <w:rsid w:val="00482025"/>
    <w:rsid w:val="00492DDE"/>
    <w:rsid w:val="004936D2"/>
    <w:rsid w:val="004A18A9"/>
    <w:rsid w:val="004A22F7"/>
    <w:rsid w:val="004A7C1A"/>
    <w:rsid w:val="004B6215"/>
    <w:rsid w:val="004C3C5B"/>
    <w:rsid w:val="004C50D9"/>
    <w:rsid w:val="004C5DC2"/>
    <w:rsid w:val="004C7017"/>
    <w:rsid w:val="004D6C79"/>
    <w:rsid w:val="004D6C9E"/>
    <w:rsid w:val="004D7D3D"/>
    <w:rsid w:val="004E39EE"/>
    <w:rsid w:val="004F5528"/>
    <w:rsid w:val="005028D6"/>
    <w:rsid w:val="00515D18"/>
    <w:rsid w:val="00517E70"/>
    <w:rsid w:val="005277E4"/>
    <w:rsid w:val="00537A4D"/>
    <w:rsid w:val="00541A61"/>
    <w:rsid w:val="00541CE5"/>
    <w:rsid w:val="005434B0"/>
    <w:rsid w:val="00545AD1"/>
    <w:rsid w:val="00546FB3"/>
    <w:rsid w:val="005520A5"/>
    <w:rsid w:val="0055444B"/>
    <w:rsid w:val="00561E81"/>
    <w:rsid w:val="00564A03"/>
    <w:rsid w:val="00567057"/>
    <w:rsid w:val="00582F9D"/>
    <w:rsid w:val="005831B7"/>
    <w:rsid w:val="00586801"/>
    <w:rsid w:val="00594365"/>
    <w:rsid w:val="005A158F"/>
    <w:rsid w:val="005A356F"/>
    <w:rsid w:val="005A40BF"/>
    <w:rsid w:val="005A7F9F"/>
    <w:rsid w:val="005B1EB6"/>
    <w:rsid w:val="005E047F"/>
    <w:rsid w:val="005E07A3"/>
    <w:rsid w:val="005E6250"/>
    <w:rsid w:val="005E6A35"/>
    <w:rsid w:val="0060036F"/>
    <w:rsid w:val="00605A59"/>
    <w:rsid w:val="00613344"/>
    <w:rsid w:val="0064043B"/>
    <w:rsid w:val="006443EB"/>
    <w:rsid w:val="00653208"/>
    <w:rsid w:val="00655010"/>
    <w:rsid w:val="006741F5"/>
    <w:rsid w:val="00684209"/>
    <w:rsid w:val="006864B5"/>
    <w:rsid w:val="006905BD"/>
    <w:rsid w:val="006A04E8"/>
    <w:rsid w:val="006B015D"/>
    <w:rsid w:val="006C28EC"/>
    <w:rsid w:val="006D046C"/>
    <w:rsid w:val="006D4198"/>
    <w:rsid w:val="006D7F70"/>
    <w:rsid w:val="006E53E9"/>
    <w:rsid w:val="006F170C"/>
    <w:rsid w:val="006F274D"/>
    <w:rsid w:val="006F3D6A"/>
    <w:rsid w:val="0070088B"/>
    <w:rsid w:val="00713BEE"/>
    <w:rsid w:val="007215B4"/>
    <w:rsid w:val="00731699"/>
    <w:rsid w:val="00731F25"/>
    <w:rsid w:val="00737F90"/>
    <w:rsid w:val="00737FB8"/>
    <w:rsid w:val="0074158B"/>
    <w:rsid w:val="007452BA"/>
    <w:rsid w:val="00745B3E"/>
    <w:rsid w:val="0075483B"/>
    <w:rsid w:val="0075659E"/>
    <w:rsid w:val="00773331"/>
    <w:rsid w:val="00784BFE"/>
    <w:rsid w:val="00786548"/>
    <w:rsid w:val="00791943"/>
    <w:rsid w:val="007932EF"/>
    <w:rsid w:val="0079639E"/>
    <w:rsid w:val="00797902"/>
    <w:rsid w:val="007A1355"/>
    <w:rsid w:val="007A26EC"/>
    <w:rsid w:val="007A3244"/>
    <w:rsid w:val="007A3441"/>
    <w:rsid w:val="007B2437"/>
    <w:rsid w:val="007D02B4"/>
    <w:rsid w:val="007D6186"/>
    <w:rsid w:val="007D6B82"/>
    <w:rsid w:val="007E05B0"/>
    <w:rsid w:val="007E0D46"/>
    <w:rsid w:val="007E3186"/>
    <w:rsid w:val="007E3251"/>
    <w:rsid w:val="007F5F1C"/>
    <w:rsid w:val="00802C8A"/>
    <w:rsid w:val="0081439C"/>
    <w:rsid w:val="00816D3C"/>
    <w:rsid w:val="008179C7"/>
    <w:rsid w:val="00825362"/>
    <w:rsid w:val="008327B7"/>
    <w:rsid w:val="00837D49"/>
    <w:rsid w:val="008429B8"/>
    <w:rsid w:val="00842DE2"/>
    <w:rsid w:val="00845D9D"/>
    <w:rsid w:val="00856DAE"/>
    <w:rsid w:val="00865240"/>
    <w:rsid w:val="00867418"/>
    <w:rsid w:val="0087281C"/>
    <w:rsid w:val="00874D22"/>
    <w:rsid w:val="00883BBD"/>
    <w:rsid w:val="00886CAA"/>
    <w:rsid w:val="008875E5"/>
    <w:rsid w:val="00891B7E"/>
    <w:rsid w:val="00892FFD"/>
    <w:rsid w:val="0089437D"/>
    <w:rsid w:val="0089565D"/>
    <w:rsid w:val="008A2914"/>
    <w:rsid w:val="008A443E"/>
    <w:rsid w:val="008A70ED"/>
    <w:rsid w:val="008A792E"/>
    <w:rsid w:val="008B19CB"/>
    <w:rsid w:val="008B2B26"/>
    <w:rsid w:val="008C164E"/>
    <w:rsid w:val="008D2433"/>
    <w:rsid w:val="008D3624"/>
    <w:rsid w:val="008E1BA8"/>
    <w:rsid w:val="008E4D8E"/>
    <w:rsid w:val="008E569A"/>
    <w:rsid w:val="008E6DE5"/>
    <w:rsid w:val="008F04F1"/>
    <w:rsid w:val="008F0EA0"/>
    <w:rsid w:val="008F3FFD"/>
    <w:rsid w:val="008F50D6"/>
    <w:rsid w:val="008F5FE1"/>
    <w:rsid w:val="00900D9C"/>
    <w:rsid w:val="009020F6"/>
    <w:rsid w:val="009027EB"/>
    <w:rsid w:val="00903FB0"/>
    <w:rsid w:val="00904CED"/>
    <w:rsid w:val="009102F0"/>
    <w:rsid w:val="00910A62"/>
    <w:rsid w:val="00912C2F"/>
    <w:rsid w:val="0091490B"/>
    <w:rsid w:val="00916973"/>
    <w:rsid w:val="00921A89"/>
    <w:rsid w:val="009268C6"/>
    <w:rsid w:val="0092760C"/>
    <w:rsid w:val="0092772A"/>
    <w:rsid w:val="00931AD2"/>
    <w:rsid w:val="00935E3E"/>
    <w:rsid w:val="009432D6"/>
    <w:rsid w:val="009443AD"/>
    <w:rsid w:val="0095785B"/>
    <w:rsid w:val="00962972"/>
    <w:rsid w:val="00971957"/>
    <w:rsid w:val="009736AA"/>
    <w:rsid w:val="00974BC9"/>
    <w:rsid w:val="00984952"/>
    <w:rsid w:val="0098603A"/>
    <w:rsid w:val="0099392B"/>
    <w:rsid w:val="00997C74"/>
    <w:rsid w:val="009A476A"/>
    <w:rsid w:val="009A5BDA"/>
    <w:rsid w:val="009A5C2E"/>
    <w:rsid w:val="009B0829"/>
    <w:rsid w:val="009B2B57"/>
    <w:rsid w:val="009C2DEC"/>
    <w:rsid w:val="009C50F6"/>
    <w:rsid w:val="009D1AB4"/>
    <w:rsid w:val="009D6A18"/>
    <w:rsid w:val="009F458A"/>
    <w:rsid w:val="00A1041A"/>
    <w:rsid w:val="00A10D3E"/>
    <w:rsid w:val="00A22553"/>
    <w:rsid w:val="00A256BF"/>
    <w:rsid w:val="00A265D8"/>
    <w:rsid w:val="00A31E6D"/>
    <w:rsid w:val="00A33965"/>
    <w:rsid w:val="00A351FE"/>
    <w:rsid w:val="00A41192"/>
    <w:rsid w:val="00A417A1"/>
    <w:rsid w:val="00A50DD1"/>
    <w:rsid w:val="00A57B75"/>
    <w:rsid w:val="00A63547"/>
    <w:rsid w:val="00A66F09"/>
    <w:rsid w:val="00A72597"/>
    <w:rsid w:val="00A746AB"/>
    <w:rsid w:val="00A77172"/>
    <w:rsid w:val="00A879D3"/>
    <w:rsid w:val="00A901F8"/>
    <w:rsid w:val="00A91F9A"/>
    <w:rsid w:val="00AA088C"/>
    <w:rsid w:val="00AA4C67"/>
    <w:rsid w:val="00AA59F5"/>
    <w:rsid w:val="00AA6694"/>
    <w:rsid w:val="00AB01C3"/>
    <w:rsid w:val="00AC3AEF"/>
    <w:rsid w:val="00AC69F6"/>
    <w:rsid w:val="00AD62A8"/>
    <w:rsid w:val="00AE446F"/>
    <w:rsid w:val="00AF2836"/>
    <w:rsid w:val="00B04911"/>
    <w:rsid w:val="00B11428"/>
    <w:rsid w:val="00B126CD"/>
    <w:rsid w:val="00B16D40"/>
    <w:rsid w:val="00B2054F"/>
    <w:rsid w:val="00B229E2"/>
    <w:rsid w:val="00B24C2C"/>
    <w:rsid w:val="00B25EF1"/>
    <w:rsid w:val="00B33A23"/>
    <w:rsid w:val="00B401FA"/>
    <w:rsid w:val="00B44AFA"/>
    <w:rsid w:val="00B45769"/>
    <w:rsid w:val="00B46720"/>
    <w:rsid w:val="00B53F62"/>
    <w:rsid w:val="00B53FAA"/>
    <w:rsid w:val="00B71ACA"/>
    <w:rsid w:val="00B72C22"/>
    <w:rsid w:val="00B75014"/>
    <w:rsid w:val="00B75419"/>
    <w:rsid w:val="00B76851"/>
    <w:rsid w:val="00B83D1B"/>
    <w:rsid w:val="00B92FDB"/>
    <w:rsid w:val="00B958F2"/>
    <w:rsid w:val="00BA2DF6"/>
    <w:rsid w:val="00BA76D1"/>
    <w:rsid w:val="00BC0F8C"/>
    <w:rsid w:val="00BC333F"/>
    <w:rsid w:val="00BD4AB4"/>
    <w:rsid w:val="00BD7438"/>
    <w:rsid w:val="00BE00B2"/>
    <w:rsid w:val="00BE4770"/>
    <w:rsid w:val="00BE58D3"/>
    <w:rsid w:val="00BF0DB9"/>
    <w:rsid w:val="00C06C7D"/>
    <w:rsid w:val="00C12301"/>
    <w:rsid w:val="00C129C8"/>
    <w:rsid w:val="00C13E42"/>
    <w:rsid w:val="00C159D0"/>
    <w:rsid w:val="00C17426"/>
    <w:rsid w:val="00C20148"/>
    <w:rsid w:val="00C20B57"/>
    <w:rsid w:val="00C220AF"/>
    <w:rsid w:val="00C22D01"/>
    <w:rsid w:val="00C262D6"/>
    <w:rsid w:val="00C267CB"/>
    <w:rsid w:val="00C26AE4"/>
    <w:rsid w:val="00C3424D"/>
    <w:rsid w:val="00C3491B"/>
    <w:rsid w:val="00C36DE7"/>
    <w:rsid w:val="00C440FE"/>
    <w:rsid w:val="00C52717"/>
    <w:rsid w:val="00C6699C"/>
    <w:rsid w:val="00C82F9F"/>
    <w:rsid w:val="00C8368A"/>
    <w:rsid w:val="00C84B39"/>
    <w:rsid w:val="00C84E77"/>
    <w:rsid w:val="00C9396A"/>
    <w:rsid w:val="00C973E2"/>
    <w:rsid w:val="00CB1E54"/>
    <w:rsid w:val="00CB6D22"/>
    <w:rsid w:val="00CC17D6"/>
    <w:rsid w:val="00CC1CB2"/>
    <w:rsid w:val="00CC2F27"/>
    <w:rsid w:val="00CC36CA"/>
    <w:rsid w:val="00CC41A9"/>
    <w:rsid w:val="00CC4703"/>
    <w:rsid w:val="00CC78E1"/>
    <w:rsid w:val="00CD38FE"/>
    <w:rsid w:val="00CD3DB7"/>
    <w:rsid w:val="00CD42B6"/>
    <w:rsid w:val="00CD4883"/>
    <w:rsid w:val="00CD50CD"/>
    <w:rsid w:val="00CE2FB0"/>
    <w:rsid w:val="00CE63C3"/>
    <w:rsid w:val="00CF73DD"/>
    <w:rsid w:val="00D04DD1"/>
    <w:rsid w:val="00D11095"/>
    <w:rsid w:val="00D20381"/>
    <w:rsid w:val="00D235E6"/>
    <w:rsid w:val="00D25904"/>
    <w:rsid w:val="00D32A53"/>
    <w:rsid w:val="00D54F1D"/>
    <w:rsid w:val="00D60158"/>
    <w:rsid w:val="00D66C9C"/>
    <w:rsid w:val="00D67714"/>
    <w:rsid w:val="00D82A16"/>
    <w:rsid w:val="00D935F5"/>
    <w:rsid w:val="00D93ACC"/>
    <w:rsid w:val="00DA2419"/>
    <w:rsid w:val="00DA31D6"/>
    <w:rsid w:val="00DA508D"/>
    <w:rsid w:val="00DA7337"/>
    <w:rsid w:val="00DB1DD2"/>
    <w:rsid w:val="00DB3FF9"/>
    <w:rsid w:val="00DD5180"/>
    <w:rsid w:val="00DE079D"/>
    <w:rsid w:val="00DF1166"/>
    <w:rsid w:val="00DF1A65"/>
    <w:rsid w:val="00DF4E7E"/>
    <w:rsid w:val="00DF797F"/>
    <w:rsid w:val="00E035DE"/>
    <w:rsid w:val="00E1163B"/>
    <w:rsid w:val="00E13727"/>
    <w:rsid w:val="00E13FA6"/>
    <w:rsid w:val="00E2169E"/>
    <w:rsid w:val="00E22EAF"/>
    <w:rsid w:val="00E346FB"/>
    <w:rsid w:val="00E355E4"/>
    <w:rsid w:val="00E36FCE"/>
    <w:rsid w:val="00E47030"/>
    <w:rsid w:val="00E47944"/>
    <w:rsid w:val="00E5301D"/>
    <w:rsid w:val="00E55FFC"/>
    <w:rsid w:val="00E67BF8"/>
    <w:rsid w:val="00E80EA5"/>
    <w:rsid w:val="00E83703"/>
    <w:rsid w:val="00E914FA"/>
    <w:rsid w:val="00EA127B"/>
    <w:rsid w:val="00EA2FDF"/>
    <w:rsid w:val="00EA4057"/>
    <w:rsid w:val="00EA5827"/>
    <w:rsid w:val="00EC0935"/>
    <w:rsid w:val="00EC0CDD"/>
    <w:rsid w:val="00EC30D5"/>
    <w:rsid w:val="00EC37C0"/>
    <w:rsid w:val="00EC6F00"/>
    <w:rsid w:val="00ED2F49"/>
    <w:rsid w:val="00ED6F0C"/>
    <w:rsid w:val="00EE2A20"/>
    <w:rsid w:val="00EE2D3F"/>
    <w:rsid w:val="00EE6613"/>
    <w:rsid w:val="00EE6FC7"/>
    <w:rsid w:val="00EF1BDE"/>
    <w:rsid w:val="00EF3483"/>
    <w:rsid w:val="00EF7072"/>
    <w:rsid w:val="00F01C2E"/>
    <w:rsid w:val="00F027DD"/>
    <w:rsid w:val="00F03387"/>
    <w:rsid w:val="00F07A76"/>
    <w:rsid w:val="00F15865"/>
    <w:rsid w:val="00F2491B"/>
    <w:rsid w:val="00F25749"/>
    <w:rsid w:val="00F25CC3"/>
    <w:rsid w:val="00F36E8F"/>
    <w:rsid w:val="00F40349"/>
    <w:rsid w:val="00F42380"/>
    <w:rsid w:val="00F45CF2"/>
    <w:rsid w:val="00F6213D"/>
    <w:rsid w:val="00F627F3"/>
    <w:rsid w:val="00F6649C"/>
    <w:rsid w:val="00F70735"/>
    <w:rsid w:val="00F71369"/>
    <w:rsid w:val="00F74C55"/>
    <w:rsid w:val="00F80C79"/>
    <w:rsid w:val="00FA1B23"/>
    <w:rsid w:val="00FA4425"/>
    <w:rsid w:val="00FB2121"/>
    <w:rsid w:val="00FB23E4"/>
    <w:rsid w:val="00FB3312"/>
    <w:rsid w:val="00FB4CE0"/>
    <w:rsid w:val="00FC38F8"/>
    <w:rsid w:val="00FC6C00"/>
    <w:rsid w:val="00FD2303"/>
    <w:rsid w:val="00FD42B2"/>
    <w:rsid w:val="00FE0A29"/>
    <w:rsid w:val="00FF5313"/>
    <w:rsid w:val="00FF7D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9135F58-2DE3-4C0E-842E-895763F0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uiPriority w:val="99"/>
    <w:rsid w:val="001A62D7"/>
    <w:pPr>
      <w:numPr>
        <w:numId w:val="2"/>
      </w:numPr>
      <w:tabs>
        <w:tab w:val="num" w:pos="360"/>
      </w:tabs>
      <w:ind w:left="0" w:firstLine="0"/>
    </w:pPr>
    <w:rPr>
      <w:rFonts w:eastAsia="Times New Roman"/>
      <w:lang w:eastAsia="de-DE"/>
    </w:rPr>
  </w:style>
  <w:style w:type="paragraph" w:styleId="ListNumber">
    <w:name w:val="List Number"/>
    <w:basedOn w:val="Normal"/>
    <w:uiPriority w:val="99"/>
    <w:rsid w:val="001A62D7"/>
    <w:pPr>
      <w:numPr>
        <w:numId w:val="6"/>
      </w:numPr>
    </w:pPr>
    <w:rPr>
      <w:rFonts w:eastAsia="Times New Roman"/>
      <w:lang w:eastAsia="de-DE"/>
    </w:rPr>
  </w:style>
  <w:style w:type="paragraph" w:customStyle="1" w:styleId="ListBullet1">
    <w:name w:val="List Bullet 1"/>
    <w:basedOn w:val="Normal"/>
    <w:rsid w:val="001A62D7"/>
    <w:pPr>
      <w:numPr>
        <w:numId w:val="1"/>
      </w:numPr>
    </w:pPr>
    <w:rPr>
      <w:rFonts w:eastAsia="Times New Roman"/>
      <w:lang w:eastAsia="de-DE"/>
    </w:rPr>
  </w:style>
  <w:style w:type="paragraph" w:customStyle="1" w:styleId="ListDash">
    <w:name w:val="List Dash"/>
    <w:basedOn w:val="Normal"/>
    <w:rsid w:val="001A62D7"/>
    <w:pPr>
      <w:numPr>
        <w:numId w:val="3"/>
      </w:numPr>
    </w:pPr>
    <w:rPr>
      <w:rFonts w:eastAsia="Times New Roman"/>
      <w:lang w:eastAsia="de-DE"/>
    </w:rPr>
  </w:style>
  <w:style w:type="paragraph" w:customStyle="1" w:styleId="ListDash1">
    <w:name w:val="List Dash 1"/>
    <w:basedOn w:val="Normal"/>
    <w:rsid w:val="001A62D7"/>
    <w:pPr>
      <w:numPr>
        <w:numId w:val="4"/>
      </w:numPr>
    </w:pPr>
    <w:rPr>
      <w:rFonts w:eastAsia="Times New Roman"/>
      <w:lang w:eastAsia="de-DE"/>
    </w:rPr>
  </w:style>
  <w:style w:type="paragraph" w:customStyle="1" w:styleId="ListDash2">
    <w:name w:val="List Dash 2"/>
    <w:basedOn w:val="Normal"/>
    <w:rsid w:val="001A62D7"/>
    <w:pPr>
      <w:numPr>
        <w:numId w:val="5"/>
      </w:numPr>
    </w:pPr>
    <w:rPr>
      <w:rFonts w:eastAsia="Times New Roman"/>
      <w:lang w:eastAsia="de-DE"/>
    </w:rPr>
  </w:style>
  <w:style w:type="paragraph" w:customStyle="1" w:styleId="ListNumberLevel2">
    <w:name w:val="List Number (Level 2)"/>
    <w:basedOn w:val="Normal"/>
    <w:rsid w:val="001A62D7"/>
    <w:pPr>
      <w:numPr>
        <w:ilvl w:val="1"/>
        <w:numId w:val="6"/>
      </w:numPr>
    </w:pPr>
    <w:rPr>
      <w:rFonts w:eastAsia="Times New Roman"/>
      <w:lang w:eastAsia="de-DE"/>
    </w:rPr>
  </w:style>
  <w:style w:type="paragraph" w:customStyle="1" w:styleId="ListNumberLevel3">
    <w:name w:val="List Number (Level 3)"/>
    <w:basedOn w:val="Normal"/>
    <w:rsid w:val="001A62D7"/>
    <w:pPr>
      <w:numPr>
        <w:ilvl w:val="2"/>
        <w:numId w:val="6"/>
      </w:numPr>
    </w:pPr>
    <w:rPr>
      <w:rFonts w:eastAsia="Times New Roman"/>
      <w:lang w:eastAsia="de-DE"/>
    </w:rPr>
  </w:style>
  <w:style w:type="paragraph" w:customStyle="1" w:styleId="ListNumberLevel4">
    <w:name w:val="List Number (Level 4)"/>
    <w:basedOn w:val="Normal"/>
    <w:rsid w:val="001A62D7"/>
    <w:pPr>
      <w:numPr>
        <w:ilvl w:val="3"/>
        <w:numId w:val="6"/>
      </w:numPr>
    </w:pPr>
    <w:rPr>
      <w:rFonts w:eastAsia="Times New Roman"/>
      <w:lang w:eastAsia="de-DE"/>
    </w:rPr>
  </w:style>
  <w:style w:type="table" w:styleId="TableGrid">
    <w:name w:val="Table Grid"/>
    <w:basedOn w:val="TableNormal"/>
    <w:rsid w:val="001A62D7"/>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1A62D7"/>
    <w:rPr>
      <w:color w:val="0000FF"/>
      <w:u w:val="single"/>
    </w:rPr>
  </w:style>
  <w:style w:type="paragraph" w:styleId="ListBullet">
    <w:name w:val="List Bullet"/>
    <w:basedOn w:val="Normal"/>
    <w:uiPriority w:val="99"/>
    <w:rsid w:val="001A62D7"/>
    <w:pPr>
      <w:numPr>
        <w:numId w:val="7"/>
      </w:numPr>
    </w:pPr>
    <w:rPr>
      <w:rFonts w:eastAsia="Times New Roman"/>
      <w:lang w:val="fr-FR" w:eastAsia="en-GB"/>
    </w:rPr>
  </w:style>
  <w:style w:type="paragraph" w:styleId="ListBullet2">
    <w:name w:val="List Bullet 2"/>
    <w:basedOn w:val="Normal"/>
    <w:uiPriority w:val="99"/>
    <w:rsid w:val="001A62D7"/>
    <w:pPr>
      <w:numPr>
        <w:numId w:val="8"/>
      </w:numPr>
    </w:pPr>
    <w:rPr>
      <w:rFonts w:eastAsia="Times New Roman"/>
      <w:lang w:val="fr-FR" w:eastAsia="en-GB"/>
    </w:rPr>
  </w:style>
  <w:style w:type="paragraph" w:styleId="ListBullet3">
    <w:name w:val="List Bullet 3"/>
    <w:basedOn w:val="Normal"/>
    <w:rsid w:val="001A62D7"/>
    <w:pPr>
      <w:numPr>
        <w:numId w:val="9"/>
      </w:numPr>
    </w:pPr>
    <w:rPr>
      <w:rFonts w:eastAsia="Times New Roman"/>
      <w:lang w:val="fr-FR" w:eastAsia="en-GB"/>
    </w:rPr>
  </w:style>
  <w:style w:type="paragraph" w:styleId="ListNumber2">
    <w:name w:val="List Number 2"/>
    <w:basedOn w:val="Normal"/>
    <w:uiPriority w:val="99"/>
    <w:rsid w:val="001A62D7"/>
    <w:pPr>
      <w:numPr>
        <w:numId w:val="13"/>
      </w:numPr>
    </w:pPr>
    <w:rPr>
      <w:rFonts w:eastAsia="Times New Roman"/>
      <w:lang w:val="fr-FR" w:eastAsia="en-GB"/>
    </w:rPr>
  </w:style>
  <w:style w:type="paragraph" w:styleId="ListNumber3">
    <w:name w:val="List Number 3"/>
    <w:basedOn w:val="Normal"/>
    <w:uiPriority w:val="99"/>
    <w:rsid w:val="001A62D7"/>
    <w:pPr>
      <w:numPr>
        <w:numId w:val="14"/>
      </w:numPr>
    </w:pPr>
    <w:rPr>
      <w:rFonts w:eastAsia="Times New Roman"/>
      <w:lang w:val="fr-FR" w:eastAsia="en-GB"/>
    </w:rPr>
  </w:style>
  <w:style w:type="paragraph" w:styleId="ListNumber4">
    <w:name w:val="List Number 4"/>
    <w:basedOn w:val="Normal"/>
    <w:uiPriority w:val="99"/>
    <w:rsid w:val="001A62D7"/>
    <w:pPr>
      <w:numPr>
        <w:numId w:val="15"/>
      </w:numPr>
    </w:pPr>
    <w:rPr>
      <w:rFonts w:eastAsia="Times New Roman"/>
      <w:lang w:val="fr-FR" w:eastAsia="en-GB"/>
    </w:rPr>
  </w:style>
  <w:style w:type="paragraph" w:customStyle="1" w:styleId="ListDash3">
    <w:name w:val="List Dash 3"/>
    <w:basedOn w:val="Normal"/>
    <w:rsid w:val="001A62D7"/>
    <w:pPr>
      <w:numPr>
        <w:numId w:val="10"/>
      </w:numPr>
    </w:pPr>
    <w:rPr>
      <w:rFonts w:eastAsia="Times New Roman"/>
      <w:lang w:val="fr-FR" w:eastAsia="en-GB"/>
    </w:rPr>
  </w:style>
  <w:style w:type="paragraph" w:customStyle="1" w:styleId="ListDash4">
    <w:name w:val="List Dash 4"/>
    <w:basedOn w:val="Normal"/>
    <w:rsid w:val="001A62D7"/>
    <w:pPr>
      <w:numPr>
        <w:numId w:val="11"/>
      </w:numPr>
    </w:pPr>
    <w:rPr>
      <w:rFonts w:eastAsia="Times New Roman"/>
      <w:lang w:val="fr-FR" w:eastAsia="en-GB"/>
    </w:rPr>
  </w:style>
  <w:style w:type="paragraph" w:customStyle="1" w:styleId="ListNumber1">
    <w:name w:val="List Number 1"/>
    <w:basedOn w:val="Text1"/>
    <w:rsid w:val="001A62D7"/>
    <w:pPr>
      <w:numPr>
        <w:numId w:val="12"/>
      </w:numPr>
    </w:pPr>
    <w:rPr>
      <w:rFonts w:eastAsia="Times New Roman"/>
      <w:lang w:val="fr-FR" w:eastAsia="en-GB"/>
    </w:rPr>
  </w:style>
  <w:style w:type="paragraph" w:customStyle="1" w:styleId="ListNumber1Level2">
    <w:name w:val="List Number 1 (Level 2)"/>
    <w:basedOn w:val="Text1"/>
    <w:rsid w:val="001A62D7"/>
    <w:pPr>
      <w:numPr>
        <w:ilvl w:val="1"/>
        <w:numId w:val="12"/>
      </w:numPr>
    </w:pPr>
    <w:rPr>
      <w:rFonts w:eastAsia="Times New Roman"/>
      <w:lang w:val="fr-FR" w:eastAsia="en-GB"/>
    </w:rPr>
  </w:style>
  <w:style w:type="paragraph" w:customStyle="1" w:styleId="ListNumber2Level2">
    <w:name w:val="List Number 2 (Level 2)"/>
    <w:basedOn w:val="Text2"/>
    <w:rsid w:val="001A62D7"/>
    <w:pPr>
      <w:numPr>
        <w:ilvl w:val="1"/>
        <w:numId w:val="13"/>
      </w:numPr>
    </w:pPr>
    <w:rPr>
      <w:rFonts w:eastAsia="Times New Roman"/>
      <w:lang w:val="fr-FR" w:eastAsia="en-GB"/>
    </w:rPr>
  </w:style>
  <w:style w:type="paragraph" w:customStyle="1" w:styleId="ListNumber3Level2">
    <w:name w:val="List Number 3 (Level 2)"/>
    <w:basedOn w:val="Text3"/>
    <w:rsid w:val="001A62D7"/>
    <w:pPr>
      <w:numPr>
        <w:ilvl w:val="1"/>
        <w:numId w:val="14"/>
      </w:numPr>
    </w:pPr>
    <w:rPr>
      <w:rFonts w:eastAsia="Times New Roman"/>
      <w:lang w:val="fr-FR" w:eastAsia="en-GB"/>
    </w:rPr>
  </w:style>
  <w:style w:type="paragraph" w:customStyle="1" w:styleId="ListNumber4Level2">
    <w:name w:val="List Number 4 (Level 2)"/>
    <w:basedOn w:val="Text4"/>
    <w:rsid w:val="001A62D7"/>
    <w:pPr>
      <w:numPr>
        <w:ilvl w:val="1"/>
        <w:numId w:val="15"/>
      </w:numPr>
    </w:pPr>
    <w:rPr>
      <w:rFonts w:eastAsia="Times New Roman"/>
      <w:lang w:val="fr-FR" w:eastAsia="en-GB"/>
    </w:rPr>
  </w:style>
  <w:style w:type="paragraph" w:customStyle="1" w:styleId="ListNumber1Level3">
    <w:name w:val="List Number 1 (Level 3)"/>
    <w:basedOn w:val="Text1"/>
    <w:rsid w:val="001A62D7"/>
    <w:pPr>
      <w:numPr>
        <w:ilvl w:val="2"/>
        <w:numId w:val="12"/>
      </w:numPr>
    </w:pPr>
    <w:rPr>
      <w:rFonts w:eastAsia="Times New Roman"/>
      <w:lang w:val="fr-FR" w:eastAsia="en-GB"/>
    </w:rPr>
  </w:style>
  <w:style w:type="paragraph" w:customStyle="1" w:styleId="ListNumber2Level3">
    <w:name w:val="List Number 2 (Level 3)"/>
    <w:basedOn w:val="Text2"/>
    <w:rsid w:val="001A62D7"/>
    <w:pPr>
      <w:numPr>
        <w:ilvl w:val="2"/>
        <w:numId w:val="13"/>
      </w:numPr>
    </w:pPr>
    <w:rPr>
      <w:rFonts w:eastAsia="Times New Roman"/>
      <w:lang w:val="fr-FR" w:eastAsia="en-GB"/>
    </w:rPr>
  </w:style>
  <w:style w:type="paragraph" w:customStyle="1" w:styleId="ListNumber3Level3">
    <w:name w:val="List Number 3 (Level 3)"/>
    <w:basedOn w:val="Text3"/>
    <w:rsid w:val="001A62D7"/>
    <w:pPr>
      <w:numPr>
        <w:ilvl w:val="2"/>
        <w:numId w:val="14"/>
      </w:numPr>
    </w:pPr>
    <w:rPr>
      <w:rFonts w:eastAsia="Times New Roman"/>
      <w:lang w:val="fr-FR" w:eastAsia="en-GB"/>
    </w:rPr>
  </w:style>
  <w:style w:type="paragraph" w:customStyle="1" w:styleId="ListNumber4Level3">
    <w:name w:val="List Number 4 (Level 3)"/>
    <w:basedOn w:val="Text4"/>
    <w:rsid w:val="001A62D7"/>
    <w:pPr>
      <w:numPr>
        <w:ilvl w:val="2"/>
        <w:numId w:val="15"/>
      </w:numPr>
    </w:pPr>
    <w:rPr>
      <w:rFonts w:eastAsia="Times New Roman"/>
      <w:lang w:val="fr-FR" w:eastAsia="en-GB"/>
    </w:rPr>
  </w:style>
  <w:style w:type="paragraph" w:customStyle="1" w:styleId="ListNumber1Level4">
    <w:name w:val="List Number 1 (Level 4)"/>
    <w:basedOn w:val="Text1"/>
    <w:rsid w:val="001A62D7"/>
    <w:pPr>
      <w:numPr>
        <w:ilvl w:val="3"/>
        <w:numId w:val="12"/>
      </w:numPr>
    </w:pPr>
    <w:rPr>
      <w:rFonts w:eastAsia="Times New Roman"/>
      <w:lang w:val="fr-FR" w:eastAsia="en-GB"/>
    </w:rPr>
  </w:style>
  <w:style w:type="paragraph" w:customStyle="1" w:styleId="ListNumber2Level4">
    <w:name w:val="List Number 2 (Level 4)"/>
    <w:basedOn w:val="Text2"/>
    <w:rsid w:val="001A62D7"/>
    <w:pPr>
      <w:numPr>
        <w:ilvl w:val="3"/>
        <w:numId w:val="13"/>
      </w:numPr>
    </w:pPr>
    <w:rPr>
      <w:rFonts w:eastAsia="Times New Roman"/>
      <w:lang w:val="fr-FR" w:eastAsia="en-GB"/>
    </w:rPr>
  </w:style>
  <w:style w:type="paragraph" w:customStyle="1" w:styleId="ListNumber3Level4">
    <w:name w:val="List Number 3 (Level 4)"/>
    <w:basedOn w:val="Text3"/>
    <w:rsid w:val="001A62D7"/>
    <w:pPr>
      <w:numPr>
        <w:ilvl w:val="3"/>
        <w:numId w:val="14"/>
      </w:numPr>
    </w:pPr>
    <w:rPr>
      <w:rFonts w:eastAsia="Times New Roman"/>
      <w:lang w:val="fr-FR" w:eastAsia="en-GB"/>
    </w:rPr>
  </w:style>
  <w:style w:type="paragraph" w:customStyle="1" w:styleId="ListNumber4Level4">
    <w:name w:val="List Number 4 (Level 4)"/>
    <w:basedOn w:val="Text4"/>
    <w:rsid w:val="001A62D7"/>
    <w:pPr>
      <w:numPr>
        <w:ilvl w:val="3"/>
        <w:numId w:val="15"/>
      </w:numPr>
    </w:pPr>
    <w:rPr>
      <w:rFonts w:eastAsia="Times New Roman"/>
      <w:lang w:val="fr-FR" w:eastAsia="en-GB"/>
    </w:rPr>
  </w:style>
  <w:style w:type="paragraph" w:customStyle="1" w:styleId="Annexetitreacte">
    <w:name w:val="Annexe titre (acte)"/>
    <w:basedOn w:val="Normal"/>
    <w:next w:val="Normal"/>
    <w:rsid w:val="001A62D7"/>
    <w:pPr>
      <w:jc w:val="center"/>
    </w:pPr>
    <w:rPr>
      <w:rFonts w:eastAsia="Times New Roman"/>
      <w:b/>
      <w:u w:val="single"/>
      <w:lang w:val="fr-FR" w:eastAsia="en-GB"/>
    </w:rPr>
  </w:style>
  <w:style w:type="paragraph" w:customStyle="1" w:styleId="Annexetitreexposglobal">
    <w:name w:val="Annexe titre (exposé global)"/>
    <w:basedOn w:val="Normal"/>
    <w:next w:val="Normal"/>
    <w:rsid w:val="001A62D7"/>
    <w:pPr>
      <w:jc w:val="center"/>
    </w:pPr>
    <w:rPr>
      <w:rFonts w:eastAsia="Times New Roman"/>
      <w:b/>
      <w:u w:val="single"/>
      <w:lang w:val="fr-FR" w:eastAsia="en-GB"/>
    </w:rPr>
  </w:style>
  <w:style w:type="paragraph" w:customStyle="1" w:styleId="Annexetitrefichefinacte">
    <w:name w:val="Annexe titre (fiche fin. acte)"/>
    <w:basedOn w:val="Normal"/>
    <w:next w:val="Normal"/>
    <w:rsid w:val="001A62D7"/>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1A62D7"/>
    <w:pPr>
      <w:jc w:val="center"/>
    </w:pPr>
    <w:rPr>
      <w:rFonts w:eastAsia="Times New Roman"/>
      <w:b/>
      <w:u w:val="single"/>
      <w:lang w:val="fr-FR" w:eastAsia="en-GB"/>
    </w:rPr>
  </w:style>
  <w:style w:type="paragraph" w:customStyle="1" w:styleId="Annexetitreglobale">
    <w:name w:val="Annexe titre (globale)"/>
    <w:basedOn w:val="Normal"/>
    <w:next w:val="Normal"/>
    <w:rsid w:val="001A62D7"/>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1A62D7"/>
    <w:pPr>
      <w:jc w:val="center"/>
    </w:pPr>
    <w:rPr>
      <w:rFonts w:eastAsia="Times New Roman"/>
      <w:b/>
      <w:u w:val="single"/>
      <w:lang w:val="fr-FR" w:eastAsia="en-GB"/>
    </w:rPr>
  </w:style>
  <w:style w:type="paragraph" w:customStyle="1" w:styleId="Langueoriginale">
    <w:name w:val="Langue originale"/>
    <w:basedOn w:val="Normal"/>
    <w:rsid w:val="001A62D7"/>
    <w:pPr>
      <w:spacing w:before="360"/>
      <w:jc w:val="center"/>
    </w:pPr>
    <w:rPr>
      <w:rFonts w:eastAsia="Times New Roman"/>
      <w:caps/>
      <w:lang w:val="fr-FR" w:eastAsia="en-GB"/>
    </w:rPr>
  </w:style>
  <w:style w:type="paragraph" w:customStyle="1" w:styleId="Phrasefinale">
    <w:name w:val="Phrase finale"/>
    <w:basedOn w:val="Normal"/>
    <w:next w:val="Normal"/>
    <w:rsid w:val="001A62D7"/>
    <w:pPr>
      <w:spacing w:before="360" w:after="0"/>
      <w:jc w:val="center"/>
    </w:pPr>
    <w:rPr>
      <w:rFonts w:eastAsia="Times New Roman"/>
      <w:lang w:val="fr-FR" w:eastAsia="en-GB"/>
    </w:rPr>
  </w:style>
  <w:style w:type="paragraph" w:customStyle="1" w:styleId="Prliminairetitre">
    <w:name w:val="Préliminaire titre"/>
    <w:basedOn w:val="Normal"/>
    <w:next w:val="Normal"/>
    <w:rsid w:val="001A62D7"/>
    <w:pPr>
      <w:spacing w:before="360" w:after="360"/>
      <w:jc w:val="center"/>
    </w:pPr>
    <w:rPr>
      <w:rFonts w:eastAsia="Times New Roman"/>
      <w:b/>
      <w:lang w:val="fr-FR" w:eastAsia="en-GB"/>
    </w:rPr>
  </w:style>
  <w:style w:type="paragraph" w:customStyle="1" w:styleId="Prliminairetype">
    <w:name w:val="Préliminaire type"/>
    <w:basedOn w:val="Normal"/>
    <w:next w:val="Normal"/>
    <w:rsid w:val="001A62D7"/>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1A62D7"/>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1A62D7"/>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1A62D7"/>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1A62D7"/>
    <w:pPr>
      <w:spacing w:before="0" w:after="0"/>
      <w:jc w:val="center"/>
    </w:pPr>
    <w:rPr>
      <w:rFonts w:eastAsia="Times New Roman"/>
      <w:b/>
      <w:lang w:val="fr-FR" w:eastAsia="en-GB"/>
    </w:rPr>
  </w:style>
  <w:style w:type="paragraph" w:customStyle="1" w:styleId="Statutprliminaire">
    <w:name w:val="Statut (préliminaire)"/>
    <w:basedOn w:val="Normal"/>
    <w:next w:val="Normal"/>
    <w:rsid w:val="001A62D7"/>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1A62D7"/>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1A62D7"/>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1A62D7"/>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1A62D7"/>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1A62D7"/>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1A62D7"/>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1A62D7"/>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1A62D7"/>
    <w:pPr>
      <w:jc w:val="center"/>
    </w:pPr>
    <w:rPr>
      <w:rFonts w:eastAsia="Times New Roman"/>
      <w:b/>
      <w:u w:val="single"/>
      <w:lang w:val="fr-FR" w:eastAsia="en-GB"/>
    </w:rPr>
  </w:style>
  <w:style w:type="character" w:styleId="CommentReference">
    <w:name w:val="annotation reference"/>
    <w:rsid w:val="001A62D7"/>
    <w:rPr>
      <w:rFonts w:cs="Times New Roman"/>
      <w:sz w:val="16"/>
      <w:szCs w:val="16"/>
    </w:rPr>
  </w:style>
  <w:style w:type="paragraph" w:styleId="CommentText">
    <w:name w:val="annotation text"/>
    <w:basedOn w:val="Normal"/>
    <w:link w:val="CommentTextChar"/>
    <w:rsid w:val="001A62D7"/>
    <w:rPr>
      <w:rFonts w:eastAsia="Times New Roman"/>
      <w:sz w:val="20"/>
      <w:szCs w:val="20"/>
      <w:lang w:val="fr-FR" w:eastAsia="en-GB"/>
    </w:rPr>
  </w:style>
  <w:style w:type="character" w:customStyle="1" w:styleId="CommentTextChar">
    <w:name w:val="Comment Text Char"/>
    <w:basedOn w:val="DefaultParagraphFont"/>
    <w:link w:val="CommentText"/>
    <w:rsid w:val="001A62D7"/>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uiPriority w:val="99"/>
    <w:rsid w:val="001A62D7"/>
    <w:rPr>
      <w:b/>
      <w:bCs/>
    </w:rPr>
  </w:style>
  <w:style w:type="character" w:customStyle="1" w:styleId="CommentSubjectChar">
    <w:name w:val="Comment Subject Char"/>
    <w:basedOn w:val="CommentTextChar"/>
    <w:link w:val="CommentSubject"/>
    <w:uiPriority w:val="99"/>
    <w:rsid w:val="001A62D7"/>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uiPriority w:val="99"/>
    <w:rsid w:val="001A62D7"/>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uiPriority w:val="99"/>
    <w:rsid w:val="001A62D7"/>
    <w:rPr>
      <w:rFonts w:ascii="Tahoma" w:eastAsia="Times New Roman" w:hAnsi="Tahoma" w:cs="Tahoma"/>
      <w:sz w:val="16"/>
      <w:szCs w:val="16"/>
      <w:lang w:val="fr-FR" w:eastAsia="en-GB"/>
    </w:rPr>
  </w:style>
  <w:style w:type="paragraph" w:styleId="Caption">
    <w:name w:val="caption"/>
    <w:basedOn w:val="Normal"/>
    <w:next w:val="Normal"/>
    <w:uiPriority w:val="35"/>
    <w:qFormat/>
    <w:rsid w:val="001A62D7"/>
    <w:rPr>
      <w:rFonts w:eastAsia="Times New Roman"/>
      <w:b/>
      <w:bCs/>
      <w:sz w:val="20"/>
      <w:szCs w:val="20"/>
      <w:lang w:val="fr-FR" w:eastAsia="en-GB"/>
    </w:rPr>
  </w:style>
  <w:style w:type="paragraph" w:styleId="TableofFigures">
    <w:name w:val="table of figures"/>
    <w:basedOn w:val="Normal"/>
    <w:next w:val="Normal"/>
    <w:uiPriority w:val="99"/>
    <w:rsid w:val="001A62D7"/>
    <w:rPr>
      <w:rFonts w:eastAsia="Times New Roman"/>
      <w:lang w:val="fr-FR" w:eastAsia="en-GB"/>
    </w:rPr>
  </w:style>
  <w:style w:type="character" w:styleId="PageNumber">
    <w:name w:val="page number"/>
    <w:rsid w:val="001A62D7"/>
  </w:style>
  <w:style w:type="character" w:customStyle="1" w:styleId="tw4winMark">
    <w:name w:val="tw4winMark"/>
    <w:rsid w:val="001A62D7"/>
    <w:rPr>
      <w:vanish/>
      <w:color w:val="800080"/>
      <w:vertAlign w:val="subscript"/>
    </w:rPr>
  </w:style>
  <w:style w:type="character" w:styleId="FollowedHyperlink">
    <w:name w:val="FollowedHyperlink"/>
    <w:rsid w:val="001A62D7"/>
    <w:rPr>
      <w:color w:val="800080"/>
      <w:u w:val="single"/>
    </w:rPr>
  </w:style>
  <w:style w:type="paragraph" w:customStyle="1" w:styleId="Sous-titreobjet">
    <w:name w:val="Sous-titre objet"/>
    <w:basedOn w:val="Normal"/>
    <w:rsid w:val="001A62D7"/>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1A62D7"/>
  </w:style>
  <w:style w:type="paragraph" w:styleId="Revision">
    <w:name w:val="Revision"/>
    <w:hidden/>
    <w:uiPriority w:val="99"/>
    <w:semiHidden/>
    <w:rsid w:val="001A62D7"/>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1A62D7"/>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1A62D7"/>
    <w:rPr>
      <w:rFonts w:ascii="Times New Roman" w:hAnsi="Times New Roman" w:cs="Times New Roman"/>
      <w:b/>
      <w:sz w:val="28"/>
      <w:lang w:val="en-GB"/>
    </w:rPr>
  </w:style>
  <w:style w:type="character" w:customStyle="1" w:styleId="FooterCoverPageChar">
    <w:name w:val="Footer Cover Page Char"/>
    <w:link w:val="FooterCoverPage"/>
    <w:rsid w:val="001A62D7"/>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1A62D7"/>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1A62D7"/>
    <w:rPr>
      <w:rFonts w:ascii="Times New Roman" w:eastAsia="Calibri" w:hAnsi="Times New Roman" w:cs="Times New Roman"/>
      <w:sz w:val="24"/>
      <w:lang w:val="en-GB" w:eastAsia="en-GB"/>
    </w:rPr>
  </w:style>
  <w:style w:type="character" w:customStyle="1" w:styleId="FooterSensitivityChar">
    <w:name w:val="Footer Sensitivity Char"/>
    <w:rsid w:val="001A62D7"/>
    <w:rPr>
      <w:rFonts w:ascii="Times New Roman" w:hAnsi="Times New Roman" w:cs="Times New Roman"/>
      <w:b/>
      <w:sz w:val="32"/>
      <w:lang w:val="en-GB"/>
    </w:rPr>
  </w:style>
  <w:style w:type="character" w:customStyle="1" w:styleId="HeaderSensitivityChar">
    <w:name w:val="Header Sensitivity Char"/>
    <w:rsid w:val="001A62D7"/>
    <w:rPr>
      <w:rFonts w:ascii="Times New Roman" w:hAnsi="Times New Roman" w:cs="Times New Roman"/>
      <w:b/>
      <w:sz w:val="32"/>
      <w:lang w:val="en-GB"/>
    </w:rPr>
  </w:style>
  <w:style w:type="character" w:customStyle="1" w:styleId="HeaderSensitivityRightChar">
    <w:name w:val="Header Sensitivity Right Char"/>
    <w:rsid w:val="001A62D7"/>
    <w:rPr>
      <w:rFonts w:ascii="Times New Roman" w:hAnsi="Times New Roman" w:cs="Times New Roman"/>
      <w:sz w:val="28"/>
      <w:lang w:val="en-GB"/>
    </w:rPr>
  </w:style>
  <w:style w:type="paragraph" w:customStyle="1" w:styleId="LegalNumPar">
    <w:name w:val="LegalNumPar"/>
    <w:basedOn w:val="Normal"/>
    <w:rsid w:val="001A62D7"/>
    <w:pPr>
      <w:numPr>
        <w:numId w:val="16"/>
      </w:numPr>
      <w:spacing w:line="360" w:lineRule="auto"/>
    </w:pPr>
    <w:rPr>
      <w:rFonts w:eastAsia="Times New Roman"/>
      <w:lang w:eastAsia="en-GB"/>
    </w:rPr>
  </w:style>
  <w:style w:type="paragraph" w:customStyle="1" w:styleId="LegalNumPar2">
    <w:name w:val="LegalNumPar2"/>
    <w:basedOn w:val="Normal"/>
    <w:rsid w:val="001A62D7"/>
    <w:pPr>
      <w:numPr>
        <w:ilvl w:val="1"/>
        <w:numId w:val="16"/>
      </w:numPr>
      <w:spacing w:line="360" w:lineRule="auto"/>
    </w:pPr>
    <w:rPr>
      <w:rFonts w:eastAsia="Times New Roman"/>
      <w:lang w:eastAsia="en-GB"/>
    </w:rPr>
  </w:style>
  <w:style w:type="paragraph" w:customStyle="1" w:styleId="LegalNumPar3">
    <w:name w:val="LegalNumPar3"/>
    <w:basedOn w:val="Normal"/>
    <w:rsid w:val="001A62D7"/>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1A62D7"/>
    <w:pPr>
      <w:ind w:left="720"/>
      <w:contextualSpacing/>
    </w:pPr>
    <w:rPr>
      <w:rFonts w:eastAsia="Times New Roman"/>
      <w:lang w:eastAsia="en-GB"/>
    </w:rPr>
  </w:style>
  <w:style w:type="character" w:customStyle="1" w:styleId="UnresolvedMention">
    <w:name w:val="Unresolved Mention"/>
    <w:basedOn w:val="DefaultParagraphFont"/>
    <w:uiPriority w:val="99"/>
    <w:semiHidden/>
    <w:unhideWhenUsed/>
    <w:rsid w:val="001A62D7"/>
    <w:rPr>
      <w:color w:val="605E5C"/>
      <w:shd w:val="clear" w:color="auto" w:fill="E1DFDD"/>
    </w:rPr>
  </w:style>
  <w:style w:type="character" w:styleId="Strong">
    <w:name w:val="Strong"/>
    <w:basedOn w:val="DefaultParagraphFont"/>
    <w:qFormat/>
    <w:rsid w:val="001A62D7"/>
    <w:rPr>
      <w:b/>
      <w:bCs/>
    </w:rPr>
  </w:style>
  <w:style w:type="character" w:styleId="Emphasis">
    <w:name w:val="Emphasis"/>
    <w:basedOn w:val="DefaultParagraphFont"/>
    <w:qFormat/>
    <w:rsid w:val="001A62D7"/>
    <w:rPr>
      <w:i/>
      <w:iCs/>
    </w:rPr>
  </w:style>
  <w:style w:type="character" w:customStyle="1" w:styleId="Mention">
    <w:name w:val="Mention"/>
    <w:basedOn w:val="DefaultParagraphFont"/>
    <w:uiPriority w:val="99"/>
    <w:unhideWhenUsed/>
    <w:rsid w:val="001A62D7"/>
    <w:rPr>
      <w:color w:val="2B579A"/>
      <w:shd w:val="clear" w:color="auto" w:fill="E1DFDD"/>
    </w:rPr>
  </w:style>
  <w:style w:type="character" w:customStyle="1" w:styleId="normaltextrun">
    <w:name w:val="normaltextrun"/>
    <w:basedOn w:val="DefaultParagraphFont"/>
    <w:rsid w:val="001A62D7"/>
  </w:style>
  <w:style w:type="character" w:customStyle="1" w:styleId="eop">
    <w:name w:val="eop"/>
    <w:basedOn w:val="DefaultParagraphFont"/>
    <w:rsid w:val="001A62D7"/>
  </w:style>
  <w:style w:type="character" w:customStyle="1" w:styleId="viiyi">
    <w:name w:val="viiyi"/>
    <w:basedOn w:val="DefaultParagraphFont"/>
    <w:rsid w:val="001A62D7"/>
  </w:style>
  <w:style w:type="character" w:customStyle="1" w:styleId="jlqj4b">
    <w:name w:val="jlqj4b"/>
    <w:basedOn w:val="DefaultParagraphFont"/>
    <w:rsid w:val="001A62D7"/>
  </w:style>
  <w:style w:type="character" w:customStyle="1" w:styleId="rynqvb">
    <w:name w:val="rynqvb"/>
    <w:basedOn w:val="DefaultParagraphFont"/>
    <w:rsid w:val="008D3624"/>
  </w:style>
  <w:style w:type="paragraph" w:styleId="EndnoteText">
    <w:name w:val="endnote text"/>
    <w:basedOn w:val="Normal"/>
    <w:link w:val="EndnoteTextChar"/>
    <w:uiPriority w:val="99"/>
    <w:semiHidden/>
    <w:unhideWhenUsed/>
    <w:rsid w:val="000B7C62"/>
    <w:pPr>
      <w:spacing w:before="0" w:after="0"/>
    </w:pPr>
    <w:rPr>
      <w:sz w:val="20"/>
      <w:szCs w:val="20"/>
    </w:rPr>
  </w:style>
  <w:style w:type="character" w:customStyle="1" w:styleId="EndnoteTextChar">
    <w:name w:val="Endnote Text Char"/>
    <w:basedOn w:val="DefaultParagraphFont"/>
    <w:link w:val="EndnoteText"/>
    <w:uiPriority w:val="99"/>
    <w:semiHidden/>
    <w:rsid w:val="000B7C62"/>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0B7C62"/>
    <w:rPr>
      <w:vertAlign w:val="superscript"/>
    </w:rPr>
  </w:style>
  <w:style w:type="character" w:customStyle="1" w:styleId="HeaderChar">
    <w:name w:val="Header Char"/>
    <w:basedOn w:val="DefaultParagraphFont"/>
    <w:link w:val="Header"/>
    <w:uiPriority w:val="99"/>
    <w:rsid w:val="0075659E"/>
    <w:rPr>
      <w:rFonts w:ascii="Times New Roman" w:hAnsi="Times New Roman" w:cs="Times New Roman"/>
      <w:sz w:val="24"/>
      <w:lang w:val="en-GB"/>
    </w:rPr>
  </w:style>
  <w:style w:type="character" w:customStyle="1" w:styleId="FooterChar">
    <w:name w:val="Footer Char"/>
    <w:basedOn w:val="DefaultParagraphFont"/>
    <w:link w:val="Footer"/>
    <w:uiPriority w:val="99"/>
    <w:rsid w:val="0075659E"/>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5659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5659E"/>
    <w:pPr>
      <w:spacing w:before="0"/>
      <w:jc w:val="right"/>
    </w:pPr>
    <w:rPr>
      <w:sz w:val="28"/>
    </w:rPr>
  </w:style>
  <w:style w:type="paragraph" w:customStyle="1" w:styleId="FooterSensitivity">
    <w:name w:val="Footer Sensitivity"/>
    <w:basedOn w:val="Normal"/>
    <w:rsid w:val="0075659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5659E"/>
    <w:pPr>
      <w:tabs>
        <w:tab w:val="center" w:pos="4535"/>
        <w:tab w:val="right" w:pos="9071"/>
      </w:tabs>
      <w:spacing w:before="0"/>
    </w:pPr>
  </w:style>
  <w:style w:type="paragraph" w:customStyle="1" w:styleId="HeaderLandscape">
    <w:name w:val="HeaderLandscape"/>
    <w:basedOn w:val="Normal"/>
    <w:rsid w:val="0075659E"/>
    <w:pPr>
      <w:tabs>
        <w:tab w:val="center" w:pos="7285"/>
        <w:tab w:val="right" w:pos="14003"/>
      </w:tabs>
      <w:spacing w:before="0"/>
    </w:pPr>
  </w:style>
  <w:style w:type="paragraph" w:styleId="Footer">
    <w:name w:val="footer"/>
    <w:basedOn w:val="Normal"/>
    <w:link w:val="FooterChar"/>
    <w:uiPriority w:val="99"/>
    <w:unhideWhenUsed/>
    <w:rsid w:val="0075659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5659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stat.fi/fi/tilasto/tyonv" TargetMode="External"/><Relationship Id="rId2" Type="http://schemas.openxmlformats.org/officeDocument/2006/relationships/hyperlink" Target="https://pxdata.stat.fi/PxWeb/pxweb/fi/StatFin/StatFin__tyonv/statfin_tyonv_pxt_12th.px/" TargetMode="External"/><Relationship Id="rId1" Type="http://schemas.openxmlformats.org/officeDocument/2006/relationships/hyperlink" Target="https://pxdata.stat.fi/PXWeb/pxweb/fi/StatFin/StatFin__tyonv/statfin_tyonv_pxt_12tf.px" TargetMode="External"/><Relationship Id="rId5" Type="http://schemas.openxmlformats.org/officeDocument/2006/relationships/hyperlink" Target="https://stat.fi/fi/tilasto/tyonv" TargetMode="External"/><Relationship Id="rId4" Type="http://schemas.openxmlformats.org/officeDocument/2006/relationships/hyperlink" Target="https://stat.fi/fi/tilasto/tyonv"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D92FCBF67B53A4EB1060DF04C43C986" ma:contentTypeVersion="12" ma:contentTypeDescription="Create a new document." ma:contentTypeScope="" ma:versionID="0cf3564fd553e4d9c70a333ce59bf57a">
  <xsd:schema xmlns:xsd="http://www.w3.org/2001/XMLSchema" xmlns:xs="http://www.w3.org/2001/XMLSchema" xmlns:p="http://schemas.microsoft.com/office/2006/metadata/properties" xmlns:ns2="ffa05dec-e383-4a36-a526-3e8014669239" xmlns:ns3="727199ac-8122-4f91-9e0c-0acc8ca412f4" targetNamespace="http://schemas.microsoft.com/office/2006/metadata/properties" ma:root="true" ma:fieldsID="a4146b1c3ada04d2241e8f424fb0b47f" ns2:_="" ns3:_="">
    <xsd:import namespace="ffa05dec-e383-4a36-a526-3e8014669239"/>
    <xsd:import namespace="727199ac-8122-4f91-9e0c-0acc8ca412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a05dec-e383-4a36-a526-3e80146692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27199ac-8122-4f91-9e0c-0acc8ca412f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ddf2c2-eec8-4c19-bc55-0ffcb3d14a8c}" ma:internalName="TaxCatchAll" ma:showField="CatchAllData" ma:web="727199ac-8122-4f91-9e0c-0acc8ca412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27199ac-8122-4f91-9e0c-0acc8ca412f4" xsi:nil="true"/>
    <lcf76f155ced4ddcb4097134ff3c332f xmlns="ffa05dec-e383-4a36-a526-3e801466923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D53B0-B5E2-47EA-B0A1-738745A01AB3}">
  <ds:schemaRefs>
    <ds:schemaRef ds:uri="http://schemas.microsoft.com/sharepoint/v3/contenttype/forms"/>
  </ds:schemaRefs>
</ds:datastoreItem>
</file>

<file path=customXml/itemProps2.xml><?xml version="1.0" encoding="utf-8"?>
<ds:datastoreItem xmlns:ds="http://schemas.openxmlformats.org/officeDocument/2006/customXml" ds:itemID="{BCBA0EE1-0C4B-4ED6-82CD-4B0727C38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a05dec-e383-4a36-a526-3e8014669239"/>
    <ds:schemaRef ds:uri="727199ac-8122-4f91-9e0c-0acc8ca41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A72419-DC9D-4AEE-A23B-812EF74FCBE2}">
  <ds:schemaRefs>
    <ds:schemaRef ds:uri="http://schemas.microsoft.com/office/2006/metadata/properties"/>
    <ds:schemaRef ds:uri="http://schemas.microsoft.com/office/infopath/2007/PartnerControls"/>
    <ds:schemaRef ds:uri="727199ac-8122-4f91-9e0c-0acc8ca412f4"/>
    <ds:schemaRef ds:uri="ffa05dec-e383-4a36-a526-3e8014669239"/>
  </ds:schemaRefs>
</ds:datastoreItem>
</file>

<file path=customXml/itemProps4.xml><?xml version="1.0" encoding="utf-8"?>
<ds:datastoreItem xmlns:ds="http://schemas.openxmlformats.org/officeDocument/2006/customXml" ds:itemID="{897A3C57-8E94-4233-BB27-D44A1C46A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277</TotalTime>
  <Pages>12</Pages>
  <Words>3683</Words>
  <Characters>20997</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25</cp:revision>
  <dcterms:created xsi:type="dcterms:W3CDTF">2026-06-10T13:36:00Z</dcterms:created>
  <dcterms:modified xsi:type="dcterms:W3CDTF">2026-07-21T16:04:00Z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2025-02-03T12:15:49Z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56910240-6c56-4989-8e01-d1db357c2268</vt:lpwstr>
  </property>
  <property fmtid="{D5CDD505-2E9C-101B-9397-08002B2CF9AE}" pid="16" name="MSIP_Label_6bd9ddd1-4d20-43f6-abfa-fc3c07406f94_ContentBits">
    <vt:lpwstr>0</vt:lpwstr>
  </property>
  <property fmtid="{D5CDD505-2E9C-101B-9397-08002B2CF9AE}" pid="17" name="ContentTypeId">
    <vt:lpwstr>0x010100CD92FCBF67B53A4EB1060DF04C43C986</vt:lpwstr>
  </property>
  <property fmtid="{D5CDD505-2E9C-101B-9397-08002B2CF9AE}" pid="18" name="DQCStatus">
    <vt:lpwstr>Green (DQC version 03)</vt:lpwstr>
  </property>
</Properties>
</file>