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791CCA" w:rsidRDefault="00DD128D" w:rsidP="00DD128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B4204FD-57A2-4102-8022-67BCA6B6B264" style="width:455.25pt;height:357.75pt">
            <v:imagedata r:id="rId11" o:title=""/>
          </v:shape>
        </w:pict>
      </w:r>
    </w:p>
    <w:p w:rsidR="001A62D7" w:rsidRPr="00791CCA" w:rsidRDefault="001A62D7" w:rsidP="001A62D7">
      <w:pPr>
        <w:rPr>
          <w:noProof/>
        </w:rPr>
        <w:sectPr w:rsidR="001A62D7" w:rsidRPr="00791CCA" w:rsidSect="00DD128D">
          <w:footerReference w:type="even" r:id="rId12"/>
          <w:footerReference w:type="default" r:id="rId13"/>
          <w:pgSz w:w="11907" w:h="16839"/>
          <w:pgMar w:top="1134" w:right="1417" w:bottom="1134" w:left="1417" w:header="709" w:footer="709" w:gutter="0"/>
          <w:pgNumType w:start="0"/>
          <w:cols w:space="720"/>
          <w:docGrid w:linePitch="360"/>
        </w:sectPr>
      </w:pPr>
    </w:p>
    <w:p w:rsidR="001A62D7" w:rsidRPr="00791CCA" w:rsidRDefault="001A62D7" w:rsidP="001A62D7">
      <w:pPr>
        <w:pStyle w:val="Exposdesmotifstitre"/>
        <w:rPr>
          <w:noProof/>
        </w:rPr>
      </w:pPr>
      <w:bookmarkStart w:id="0" w:name="_GoBack"/>
      <w:bookmarkEnd w:id="0"/>
      <w:r w:rsidRPr="00791CCA">
        <w:rPr>
          <w:noProof/>
        </w:rPr>
        <w:lastRenderedPageBreak/>
        <w:t>EXPOSÉ DES MOTIFS</w:t>
      </w:r>
    </w:p>
    <w:p w:rsidR="001A62D7" w:rsidRPr="00791CCA" w:rsidRDefault="001A62D7" w:rsidP="001A62D7">
      <w:pPr>
        <w:pStyle w:val="ManualHeading1"/>
        <w:rPr>
          <w:noProof/>
        </w:rPr>
      </w:pPr>
      <w:r w:rsidRPr="00791CCA">
        <w:rPr>
          <w:noProof/>
        </w:rPr>
        <w:t>CONTEXTE DE LA PROPOSITION</w:t>
      </w:r>
    </w:p>
    <w:p w:rsidR="001A62D7" w:rsidRPr="00791CCA" w:rsidRDefault="001A62D7" w:rsidP="009C50F6">
      <w:pPr>
        <w:pStyle w:val="ManualNumPar1"/>
        <w:rPr>
          <w:noProof/>
        </w:rPr>
      </w:pPr>
      <w:r>
        <w:rPr>
          <w:noProof/>
        </w:rPr>
        <w:t>1.</w:t>
      </w:r>
      <w:r>
        <w:rPr>
          <w:noProof/>
        </w:rPr>
        <w:tab/>
      </w:r>
      <w:r w:rsidRPr="00791CCA">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791CCA">
        <w:rPr>
          <w:rStyle w:val="FootnoteReference"/>
          <w:noProof/>
        </w:rPr>
        <w:footnoteReference w:id="1"/>
      </w:r>
      <w:r w:rsidRPr="00791CCA">
        <w:rPr>
          <w:noProof/>
        </w:rPr>
        <w:t>.</w:t>
      </w:r>
    </w:p>
    <w:p w:rsidR="001A62D7" w:rsidRPr="00791CCA" w:rsidRDefault="001A62D7" w:rsidP="009C50F6">
      <w:pPr>
        <w:pStyle w:val="ManualNumPar1"/>
        <w:rPr>
          <w:noProof/>
        </w:rPr>
      </w:pPr>
      <w:r>
        <w:rPr>
          <w:noProof/>
        </w:rPr>
        <w:t>2.</w:t>
      </w:r>
      <w:r>
        <w:rPr>
          <w:noProof/>
        </w:rPr>
        <w:tab/>
      </w:r>
      <w:r w:rsidRPr="00791CCA">
        <w:rPr>
          <w:noProof/>
        </w:rPr>
        <w:t>Le 5 mai 2026, à la suite de licenciements intervenus chez Valmet Automotive et chez cinq de ses sous-traitants et fournisseurs en Finlande, les autorités finlandaises ont présenté la demande EGF/2026/003 FI/Valmet Automotive en vue d’obtenir une contribution financière du FEM.</w:t>
      </w:r>
    </w:p>
    <w:p w:rsidR="001A62D7" w:rsidRPr="00791CCA" w:rsidRDefault="001A62D7" w:rsidP="009C50F6">
      <w:pPr>
        <w:pStyle w:val="ManualNumPar1"/>
        <w:rPr>
          <w:noProof/>
        </w:rPr>
      </w:pPr>
      <w:r>
        <w:rPr>
          <w:noProof/>
        </w:rPr>
        <w:t>3.</w:t>
      </w:r>
      <w:r>
        <w:rPr>
          <w:noProof/>
        </w:rPr>
        <w:tab/>
      </w:r>
      <w:r w:rsidRPr="00791CCA">
        <w:rPr>
          <w:noProof/>
        </w:rPr>
        <w:t xml:space="preserve">Au terme de l’évaluation de cette demande, la Commission a conclu, conformément à l’ensemble des dispositions applicables du règlement (UE) 2021/691, que les conditions d’octroi d’une contribution financière au titre du FEM sont remplies. </w:t>
      </w:r>
    </w:p>
    <w:p w:rsidR="001A62D7" w:rsidRPr="00791CCA" w:rsidRDefault="001A62D7" w:rsidP="001A62D7">
      <w:pPr>
        <w:pStyle w:val="ManualHeading1"/>
        <w:rPr>
          <w:noProof/>
        </w:rPr>
      </w:pPr>
      <w:r w:rsidRPr="00791CCA">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791CCA" w:rsidTr="001D5990">
        <w:tc>
          <w:tcPr>
            <w:tcW w:w="4908" w:type="dxa"/>
            <w:shd w:val="clear" w:color="auto" w:fill="auto"/>
          </w:tcPr>
          <w:p w:rsidR="006F274D" w:rsidRPr="00791CCA" w:rsidRDefault="006F274D" w:rsidP="006F274D">
            <w:pPr>
              <w:spacing w:before="60" w:after="60"/>
              <w:jc w:val="left"/>
              <w:rPr>
                <w:rFonts w:eastAsia="Calibri"/>
                <w:noProof/>
              </w:rPr>
            </w:pPr>
            <w:r w:rsidRPr="00791CCA">
              <w:rPr>
                <w:noProof/>
              </w:rPr>
              <w:t>Numéro de la demande FEM</w:t>
            </w:r>
          </w:p>
        </w:tc>
        <w:tc>
          <w:tcPr>
            <w:tcW w:w="4379" w:type="dxa"/>
            <w:shd w:val="clear" w:color="auto" w:fill="auto"/>
          </w:tcPr>
          <w:p w:rsidR="006F274D" w:rsidRPr="00791CCA" w:rsidRDefault="006F274D" w:rsidP="006F274D">
            <w:pPr>
              <w:spacing w:before="60" w:after="60"/>
              <w:ind w:rightChars="192" w:right="461"/>
              <w:jc w:val="left"/>
              <w:rPr>
                <w:rFonts w:eastAsia="Calibri"/>
                <w:noProof/>
              </w:rPr>
            </w:pPr>
            <w:bookmarkStart w:id="1" w:name="_Hlk212110034"/>
            <w:r w:rsidRPr="00791CCA">
              <w:rPr>
                <w:noProof/>
              </w:rPr>
              <w:t>EGF/2026/003 FI/</w:t>
            </w:r>
            <w:bookmarkEnd w:id="1"/>
            <w:r w:rsidRPr="00791CCA">
              <w:rPr>
                <w:noProof/>
              </w:rPr>
              <w:t>Valmet Automotive</w:t>
            </w:r>
          </w:p>
        </w:tc>
      </w:tr>
      <w:tr w:rsidR="006F274D" w:rsidRPr="00791CCA" w:rsidTr="001D5990">
        <w:tc>
          <w:tcPr>
            <w:tcW w:w="4908" w:type="dxa"/>
            <w:shd w:val="clear" w:color="auto" w:fill="auto"/>
          </w:tcPr>
          <w:p w:rsidR="006F274D" w:rsidRPr="00791CCA" w:rsidRDefault="006F274D" w:rsidP="006F274D">
            <w:pPr>
              <w:spacing w:before="60" w:after="60"/>
              <w:jc w:val="left"/>
              <w:rPr>
                <w:rFonts w:eastAsia="Calibri"/>
                <w:noProof/>
              </w:rPr>
            </w:pPr>
            <w:r w:rsidRPr="00791CCA">
              <w:rPr>
                <w:noProof/>
              </w:rPr>
              <w:t>État membre</w:t>
            </w:r>
          </w:p>
        </w:tc>
        <w:tc>
          <w:tcPr>
            <w:tcW w:w="4379" w:type="dxa"/>
            <w:shd w:val="clear" w:color="auto" w:fill="auto"/>
          </w:tcPr>
          <w:p w:rsidR="006F274D" w:rsidRPr="00791CCA" w:rsidRDefault="00ED6F0C" w:rsidP="006F274D">
            <w:pPr>
              <w:spacing w:before="60" w:after="60"/>
              <w:ind w:rightChars="192" w:right="461"/>
              <w:jc w:val="left"/>
              <w:rPr>
                <w:rFonts w:eastAsia="Calibri"/>
                <w:noProof/>
              </w:rPr>
            </w:pPr>
            <w:r w:rsidRPr="00791CCA">
              <w:rPr>
                <w:noProof/>
              </w:rPr>
              <w:t>Finlande</w:t>
            </w:r>
          </w:p>
        </w:tc>
      </w:tr>
      <w:tr w:rsidR="006F274D" w:rsidRPr="00791CCA" w:rsidTr="001D5990">
        <w:tc>
          <w:tcPr>
            <w:tcW w:w="4908" w:type="dxa"/>
            <w:tcBorders>
              <w:bottom w:val="single" w:sz="4" w:space="0" w:color="auto"/>
            </w:tcBorders>
            <w:shd w:val="clear" w:color="auto" w:fill="auto"/>
          </w:tcPr>
          <w:p w:rsidR="006F274D" w:rsidRPr="00791CCA" w:rsidRDefault="006F274D" w:rsidP="006F274D">
            <w:pPr>
              <w:spacing w:before="60" w:after="60"/>
              <w:jc w:val="left"/>
              <w:rPr>
                <w:rFonts w:eastAsia="Calibri"/>
                <w:noProof/>
              </w:rPr>
            </w:pPr>
            <w:r w:rsidRPr="00791CCA">
              <w:rPr>
                <w:noProof/>
              </w:rPr>
              <w:t>Région(s) concernée(s) (niveau NUTS 2</w:t>
            </w:r>
            <w:r w:rsidRPr="00791CCA">
              <w:rPr>
                <w:rStyle w:val="FootnoteReference"/>
                <w:rFonts w:eastAsia="Calibri"/>
                <w:noProof/>
              </w:rPr>
              <w:footnoteReference w:id="2"/>
            </w:r>
            <w:r w:rsidRPr="00791CCA">
              <w:rPr>
                <w:noProof/>
              </w:rPr>
              <w:t>).</w:t>
            </w:r>
          </w:p>
        </w:tc>
        <w:tc>
          <w:tcPr>
            <w:tcW w:w="4379" w:type="dxa"/>
            <w:tcBorders>
              <w:bottom w:val="single" w:sz="4" w:space="0" w:color="auto"/>
            </w:tcBorders>
            <w:shd w:val="clear" w:color="auto" w:fill="auto"/>
          </w:tcPr>
          <w:p w:rsidR="006F274D" w:rsidRPr="00791CCA" w:rsidRDefault="007D6186" w:rsidP="006F274D">
            <w:pPr>
              <w:spacing w:before="0" w:after="0"/>
              <w:ind w:rightChars="192" w:right="461"/>
              <w:jc w:val="left"/>
              <w:rPr>
                <w:noProof/>
                <w:szCs w:val="24"/>
              </w:rPr>
            </w:pPr>
            <w:r w:rsidRPr="00791CCA">
              <w:rPr>
                <w:noProof/>
              </w:rPr>
              <w:t>Länsi-Suomi (FI19)</w:t>
            </w:r>
          </w:p>
        </w:tc>
      </w:tr>
      <w:tr w:rsidR="006F274D" w:rsidRPr="00791CCA" w:rsidTr="001D5990">
        <w:tc>
          <w:tcPr>
            <w:tcW w:w="4908" w:type="dxa"/>
            <w:tcBorders>
              <w:bottom w:val="dotted" w:sz="4" w:space="0" w:color="auto"/>
            </w:tcBorders>
            <w:shd w:val="clear" w:color="auto" w:fill="auto"/>
          </w:tcPr>
          <w:p w:rsidR="006F274D" w:rsidRPr="00791CCA" w:rsidRDefault="006F274D" w:rsidP="006F274D">
            <w:pPr>
              <w:spacing w:before="60" w:after="60"/>
              <w:jc w:val="left"/>
              <w:rPr>
                <w:rFonts w:eastAsia="Calibri"/>
                <w:noProof/>
              </w:rPr>
            </w:pPr>
            <w:r w:rsidRPr="00791CCA">
              <w:rPr>
                <w:noProof/>
              </w:rPr>
              <w:t>Date de dépôt de la demande</w:t>
            </w:r>
          </w:p>
        </w:tc>
        <w:tc>
          <w:tcPr>
            <w:tcW w:w="4379" w:type="dxa"/>
            <w:tcBorders>
              <w:bottom w:val="dotted" w:sz="4" w:space="0" w:color="auto"/>
            </w:tcBorders>
            <w:shd w:val="clear" w:color="auto" w:fill="auto"/>
          </w:tcPr>
          <w:p w:rsidR="006F274D" w:rsidRPr="00791CCA" w:rsidRDefault="00ED6F0C" w:rsidP="006F274D">
            <w:pPr>
              <w:spacing w:before="60" w:after="60"/>
              <w:ind w:rightChars="192" w:right="461"/>
              <w:jc w:val="left"/>
              <w:rPr>
                <w:rFonts w:eastAsia="Calibri"/>
                <w:noProof/>
              </w:rPr>
            </w:pPr>
            <w:r w:rsidRPr="00791CCA">
              <w:rPr>
                <w:noProof/>
              </w:rPr>
              <w:t>5 mai 2026</w:t>
            </w:r>
          </w:p>
        </w:tc>
      </w:tr>
      <w:tr w:rsidR="006F274D" w:rsidRPr="00791CCA" w:rsidTr="001D5990">
        <w:tc>
          <w:tcPr>
            <w:tcW w:w="4908" w:type="dxa"/>
            <w:tcBorders>
              <w:top w:val="dotted" w:sz="4" w:space="0" w:color="auto"/>
              <w:bottom w:val="dotted" w:sz="4" w:space="0" w:color="auto"/>
            </w:tcBorders>
            <w:shd w:val="clear" w:color="auto" w:fill="auto"/>
          </w:tcPr>
          <w:p w:rsidR="006F274D" w:rsidRPr="00791CCA" w:rsidRDefault="006F274D" w:rsidP="006F274D">
            <w:pPr>
              <w:spacing w:before="60" w:after="60"/>
              <w:jc w:val="left"/>
              <w:rPr>
                <w:rFonts w:eastAsia="Calibri"/>
                <w:noProof/>
              </w:rPr>
            </w:pPr>
            <w:r w:rsidRPr="00791CCA">
              <w:rPr>
                <w:noProof/>
              </w:rPr>
              <w:t>Date d’accusé de réception de la demande</w:t>
            </w:r>
          </w:p>
        </w:tc>
        <w:tc>
          <w:tcPr>
            <w:tcW w:w="4379" w:type="dxa"/>
            <w:tcBorders>
              <w:top w:val="dotted" w:sz="4" w:space="0" w:color="auto"/>
              <w:bottom w:val="dotted" w:sz="4" w:space="0" w:color="auto"/>
            </w:tcBorders>
            <w:shd w:val="clear" w:color="auto" w:fill="auto"/>
          </w:tcPr>
          <w:p w:rsidR="006F274D" w:rsidRPr="00791CCA" w:rsidRDefault="00ED6F0C" w:rsidP="006F274D">
            <w:pPr>
              <w:spacing w:before="60" w:after="60"/>
              <w:ind w:rightChars="192" w:right="461"/>
              <w:jc w:val="left"/>
              <w:rPr>
                <w:rFonts w:eastAsia="Calibri"/>
                <w:noProof/>
              </w:rPr>
            </w:pPr>
            <w:r w:rsidRPr="00791CCA">
              <w:rPr>
                <w:noProof/>
              </w:rPr>
              <w:t>5 mai 2026</w:t>
            </w:r>
          </w:p>
        </w:tc>
      </w:tr>
      <w:tr w:rsidR="001E1B79" w:rsidRPr="00791CCA" w:rsidTr="001D5990">
        <w:tc>
          <w:tcPr>
            <w:tcW w:w="4908" w:type="dxa"/>
            <w:tcBorders>
              <w:top w:val="dotted" w:sz="4" w:space="0" w:color="auto"/>
              <w:bottom w:val="dotted"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Date de demande d’informations complémentaires</w:t>
            </w:r>
          </w:p>
        </w:tc>
        <w:tc>
          <w:tcPr>
            <w:tcW w:w="4379" w:type="dxa"/>
            <w:tcBorders>
              <w:top w:val="dotted" w:sz="4" w:space="0" w:color="auto"/>
              <w:bottom w:val="dotted" w:sz="4" w:space="0" w:color="auto"/>
            </w:tcBorders>
            <w:shd w:val="clear" w:color="auto" w:fill="auto"/>
          </w:tcPr>
          <w:p w:rsidR="001E1B79" w:rsidRPr="00791CCA" w:rsidRDefault="002826E9" w:rsidP="001E1B79">
            <w:pPr>
              <w:spacing w:before="60" w:after="60"/>
              <w:ind w:rightChars="192" w:right="461"/>
              <w:jc w:val="left"/>
              <w:rPr>
                <w:rFonts w:eastAsia="Calibri"/>
                <w:noProof/>
              </w:rPr>
            </w:pPr>
            <w:r w:rsidRPr="00791CCA">
              <w:rPr>
                <w:noProof/>
              </w:rPr>
              <w:t>21 mai 2026</w:t>
            </w:r>
          </w:p>
        </w:tc>
      </w:tr>
      <w:tr w:rsidR="001E1B79" w:rsidRPr="00791CCA" w:rsidTr="001D5990">
        <w:tc>
          <w:tcPr>
            <w:tcW w:w="4908" w:type="dxa"/>
            <w:tcBorders>
              <w:top w:val="dotted" w:sz="4" w:space="0" w:color="auto"/>
              <w:bottom w:val="dotted"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E1B79" w:rsidRPr="00791CCA" w:rsidRDefault="00A1041A" w:rsidP="001E1B79">
            <w:pPr>
              <w:spacing w:before="60" w:after="60"/>
              <w:ind w:rightChars="192" w:right="461"/>
              <w:jc w:val="left"/>
              <w:rPr>
                <w:rFonts w:eastAsia="Calibri"/>
                <w:noProof/>
              </w:rPr>
            </w:pPr>
            <w:r w:rsidRPr="00791CCA">
              <w:rPr>
                <w:noProof/>
              </w:rPr>
              <w:t>12 juin 2026</w:t>
            </w:r>
          </w:p>
        </w:tc>
      </w:tr>
      <w:tr w:rsidR="001E1B79" w:rsidRPr="00791CCA" w:rsidTr="001D5990">
        <w:tc>
          <w:tcPr>
            <w:tcW w:w="4908" w:type="dxa"/>
            <w:tcBorders>
              <w:top w:val="dotted"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Date limite pour l’achèvement de l’évaluation</w:t>
            </w:r>
          </w:p>
        </w:tc>
        <w:tc>
          <w:tcPr>
            <w:tcW w:w="4379" w:type="dxa"/>
            <w:tcBorders>
              <w:top w:val="dotted" w:sz="4" w:space="0" w:color="auto"/>
            </w:tcBorders>
            <w:shd w:val="clear" w:color="auto" w:fill="auto"/>
          </w:tcPr>
          <w:p w:rsidR="001E1B79" w:rsidRPr="00791CCA" w:rsidRDefault="002826E9" w:rsidP="001E1B79">
            <w:pPr>
              <w:spacing w:before="60" w:after="60"/>
              <w:ind w:rightChars="192" w:right="461"/>
              <w:jc w:val="left"/>
              <w:rPr>
                <w:rFonts w:eastAsia="Calibri"/>
                <w:noProof/>
              </w:rPr>
            </w:pPr>
            <w:r w:rsidRPr="00791CCA">
              <w:rPr>
                <w:noProof/>
              </w:rPr>
              <w:t xml:space="preserve">24 août 2026 </w:t>
            </w:r>
          </w:p>
        </w:tc>
      </w:tr>
      <w:tr w:rsidR="001E1B79" w:rsidRPr="00791CCA" w:rsidTr="001D5990">
        <w:tc>
          <w:tcPr>
            <w:tcW w:w="4908" w:type="dxa"/>
            <w:shd w:val="clear" w:color="auto" w:fill="auto"/>
          </w:tcPr>
          <w:p w:rsidR="001E1B79" w:rsidRPr="00791CCA" w:rsidRDefault="001E1B79" w:rsidP="001E1B79">
            <w:pPr>
              <w:spacing w:before="60" w:after="60"/>
              <w:jc w:val="left"/>
              <w:rPr>
                <w:rFonts w:eastAsia="Calibri"/>
                <w:noProof/>
              </w:rPr>
            </w:pPr>
            <w:r w:rsidRPr="00791CCA">
              <w:rPr>
                <w:noProof/>
              </w:rPr>
              <w:t>Critère d’intervention</w:t>
            </w:r>
          </w:p>
        </w:tc>
        <w:tc>
          <w:tcPr>
            <w:tcW w:w="4379" w:type="dxa"/>
            <w:shd w:val="clear" w:color="auto" w:fill="auto"/>
          </w:tcPr>
          <w:p w:rsidR="001E1B79" w:rsidRPr="00791CCA" w:rsidRDefault="001E1B79" w:rsidP="001E1B79">
            <w:pPr>
              <w:spacing w:before="60" w:after="60"/>
              <w:ind w:rightChars="192" w:right="461"/>
              <w:jc w:val="left"/>
              <w:rPr>
                <w:rFonts w:eastAsia="Calibri"/>
                <w:noProof/>
              </w:rPr>
            </w:pPr>
            <w:r w:rsidRPr="00791CCA">
              <w:rPr>
                <w:noProof/>
              </w:rPr>
              <w:t>Article 4, paragraphe 2, point a), du règlement (UE) 2021/691</w:t>
            </w:r>
          </w:p>
        </w:tc>
      </w:tr>
      <w:tr w:rsidR="000B7C62" w:rsidRPr="00791CCA" w:rsidTr="001D5990">
        <w:tc>
          <w:tcPr>
            <w:tcW w:w="4908" w:type="dxa"/>
            <w:tcBorders>
              <w:top w:val="single" w:sz="4" w:space="0" w:color="auto"/>
              <w:bottom w:val="single" w:sz="4" w:space="0" w:color="auto"/>
              <w:right w:val="single" w:sz="4" w:space="0" w:color="auto"/>
            </w:tcBorders>
            <w:shd w:val="clear" w:color="auto" w:fill="auto"/>
          </w:tcPr>
          <w:p w:rsidR="000B7C62" w:rsidRPr="00791CCA" w:rsidRDefault="000B7C62" w:rsidP="001E1B79">
            <w:pPr>
              <w:spacing w:before="60" w:after="60"/>
              <w:jc w:val="left"/>
              <w:rPr>
                <w:noProof/>
              </w:rPr>
            </w:pPr>
            <w:r w:rsidRPr="00791CCA">
              <w:rPr>
                <w:noProof/>
              </w:rPr>
              <w:t>Entreprise principale concernée</w:t>
            </w:r>
          </w:p>
        </w:tc>
        <w:tc>
          <w:tcPr>
            <w:tcW w:w="4379" w:type="dxa"/>
            <w:tcBorders>
              <w:top w:val="single" w:sz="4" w:space="0" w:color="auto"/>
              <w:left w:val="single" w:sz="4" w:space="0" w:color="auto"/>
              <w:bottom w:val="single" w:sz="4" w:space="0" w:color="auto"/>
            </w:tcBorders>
            <w:shd w:val="clear" w:color="auto" w:fill="auto"/>
          </w:tcPr>
          <w:p w:rsidR="000B7C62" w:rsidRPr="00791CCA" w:rsidRDefault="00ED6F0C" w:rsidP="001E1B79">
            <w:pPr>
              <w:spacing w:before="60" w:after="60"/>
              <w:ind w:rightChars="192" w:right="461"/>
              <w:jc w:val="left"/>
              <w:rPr>
                <w:noProof/>
              </w:rPr>
            </w:pPr>
            <w:r w:rsidRPr="00791CCA">
              <w:rPr>
                <w:noProof/>
              </w:rPr>
              <w:t>Valmet Automotive Oyj</w:t>
            </w:r>
          </w:p>
        </w:tc>
      </w:tr>
      <w:tr w:rsidR="001E1B79" w:rsidRPr="00791CCA" w:rsidTr="001D5990">
        <w:tc>
          <w:tcPr>
            <w:tcW w:w="4908" w:type="dxa"/>
            <w:tcBorders>
              <w:top w:val="single" w:sz="4" w:space="0" w:color="auto"/>
              <w:bottom w:val="single" w:sz="4" w:space="0" w:color="auto"/>
              <w:right w:val="single"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br w:type="page"/>
              <w:t>Nombre d’entreprises concernées</w:t>
            </w:r>
          </w:p>
        </w:tc>
        <w:tc>
          <w:tcPr>
            <w:tcW w:w="4379" w:type="dxa"/>
            <w:tcBorders>
              <w:top w:val="single" w:sz="4" w:space="0" w:color="auto"/>
              <w:left w:val="single" w:sz="4" w:space="0" w:color="auto"/>
              <w:bottom w:val="single" w:sz="4" w:space="0" w:color="auto"/>
            </w:tcBorders>
            <w:shd w:val="clear" w:color="auto" w:fill="auto"/>
          </w:tcPr>
          <w:p w:rsidR="001E1B79" w:rsidRPr="00791CCA" w:rsidRDefault="002826E9" w:rsidP="001E1B79">
            <w:pPr>
              <w:spacing w:before="60" w:after="60"/>
              <w:ind w:rightChars="192" w:right="461"/>
              <w:jc w:val="left"/>
              <w:rPr>
                <w:noProof/>
                <w:szCs w:val="24"/>
              </w:rPr>
            </w:pPr>
            <w:r w:rsidRPr="00791CCA">
              <w:rPr>
                <w:noProof/>
              </w:rPr>
              <w:t>6</w:t>
            </w:r>
            <w:r w:rsidRPr="00791CCA">
              <w:rPr>
                <w:rStyle w:val="FootnoteReference"/>
                <w:noProof/>
                <w:szCs w:val="24"/>
              </w:rPr>
              <w:footnoteReference w:id="3"/>
            </w:r>
          </w:p>
        </w:tc>
      </w:tr>
      <w:tr w:rsidR="001E1B79" w:rsidRPr="00791CCA" w:rsidTr="001D5990">
        <w:tc>
          <w:tcPr>
            <w:tcW w:w="4908" w:type="dxa"/>
            <w:shd w:val="clear" w:color="auto" w:fill="auto"/>
          </w:tcPr>
          <w:p w:rsidR="001E1B79" w:rsidRPr="00791CCA" w:rsidRDefault="001E1B79" w:rsidP="000C7F45">
            <w:pPr>
              <w:spacing w:before="60" w:after="60"/>
              <w:jc w:val="left"/>
              <w:rPr>
                <w:rFonts w:eastAsia="Calibri"/>
                <w:noProof/>
              </w:rPr>
            </w:pPr>
            <w:r w:rsidRPr="00791CCA">
              <w:rPr>
                <w:noProof/>
              </w:rPr>
              <w:t>Secteur d’activité économique de l’entreprise principale (division de la NACE Rév. 2)</w:t>
            </w:r>
            <w:r w:rsidRPr="00791CCA">
              <w:rPr>
                <w:rStyle w:val="FootnoteReference"/>
                <w:rFonts w:eastAsia="Calibri"/>
                <w:noProof/>
              </w:rPr>
              <w:footnoteReference w:id="4"/>
            </w:r>
          </w:p>
        </w:tc>
        <w:tc>
          <w:tcPr>
            <w:tcW w:w="4379" w:type="dxa"/>
            <w:shd w:val="clear" w:color="auto" w:fill="auto"/>
          </w:tcPr>
          <w:p w:rsidR="001E1B79" w:rsidRPr="00791CCA" w:rsidRDefault="001E1B79" w:rsidP="001E1B79">
            <w:pPr>
              <w:spacing w:before="60" w:after="60"/>
              <w:ind w:rightChars="192" w:right="461"/>
              <w:jc w:val="left"/>
              <w:rPr>
                <w:rFonts w:eastAsia="Calibri"/>
                <w:noProof/>
              </w:rPr>
            </w:pPr>
            <w:r w:rsidRPr="00791CCA">
              <w:rPr>
                <w:noProof/>
              </w:rPr>
              <w:t>Division 29 (Industrie automobile)</w:t>
            </w:r>
          </w:p>
        </w:tc>
      </w:tr>
      <w:tr w:rsidR="000C7F45" w:rsidRPr="00791CCA" w:rsidTr="001D5990">
        <w:tc>
          <w:tcPr>
            <w:tcW w:w="4908" w:type="dxa"/>
            <w:tcBorders>
              <w:bottom w:val="single" w:sz="4" w:space="0" w:color="auto"/>
            </w:tcBorders>
            <w:shd w:val="clear" w:color="auto" w:fill="auto"/>
          </w:tcPr>
          <w:p w:rsidR="000C7F45" w:rsidRPr="00791CCA" w:rsidRDefault="000C7F45" w:rsidP="001E1B79">
            <w:pPr>
              <w:spacing w:before="60" w:after="60"/>
              <w:jc w:val="left"/>
              <w:rPr>
                <w:rFonts w:eastAsia="Calibri"/>
                <w:noProof/>
              </w:rPr>
            </w:pPr>
            <w:r w:rsidRPr="00791CCA">
              <w:rPr>
                <w:noProof/>
              </w:rPr>
              <w:t>Nombre de sous-traitants et de fournisseurs</w:t>
            </w:r>
          </w:p>
        </w:tc>
        <w:tc>
          <w:tcPr>
            <w:tcW w:w="4379" w:type="dxa"/>
            <w:tcBorders>
              <w:bottom w:val="single" w:sz="4" w:space="0" w:color="auto"/>
            </w:tcBorders>
            <w:shd w:val="clear" w:color="auto" w:fill="auto"/>
          </w:tcPr>
          <w:p w:rsidR="000C7F45" w:rsidRPr="00791CCA" w:rsidRDefault="00F45CF2" w:rsidP="001E1B79">
            <w:pPr>
              <w:spacing w:before="60" w:after="60"/>
              <w:ind w:rightChars="192" w:right="461"/>
              <w:jc w:val="left"/>
              <w:rPr>
                <w:noProof/>
              </w:rPr>
            </w:pPr>
            <w:r w:rsidRPr="00791CCA">
              <w:rPr>
                <w:noProof/>
              </w:rPr>
              <w:t>5</w:t>
            </w:r>
          </w:p>
        </w:tc>
      </w:tr>
      <w:tr w:rsidR="001E1B79" w:rsidRPr="00791CCA" w:rsidTr="001D5990">
        <w:tc>
          <w:tcPr>
            <w:tcW w:w="4908" w:type="dxa"/>
            <w:tcBorders>
              <w:bottom w:val="single"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Période de référence (quatre mois):</w:t>
            </w:r>
          </w:p>
        </w:tc>
        <w:tc>
          <w:tcPr>
            <w:tcW w:w="4379" w:type="dxa"/>
            <w:tcBorders>
              <w:bottom w:val="single" w:sz="4" w:space="0" w:color="auto"/>
            </w:tcBorders>
            <w:shd w:val="clear" w:color="auto" w:fill="auto"/>
          </w:tcPr>
          <w:p w:rsidR="001E1B79" w:rsidRPr="00791CCA" w:rsidRDefault="00ED6F0C" w:rsidP="001E1B79">
            <w:pPr>
              <w:spacing w:before="60" w:after="60"/>
              <w:ind w:rightChars="192" w:right="461"/>
              <w:jc w:val="left"/>
              <w:rPr>
                <w:rFonts w:eastAsia="Calibri"/>
                <w:noProof/>
              </w:rPr>
            </w:pPr>
            <w:r w:rsidRPr="00791CCA">
              <w:rPr>
                <w:noProof/>
              </w:rPr>
              <w:t>2 décembre 2025 – 2 avril 2026</w:t>
            </w:r>
          </w:p>
        </w:tc>
      </w:tr>
      <w:tr w:rsidR="001E1B79" w:rsidRPr="00791CCA" w:rsidTr="001D5990">
        <w:tc>
          <w:tcPr>
            <w:tcW w:w="4908" w:type="dxa"/>
            <w:tcBorders>
              <w:bottom w:val="dotted" w:sz="4" w:space="0" w:color="auto"/>
            </w:tcBorders>
            <w:shd w:val="clear" w:color="auto" w:fill="auto"/>
          </w:tcPr>
          <w:p w:rsidR="001E1B79" w:rsidRPr="00791CCA" w:rsidRDefault="001E1B79" w:rsidP="001E1B79">
            <w:pPr>
              <w:spacing w:before="60" w:after="60"/>
              <w:jc w:val="left"/>
              <w:rPr>
                <w:rFonts w:eastAsia="Calibri"/>
                <w:noProof/>
                <w:highlight w:val="magenta"/>
              </w:rPr>
            </w:pPr>
            <w:r w:rsidRPr="00791CCA">
              <w:rPr>
                <w:noProof/>
              </w:rPr>
              <w:lastRenderedPageBreak/>
              <w:t>Nombre de licenciements pendant la période de référence (</w:t>
            </w:r>
            <w:r w:rsidRPr="00791CCA">
              <w:rPr>
                <w:i/>
                <w:noProof/>
              </w:rPr>
              <w:t>a</w:t>
            </w:r>
            <w:r w:rsidRPr="00791CCA">
              <w:rPr>
                <w:noProof/>
              </w:rPr>
              <w:t>)</w:t>
            </w:r>
          </w:p>
        </w:tc>
        <w:tc>
          <w:tcPr>
            <w:tcW w:w="4379" w:type="dxa"/>
            <w:tcBorders>
              <w:bottom w:val="dotted" w:sz="4" w:space="0" w:color="auto"/>
            </w:tcBorders>
            <w:shd w:val="clear" w:color="auto" w:fill="auto"/>
          </w:tcPr>
          <w:p w:rsidR="001E1B79" w:rsidRPr="00791CCA" w:rsidRDefault="00B92FDB" w:rsidP="001E1B79">
            <w:pPr>
              <w:spacing w:before="60" w:after="60"/>
              <w:ind w:rightChars="192" w:right="461"/>
              <w:jc w:val="left"/>
              <w:rPr>
                <w:rFonts w:eastAsia="Calibri"/>
                <w:noProof/>
              </w:rPr>
            </w:pPr>
            <w:r w:rsidRPr="00791CCA">
              <w:rPr>
                <w:noProof/>
              </w:rPr>
              <w:t>239</w:t>
            </w:r>
          </w:p>
        </w:tc>
      </w:tr>
      <w:tr w:rsidR="000C7F45" w:rsidRPr="00791CCA" w:rsidTr="001D5990">
        <w:tc>
          <w:tcPr>
            <w:tcW w:w="4908" w:type="dxa"/>
            <w:tcBorders>
              <w:bottom w:val="dotted" w:sz="4" w:space="0" w:color="auto"/>
            </w:tcBorders>
            <w:shd w:val="clear" w:color="auto" w:fill="auto"/>
          </w:tcPr>
          <w:p w:rsidR="000C7F45" w:rsidRPr="00791CCA" w:rsidRDefault="000C7F45" w:rsidP="001E1B79">
            <w:pPr>
              <w:spacing w:before="60" w:after="60"/>
              <w:jc w:val="left"/>
              <w:rPr>
                <w:rFonts w:eastAsia="Calibri"/>
                <w:noProof/>
              </w:rPr>
            </w:pPr>
            <w:r w:rsidRPr="00791CCA">
              <w:rPr>
                <w:noProof/>
              </w:rPr>
              <w:t>Nombre de licenciements avant ou après la période de référence (</w:t>
            </w:r>
            <w:r w:rsidRPr="00791CCA">
              <w:rPr>
                <w:i/>
                <w:iCs/>
                <w:noProof/>
              </w:rPr>
              <w:t>b</w:t>
            </w:r>
            <w:r w:rsidRPr="00791CCA">
              <w:rPr>
                <w:noProof/>
              </w:rPr>
              <w:t>)</w:t>
            </w:r>
          </w:p>
        </w:tc>
        <w:tc>
          <w:tcPr>
            <w:tcW w:w="4379" w:type="dxa"/>
            <w:tcBorders>
              <w:bottom w:val="dotted" w:sz="4" w:space="0" w:color="auto"/>
            </w:tcBorders>
            <w:shd w:val="clear" w:color="auto" w:fill="auto"/>
          </w:tcPr>
          <w:p w:rsidR="000C7F45" w:rsidRPr="00791CCA" w:rsidRDefault="00A1041A" w:rsidP="001E1B79">
            <w:pPr>
              <w:spacing w:before="60" w:after="60"/>
              <w:ind w:rightChars="192" w:right="461"/>
              <w:jc w:val="left"/>
              <w:rPr>
                <w:rFonts w:eastAsia="Calibri"/>
                <w:noProof/>
              </w:rPr>
            </w:pPr>
            <w:r w:rsidRPr="00791CCA">
              <w:rPr>
                <w:noProof/>
              </w:rPr>
              <w:t>21</w:t>
            </w:r>
          </w:p>
        </w:tc>
      </w:tr>
      <w:tr w:rsidR="000C7F45" w:rsidRPr="00791CCA" w:rsidTr="001D5990">
        <w:tc>
          <w:tcPr>
            <w:tcW w:w="4908" w:type="dxa"/>
            <w:tcBorders>
              <w:bottom w:val="dotted" w:sz="4" w:space="0" w:color="auto"/>
            </w:tcBorders>
            <w:shd w:val="clear" w:color="auto" w:fill="auto"/>
          </w:tcPr>
          <w:p w:rsidR="000C7F45" w:rsidRPr="00791CCA" w:rsidRDefault="000C7F45" w:rsidP="001E1B79">
            <w:pPr>
              <w:spacing w:before="60" w:after="60"/>
              <w:jc w:val="left"/>
              <w:rPr>
                <w:rFonts w:eastAsia="Calibri"/>
                <w:noProof/>
              </w:rPr>
            </w:pPr>
            <w:r w:rsidRPr="00791CCA">
              <w:rPr>
                <w:noProof/>
              </w:rPr>
              <w:t>Nombre total de licenciements (</w:t>
            </w:r>
            <w:r w:rsidRPr="00791CCA">
              <w:rPr>
                <w:i/>
                <w:iCs/>
                <w:noProof/>
              </w:rPr>
              <w:t>a + b</w:t>
            </w:r>
            <w:r w:rsidRPr="00791CCA">
              <w:rPr>
                <w:noProof/>
              </w:rPr>
              <w:t xml:space="preserve">) </w:t>
            </w:r>
          </w:p>
        </w:tc>
        <w:tc>
          <w:tcPr>
            <w:tcW w:w="4379" w:type="dxa"/>
            <w:tcBorders>
              <w:bottom w:val="dotted" w:sz="4" w:space="0" w:color="auto"/>
            </w:tcBorders>
            <w:shd w:val="clear" w:color="auto" w:fill="auto"/>
          </w:tcPr>
          <w:p w:rsidR="000C7F45" w:rsidRPr="00791CCA" w:rsidRDefault="000C7F45" w:rsidP="001E1B79">
            <w:pPr>
              <w:spacing w:before="60" w:after="60"/>
              <w:ind w:rightChars="192" w:right="461"/>
              <w:jc w:val="left"/>
              <w:rPr>
                <w:rFonts w:eastAsia="Calibri"/>
                <w:noProof/>
              </w:rPr>
            </w:pPr>
            <w:r w:rsidRPr="00791CCA">
              <w:rPr>
                <w:noProof/>
              </w:rPr>
              <w:t>260</w:t>
            </w:r>
          </w:p>
        </w:tc>
      </w:tr>
      <w:tr w:rsidR="001E1B79" w:rsidRPr="00791CCA" w:rsidTr="001D5990">
        <w:tc>
          <w:tcPr>
            <w:tcW w:w="4908" w:type="dxa"/>
            <w:tcBorders>
              <w:bottom w:val="dotted"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Nombre total de bénéficiaires admissibles</w:t>
            </w:r>
          </w:p>
        </w:tc>
        <w:tc>
          <w:tcPr>
            <w:tcW w:w="4379" w:type="dxa"/>
            <w:tcBorders>
              <w:bottom w:val="dotted" w:sz="4" w:space="0" w:color="auto"/>
            </w:tcBorders>
            <w:shd w:val="clear" w:color="auto" w:fill="auto"/>
          </w:tcPr>
          <w:p w:rsidR="001E1B79" w:rsidRPr="00791CCA" w:rsidRDefault="002826E9" w:rsidP="001E1B79">
            <w:pPr>
              <w:spacing w:before="60" w:after="60"/>
              <w:ind w:rightChars="192" w:right="461"/>
              <w:jc w:val="left"/>
              <w:rPr>
                <w:rFonts w:eastAsia="Calibri"/>
                <w:noProof/>
              </w:rPr>
            </w:pPr>
            <w:r w:rsidRPr="00791CCA">
              <w:rPr>
                <w:noProof/>
              </w:rPr>
              <w:t>260</w:t>
            </w:r>
          </w:p>
        </w:tc>
      </w:tr>
      <w:tr w:rsidR="001E1B79" w:rsidRPr="00791CCA" w:rsidTr="001D5990">
        <w:tc>
          <w:tcPr>
            <w:tcW w:w="4908" w:type="dxa"/>
            <w:tcBorders>
              <w:top w:val="dotted" w:sz="4" w:space="0" w:color="auto"/>
              <w:bottom w:val="dotted" w:sz="4" w:space="0" w:color="auto"/>
            </w:tcBorders>
            <w:shd w:val="clear" w:color="auto" w:fill="auto"/>
          </w:tcPr>
          <w:p w:rsidR="001E1B79" w:rsidRPr="00791CCA" w:rsidRDefault="001E1B79" w:rsidP="001E1B79">
            <w:pPr>
              <w:spacing w:before="60" w:after="60"/>
              <w:jc w:val="left"/>
              <w:rPr>
                <w:rFonts w:eastAsia="Calibri"/>
                <w:noProof/>
              </w:rPr>
            </w:pPr>
            <w:r w:rsidRPr="00791CCA">
              <w:rPr>
                <w:noProof/>
              </w:rPr>
              <w:t>Nombre total de bénéficiaires visés</w:t>
            </w:r>
          </w:p>
        </w:tc>
        <w:tc>
          <w:tcPr>
            <w:tcW w:w="4379" w:type="dxa"/>
            <w:tcBorders>
              <w:top w:val="dotted" w:sz="4" w:space="0" w:color="auto"/>
              <w:bottom w:val="dotted" w:sz="4" w:space="0" w:color="auto"/>
            </w:tcBorders>
            <w:shd w:val="clear" w:color="auto" w:fill="auto"/>
          </w:tcPr>
          <w:p w:rsidR="001E1B79" w:rsidRPr="00791CCA" w:rsidRDefault="00ED6F0C" w:rsidP="001E1B79">
            <w:pPr>
              <w:spacing w:before="60" w:after="60"/>
              <w:ind w:rightChars="192" w:right="461"/>
              <w:jc w:val="left"/>
              <w:rPr>
                <w:rFonts w:eastAsia="Calibri"/>
                <w:noProof/>
              </w:rPr>
            </w:pPr>
            <w:r w:rsidRPr="00791CCA">
              <w:rPr>
                <w:noProof/>
              </w:rPr>
              <w:t>233</w:t>
            </w:r>
          </w:p>
        </w:tc>
      </w:tr>
      <w:tr w:rsidR="001E1B79" w:rsidRPr="00791CCA" w:rsidTr="001D5990">
        <w:tc>
          <w:tcPr>
            <w:tcW w:w="4908" w:type="dxa"/>
            <w:tcBorders>
              <w:bottom w:val="dotted" w:sz="4" w:space="0" w:color="auto"/>
            </w:tcBorders>
            <w:shd w:val="clear" w:color="auto" w:fill="auto"/>
            <w:vAlign w:val="center"/>
          </w:tcPr>
          <w:p w:rsidR="001E1B79" w:rsidRPr="00791CCA" w:rsidRDefault="001E1B79" w:rsidP="001E1B79">
            <w:pPr>
              <w:spacing w:before="0" w:after="0"/>
              <w:jc w:val="left"/>
              <w:rPr>
                <w:noProof/>
              </w:rPr>
            </w:pPr>
            <w:r w:rsidRPr="00791CCA">
              <w:rPr>
                <w:noProof/>
              </w:rPr>
              <w:t>Budget pour les services personnalisés (en EUR)</w:t>
            </w:r>
          </w:p>
        </w:tc>
        <w:tc>
          <w:tcPr>
            <w:tcW w:w="4379" w:type="dxa"/>
            <w:tcBorders>
              <w:bottom w:val="dotted" w:sz="4" w:space="0" w:color="auto"/>
            </w:tcBorders>
            <w:shd w:val="clear" w:color="auto" w:fill="auto"/>
            <w:vAlign w:val="center"/>
          </w:tcPr>
          <w:p w:rsidR="001E1B79" w:rsidRPr="00791CCA" w:rsidRDefault="00030AE7" w:rsidP="001E1B79">
            <w:pPr>
              <w:spacing w:before="0" w:after="0"/>
              <w:ind w:rightChars="192" w:right="461"/>
              <w:jc w:val="left"/>
              <w:rPr>
                <w:noProof/>
              </w:rPr>
            </w:pPr>
            <w:r w:rsidRPr="00791CCA">
              <w:rPr>
                <w:noProof/>
              </w:rPr>
              <w:t>663 85</w:t>
            </w:r>
            <w:r w:rsidRPr="00791CCA">
              <w:rPr>
                <w:rFonts w:ascii="TimesNewRoman" w:hAnsi="TimesNewRoman"/>
                <w:noProof/>
                <w:color w:val="000000"/>
              </w:rPr>
              <w:t>0</w:t>
            </w:r>
          </w:p>
        </w:tc>
      </w:tr>
      <w:tr w:rsidR="001E1B79" w:rsidRPr="00791CCA" w:rsidTr="00030AE7">
        <w:trPr>
          <w:trHeight w:val="389"/>
        </w:trPr>
        <w:tc>
          <w:tcPr>
            <w:tcW w:w="4908" w:type="dxa"/>
            <w:tcBorders>
              <w:top w:val="dotted" w:sz="4" w:space="0" w:color="auto"/>
              <w:bottom w:val="dotted" w:sz="4" w:space="0" w:color="auto"/>
            </w:tcBorders>
            <w:shd w:val="clear" w:color="auto" w:fill="auto"/>
            <w:vAlign w:val="center"/>
          </w:tcPr>
          <w:p w:rsidR="001E1B79" w:rsidRPr="00791CCA" w:rsidRDefault="001E1B79" w:rsidP="001E1B79">
            <w:pPr>
              <w:spacing w:before="0" w:after="0"/>
              <w:jc w:val="left"/>
              <w:rPr>
                <w:noProof/>
              </w:rPr>
            </w:pPr>
            <w:r w:rsidRPr="00791CCA">
              <w:rPr>
                <w:noProof/>
              </w:rPr>
              <w:t>Budget pour la mise en œuvre du FEM</w:t>
            </w:r>
            <w:r w:rsidRPr="00791CCA">
              <w:rPr>
                <w:rStyle w:val="FootnoteReference"/>
                <w:noProof/>
              </w:rPr>
              <w:footnoteReference w:id="5"/>
            </w:r>
            <w:r w:rsidRPr="00791CCA">
              <w:rPr>
                <w:noProof/>
              </w:rPr>
              <w:t xml:space="preserve"> (en EUR)</w:t>
            </w:r>
          </w:p>
        </w:tc>
        <w:tc>
          <w:tcPr>
            <w:tcW w:w="4379" w:type="dxa"/>
            <w:tcBorders>
              <w:top w:val="dotted" w:sz="4" w:space="0" w:color="auto"/>
              <w:bottom w:val="dotted" w:sz="4" w:space="0" w:color="auto"/>
            </w:tcBorders>
            <w:shd w:val="clear" w:color="auto" w:fill="auto"/>
            <w:vAlign w:val="center"/>
          </w:tcPr>
          <w:p w:rsidR="001E1B79" w:rsidRPr="00791CCA" w:rsidRDefault="00C220AF" w:rsidP="001E1B79">
            <w:pPr>
              <w:spacing w:before="0" w:after="0"/>
              <w:ind w:rightChars="192" w:right="461"/>
              <w:jc w:val="left"/>
              <w:rPr>
                <w:noProof/>
              </w:rPr>
            </w:pPr>
            <w:r w:rsidRPr="00791CCA">
              <w:rPr>
                <w:noProof/>
              </w:rPr>
              <w:t>20 000</w:t>
            </w:r>
          </w:p>
        </w:tc>
      </w:tr>
      <w:tr w:rsidR="001E1B79" w:rsidRPr="00791CCA" w:rsidTr="001D5990">
        <w:tc>
          <w:tcPr>
            <w:tcW w:w="4908" w:type="dxa"/>
            <w:tcBorders>
              <w:top w:val="dotted" w:sz="4" w:space="0" w:color="auto"/>
              <w:bottom w:val="dotted" w:sz="4" w:space="0" w:color="auto"/>
            </w:tcBorders>
            <w:shd w:val="clear" w:color="auto" w:fill="auto"/>
            <w:vAlign w:val="center"/>
          </w:tcPr>
          <w:p w:rsidR="001E1B79" w:rsidRPr="00791CCA" w:rsidRDefault="001E1B79" w:rsidP="001E1B79">
            <w:pPr>
              <w:spacing w:before="0" w:after="0"/>
              <w:jc w:val="left"/>
              <w:rPr>
                <w:noProof/>
              </w:rPr>
            </w:pPr>
            <w:r w:rsidRPr="00791CCA">
              <w:rPr>
                <w:noProof/>
              </w:rPr>
              <w:t>Budget total (en EUR)</w:t>
            </w:r>
          </w:p>
        </w:tc>
        <w:tc>
          <w:tcPr>
            <w:tcW w:w="4379" w:type="dxa"/>
            <w:tcBorders>
              <w:top w:val="dotted" w:sz="4" w:space="0" w:color="auto"/>
              <w:bottom w:val="dotted" w:sz="4" w:space="0" w:color="auto"/>
            </w:tcBorders>
            <w:shd w:val="clear" w:color="auto" w:fill="auto"/>
            <w:vAlign w:val="center"/>
          </w:tcPr>
          <w:p w:rsidR="001E1B79" w:rsidRPr="00791CCA" w:rsidRDefault="00C220AF" w:rsidP="001E1B79">
            <w:pPr>
              <w:spacing w:before="0" w:after="0"/>
              <w:ind w:rightChars="192" w:right="461"/>
              <w:jc w:val="left"/>
              <w:rPr>
                <w:noProof/>
              </w:rPr>
            </w:pPr>
            <w:r w:rsidRPr="00791CCA">
              <w:rPr>
                <w:rFonts w:ascii="TimesNewRoman" w:hAnsi="TimesNewRoman"/>
                <w:noProof/>
                <w:color w:val="000000"/>
              </w:rPr>
              <w:t>683 850</w:t>
            </w:r>
          </w:p>
        </w:tc>
      </w:tr>
      <w:tr w:rsidR="001E1B79" w:rsidRPr="00791CCA" w:rsidTr="001D5990">
        <w:tc>
          <w:tcPr>
            <w:tcW w:w="4908" w:type="dxa"/>
            <w:tcBorders>
              <w:top w:val="dotted" w:sz="4" w:space="0" w:color="auto"/>
            </w:tcBorders>
            <w:shd w:val="clear" w:color="auto" w:fill="auto"/>
            <w:vAlign w:val="center"/>
          </w:tcPr>
          <w:p w:rsidR="001E1B79" w:rsidRPr="00791CCA" w:rsidRDefault="001E1B79" w:rsidP="001E1B79">
            <w:pPr>
              <w:spacing w:before="0" w:after="0"/>
              <w:jc w:val="left"/>
              <w:rPr>
                <w:noProof/>
              </w:rPr>
            </w:pPr>
            <w:r w:rsidRPr="00791CCA">
              <w:rPr>
                <w:noProof/>
              </w:rPr>
              <w:t>Contribution du FEM (60 %) (en EUR)</w:t>
            </w:r>
          </w:p>
        </w:tc>
        <w:tc>
          <w:tcPr>
            <w:tcW w:w="4379" w:type="dxa"/>
            <w:tcBorders>
              <w:top w:val="dotted" w:sz="4" w:space="0" w:color="auto"/>
            </w:tcBorders>
            <w:shd w:val="clear" w:color="auto" w:fill="auto"/>
            <w:vAlign w:val="center"/>
          </w:tcPr>
          <w:p w:rsidR="001E1B79" w:rsidRPr="00791CCA" w:rsidRDefault="00C220AF" w:rsidP="001E1B79">
            <w:pPr>
              <w:spacing w:before="0" w:after="0"/>
              <w:ind w:rightChars="192" w:right="461"/>
              <w:jc w:val="left"/>
              <w:rPr>
                <w:noProof/>
              </w:rPr>
            </w:pPr>
            <w:r w:rsidRPr="00791CCA">
              <w:rPr>
                <w:rFonts w:ascii="TimesNewRoman" w:hAnsi="TimesNewRoman"/>
                <w:noProof/>
                <w:color w:val="000000"/>
              </w:rPr>
              <w:t>410 310</w:t>
            </w:r>
          </w:p>
        </w:tc>
      </w:tr>
    </w:tbl>
    <w:p w:rsidR="001A62D7" w:rsidRPr="00791CCA" w:rsidRDefault="001A62D7" w:rsidP="001A62D7">
      <w:pPr>
        <w:pStyle w:val="ManualHeading1"/>
        <w:rPr>
          <w:noProof/>
        </w:rPr>
      </w:pPr>
      <w:r w:rsidRPr="00791CCA">
        <w:rPr>
          <w:noProof/>
        </w:rPr>
        <w:t>ÉVALUATION DE LA DEMANDE</w:t>
      </w:r>
    </w:p>
    <w:p w:rsidR="001A62D7" w:rsidRPr="00791CCA" w:rsidRDefault="001A62D7" w:rsidP="001A62D7">
      <w:pPr>
        <w:pStyle w:val="ManualHeading2"/>
        <w:rPr>
          <w:noProof/>
        </w:rPr>
      </w:pPr>
      <w:r w:rsidRPr="00791CCA">
        <w:rPr>
          <w:noProof/>
        </w:rPr>
        <w:t>Procédure</w:t>
      </w:r>
    </w:p>
    <w:p w:rsidR="001A62D7" w:rsidRPr="00791CCA" w:rsidRDefault="00ED6F0C" w:rsidP="009C50F6">
      <w:pPr>
        <w:pStyle w:val="ManualNumPar1"/>
        <w:rPr>
          <w:noProof/>
        </w:rPr>
      </w:pPr>
      <w:r>
        <w:rPr>
          <w:noProof/>
        </w:rPr>
        <w:t>4.</w:t>
      </w:r>
      <w:r>
        <w:rPr>
          <w:noProof/>
        </w:rPr>
        <w:tab/>
      </w:r>
      <w:r w:rsidRPr="00791CCA">
        <w:rPr>
          <w:noProof/>
        </w:rPr>
        <w:t xml:space="preserve">La Finlande a présenté la demande EGF/2026/003 FI/Valmet Automotive le 5 mai 2026, dans le délai de 12 semaines à compter de la date à laquelle les critères d’intervention précisés à l’article 4, paragraphe 2, point a), du règlement (UE) 2021/691 ont été remplis. La Commission a accusé réception de la demande et </w:t>
      </w:r>
      <w:bookmarkStart w:id="2" w:name="_Hlk176343556"/>
      <w:r w:rsidRPr="00791CCA">
        <w:rPr>
          <w:noProof/>
        </w:rPr>
        <w:t>demandé des informations complémentaires à la Finlande le 21 mai 2026. Ces informations complémentaires ont été fournies dans les 15 jours ouvrables qui ont suivi la demande. Le délai de 50 jours ouvrables suivant la réception de la demande complète dont dispose la Commission pour achever son évaluation de la conformité de la demande avec les conditions d’octroi d’une contribution financière expire le 24 août 2026.</w:t>
      </w:r>
      <w:bookmarkEnd w:id="2"/>
    </w:p>
    <w:p w:rsidR="001A62D7" w:rsidRPr="00791CCA" w:rsidRDefault="001A62D7" w:rsidP="001A62D7">
      <w:pPr>
        <w:pStyle w:val="ManualHeading2"/>
        <w:rPr>
          <w:noProof/>
        </w:rPr>
      </w:pPr>
      <w:r w:rsidRPr="00791CCA">
        <w:rPr>
          <w:noProof/>
        </w:rPr>
        <w:t>Admissibilité de la demande</w:t>
      </w:r>
    </w:p>
    <w:p w:rsidR="001A62D7" w:rsidRPr="00791CCA" w:rsidRDefault="001A62D7" w:rsidP="001A62D7">
      <w:pPr>
        <w:pStyle w:val="ManualHeading3"/>
        <w:rPr>
          <w:noProof/>
        </w:rPr>
      </w:pPr>
      <w:r w:rsidRPr="00791CCA">
        <w:rPr>
          <w:noProof/>
        </w:rPr>
        <w:t>Entreprises et bénéficiaires concernés</w:t>
      </w:r>
    </w:p>
    <w:p w:rsidR="00AC3AEF" w:rsidRPr="00791CCA" w:rsidRDefault="00181DB4" w:rsidP="009C50F6">
      <w:pPr>
        <w:pStyle w:val="ManualNumPar1"/>
        <w:rPr>
          <w:noProof/>
          <w:szCs w:val="24"/>
        </w:rPr>
      </w:pPr>
      <w:r>
        <w:rPr>
          <w:noProof/>
        </w:rPr>
        <w:t>5.</w:t>
      </w:r>
      <w:r>
        <w:rPr>
          <w:noProof/>
        </w:rPr>
        <w:tab/>
      </w:r>
      <w:r w:rsidRPr="00791CCA">
        <w:rPr>
          <w:noProof/>
        </w:rPr>
        <w:t>La demande concerne 239 travailleurs licenciés dont l’activité a cessé, qui étaient salariés chez Valmet Automotive et l’un de ses fournisseurs. L’entreprise principale concernée exerce ses activités dans le secteur économique relevant de la division 29 («Industrie automobile») de la NACE Rév. 2. Les licenciements ont eu lieu dans la région de niveau NUTS 2 de Länsi-Suomi (FI19).</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791CCA"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791CCA" w:rsidRDefault="00AC3AEF" w:rsidP="003E3147">
            <w:pPr>
              <w:spacing w:beforeLines="20" w:before="48" w:afterLines="20" w:after="48" w:line="276" w:lineRule="auto"/>
              <w:ind w:left="57"/>
              <w:jc w:val="center"/>
              <w:rPr>
                <w:rFonts w:eastAsia="Calibri"/>
                <w:b/>
                <w:noProof/>
                <w:szCs w:val="24"/>
              </w:rPr>
            </w:pPr>
            <w:r w:rsidRPr="00791CCA">
              <w:rPr>
                <w:b/>
                <w:noProof/>
              </w:rPr>
              <w:t>Entreprises et nombre de licenciements pendant la période de référence</w:t>
            </w:r>
          </w:p>
        </w:tc>
      </w:tr>
      <w:tr w:rsidR="00AC3AEF" w:rsidRPr="00791CCA" w:rsidTr="00AC3AEF">
        <w:tc>
          <w:tcPr>
            <w:tcW w:w="6957" w:type="dxa"/>
            <w:gridSpan w:val="2"/>
            <w:tcBorders>
              <w:bottom w:val="single" w:sz="4" w:space="0" w:color="auto"/>
              <w:right w:val="single" w:sz="4" w:space="0" w:color="auto"/>
            </w:tcBorders>
            <w:shd w:val="clear" w:color="auto" w:fill="auto"/>
            <w:vAlign w:val="center"/>
          </w:tcPr>
          <w:p w:rsidR="00AC3AEF" w:rsidRPr="00791CCA" w:rsidRDefault="000E7A0D" w:rsidP="003E3147">
            <w:pPr>
              <w:spacing w:before="0" w:after="0"/>
              <w:ind w:right="252"/>
              <w:jc w:val="left"/>
              <w:rPr>
                <w:noProof/>
                <w:szCs w:val="24"/>
              </w:rPr>
            </w:pPr>
            <w:r w:rsidRPr="00791CCA">
              <w:rPr>
                <w:noProof/>
              </w:rPr>
              <w:t>Valmet Automotive Oyj (Industrie automobile)</w:t>
            </w:r>
          </w:p>
        </w:tc>
        <w:tc>
          <w:tcPr>
            <w:tcW w:w="1275" w:type="dxa"/>
            <w:gridSpan w:val="2"/>
            <w:tcBorders>
              <w:left w:val="single" w:sz="4" w:space="0" w:color="auto"/>
              <w:bottom w:val="single" w:sz="4" w:space="0" w:color="auto"/>
            </w:tcBorders>
            <w:shd w:val="clear" w:color="auto" w:fill="auto"/>
            <w:vAlign w:val="center"/>
          </w:tcPr>
          <w:p w:rsidR="00AC3AEF" w:rsidRPr="00791CCA" w:rsidRDefault="00AC3AEF" w:rsidP="003E3147">
            <w:pPr>
              <w:spacing w:before="0" w:after="0"/>
              <w:ind w:left="-828"/>
              <w:jc w:val="right"/>
              <w:rPr>
                <w:noProof/>
                <w:szCs w:val="24"/>
              </w:rPr>
            </w:pPr>
            <w:r w:rsidRPr="00791CCA">
              <w:rPr>
                <w:noProof/>
              </w:rPr>
              <w:t>230</w:t>
            </w:r>
          </w:p>
        </w:tc>
      </w:tr>
      <w:tr w:rsidR="000E7A0D" w:rsidRPr="00791CCA" w:rsidTr="00AC3AEF">
        <w:tc>
          <w:tcPr>
            <w:tcW w:w="6957" w:type="dxa"/>
            <w:gridSpan w:val="2"/>
            <w:tcBorders>
              <w:bottom w:val="single" w:sz="4" w:space="0" w:color="auto"/>
              <w:right w:val="single" w:sz="4" w:space="0" w:color="auto"/>
            </w:tcBorders>
            <w:shd w:val="clear" w:color="auto" w:fill="auto"/>
            <w:vAlign w:val="center"/>
          </w:tcPr>
          <w:p w:rsidR="000E7A0D" w:rsidRPr="009744E2" w:rsidRDefault="000E7A0D" w:rsidP="003E3147">
            <w:pPr>
              <w:spacing w:before="0" w:after="0"/>
              <w:ind w:right="252"/>
              <w:jc w:val="left"/>
              <w:rPr>
                <w:noProof/>
                <w:szCs w:val="24"/>
                <w:lang w:val="en-IE"/>
              </w:rPr>
            </w:pPr>
            <w:r w:rsidRPr="009744E2">
              <w:rPr>
                <w:noProof/>
                <w:color w:val="000000"/>
                <w:lang w:val="en-IE"/>
              </w:rPr>
              <w:t>Compass Group Finland Oy (Restauration)</w:t>
            </w:r>
          </w:p>
        </w:tc>
        <w:tc>
          <w:tcPr>
            <w:tcW w:w="1275" w:type="dxa"/>
            <w:gridSpan w:val="2"/>
            <w:tcBorders>
              <w:left w:val="single" w:sz="4" w:space="0" w:color="auto"/>
              <w:bottom w:val="single" w:sz="4" w:space="0" w:color="auto"/>
            </w:tcBorders>
            <w:shd w:val="clear" w:color="auto" w:fill="auto"/>
            <w:vAlign w:val="center"/>
          </w:tcPr>
          <w:p w:rsidR="000E7A0D" w:rsidRPr="00791CCA" w:rsidRDefault="000E7A0D" w:rsidP="003E3147">
            <w:pPr>
              <w:spacing w:before="0" w:after="0"/>
              <w:ind w:left="-828"/>
              <w:jc w:val="right"/>
              <w:rPr>
                <w:noProof/>
                <w:szCs w:val="24"/>
              </w:rPr>
            </w:pPr>
            <w:r w:rsidRPr="00791CCA">
              <w:rPr>
                <w:noProof/>
              </w:rPr>
              <w:t>9</w:t>
            </w:r>
          </w:p>
        </w:tc>
      </w:tr>
      <w:tr w:rsidR="00AC3AEF" w:rsidRPr="00791CCA" w:rsidTr="00AC3AEF">
        <w:trPr>
          <w:trHeight w:val="284"/>
        </w:trPr>
        <w:tc>
          <w:tcPr>
            <w:tcW w:w="3840" w:type="dxa"/>
            <w:tcBorders>
              <w:top w:val="single" w:sz="4" w:space="0" w:color="auto"/>
              <w:bottom w:val="nil"/>
              <w:right w:val="nil"/>
            </w:tcBorders>
            <w:shd w:val="clear" w:color="auto" w:fill="E6E6E6"/>
            <w:vAlign w:val="center"/>
          </w:tcPr>
          <w:p w:rsidR="00AC3AEF" w:rsidRPr="00791CCA" w:rsidRDefault="00AC3AEF" w:rsidP="003E3147">
            <w:pPr>
              <w:spacing w:beforeLines="20" w:before="48" w:afterLines="20" w:after="48" w:line="276" w:lineRule="auto"/>
              <w:ind w:left="57"/>
              <w:jc w:val="left"/>
              <w:rPr>
                <w:rFonts w:eastAsia="Calibri"/>
                <w:b/>
                <w:noProof/>
                <w:szCs w:val="24"/>
              </w:rPr>
            </w:pPr>
            <w:r w:rsidRPr="00791CCA">
              <w:rPr>
                <w:noProof/>
              </w:rPr>
              <w:br w:type="page"/>
            </w:r>
            <w:r w:rsidRPr="00791CCA">
              <w:rPr>
                <w:b/>
                <w:noProof/>
              </w:rPr>
              <w:t>Nombre total d’entreprises:</w:t>
            </w:r>
            <w:r w:rsidRPr="00791CCA">
              <w:rPr>
                <w:b/>
                <w:noProof/>
                <w:sz w:val="22"/>
              </w:rPr>
              <w:t xml:space="preserve"> </w:t>
            </w:r>
            <w:r w:rsidRPr="00791CCA">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791CCA" w:rsidRDefault="00AC3AEF" w:rsidP="003E3147">
            <w:pPr>
              <w:spacing w:beforeLines="20" w:before="48" w:afterLines="20" w:after="48" w:line="276" w:lineRule="auto"/>
              <w:ind w:left="57" w:right="227"/>
              <w:jc w:val="left"/>
              <w:rPr>
                <w:rFonts w:eastAsia="Calibri"/>
                <w:b/>
                <w:noProof/>
                <w:szCs w:val="24"/>
              </w:rPr>
            </w:pPr>
            <w:r w:rsidRPr="00791CCA">
              <w:rPr>
                <w:b/>
                <w:noProof/>
              </w:rPr>
              <w:t>Nombre total de licenciements:</w:t>
            </w:r>
            <w:r w:rsidRPr="00791CCA">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791CCA" w:rsidRDefault="00CD42B6" w:rsidP="003E3147">
            <w:pPr>
              <w:spacing w:beforeLines="20" w:before="48" w:afterLines="20" w:after="48" w:line="276" w:lineRule="auto"/>
              <w:ind w:left="57" w:right="227"/>
              <w:jc w:val="right"/>
              <w:rPr>
                <w:rFonts w:eastAsia="Calibri"/>
                <w:b/>
                <w:noProof/>
                <w:szCs w:val="24"/>
              </w:rPr>
            </w:pPr>
            <w:r w:rsidRPr="00791CCA">
              <w:rPr>
                <w:b/>
                <w:noProof/>
              </w:rPr>
              <w:t>239</w:t>
            </w:r>
          </w:p>
        </w:tc>
      </w:tr>
      <w:tr w:rsidR="00AC3AEF" w:rsidRPr="00791CCA" w:rsidTr="00AC3AEF">
        <w:trPr>
          <w:trHeight w:val="284"/>
        </w:trPr>
        <w:tc>
          <w:tcPr>
            <w:tcW w:w="7140" w:type="dxa"/>
            <w:gridSpan w:val="3"/>
            <w:tcBorders>
              <w:top w:val="nil"/>
              <w:bottom w:val="nil"/>
              <w:right w:val="nil"/>
            </w:tcBorders>
            <w:shd w:val="clear" w:color="auto" w:fill="E6E6E6"/>
            <w:vAlign w:val="center"/>
          </w:tcPr>
          <w:p w:rsidR="00AC3AEF" w:rsidRPr="00791CCA" w:rsidRDefault="00AC3AEF" w:rsidP="003E3147">
            <w:pPr>
              <w:spacing w:beforeLines="20" w:before="48" w:afterLines="20" w:after="48" w:line="276" w:lineRule="auto"/>
              <w:ind w:left="57" w:right="227"/>
              <w:jc w:val="left"/>
              <w:rPr>
                <w:rFonts w:eastAsia="Calibri"/>
                <w:b/>
                <w:noProof/>
                <w:szCs w:val="24"/>
              </w:rPr>
            </w:pPr>
          </w:p>
        </w:tc>
        <w:tc>
          <w:tcPr>
            <w:tcW w:w="1092" w:type="dxa"/>
            <w:tcBorders>
              <w:top w:val="nil"/>
              <w:left w:val="nil"/>
              <w:bottom w:val="nil"/>
            </w:tcBorders>
            <w:shd w:val="clear" w:color="auto" w:fill="E6E6E6"/>
            <w:vAlign w:val="center"/>
          </w:tcPr>
          <w:p w:rsidR="00AC3AEF" w:rsidRPr="00791CCA" w:rsidRDefault="00AC3AEF" w:rsidP="00EA127B">
            <w:pPr>
              <w:spacing w:beforeLines="20" w:before="48" w:afterLines="20" w:after="48" w:line="276" w:lineRule="auto"/>
              <w:ind w:right="227"/>
              <w:rPr>
                <w:rFonts w:eastAsia="Calibri"/>
                <w:b/>
                <w:noProof/>
                <w:szCs w:val="24"/>
              </w:rPr>
            </w:pPr>
          </w:p>
        </w:tc>
      </w:tr>
      <w:tr w:rsidR="00AC3AEF" w:rsidRPr="00791CCA" w:rsidTr="00EA127B">
        <w:trPr>
          <w:trHeight w:val="87"/>
        </w:trPr>
        <w:tc>
          <w:tcPr>
            <w:tcW w:w="7140" w:type="dxa"/>
            <w:gridSpan w:val="3"/>
            <w:tcBorders>
              <w:top w:val="nil"/>
              <w:right w:val="nil"/>
            </w:tcBorders>
            <w:shd w:val="clear" w:color="auto" w:fill="E6E6E6"/>
            <w:vAlign w:val="center"/>
          </w:tcPr>
          <w:p w:rsidR="00AC3AEF" w:rsidRPr="00791CCA" w:rsidRDefault="00AC3AEF" w:rsidP="00EA127B">
            <w:pPr>
              <w:spacing w:beforeLines="20" w:before="48" w:afterLines="20" w:after="48" w:line="276" w:lineRule="auto"/>
              <w:jc w:val="left"/>
              <w:rPr>
                <w:rFonts w:eastAsia="Calibri"/>
                <w:b/>
                <w:noProof/>
                <w:szCs w:val="24"/>
              </w:rPr>
            </w:pPr>
          </w:p>
        </w:tc>
        <w:tc>
          <w:tcPr>
            <w:tcW w:w="1092" w:type="dxa"/>
            <w:tcBorders>
              <w:top w:val="nil"/>
              <w:left w:val="nil"/>
            </w:tcBorders>
            <w:shd w:val="clear" w:color="auto" w:fill="E6E6E6"/>
            <w:vAlign w:val="center"/>
          </w:tcPr>
          <w:p w:rsidR="00AC3AEF" w:rsidRPr="00791CCA" w:rsidRDefault="00AC3AEF" w:rsidP="003E3147">
            <w:pPr>
              <w:spacing w:beforeLines="20" w:before="48" w:afterLines="20" w:after="48" w:line="276" w:lineRule="auto"/>
              <w:ind w:left="57" w:right="227"/>
              <w:jc w:val="right"/>
              <w:rPr>
                <w:rFonts w:eastAsia="Calibri"/>
                <w:b/>
                <w:noProof/>
                <w:szCs w:val="24"/>
              </w:rPr>
            </w:pPr>
          </w:p>
        </w:tc>
      </w:tr>
    </w:tbl>
    <w:p w:rsidR="001A62D7" w:rsidRPr="00791CCA" w:rsidRDefault="001A62D7" w:rsidP="001A62D7">
      <w:pPr>
        <w:pStyle w:val="ManualHeading3"/>
        <w:rPr>
          <w:noProof/>
        </w:rPr>
      </w:pPr>
      <w:r w:rsidRPr="00791CCA">
        <w:rPr>
          <w:noProof/>
        </w:rPr>
        <w:lastRenderedPageBreak/>
        <w:t>Critères d’intervention</w:t>
      </w:r>
    </w:p>
    <w:p w:rsidR="00A50DD1" w:rsidRPr="00791CCA" w:rsidRDefault="00EA127B" w:rsidP="00A50DD1">
      <w:pPr>
        <w:pStyle w:val="ManualNumPar1"/>
        <w:rPr>
          <w:noProof/>
        </w:rPr>
      </w:pPr>
      <w:r>
        <w:rPr>
          <w:noProof/>
        </w:rPr>
        <w:t>6.</w:t>
      </w:r>
      <w:r>
        <w:rPr>
          <w:noProof/>
        </w:rPr>
        <w:tab/>
      </w:r>
      <w:bookmarkStart w:id="3" w:name="_Ref372189348"/>
      <w:r w:rsidRPr="00791CCA">
        <w:rPr>
          <w:noProof/>
        </w:rPr>
        <w:t>La Finlande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w:t>
      </w:r>
    </w:p>
    <w:bookmarkEnd w:id="3"/>
    <w:p w:rsidR="00545AD1" w:rsidRPr="00791CCA" w:rsidRDefault="00545AD1" w:rsidP="00545AD1">
      <w:pPr>
        <w:pStyle w:val="ManualNumPar1"/>
        <w:rPr>
          <w:noProof/>
        </w:rPr>
      </w:pPr>
      <w:r>
        <w:rPr>
          <w:noProof/>
        </w:rPr>
        <w:t>7.</w:t>
      </w:r>
      <w:r>
        <w:rPr>
          <w:noProof/>
        </w:rPr>
        <w:tab/>
      </w:r>
      <w:r w:rsidRPr="00791CCA">
        <w:rPr>
          <w:noProof/>
        </w:rPr>
        <w:t>La période de référence de quatre mois pour la demande s’étend du 2 décembre 2025 au 2 avril 2026.</w:t>
      </w:r>
    </w:p>
    <w:p w:rsidR="00346CC8" w:rsidRPr="00791CCA" w:rsidRDefault="00A50DD1" w:rsidP="00346CC8">
      <w:pPr>
        <w:pStyle w:val="ManualNumPar1"/>
        <w:rPr>
          <w:noProof/>
        </w:rPr>
      </w:pPr>
      <w:r>
        <w:rPr>
          <w:noProof/>
        </w:rPr>
        <w:t>8.</w:t>
      </w:r>
      <w:r>
        <w:rPr>
          <w:noProof/>
        </w:rPr>
        <w:tab/>
      </w:r>
      <w:r w:rsidRPr="00791CCA">
        <w:rPr>
          <w:noProof/>
        </w:rPr>
        <w:t>Au cours de la période de référence, 239 licenciements ont eu lieu.</w:t>
      </w:r>
    </w:p>
    <w:p w:rsidR="001A62D7" w:rsidRPr="00791CCA" w:rsidRDefault="001A62D7" w:rsidP="001A62D7">
      <w:pPr>
        <w:pStyle w:val="ManualHeading3"/>
        <w:rPr>
          <w:noProof/>
        </w:rPr>
      </w:pPr>
      <w:r w:rsidRPr="00791CCA">
        <w:rPr>
          <w:noProof/>
        </w:rPr>
        <w:t>Calcul des licenciements et de la cessation d’activité</w:t>
      </w:r>
    </w:p>
    <w:p w:rsidR="00713BEE" w:rsidRPr="00791CCA" w:rsidRDefault="00A50DD1" w:rsidP="00B229E2">
      <w:pPr>
        <w:pStyle w:val="ManualNumPar1"/>
        <w:rPr>
          <w:noProof/>
        </w:rPr>
      </w:pPr>
      <w:r>
        <w:rPr>
          <w:noProof/>
        </w:rPr>
        <w:t>9.</w:t>
      </w:r>
      <w:r>
        <w:rPr>
          <w:noProof/>
        </w:rPr>
        <w:tab/>
      </w:r>
      <w:r w:rsidRPr="00791CCA">
        <w:rPr>
          <w:noProof/>
        </w:rPr>
        <w:t>Conformément à l’article 6, premier alinéa, point a), en liaison avec l’article 5, premier alinéa, point c), du règlement (UE) 2021/691, la cessation d’activité des travailleurs licenciés au cours de la période de référence a été calculée à partir de la date à laquelle l’employeur leur a notifié leur préavis de licenciement.</w:t>
      </w:r>
    </w:p>
    <w:p w:rsidR="001A62D7" w:rsidRPr="00791CCA" w:rsidRDefault="001A62D7" w:rsidP="001A62D7">
      <w:pPr>
        <w:pStyle w:val="ManualHeading3"/>
        <w:rPr>
          <w:noProof/>
        </w:rPr>
      </w:pPr>
      <w:r w:rsidRPr="00791CCA">
        <w:rPr>
          <w:noProof/>
        </w:rPr>
        <w:t>Bénéficiaires éligibles</w:t>
      </w:r>
    </w:p>
    <w:p w:rsidR="00EA127B" w:rsidRPr="00791CCA" w:rsidRDefault="00EA127B" w:rsidP="009C50F6">
      <w:pPr>
        <w:pStyle w:val="ManualNumPar1"/>
        <w:rPr>
          <w:noProof/>
        </w:rPr>
      </w:pPr>
      <w:r>
        <w:rPr>
          <w:noProof/>
        </w:rPr>
        <w:t>10.</w:t>
      </w:r>
      <w:r>
        <w:rPr>
          <w:noProof/>
        </w:rPr>
        <w:tab/>
      </w:r>
      <w:r w:rsidRPr="00791CCA">
        <w:rPr>
          <w:noProof/>
        </w:rPr>
        <w:t xml:space="preserve">Outre les travailleurs déjà évoqués, les bénéficiaires éligibles comprennent 21 travailleurs licenciés dont l’activité a cessé avant ou après la période de référence de quatre mois. Tous ces travailleurs ont cessé leur activité dans les six mois ayant précédé le début, le 2 décembre 2025, de la période de référence ou entre la fin de la période de référence et le jour précédant l’adoption de la présente proposition, conformément à l’article 6, premier alinéa, point b), du règlement (UE) 2021/691. Un lien de causalité clair peut être établi avec l’événement ayant déclenché la cessation d’activité des travailleurs licenciés au cours de la période de référence, comme l’exige l’article 6, deuxième alinéa, du règlement (UE) 2021/691. </w:t>
      </w:r>
    </w:p>
    <w:p w:rsidR="001A62D7" w:rsidRPr="00791CCA" w:rsidRDefault="001A62D7" w:rsidP="009C50F6">
      <w:pPr>
        <w:pStyle w:val="ManualNumPar1"/>
        <w:rPr>
          <w:noProof/>
        </w:rPr>
      </w:pPr>
      <w:r>
        <w:rPr>
          <w:noProof/>
        </w:rPr>
        <w:t>11.</w:t>
      </w:r>
      <w:r>
        <w:rPr>
          <w:noProof/>
        </w:rPr>
        <w:tab/>
      </w:r>
      <w:r w:rsidRPr="00791CCA">
        <w:rPr>
          <w:noProof/>
        </w:rPr>
        <w:t>Le nombre total de bénéficiaires éligibles s’élève à 260.</w:t>
      </w:r>
    </w:p>
    <w:p w:rsidR="001A62D7" w:rsidRPr="00791CCA" w:rsidRDefault="001A62D7" w:rsidP="001A62D7">
      <w:pPr>
        <w:pStyle w:val="ManualHeading3"/>
        <w:rPr>
          <w:noProof/>
        </w:rPr>
      </w:pPr>
      <w:r w:rsidRPr="00791CCA">
        <w:rPr>
          <w:noProof/>
        </w:rPr>
        <w:t>Description des événements ayant conduit aux licenciements et à la cessation d’activité</w:t>
      </w:r>
    </w:p>
    <w:p w:rsidR="00713BEE" w:rsidRPr="00791CCA" w:rsidRDefault="00C20B57" w:rsidP="00713BEE">
      <w:pPr>
        <w:pStyle w:val="ManualNumPar1"/>
        <w:spacing w:before="100"/>
        <w:rPr>
          <w:noProof/>
          <w:color w:val="000000"/>
        </w:rPr>
      </w:pPr>
      <w:r>
        <w:rPr>
          <w:noProof/>
        </w:rPr>
        <w:t>12.</w:t>
      </w:r>
      <w:r>
        <w:rPr>
          <w:noProof/>
        </w:rPr>
        <w:tab/>
      </w:r>
      <w:r w:rsidRPr="00791CCA">
        <w:rPr>
          <w:noProof/>
          <w:color w:val="000000"/>
        </w:rPr>
        <w:t xml:space="preserve">La situation financière et de l’emploi de Valmet Automotive, un fabricant sous contrat de l’industrie automobile, a toujours été tributaire de la conclusion de contrats à durée déterminée avec de grands constructeurs automobiles, et donc soumise à des fluctuations. </w:t>
      </w:r>
    </w:p>
    <w:p w:rsidR="00A72597" w:rsidRPr="00791CCA" w:rsidRDefault="00D66C9C" w:rsidP="00A72597">
      <w:pPr>
        <w:pStyle w:val="ManualNumPar1"/>
        <w:rPr>
          <w:noProof/>
        </w:rPr>
      </w:pPr>
      <w:r>
        <w:rPr>
          <w:noProof/>
        </w:rPr>
        <w:t>13.</w:t>
      </w:r>
      <w:r>
        <w:rPr>
          <w:noProof/>
        </w:rPr>
        <w:tab/>
      </w:r>
      <w:r w:rsidRPr="00791CCA">
        <w:rPr>
          <w:noProof/>
          <w:color w:val="000000"/>
        </w:rPr>
        <w:t>En raison du ralentissement mondial que connaît l’industrie automobile depuis plusieurs années, la société a rencontré des difficultés et a dû réduire progressivement ses effectifs, qui sont passés d’un peu moins de 3 200 personnes au début des années 2020 à environ 1 300 avant les derniers licenciements</w:t>
      </w:r>
      <w:r w:rsidRPr="00791CCA">
        <w:rPr>
          <w:rStyle w:val="FootnoteReference"/>
          <w:noProof/>
          <w:color w:val="000000"/>
        </w:rPr>
        <w:footnoteReference w:id="6"/>
      </w:r>
      <w:r w:rsidRPr="00791CCA">
        <w:rPr>
          <w:noProof/>
          <w:color w:val="000000"/>
        </w:rPr>
        <w:t>.</w:t>
      </w:r>
    </w:p>
    <w:p w:rsidR="008D3624" w:rsidRPr="00791CCA" w:rsidRDefault="00A72597" w:rsidP="008D3624">
      <w:pPr>
        <w:pStyle w:val="ManualNumPar1"/>
        <w:rPr>
          <w:noProof/>
        </w:rPr>
      </w:pPr>
      <w:r>
        <w:rPr>
          <w:noProof/>
        </w:rPr>
        <w:t>14.</w:t>
      </w:r>
      <w:r>
        <w:rPr>
          <w:noProof/>
        </w:rPr>
        <w:tab/>
      </w:r>
      <w:r w:rsidRPr="00791CCA">
        <w:rPr>
          <w:noProof/>
          <w:color w:val="000000"/>
        </w:rPr>
        <w:t>À l’expiration, en 2025, du contrat conclu avec Mercedes-Benz pour la production de deux modèles, l’usine n’avait plus de commandes, ce qui l’a contrainte à de nouvelles réductions de personnel. Lors des négociations de coopération de novembre 2025, l’entreprise a annoncé qu’elle licencierait 235 personnes au maximum et mettrait au chômage technique 860 personnes. La situation difficile de la société a bien entendu aussi eu des répercussions sur l’ensemble de la chaîne de sous-traitance.</w:t>
      </w:r>
      <w:r w:rsidRPr="00791CCA">
        <w:rPr>
          <w:noProof/>
        </w:rPr>
        <w:t xml:space="preserve"> </w:t>
      </w:r>
    </w:p>
    <w:p w:rsidR="001A62D7" w:rsidRPr="00791CCA" w:rsidRDefault="001A62D7" w:rsidP="001A62D7">
      <w:pPr>
        <w:pStyle w:val="ManualHeading3"/>
        <w:tabs>
          <w:tab w:val="clear" w:pos="850"/>
          <w:tab w:val="left" w:pos="0"/>
        </w:tabs>
        <w:ind w:left="0" w:firstLine="0"/>
        <w:rPr>
          <w:noProof/>
        </w:rPr>
      </w:pPr>
      <w:r w:rsidRPr="00791CCA">
        <w:rPr>
          <w:noProof/>
        </w:rPr>
        <w:lastRenderedPageBreak/>
        <w:t xml:space="preserve">Effets attendus des licenciements sur l’économie et l’emploi au niveau local, régional ou national </w:t>
      </w:r>
    </w:p>
    <w:p w:rsidR="00910A62" w:rsidRPr="00791CCA" w:rsidRDefault="001D2C71" w:rsidP="008D3624">
      <w:pPr>
        <w:pStyle w:val="ManualNumPar1"/>
        <w:rPr>
          <w:noProof/>
          <w:color w:val="000000"/>
        </w:rPr>
      </w:pPr>
      <w:r>
        <w:rPr>
          <w:noProof/>
        </w:rPr>
        <w:t>15.</w:t>
      </w:r>
      <w:r>
        <w:rPr>
          <w:noProof/>
        </w:rPr>
        <w:tab/>
      </w:r>
      <w:r w:rsidRPr="00791CCA">
        <w:rPr>
          <w:noProof/>
          <w:color w:val="000000"/>
        </w:rPr>
        <w:t>Les nouvelles mesures de chômage technique et la nouvelle vague de licenciements à grande échelle dans l’usine automobile Valmet Automotive d’Uusikaupunki, qui est de loin le plus grand employeur de la région, ont durement touché la région dans son ensemble. La forte dépendance de la sous-région de Vakka-Suomi vis-à-vis de l’usine automobile pose de gros problèmes, qui viennent s’ajouter à la situation déjà difficile dans la région.</w:t>
      </w:r>
    </w:p>
    <w:p w:rsidR="00C26AE4" w:rsidRPr="00791CCA" w:rsidRDefault="00C26AE4" w:rsidP="00C26AE4">
      <w:pPr>
        <w:pStyle w:val="ManualNumPar1"/>
        <w:rPr>
          <w:noProof/>
        </w:rPr>
      </w:pPr>
      <w:r>
        <w:rPr>
          <w:noProof/>
        </w:rPr>
        <w:t>16.</w:t>
      </w:r>
      <w:r>
        <w:rPr>
          <w:noProof/>
        </w:rPr>
        <w:tab/>
      </w:r>
      <w:r w:rsidRPr="00791CCA">
        <w:rPr>
          <w:noProof/>
          <w:color w:val="000000"/>
        </w:rPr>
        <w:t>Le taux de chômage dans la sous-région de Vakka-Suomi s’est hissé à 12,2 % en décembre 2025, ce qui représente 1,7 point de pourcentage de plus par rapport à l’année précédente</w:t>
      </w:r>
      <w:r w:rsidRPr="00791CCA">
        <w:rPr>
          <w:rStyle w:val="FootnoteReference"/>
          <w:noProof/>
          <w:color w:val="000000"/>
        </w:rPr>
        <w:footnoteReference w:id="7"/>
      </w:r>
      <w:r w:rsidRPr="00791CCA">
        <w:rPr>
          <w:noProof/>
          <w:color w:val="000000"/>
        </w:rPr>
        <w:t>. Parmi les jeunes demandeurs d’emploi (de moins de 25 ans), le taux de chômage a atteint 17,3 %, soit une augmentation de 4,2 points de pourcentage en glissement annuel</w:t>
      </w:r>
      <w:r w:rsidRPr="00791CCA">
        <w:rPr>
          <w:rStyle w:val="FootnoteReference"/>
          <w:noProof/>
          <w:color w:val="000000"/>
        </w:rPr>
        <w:footnoteReference w:id="8"/>
      </w:r>
      <w:r w:rsidRPr="00791CCA">
        <w:rPr>
          <w:noProof/>
          <w:color w:val="000000"/>
        </w:rPr>
        <w:t xml:space="preserve">. </w:t>
      </w:r>
    </w:p>
    <w:p w:rsidR="001D2C71" w:rsidRPr="00791CCA" w:rsidRDefault="001D2C71" w:rsidP="008D3624">
      <w:pPr>
        <w:pStyle w:val="ManualNumPar1"/>
        <w:rPr>
          <w:noProof/>
        </w:rPr>
      </w:pPr>
      <w:r>
        <w:rPr>
          <w:noProof/>
        </w:rPr>
        <w:t>17.</w:t>
      </w:r>
      <w:r>
        <w:rPr>
          <w:noProof/>
        </w:rPr>
        <w:tab/>
      </w:r>
      <w:r w:rsidRPr="00791CCA">
        <w:rPr>
          <w:noProof/>
          <w:color w:val="000000"/>
        </w:rPr>
        <w:t>La région de Länsi-Suomi, fortement axée sur les exportations, a davantage souffert des fluctuations et des incertitudes de l’économie mondiale que d’autres régions. Le taux de croissance du chômage dans cette région a été le troisième plus rapide du pays, avec une hausse de près de 15 % entre 2024 et 2025</w:t>
      </w:r>
      <w:r w:rsidRPr="00791CCA">
        <w:rPr>
          <w:rStyle w:val="FootnoteReference"/>
          <w:noProof/>
          <w:color w:val="000000"/>
        </w:rPr>
        <w:footnoteReference w:id="9"/>
      </w:r>
      <w:r w:rsidRPr="00791CCA">
        <w:rPr>
          <w:noProof/>
          <w:color w:val="000000"/>
        </w:rPr>
        <w:t>.</w:t>
      </w:r>
      <w:r w:rsidRPr="00791CCA">
        <w:rPr>
          <w:noProof/>
        </w:rPr>
        <w:t xml:space="preserve"> Le taux de chômage, qui s’élevait à 12,3 % en décembre 2025, reste inférieur à la moyenne nationale.</w:t>
      </w:r>
      <w:r w:rsidRPr="00791CCA">
        <w:rPr>
          <w:noProof/>
          <w:color w:val="000000"/>
        </w:rPr>
        <w:t xml:space="preserve"> Toutefois, le nombre de chômeurs de longue durée, qui a grimpé de 39 % par rapport à 2024, est le plus haut jamais enregistré</w:t>
      </w:r>
      <w:r w:rsidRPr="00791CCA">
        <w:rPr>
          <w:rStyle w:val="FootnoteReference"/>
          <w:noProof/>
          <w:color w:val="000000"/>
        </w:rPr>
        <w:footnoteReference w:id="10"/>
      </w:r>
      <w:r w:rsidRPr="00791CCA">
        <w:rPr>
          <w:noProof/>
          <w:color w:val="000000"/>
        </w:rPr>
        <w:t xml:space="preserve">. </w:t>
      </w:r>
      <w:r w:rsidRPr="00791CCA">
        <w:rPr>
          <w:noProof/>
        </w:rPr>
        <w:t>À l’échelle nationale, le chômage n’a cessé d’augmenter, atteignant 13,0 % en décembre 2025</w:t>
      </w:r>
      <w:r w:rsidRPr="00791CCA">
        <w:rPr>
          <w:rStyle w:val="FootnoteReference"/>
          <w:noProof/>
        </w:rPr>
        <w:footnoteReference w:id="11"/>
      </w:r>
      <w:r w:rsidRPr="00791CCA">
        <w:rPr>
          <w:noProof/>
        </w:rPr>
        <w:t>, et la demande de main-d’œuvre s’est ralentie au cours des deux dernières années.</w:t>
      </w:r>
    </w:p>
    <w:p w:rsidR="0087281C" w:rsidRPr="00791CCA" w:rsidRDefault="000E28CA" w:rsidP="00C267CB">
      <w:pPr>
        <w:pStyle w:val="ManualNumPar1"/>
        <w:rPr>
          <w:noProof/>
        </w:rPr>
      </w:pPr>
      <w:r>
        <w:rPr>
          <w:noProof/>
        </w:rPr>
        <w:t>18.</w:t>
      </w:r>
      <w:r>
        <w:rPr>
          <w:noProof/>
        </w:rPr>
        <w:tab/>
      </w:r>
      <w:r w:rsidRPr="00791CCA">
        <w:rPr>
          <w:noProof/>
        </w:rPr>
        <w:t>La situation des plus grandes entreprises de la région est relativement stable, étant donné que nombre d’entre elles continuent de montrer leur volonté d’investir et de poursuivre leur croissance. Certains des travailleurs licenciés par Valmet Automotive pourraient éventuellement trouver un emploi dans d’autres entreprises de la région grâce à des formations ou à d’autres mesures de soutien.</w:t>
      </w:r>
    </w:p>
    <w:p w:rsidR="0087281C" w:rsidRPr="00791CCA" w:rsidRDefault="0087281C" w:rsidP="00C26AE4">
      <w:pPr>
        <w:pStyle w:val="ManualNumPar1"/>
        <w:rPr>
          <w:noProof/>
        </w:rPr>
      </w:pPr>
      <w:r>
        <w:rPr>
          <w:noProof/>
        </w:rPr>
        <w:t>19.</w:t>
      </w:r>
      <w:r>
        <w:rPr>
          <w:noProof/>
        </w:rPr>
        <w:tab/>
      </w:r>
      <w:r w:rsidRPr="00791CCA">
        <w:rPr>
          <w:noProof/>
        </w:rPr>
        <w:t>Valmet Automotive a cherché à étendre ses activités à de nouveaux domaines. La société a signé une lettre d’intention avec Patria, la principale entreprise finlandaise dans le domaine des technologies de la défense, et a reçu une petite commande pour l’assemblage de véhicules blindés. Si Valmet Automotive réussit sa transition vers les technologies de défense et de sécurité, elle pourrait être en mesure de réembaucher une part très importante de ses salariés licenciés. Il est donc essentiel, tant pour l’entreprise que pour la région autour d’Uusikaupunki, de maintenir la capacité de travail de ces personnes et de faire en sorte qu’elles restent, avec leurs familles, dans la région. Cela est particulièrement important pour les travailleurs immigrés titulaires d’un permis de séjour lié au travail.</w:t>
      </w:r>
    </w:p>
    <w:p w:rsidR="00DB3FF9" w:rsidRPr="00791CCA" w:rsidRDefault="00DB3FF9" w:rsidP="00DB3FF9">
      <w:pPr>
        <w:pStyle w:val="ManualNumPar1"/>
        <w:rPr>
          <w:noProof/>
          <w:color w:val="000000"/>
        </w:rPr>
      </w:pPr>
      <w:r>
        <w:rPr>
          <w:noProof/>
        </w:rPr>
        <w:t>20.</w:t>
      </w:r>
      <w:r>
        <w:rPr>
          <w:noProof/>
        </w:rPr>
        <w:tab/>
      </w:r>
      <w:r w:rsidRPr="00791CCA">
        <w:rPr>
          <w:noProof/>
          <w:color w:val="000000"/>
        </w:rPr>
        <w:t xml:space="preserve">La ville de Turku, située à environ 70 km d’Uusikaupunki, est un centre d’activité de premier plan pour l’industrie maritime, qui est constamment à la recherche de spécialistes techniques. Parmi les travailleurs licenciés par Valmet Automotive, beaucoup pourraient trouver un nouvel emploi dans l’industrie maritime s’ils </w:t>
      </w:r>
      <w:r w:rsidRPr="00791CCA">
        <w:rPr>
          <w:noProof/>
          <w:color w:val="000000"/>
        </w:rPr>
        <w:lastRenderedPageBreak/>
        <w:t xml:space="preserve">bénéficient de conseils d’experts ou suivent une formation spécialisée complémentaire. L’ensemble de mesures d’aide du FEM est conçu pour aider les travailleurs licenciés à mettre leurs compétences en adéquation avec les besoins en compétences des employeurs des régions d’Uusikaupunki et de Turku.  </w:t>
      </w:r>
    </w:p>
    <w:p w:rsidR="001A62D7" w:rsidRPr="00791CCA" w:rsidRDefault="001A62D7" w:rsidP="001A62D7">
      <w:pPr>
        <w:pStyle w:val="ManualHeading2"/>
        <w:rPr>
          <w:noProof/>
        </w:rPr>
      </w:pPr>
      <w:r w:rsidRPr="00791CCA">
        <w:rPr>
          <w:noProof/>
        </w:rPr>
        <w:t xml:space="preserve">Mise en œuvre du cadre de qualité de l’Union européenne pour l’anticipation des changements et des restructurations </w:t>
      </w:r>
    </w:p>
    <w:p w:rsidR="00297D5D" w:rsidRPr="00791CCA" w:rsidRDefault="001D2C71" w:rsidP="009C50F6">
      <w:pPr>
        <w:pStyle w:val="ManualNumPar1"/>
        <w:rPr>
          <w:noProof/>
        </w:rPr>
      </w:pPr>
      <w:r>
        <w:rPr>
          <w:noProof/>
        </w:rPr>
        <w:t>21.</w:t>
      </w:r>
      <w:r>
        <w:rPr>
          <w:noProof/>
        </w:rPr>
        <w:tab/>
      </w:r>
      <w:r w:rsidRPr="00791CCA">
        <w:rPr>
          <w:noProof/>
        </w:rPr>
        <w:t xml:space="preserve">La Finlande a décrit la manière dont les recommandations formulées dans le cadre de qualité de l’UE pour l’anticipation des changements et des restructurations ont été prises en considération. Le soutien du FEM est conçu pour être cohérent avec le cadre de qualité de l’UE, dans la mesure où il encourage l’intervention précoce, les mesures actives du marché du travail et les ensembles coordonnés de mesures de soutien. </w:t>
      </w:r>
      <w:bookmarkStart w:id="4" w:name="_Hlk232083175"/>
      <w:r w:rsidRPr="00791CCA">
        <w:rPr>
          <w:noProof/>
        </w:rPr>
        <w:t xml:space="preserve">Le comité de suivi du programme, </w:t>
      </w:r>
      <w:bookmarkStart w:id="5" w:name="_Hlk232083089"/>
      <w:r w:rsidRPr="00791CCA">
        <w:rPr>
          <w:noProof/>
        </w:rPr>
        <w:t>composé de représentants des ministères, des régions et des partenaires sociaux,</w:t>
      </w:r>
      <w:bookmarkEnd w:id="5"/>
      <w:r w:rsidRPr="00791CCA">
        <w:rPr>
          <w:noProof/>
        </w:rPr>
        <w:t xml:space="preserve"> supervise la mise en œuvre,</w:t>
      </w:r>
      <w:bookmarkEnd w:id="4"/>
      <w:r w:rsidRPr="00791CCA">
        <w:rPr>
          <w:noProof/>
        </w:rPr>
        <w:t xml:space="preserve"> l’efficacité et l’alignement sur les objectifs stratégiques, en veillant à ce que les fonds de l’UE et les ressources nationales soient utilisés de manière complémentaire et coordonnée.</w:t>
      </w:r>
    </w:p>
    <w:p w:rsidR="00297D5D" w:rsidRPr="00791CCA" w:rsidRDefault="00297D5D" w:rsidP="009C50F6">
      <w:pPr>
        <w:pStyle w:val="ManualNumPar1"/>
        <w:rPr>
          <w:noProof/>
        </w:rPr>
      </w:pPr>
      <w:r>
        <w:rPr>
          <w:noProof/>
        </w:rPr>
        <w:t>22.</w:t>
      </w:r>
      <w:r>
        <w:rPr>
          <w:noProof/>
        </w:rPr>
        <w:tab/>
      </w:r>
      <w:r w:rsidRPr="00791CCA">
        <w:rPr>
          <w:noProof/>
        </w:rPr>
        <w:t>En ce qui concerne les activités entreprises pour aider les travailleurs licenciés, la Finlande a indiqué que les services en matière d’emploi à l’intention des travailleurs licenciés avaient été mis en place le jour où les avis de licenciement avaient été émis, avec, par exemple, l’organisation de plusieurs séances d’information et de séances de conseil individuelles.</w:t>
      </w:r>
      <w:r w:rsidRPr="00791CCA">
        <w:rPr>
          <w:noProof/>
          <w:color w:val="000000"/>
        </w:rPr>
        <w:t xml:space="preserve"> La première formation à la recherche d’emploi pour les anciens travailleurs de Valmet Automotive a débuté le 23 mars 2026. </w:t>
      </w:r>
    </w:p>
    <w:p w:rsidR="001A62D7" w:rsidRPr="00791CCA" w:rsidRDefault="001A62D7" w:rsidP="001A62D7">
      <w:pPr>
        <w:pStyle w:val="ManualHeading3"/>
        <w:rPr>
          <w:noProof/>
        </w:rPr>
      </w:pPr>
      <w:r w:rsidRPr="00791CCA">
        <w:rPr>
          <w:noProof/>
        </w:rPr>
        <w:t>Complémentarité avec les actions financées par des fonds nationaux ou de l’Union</w:t>
      </w:r>
    </w:p>
    <w:p w:rsidR="00070B81" w:rsidRPr="00791CCA" w:rsidRDefault="00903FB0" w:rsidP="009C50F6">
      <w:pPr>
        <w:pStyle w:val="ManualNumPar1"/>
        <w:rPr>
          <w:noProof/>
        </w:rPr>
      </w:pPr>
      <w:r>
        <w:rPr>
          <w:noProof/>
        </w:rPr>
        <w:t>23.</w:t>
      </w:r>
      <w:r>
        <w:rPr>
          <w:noProof/>
        </w:rPr>
        <w:tab/>
      </w:r>
      <w:r w:rsidRPr="00791CCA">
        <w:rPr>
          <w:noProof/>
        </w:rPr>
        <w:t>La Finlande a confirmé que les mesures décrites ci-dessous bénéficiant d’une contribution financière du FEM ne recevront pas d’aide au titre d’autres instruments financiers de l’UE.</w:t>
      </w:r>
    </w:p>
    <w:p w:rsidR="00070B81" w:rsidRPr="00791CCA" w:rsidRDefault="00070B81" w:rsidP="009C50F6">
      <w:pPr>
        <w:pStyle w:val="ManualNumPar1"/>
        <w:rPr>
          <w:noProof/>
        </w:rPr>
      </w:pPr>
      <w:r>
        <w:rPr>
          <w:noProof/>
        </w:rPr>
        <w:t>24.</w:t>
      </w:r>
      <w:r>
        <w:rPr>
          <w:noProof/>
        </w:rPr>
        <w:tab/>
      </w:r>
      <w:r w:rsidRPr="00791CCA">
        <w:rPr>
          <w:noProof/>
        </w:rPr>
        <w:t>L’ensemble coordonné de services personnalisés complète les actions financées par d’autres fonds nationaux ou de l’UE.</w:t>
      </w:r>
    </w:p>
    <w:p w:rsidR="001A62D7" w:rsidRPr="00791CCA" w:rsidRDefault="001A62D7" w:rsidP="001A62D7">
      <w:pPr>
        <w:pStyle w:val="ManualHeading3"/>
        <w:tabs>
          <w:tab w:val="clear" w:pos="850"/>
          <w:tab w:val="left" w:pos="0"/>
        </w:tabs>
        <w:ind w:left="0" w:firstLine="0"/>
        <w:rPr>
          <w:noProof/>
          <w:u w:val="single"/>
        </w:rPr>
      </w:pPr>
      <w:r w:rsidRPr="00791CCA">
        <w:rPr>
          <w:noProof/>
        </w:rPr>
        <w:t>Procédures suivies pour la consultation des bénéficiaires visés ou de leurs représentants, des partenaires sociaux et des collectivités locales et régionales</w:t>
      </w:r>
    </w:p>
    <w:p w:rsidR="00070B81" w:rsidRPr="00791CCA" w:rsidRDefault="00903FB0" w:rsidP="009C50F6">
      <w:pPr>
        <w:pStyle w:val="ManualNumPar1"/>
        <w:rPr>
          <w:noProof/>
        </w:rPr>
      </w:pPr>
      <w:r>
        <w:rPr>
          <w:noProof/>
        </w:rPr>
        <w:t>25.</w:t>
      </w:r>
      <w:r>
        <w:rPr>
          <w:noProof/>
        </w:rPr>
        <w:tab/>
      </w:r>
      <w:r w:rsidRPr="00791CCA">
        <w:rPr>
          <w:noProof/>
        </w:rPr>
        <w:t>La Finlande a indiqué que l’ensemble coordonné de services personnalisés avait été établi en concertation avec les experts et les partenaires sociaux, conformément à l’article 7, paragraphe 4, du règlement (UE) 2021/691. Depuis décembre 2025, le soutien fourni par le FEM fait l’objet de discussions au sein du groupe de pilotage régional sur les changements structurels soudains, auquel participent les parties prenantes régionales et le ministère des affaires économiques et de l’emploi. L’ensemble final de mesures a été approuvé lors d’une réunion avec les services publics de l’emploi et les représentants des salariés et des employeurs le 4 mai 2026.</w:t>
      </w:r>
    </w:p>
    <w:p w:rsidR="001A62D7" w:rsidRPr="00791CCA" w:rsidRDefault="001A62D7" w:rsidP="001A62D7">
      <w:pPr>
        <w:pStyle w:val="ManualHeading2"/>
        <w:rPr>
          <w:noProof/>
        </w:rPr>
      </w:pPr>
      <w:r w:rsidRPr="00791CCA">
        <w:rPr>
          <w:noProof/>
        </w:rPr>
        <w:t>Bénéficiaires visés et mesures proposées</w:t>
      </w:r>
    </w:p>
    <w:p w:rsidR="001A62D7" w:rsidRPr="00791CCA" w:rsidRDefault="001A62D7" w:rsidP="001A62D7">
      <w:pPr>
        <w:pStyle w:val="ManualHeading3"/>
        <w:rPr>
          <w:noProof/>
        </w:rPr>
      </w:pPr>
      <w:r w:rsidRPr="00791CCA">
        <w:rPr>
          <w:noProof/>
        </w:rPr>
        <w:t>Bénéficiaires visés</w:t>
      </w:r>
    </w:p>
    <w:p w:rsidR="001A62D7" w:rsidRPr="00791CCA" w:rsidRDefault="00903FB0" w:rsidP="009C50F6">
      <w:pPr>
        <w:pStyle w:val="ManualNumPar1"/>
        <w:rPr>
          <w:noProof/>
        </w:rPr>
      </w:pPr>
      <w:r>
        <w:rPr>
          <w:noProof/>
        </w:rPr>
        <w:t>26.</w:t>
      </w:r>
      <w:r>
        <w:rPr>
          <w:noProof/>
        </w:rPr>
        <w:tab/>
      </w:r>
      <w:r w:rsidRPr="00791CCA">
        <w:rPr>
          <w:noProof/>
        </w:rPr>
        <w:t>On estime à 233 le nombre de travailleurs licenciés qui devraient participer aux mesures. Conformément à l’article 8, paragraphe 7, point f), du règlement (UE) 2021/691, la ventilation fournie de ces travailleurs par genre, groupe d’âge et niveau d’éducation est la suivante:</w:t>
      </w:r>
    </w:p>
    <w:tbl>
      <w:tblPr>
        <w:tblW w:w="0" w:type="auto"/>
        <w:jc w:val="center"/>
        <w:tblLook w:val="04A0" w:firstRow="1" w:lastRow="0" w:firstColumn="1" w:lastColumn="0" w:noHBand="0" w:noVBand="1"/>
      </w:tblPr>
      <w:tblGrid>
        <w:gridCol w:w="1496"/>
        <w:gridCol w:w="2063"/>
        <w:gridCol w:w="1176"/>
        <w:gridCol w:w="1176"/>
      </w:tblGrid>
      <w:tr w:rsidR="001A62D7" w:rsidRPr="00791CCA" w:rsidTr="001D5990">
        <w:trPr>
          <w:jc w:val="center"/>
        </w:trPr>
        <w:tc>
          <w:tcPr>
            <w:tcW w:w="3559" w:type="dxa"/>
            <w:gridSpan w:val="2"/>
            <w:tcBorders>
              <w:top w:val="single" w:sz="4" w:space="0" w:color="auto"/>
              <w:left w:val="nil"/>
              <w:bottom w:val="single" w:sz="4" w:space="0" w:color="auto"/>
              <w:right w:val="nil"/>
            </w:tcBorders>
            <w:hideMark/>
          </w:tcPr>
          <w:p w:rsidR="001A62D7" w:rsidRPr="00791CCA" w:rsidRDefault="001A62D7" w:rsidP="001D5990">
            <w:pPr>
              <w:spacing w:before="60" w:after="60"/>
              <w:jc w:val="center"/>
              <w:rPr>
                <w:noProof/>
              </w:rPr>
            </w:pPr>
            <w:r w:rsidRPr="00791CCA">
              <w:rPr>
                <w:noProof/>
              </w:rPr>
              <w:t>Catégorie</w:t>
            </w:r>
          </w:p>
        </w:tc>
        <w:tc>
          <w:tcPr>
            <w:tcW w:w="2352" w:type="dxa"/>
            <w:gridSpan w:val="2"/>
            <w:tcBorders>
              <w:top w:val="single" w:sz="4" w:space="0" w:color="auto"/>
              <w:left w:val="nil"/>
              <w:bottom w:val="single" w:sz="4" w:space="0" w:color="auto"/>
              <w:right w:val="nil"/>
            </w:tcBorders>
            <w:hideMark/>
          </w:tcPr>
          <w:p w:rsidR="001A62D7" w:rsidRPr="00791CCA" w:rsidRDefault="001A62D7" w:rsidP="001D5990">
            <w:pPr>
              <w:spacing w:before="60" w:after="60"/>
              <w:jc w:val="center"/>
              <w:rPr>
                <w:noProof/>
              </w:rPr>
            </w:pPr>
            <w:r w:rsidRPr="00791CCA">
              <w:rPr>
                <w:noProof/>
              </w:rPr>
              <w:t xml:space="preserve">Nombre  </w:t>
            </w:r>
            <w:r w:rsidRPr="00791CCA">
              <w:rPr>
                <w:noProof/>
              </w:rPr>
              <w:br/>
              <w:t xml:space="preserve">de bénéficiaires </w:t>
            </w:r>
            <w:r w:rsidRPr="00791CCA">
              <w:rPr>
                <w:noProof/>
              </w:rPr>
              <w:lastRenderedPageBreak/>
              <w:t>escomptés</w:t>
            </w:r>
          </w:p>
        </w:tc>
      </w:tr>
      <w:tr w:rsidR="001A62D7" w:rsidRPr="00791CCA" w:rsidTr="001D5990">
        <w:trPr>
          <w:jc w:val="center"/>
        </w:trPr>
        <w:tc>
          <w:tcPr>
            <w:tcW w:w="1496" w:type="dxa"/>
            <w:tcBorders>
              <w:top w:val="single" w:sz="4" w:space="0" w:color="auto"/>
              <w:left w:val="nil"/>
              <w:right w:val="nil"/>
            </w:tcBorders>
            <w:hideMark/>
          </w:tcPr>
          <w:p w:rsidR="001A62D7" w:rsidRPr="00791CCA" w:rsidRDefault="001A62D7" w:rsidP="001D5990">
            <w:pPr>
              <w:spacing w:before="60" w:after="60"/>
              <w:rPr>
                <w:noProof/>
              </w:rPr>
            </w:pPr>
            <w:r w:rsidRPr="00791CCA">
              <w:rPr>
                <w:noProof/>
              </w:rPr>
              <w:lastRenderedPageBreak/>
              <w:t>Sexe:</w:t>
            </w:r>
          </w:p>
        </w:tc>
        <w:tc>
          <w:tcPr>
            <w:tcW w:w="2063" w:type="dxa"/>
            <w:tcBorders>
              <w:top w:val="single" w:sz="4" w:space="0" w:color="auto"/>
              <w:left w:val="nil"/>
              <w:right w:val="nil"/>
            </w:tcBorders>
            <w:hideMark/>
          </w:tcPr>
          <w:p w:rsidR="001A62D7" w:rsidRPr="00791CCA" w:rsidRDefault="001A62D7" w:rsidP="001D5990">
            <w:pPr>
              <w:spacing w:before="60" w:after="60"/>
              <w:rPr>
                <w:noProof/>
              </w:rPr>
            </w:pPr>
            <w:r w:rsidRPr="00791CCA">
              <w:rPr>
                <w:noProof/>
              </w:rPr>
              <w:t>Hommes:</w:t>
            </w:r>
          </w:p>
        </w:tc>
        <w:tc>
          <w:tcPr>
            <w:tcW w:w="1176" w:type="dxa"/>
            <w:tcBorders>
              <w:top w:val="single" w:sz="4" w:space="0" w:color="auto"/>
              <w:left w:val="nil"/>
              <w:right w:val="nil"/>
            </w:tcBorders>
            <w:hideMark/>
          </w:tcPr>
          <w:p w:rsidR="001A62D7" w:rsidRPr="00791CCA" w:rsidRDefault="007452BA" w:rsidP="001D5990">
            <w:pPr>
              <w:spacing w:before="60" w:after="60"/>
              <w:jc w:val="right"/>
              <w:rPr>
                <w:noProof/>
              </w:rPr>
            </w:pPr>
            <w:r w:rsidRPr="00791CCA">
              <w:rPr>
                <w:noProof/>
              </w:rPr>
              <w:t>164</w:t>
            </w:r>
          </w:p>
        </w:tc>
        <w:tc>
          <w:tcPr>
            <w:tcW w:w="1176" w:type="dxa"/>
            <w:tcBorders>
              <w:top w:val="single" w:sz="4" w:space="0" w:color="auto"/>
              <w:left w:val="nil"/>
              <w:right w:val="nil"/>
            </w:tcBorders>
            <w:hideMark/>
          </w:tcPr>
          <w:p w:rsidR="001A62D7" w:rsidRPr="00791CCA" w:rsidRDefault="001A62D7" w:rsidP="001D5990">
            <w:pPr>
              <w:spacing w:before="60" w:after="60"/>
              <w:jc w:val="right"/>
              <w:rPr>
                <w:noProof/>
              </w:rPr>
            </w:pPr>
            <w:r w:rsidRPr="00791CCA">
              <w:rPr>
                <w:noProof/>
              </w:rPr>
              <w:t>(70,4 %)</w:t>
            </w:r>
          </w:p>
        </w:tc>
      </w:tr>
      <w:tr w:rsidR="001A62D7" w:rsidRPr="00791CCA" w:rsidTr="001D5990">
        <w:trPr>
          <w:jc w:val="center"/>
        </w:trPr>
        <w:tc>
          <w:tcPr>
            <w:tcW w:w="1496" w:type="dxa"/>
            <w:tcBorders>
              <w:top w:val="nil"/>
              <w:left w:val="nil"/>
              <w:right w:val="nil"/>
            </w:tcBorders>
          </w:tcPr>
          <w:p w:rsidR="001A62D7" w:rsidRPr="00791CCA" w:rsidRDefault="001A62D7" w:rsidP="001D5990">
            <w:pPr>
              <w:spacing w:before="60" w:after="60"/>
              <w:rPr>
                <w:noProof/>
              </w:rPr>
            </w:pPr>
          </w:p>
        </w:tc>
        <w:tc>
          <w:tcPr>
            <w:tcW w:w="2063" w:type="dxa"/>
            <w:tcBorders>
              <w:top w:val="nil"/>
              <w:left w:val="nil"/>
              <w:right w:val="nil"/>
            </w:tcBorders>
          </w:tcPr>
          <w:p w:rsidR="001A62D7" w:rsidRPr="00791CCA" w:rsidRDefault="001A62D7" w:rsidP="001D5990">
            <w:pPr>
              <w:spacing w:before="60" w:after="60"/>
              <w:rPr>
                <w:rFonts w:eastAsia="Calibri"/>
                <w:noProof/>
              </w:rPr>
            </w:pPr>
            <w:r w:rsidRPr="00791CCA">
              <w:rPr>
                <w:noProof/>
              </w:rPr>
              <w:t>Femmes:</w:t>
            </w:r>
          </w:p>
        </w:tc>
        <w:tc>
          <w:tcPr>
            <w:tcW w:w="1176" w:type="dxa"/>
          </w:tcPr>
          <w:p w:rsidR="001A62D7" w:rsidRPr="00791CCA" w:rsidRDefault="00903FB0" w:rsidP="001D5990">
            <w:pPr>
              <w:spacing w:before="60" w:after="60"/>
              <w:jc w:val="right"/>
              <w:rPr>
                <w:noProof/>
              </w:rPr>
            </w:pPr>
            <w:r w:rsidRPr="00791CCA">
              <w:rPr>
                <w:noProof/>
              </w:rPr>
              <w:t>69</w:t>
            </w:r>
          </w:p>
        </w:tc>
        <w:tc>
          <w:tcPr>
            <w:tcW w:w="1176" w:type="dxa"/>
          </w:tcPr>
          <w:p w:rsidR="001A62D7" w:rsidRPr="00791CCA" w:rsidRDefault="001A62D7" w:rsidP="001D5990">
            <w:pPr>
              <w:spacing w:before="60" w:after="60"/>
              <w:jc w:val="right"/>
              <w:rPr>
                <w:rFonts w:eastAsia="Calibri"/>
                <w:noProof/>
              </w:rPr>
            </w:pPr>
            <w:r w:rsidRPr="00791CCA">
              <w:rPr>
                <w:noProof/>
              </w:rPr>
              <w:t>(29,6 %)</w:t>
            </w:r>
          </w:p>
        </w:tc>
      </w:tr>
      <w:tr w:rsidR="001A62D7" w:rsidRPr="00791CCA" w:rsidTr="001D5990">
        <w:trPr>
          <w:jc w:val="center"/>
        </w:trPr>
        <w:tc>
          <w:tcPr>
            <w:tcW w:w="1496" w:type="dxa"/>
            <w:tcBorders>
              <w:left w:val="nil"/>
              <w:bottom w:val="single" w:sz="4" w:space="0" w:color="auto"/>
              <w:right w:val="nil"/>
            </w:tcBorders>
          </w:tcPr>
          <w:p w:rsidR="001A62D7" w:rsidRPr="00791CCA" w:rsidRDefault="001A62D7" w:rsidP="001D5990">
            <w:pPr>
              <w:spacing w:before="60" w:after="60"/>
              <w:rPr>
                <w:noProof/>
              </w:rPr>
            </w:pPr>
          </w:p>
        </w:tc>
        <w:tc>
          <w:tcPr>
            <w:tcW w:w="2063" w:type="dxa"/>
            <w:tcBorders>
              <w:left w:val="nil"/>
              <w:bottom w:val="single" w:sz="4" w:space="0" w:color="auto"/>
              <w:right w:val="nil"/>
            </w:tcBorders>
          </w:tcPr>
          <w:p w:rsidR="001A62D7" w:rsidRPr="00791CCA" w:rsidRDefault="001A62D7" w:rsidP="001D5990">
            <w:pPr>
              <w:spacing w:before="60" w:after="60"/>
              <w:rPr>
                <w:noProof/>
              </w:rPr>
            </w:pPr>
            <w:r w:rsidRPr="00791CCA">
              <w:rPr>
                <w:noProof/>
              </w:rPr>
              <w:t>Non binaires</w:t>
            </w:r>
          </w:p>
        </w:tc>
        <w:tc>
          <w:tcPr>
            <w:tcW w:w="1176" w:type="dxa"/>
            <w:tcBorders>
              <w:bottom w:val="single" w:sz="4" w:space="0" w:color="auto"/>
            </w:tcBorders>
            <w:hideMark/>
          </w:tcPr>
          <w:p w:rsidR="001A62D7" w:rsidRPr="00791CCA" w:rsidRDefault="007452BA" w:rsidP="001D5990">
            <w:pPr>
              <w:spacing w:before="60" w:after="60"/>
              <w:jc w:val="right"/>
              <w:rPr>
                <w:noProof/>
              </w:rPr>
            </w:pPr>
            <w:r w:rsidRPr="00791CCA">
              <w:rPr>
                <w:noProof/>
              </w:rPr>
              <w:t>0</w:t>
            </w:r>
          </w:p>
        </w:tc>
        <w:tc>
          <w:tcPr>
            <w:tcW w:w="1176" w:type="dxa"/>
            <w:tcBorders>
              <w:bottom w:val="single" w:sz="4" w:space="0" w:color="auto"/>
            </w:tcBorders>
            <w:hideMark/>
          </w:tcPr>
          <w:p w:rsidR="001A62D7" w:rsidRPr="00791CCA" w:rsidRDefault="001A62D7" w:rsidP="001D5990">
            <w:pPr>
              <w:spacing w:before="60" w:after="60"/>
              <w:jc w:val="right"/>
              <w:rPr>
                <w:noProof/>
              </w:rPr>
            </w:pPr>
            <w:r w:rsidRPr="00791CCA">
              <w:rPr>
                <w:noProof/>
              </w:rPr>
              <w:t>(0,0 %)</w:t>
            </w:r>
          </w:p>
        </w:tc>
      </w:tr>
      <w:tr w:rsidR="001A62D7" w:rsidRPr="00791CCA" w:rsidTr="001D5990">
        <w:trPr>
          <w:jc w:val="center"/>
        </w:trPr>
        <w:tc>
          <w:tcPr>
            <w:tcW w:w="1496" w:type="dxa"/>
            <w:tcBorders>
              <w:top w:val="single" w:sz="4" w:space="0" w:color="auto"/>
              <w:left w:val="nil"/>
              <w:bottom w:val="nil"/>
              <w:right w:val="nil"/>
            </w:tcBorders>
            <w:hideMark/>
          </w:tcPr>
          <w:p w:rsidR="001A62D7" w:rsidRPr="00791CCA" w:rsidRDefault="001A62D7" w:rsidP="001D5990">
            <w:pPr>
              <w:spacing w:before="60" w:after="60"/>
              <w:rPr>
                <w:noProof/>
              </w:rPr>
            </w:pPr>
            <w:r w:rsidRPr="00791CCA">
              <w:rPr>
                <w:noProof/>
              </w:rPr>
              <w:t>Tranche d’âge:</w:t>
            </w:r>
          </w:p>
        </w:tc>
        <w:tc>
          <w:tcPr>
            <w:tcW w:w="2063" w:type="dxa"/>
            <w:tcBorders>
              <w:top w:val="single" w:sz="4" w:space="0" w:color="auto"/>
              <w:left w:val="nil"/>
              <w:bottom w:val="nil"/>
              <w:right w:val="nil"/>
            </w:tcBorders>
            <w:hideMark/>
          </w:tcPr>
          <w:p w:rsidR="001A62D7" w:rsidRPr="00791CCA" w:rsidRDefault="001A62D7" w:rsidP="001D5990">
            <w:pPr>
              <w:spacing w:before="60" w:after="60"/>
              <w:rPr>
                <w:noProof/>
              </w:rPr>
            </w:pPr>
            <w:r w:rsidRPr="00791CCA">
              <w:rPr>
                <w:noProof/>
              </w:rPr>
              <w:t>Moins de 30 ans:</w:t>
            </w:r>
          </w:p>
        </w:tc>
        <w:tc>
          <w:tcPr>
            <w:tcW w:w="1176" w:type="dxa"/>
            <w:tcBorders>
              <w:top w:val="single" w:sz="4" w:space="0" w:color="auto"/>
            </w:tcBorders>
            <w:hideMark/>
          </w:tcPr>
          <w:p w:rsidR="001A62D7" w:rsidRPr="00791CCA" w:rsidRDefault="00903FB0" w:rsidP="001D5990">
            <w:pPr>
              <w:spacing w:before="60" w:after="60"/>
              <w:jc w:val="right"/>
              <w:rPr>
                <w:noProof/>
              </w:rPr>
            </w:pPr>
            <w:r w:rsidRPr="00791CCA">
              <w:rPr>
                <w:noProof/>
              </w:rPr>
              <w:t>19</w:t>
            </w:r>
          </w:p>
        </w:tc>
        <w:tc>
          <w:tcPr>
            <w:tcW w:w="1176" w:type="dxa"/>
            <w:tcBorders>
              <w:top w:val="single" w:sz="4" w:space="0" w:color="auto"/>
            </w:tcBorders>
            <w:hideMark/>
          </w:tcPr>
          <w:p w:rsidR="001A62D7" w:rsidRPr="00791CCA" w:rsidRDefault="001A62D7" w:rsidP="001D5990">
            <w:pPr>
              <w:spacing w:before="60" w:after="60"/>
              <w:jc w:val="right"/>
              <w:rPr>
                <w:noProof/>
              </w:rPr>
            </w:pPr>
            <w:r w:rsidRPr="00791CCA">
              <w:rPr>
                <w:noProof/>
              </w:rPr>
              <w:t>(8,1 %)</w:t>
            </w:r>
          </w:p>
        </w:tc>
      </w:tr>
      <w:tr w:rsidR="001A62D7" w:rsidRPr="00791CCA" w:rsidTr="001D5990">
        <w:trPr>
          <w:jc w:val="center"/>
        </w:trPr>
        <w:tc>
          <w:tcPr>
            <w:tcW w:w="1496" w:type="dxa"/>
          </w:tcPr>
          <w:p w:rsidR="001A62D7" w:rsidRPr="00791CCA" w:rsidRDefault="001A62D7" w:rsidP="001D5990">
            <w:pPr>
              <w:spacing w:before="60" w:after="60"/>
              <w:rPr>
                <w:noProof/>
              </w:rPr>
            </w:pPr>
          </w:p>
        </w:tc>
        <w:tc>
          <w:tcPr>
            <w:tcW w:w="2063" w:type="dxa"/>
            <w:hideMark/>
          </w:tcPr>
          <w:p w:rsidR="001A62D7" w:rsidRPr="00791CCA" w:rsidRDefault="001A62D7" w:rsidP="001D5990">
            <w:pPr>
              <w:spacing w:before="60" w:after="60"/>
              <w:rPr>
                <w:noProof/>
              </w:rPr>
            </w:pPr>
            <w:r w:rsidRPr="00791CCA">
              <w:rPr>
                <w:noProof/>
              </w:rPr>
              <w:t>30-54 ans:</w:t>
            </w:r>
          </w:p>
        </w:tc>
        <w:tc>
          <w:tcPr>
            <w:tcW w:w="1176" w:type="dxa"/>
            <w:hideMark/>
          </w:tcPr>
          <w:p w:rsidR="001A62D7" w:rsidRPr="00791CCA" w:rsidRDefault="00903FB0" w:rsidP="001D5990">
            <w:pPr>
              <w:spacing w:before="60" w:after="60"/>
              <w:jc w:val="right"/>
              <w:rPr>
                <w:noProof/>
              </w:rPr>
            </w:pPr>
            <w:r w:rsidRPr="00791CCA">
              <w:rPr>
                <w:noProof/>
              </w:rPr>
              <w:t>150</w:t>
            </w:r>
          </w:p>
        </w:tc>
        <w:tc>
          <w:tcPr>
            <w:tcW w:w="1176" w:type="dxa"/>
            <w:hideMark/>
          </w:tcPr>
          <w:p w:rsidR="001A62D7" w:rsidRPr="00791CCA" w:rsidRDefault="001A62D7" w:rsidP="001D5990">
            <w:pPr>
              <w:spacing w:before="60" w:after="60"/>
              <w:jc w:val="right"/>
              <w:rPr>
                <w:noProof/>
              </w:rPr>
            </w:pPr>
            <w:r w:rsidRPr="00791CCA">
              <w:rPr>
                <w:noProof/>
              </w:rPr>
              <w:t>(64,4 %)</w:t>
            </w:r>
          </w:p>
        </w:tc>
      </w:tr>
      <w:tr w:rsidR="001A62D7" w:rsidRPr="00791CCA" w:rsidTr="001D5990">
        <w:trPr>
          <w:jc w:val="center"/>
        </w:trPr>
        <w:tc>
          <w:tcPr>
            <w:tcW w:w="1496" w:type="dxa"/>
          </w:tcPr>
          <w:p w:rsidR="001A62D7" w:rsidRPr="00791CCA" w:rsidRDefault="001A62D7" w:rsidP="001D5990">
            <w:pPr>
              <w:spacing w:before="60" w:after="60"/>
              <w:rPr>
                <w:noProof/>
              </w:rPr>
            </w:pPr>
          </w:p>
        </w:tc>
        <w:tc>
          <w:tcPr>
            <w:tcW w:w="2063" w:type="dxa"/>
            <w:hideMark/>
          </w:tcPr>
          <w:p w:rsidR="001A62D7" w:rsidRPr="00791CCA" w:rsidRDefault="001A62D7" w:rsidP="001D5990">
            <w:pPr>
              <w:spacing w:before="60" w:after="60"/>
              <w:jc w:val="left"/>
              <w:rPr>
                <w:noProof/>
              </w:rPr>
            </w:pPr>
            <w:r w:rsidRPr="00791CCA">
              <w:rPr>
                <w:noProof/>
              </w:rPr>
              <w:t>Plus de 54 ans:</w:t>
            </w:r>
          </w:p>
        </w:tc>
        <w:tc>
          <w:tcPr>
            <w:tcW w:w="1176" w:type="dxa"/>
            <w:hideMark/>
          </w:tcPr>
          <w:p w:rsidR="001A62D7" w:rsidRPr="00791CCA" w:rsidRDefault="00903FB0" w:rsidP="001D5990">
            <w:pPr>
              <w:spacing w:before="60" w:after="60"/>
              <w:jc w:val="right"/>
              <w:rPr>
                <w:noProof/>
              </w:rPr>
            </w:pPr>
            <w:r w:rsidRPr="00791CCA">
              <w:rPr>
                <w:noProof/>
              </w:rPr>
              <w:t>64</w:t>
            </w:r>
          </w:p>
        </w:tc>
        <w:tc>
          <w:tcPr>
            <w:tcW w:w="1176" w:type="dxa"/>
            <w:hideMark/>
          </w:tcPr>
          <w:p w:rsidR="001A62D7" w:rsidRPr="00791CCA" w:rsidRDefault="001A62D7" w:rsidP="001D5990">
            <w:pPr>
              <w:spacing w:before="60" w:after="60"/>
              <w:jc w:val="right"/>
              <w:rPr>
                <w:noProof/>
              </w:rPr>
            </w:pPr>
            <w:r w:rsidRPr="00791CCA">
              <w:rPr>
                <w:noProof/>
              </w:rPr>
              <w:t>(27,5 %)</w:t>
            </w:r>
          </w:p>
        </w:tc>
      </w:tr>
      <w:tr w:rsidR="001A62D7" w:rsidRPr="00791CCA" w:rsidTr="001D5990">
        <w:trPr>
          <w:jc w:val="center"/>
        </w:trPr>
        <w:tc>
          <w:tcPr>
            <w:tcW w:w="1496" w:type="dxa"/>
            <w:tcBorders>
              <w:top w:val="single" w:sz="4" w:space="0" w:color="auto"/>
              <w:left w:val="nil"/>
              <w:bottom w:val="nil"/>
              <w:right w:val="nil"/>
            </w:tcBorders>
          </w:tcPr>
          <w:p w:rsidR="001A62D7" w:rsidRPr="00791CCA" w:rsidRDefault="001A62D7" w:rsidP="001D5990">
            <w:pPr>
              <w:spacing w:before="60" w:after="60"/>
              <w:rPr>
                <w:noProof/>
              </w:rPr>
            </w:pPr>
            <w:r w:rsidRPr="00791CCA">
              <w:rPr>
                <w:noProof/>
              </w:rPr>
              <w:t>Niveau d’éducation</w:t>
            </w:r>
          </w:p>
        </w:tc>
        <w:tc>
          <w:tcPr>
            <w:tcW w:w="2063" w:type="dxa"/>
            <w:tcBorders>
              <w:top w:val="single" w:sz="4" w:space="0" w:color="auto"/>
              <w:left w:val="nil"/>
              <w:bottom w:val="nil"/>
              <w:right w:val="nil"/>
            </w:tcBorders>
          </w:tcPr>
          <w:p w:rsidR="001A62D7" w:rsidRPr="00791CCA" w:rsidRDefault="001A62D7" w:rsidP="001D5990">
            <w:pPr>
              <w:spacing w:before="60" w:after="60"/>
              <w:rPr>
                <w:noProof/>
              </w:rPr>
            </w:pPr>
            <w:r w:rsidRPr="00791CCA">
              <w:rPr>
                <w:noProof/>
              </w:rPr>
              <w:t>Premier cycle du secondaire ou inférieur</w:t>
            </w:r>
            <w:r w:rsidRPr="00791CCA">
              <w:rPr>
                <w:rStyle w:val="FootnoteReference"/>
                <w:noProof/>
              </w:rPr>
              <w:footnoteReference w:id="12"/>
            </w:r>
            <w:r w:rsidRPr="00791CCA">
              <w:rPr>
                <w:noProof/>
              </w:rPr>
              <w:t xml:space="preserve"> </w:t>
            </w:r>
          </w:p>
        </w:tc>
        <w:tc>
          <w:tcPr>
            <w:tcW w:w="1176" w:type="dxa"/>
            <w:tcBorders>
              <w:top w:val="single" w:sz="4" w:space="0" w:color="auto"/>
              <w:left w:val="nil"/>
              <w:bottom w:val="nil"/>
              <w:right w:val="nil"/>
            </w:tcBorders>
          </w:tcPr>
          <w:p w:rsidR="001A62D7" w:rsidRPr="00791CCA" w:rsidRDefault="00903FB0" w:rsidP="001D5990">
            <w:pPr>
              <w:spacing w:before="60" w:after="60"/>
              <w:jc w:val="right"/>
              <w:rPr>
                <w:noProof/>
              </w:rPr>
            </w:pPr>
            <w:r w:rsidRPr="00791CCA">
              <w:rPr>
                <w:noProof/>
              </w:rPr>
              <w:t>49</w:t>
            </w:r>
          </w:p>
        </w:tc>
        <w:tc>
          <w:tcPr>
            <w:tcW w:w="1176" w:type="dxa"/>
            <w:tcBorders>
              <w:top w:val="single" w:sz="4" w:space="0" w:color="auto"/>
              <w:left w:val="nil"/>
              <w:bottom w:val="nil"/>
              <w:right w:val="nil"/>
            </w:tcBorders>
          </w:tcPr>
          <w:p w:rsidR="001A62D7" w:rsidRPr="00791CCA" w:rsidRDefault="001A62D7" w:rsidP="001D5990">
            <w:pPr>
              <w:spacing w:before="60" w:after="60"/>
              <w:jc w:val="right"/>
              <w:rPr>
                <w:rFonts w:eastAsia="Calibri"/>
                <w:noProof/>
              </w:rPr>
            </w:pPr>
            <w:r w:rsidRPr="00791CCA">
              <w:rPr>
                <w:noProof/>
              </w:rPr>
              <w:t>(21,0 %)</w:t>
            </w:r>
          </w:p>
        </w:tc>
      </w:tr>
      <w:tr w:rsidR="001A62D7" w:rsidRPr="00791CCA" w:rsidTr="001D5990">
        <w:trPr>
          <w:jc w:val="center"/>
        </w:trPr>
        <w:tc>
          <w:tcPr>
            <w:tcW w:w="1496" w:type="dxa"/>
            <w:tcBorders>
              <w:top w:val="nil"/>
              <w:left w:val="nil"/>
              <w:right w:val="nil"/>
            </w:tcBorders>
          </w:tcPr>
          <w:p w:rsidR="001A62D7" w:rsidRPr="00791CCA" w:rsidRDefault="001A62D7" w:rsidP="001D5990">
            <w:pPr>
              <w:spacing w:before="60" w:after="60"/>
              <w:rPr>
                <w:noProof/>
              </w:rPr>
            </w:pPr>
          </w:p>
        </w:tc>
        <w:tc>
          <w:tcPr>
            <w:tcW w:w="2063" w:type="dxa"/>
            <w:tcBorders>
              <w:top w:val="nil"/>
              <w:left w:val="nil"/>
              <w:right w:val="nil"/>
            </w:tcBorders>
          </w:tcPr>
          <w:p w:rsidR="001A62D7" w:rsidRPr="00791CCA" w:rsidRDefault="001A62D7" w:rsidP="001D5990">
            <w:pPr>
              <w:spacing w:before="60" w:after="60"/>
              <w:rPr>
                <w:noProof/>
              </w:rPr>
            </w:pPr>
            <w:r w:rsidRPr="00791CCA">
              <w:rPr>
                <w:noProof/>
              </w:rPr>
              <w:t>Deuxième cycle du secondaire</w:t>
            </w:r>
            <w:r w:rsidRPr="00791CCA">
              <w:rPr>
                <w:rStyle w:val="FootnoteReference"/>
                <w:noProof/>
              </w:rPr>
              <w:footnoteReference w:id="13"/>
            </w:r>
            <w:r w:rsidRPr="00791CCA">
              <w:rPr>
                <w:noProof/>
              </w:rPr>
              <w:t xml:space="preserve"> ou post-secondaire non supérieur</w:t>
            </w:r>
            <w:r w:rsidRPr="00791CCA">
              <w:rPr>
                <w:rStyle w:val="FootnoteReference"/>
                <w:noProof/>
              </w:rPr>
              <w:footnoteReference w:id="14"/>
            </w:r>
          </w:p>
        </w:tc>
        <w:tc>
          <w:tcPr>
            <w:tcW w:w="1176" w:type="dxa"/>
            <w:tcBorders>
              <w:top w:val="nil"/>
              <w:left w:val="nil"/>
              <w:right w:val="nil"/>
            </w:tcBorders>
          </w:tcPr>
          <w:p w:rsidR="001A62D7" w:rsidRPr="00791CCA" w:rsidRDefault="00903FB0" w:rsidP="001D5990">
            <w:pPr>
              <w:spacing w:before="60" w:after="60"/>
              <w:jc w:val="right"/>
              <w:rPr>
                <w:noProof/>
              </w:rPr>
            </w:pPr>
            <w:r w:rsidRPr="00791CCA">
              <w:rPr>
                <w:noProof/>
              </w:rPr>
              <w:t>173</w:t>
            </w:r>
          </w:p>
        </w:tc>
        <w:tc>
          <w:tcPr>
            <w:tcW w:w="1176" w:type="dxa"/>
            <w:tcBorders>
              <w:top w:val="nil"/>
              <w:left w:val="nil"/>
              <w:right w:val="nil"/>
            </w:tcBorders>
          </w:tcPr>
          <w:p w:rsidR="001A62D7" w:rsidRPr="00791CCA" w:rsidRDefault="001A62D7" w:rsidP="001D5990">
            <w:pPr>
              <w:spacing w:before="60" w:after="60"/>
              <w:jc w:val="right"/>
              <w:rPr>
                <w:rFonts w:eastAsia="Calibri"/>
                <w:noProof/>
              </w:rPr>
            </w:pPr>
            <w:r w:rsidRPr="00791CCA">
              <w:rPr>
                <w:noProof/>
              </w:rPr>
              <w:t>(74,2 %)</w:t>
            </w:r>
          </w:p>
        </w:tc>
      </w:tr>
      <w:tr w:rsidR="001A62D7" w:rsidRPr="00791CCA" w:rsidTr="001D5990">
        <w:trPr>
          <w:jc w:val="center"/>
        </w:trPr>
        <w:tc>
          <w:tcPr>
            <w:tcW w:w="1496" w:type="dxa"/>
            <w:tcBorders>
              <w:top w:val="nil"/>
              <w:left w:val="nil"/>
              <w:bottom w:val="single" w:sz="4" w:space="0" w:color="auto"/>
              <w:right w:val="nil"/>
            </w:tcBorders>
          </w:tcPr>
          <w:p w:rsidR="001A62D7" w:rsidRPr="00791CCA" w:rsidRDefault="001A62D7" w:rsidP="001D5990">
            <w:pPr>
              <w:spacing w:before="60" w:after="60"/>
              <w:rPr>
                <w:noProof/>
              </w:rPr>
            </w:pPr>
          </w:p>
        </w:tc>
        <w:tc>
          <w:tcPr>
            <w:tcW w:w="2063" w:type="dxa"/>
            <w:tcBorders>
              <w:top w:val="nil"/>
              <w:left w:val="nil"/>
              <w:bottom w:val="single" w:sz="4" w:space="0" w:color="auto"/>
              <w:right w:val="nil"/>
            </w:tcBorders>
          </w:tcPr>
          <w:p w:rsidR="001A62D7" w:rsidRPr="00791CCA" w:rsidRDefault="001A62D7" w:rsidP="001D5990">
            <w:pPr>
              <w:spacing w:before="60" w:after="60"/>
              <w:rPr>
                <w:noProof/>
              </w:rPr>
            </w:pPr>
            <w:r w:rsidRPr="00791CCA">
              <w:rPr>
                <w:noProof/>
              </w:rPr>
              <w:t>Enseignement supérieur</w:t>
            </w:r>
            <w:r w:rsidRPr="00791CCA">
              <w:rPr>
                <w:rStyle w:val="FootnoteReference"/>
                <w:noProof/>
              </w:rPr>
              <w:footnoteReference w:id="15"/>
            </w:r>
          </w:p>
        </w:tc>
        <w:tc>
          <w:tcPr>
            <w:tcW w:w="1176" w:type="dxa"/>
            <w:tcBorders>
              <w:top w:val="nil"/>
              <w:left w:val="nil"/>
              <w:bottom w:val="single" w:sz="4" w:space="0" w:color="auto"/>
              <w:right w:val="nil"/>
            </w:tcBorders>
          </w:tcPr>
          <w:p w:rsidR="001A62D7" w:rsidRPr="00791CCA" w:rsidRDefault="00903FB0" w:rsidP="001D5990">
            <w:pPr>
              <w:spacing w:before="60" w:after="60"/>
              <w:jc w:val="right"/>
              <w:rPr>
                <w:noProof/>
              </w:rPr>
            </w:pPr>
            <w:r w:rsidRPr="00791CCA">
              <w:rPr>
                <w:noProof/>
              </w:rPr>
              <w:t>11</w:t>
            </w:r>
          </w:p>
        </w:tc>
        <w:tc>
          <w:tcPr>
            <w:tcW w:w="1176" w:type="dxa"/>
            <w:tcBorders>
              <w:top w:val="nil"/>
              <w:left w:val="nil"/>
              <w:bottom w:val="single" w:sz="4" w:space="0" w:color="auto"/>
              <w:right w:val="nil"/>
            </w:tcBorders>
          </w:tcPr>
          <w:p w:rsidR="001A62D7" w:rsidRPr="00791CCA" w:rsidRDefault="001A62D7" w:rsidP="001D5990">
            <w:pPr>
              <w:spacing w:before="60" w:after="60"/>
              <w:jc w:val="right"/>
              <w:rPr>
                <w:rFonts w:eastAsia="Calibri"/>
                <w:noProof/>
              </w:rPr>
            </w:pPr>
            <w:r w:rsidRPr="00791CCA">
              <w:rPr>
                <w:noProof/>
              </w:rPr>
              <w:t>(4,7 %)</w:t>
            </w:r>
          </w:p>
        </w:tc>
      </w:tr>
    </w:tbl>
    <w:p w:rsidR="001A62D7" w:rsidRPr="00791CCA" w:rsidRDefault="001A62D7" w:rsidP="001A62D7">
      <w:pPr>
        <w:pStyle w:val="ManualHeading3"/>
        <w:rPr>
          <w:noProof/>
          <w:u w:val="single"/>
        </w:rPr>
      </w:pPr>
      <w:r w:rsidRPr="00791CCA">
        <w:rPr>
          <w:noProof/>
        </w:rPr>
        <w:t>Mesures proposées</w:t>
      </w:r>
    </w:p>
    <w:p w:rsidR="001A62D7" w:rsidRPr="00791CCA" w:rsidRDefault="001A62D7" w:rsidP="009C50F6">
      <w:pPr>
        <w:pStyle w:val="ManualNumPar1"/>
        <w:rPr>
          <w:noProof/>
        </w:rPr>
      </w:pPr>
      <w:r>
        <w:rPr>
          <w:noProof/>
        </w:rPr>
        <w:t>27.</w:t>
      </w:r>
      <w:r>
        <w:rPr>
          <w:noProof/>
        </w:rPr>
        <w:tab/>
      </w:r>
      <w:bookmarkStart w:id="6" w:name="_Ref372214239"/>
      <w:r w:rsidRPr="00791CCA">
        <w:rPr>
          <w:noProof/>
        </w:rPr>
        <w:t>Conformément à l’article 8, paragraphe 7, point h), du règlement (UE) 2021/691, l’ensemble coordonné personnalisé à fournir aux travailleurs licenciés comprend les mesures suivantes:</w:t>
      </w:r>
      <w:bookmarkEnd w:id="6"/>
      <w:r w:rsidRPr="00791CCA">
        <w:rPr>
          <w:noProof/>
        </w:rPr>
        <w:t xml:space="preserve"> </w:t>
      </w:r>
    </w:p>
    <w:p w:rsidR="001A62D7" w:rsidRPr="00791CCA" w:rsidRDefault="008A70ED" w:rsidP="00817ABA">
      <w:pPr>
        <w:pStyle w:val="Tiret1"/>
        <w:numPr>
          <w:ilvl w:val="0"/>
          <w:numId w:val="19"/>
        </w:numPr>
        <w:rPr>
          <w:noProof/>
        </w:rPr>
      </w:pPr>
      <w:r w:rsidRPr="00791CCA">
        <w:rPr>
          <w:noProof/>
          <w:u w:val="single"/>
        </w:rPr>
        <w:t>Formation à la recherche d’emploi</w:t>
      </w:r>
      <w:r w:rsidRPr="00791CCA">
        <w:rPr>
          <w:noProof/>
        </w:rPr>
        <w:t xml:space="preserve">: </w:t>
      </w:r>
      <w:r w:rsidRPr="00791CCA">
        <w:rPr>
          <w:rFonts w:ascii="TimesNewRoman" w:hAnsi="TimesNewRoman"/>
          <w:noProof/>
          <w:color w:val="000000"/>
        </w:rPr>
        <w:t>Les participants reçoivent des informations sur les services de soutien disponibles pour les demandeurs d’emploi et bénéficient de formations pour planifier leur réinsertion sur le marché du travail. Ils s’exerceront à postuler à des emplois en établissant ou en mettant à jour leur CV et en rédigeant de vraies candidatures. Des experts spécifiquement dédiés au projet mèneront des entretiens individuels et réaliseront une évaluation de la situation. Une attention particulière sera accordée aux participants qui doivent améliorer leurs compétences numériques afin d’améliorer leurs compétences en matière de recherche d’emploi et/ou leur situation sur le marché du travail.</w:t>
      </w:r>
      <w:r w:rsidRPr="00791CCA">
        <w:rPr>
          <w:noProof/>
        </w:rPr>
        <w:t xml:space="preserve"> </w:t>
      </w:r>
    </w:p>
    <w:p w:rsidR="00A746AB" w:rsidRPr="00791CCA" w:rsidRDefault="008A70ED" w:rsidP="00E83703">
      <w:pPr>
        <w:pStyle w:val="Tiret1"/>
        <w:rPr>
          <w:noProof/>
        </w:rPr>
      </w:pPr>
      <w:r w:rsidRPr="00791CCA">
        <w:rPr>
          <w:noProof/>
          <w:u w:val="single"/>
        </w:rPr>
        <w:t xml:space="preserve">Accompagnement à la recherche d’emploi et </w:t>
      </w:r>
      <w:r w:rsidR="009744E2">
        <w:rPr>
          <w:noProof/>
          <w:u w:val="single"/>
        </w:rPr>
        <w:t xml:space="preserve">à la gestion </w:t>
      </w:r>
      <w:r w:rsidRPr="00791CCA">
        <w:rPr>
          <w:noProof/>
          <w:u w:val="single"/>
        </w:rPr>
        <w:t>de carrière</w:t>
      </w:r>
      <w:r w:rsidRPr="00791CCA">
        <w:rPr>
          <w:noProof/>
        </w:rPr>
        <w:t xml:space="preserve">: L’accompagnement à la recherche d’emploi consiste à fournir des conseils généraux pour la recherche d’un emploi, mais peut également comprendre la mise à disposition d’un coach personnel offrant une assistance personnalisée. Dans le cadre de l’accompagnement </w:t>
      </w:r>
      <w:r w:rsidR="00592810">
        <w:rPr>
          <w:noProof/>
        </w:rPr>
        <w:t xml:space="preserve">à la gestion </w:t>
      </w:r>
      <w:r w:rsidRPr="00791CCA">
        <w:rPr>
          <w:noProof/>
        </w:rPr>
        <w:t xml:space="preserve">de carrière, les participants bénéficient d’un soutien personnalisé destiné à les aider à planifier leur carrière professionnelle, y compris à négocier d’éventuels changements de carrière ou de secteur, et à faire le point sur les compétences/aptitudes requises. Si nécessaire, des programmes de soutien à plus long terme, avec des exercices de </w:t>
      </w:r>
      <w:r w:rsidRPr="00791CCA">
        <w:rPr>
          <w:noProof/>
        </w:rPr>
        <w:lastRenderedPageBreak/>
        <w:t>groupe, peuvent être planifiés. Il peut également s’agir de périodes d’introduction sur un ou plusieurs lieux de travail.</w:t>
      </w:r>
    </w:p>
    <w:p w:rsidR="001B771C" w:rsidRPr="00791CCA" w:rsidRDefault="001B771C" w:rsidP="001B771C">
      <w:pPr>
        <w:pStyle w:val="Tiret1"/>
        <w:rPr>
          <w:noProof/>
        </w:rPr>
      </w:pPr>
      <w:r w:rsidRPr="00791CCA">
        <w:rPr>
          <w:noProof/>
          <w:u w:val="single"/>
        </w:rPr>
        <w:t>Formation professionnelle</w:t>
      </w:r>
      <w:r w:rsidRPr="00791CCA">
        <w:rPr>
          <w:noProof/>
        </w:rPr>
        <w:t xml:space="preserve">: La formation professionnelle a pour objectif l’acquisition de compétences destinées à soutenir la transition des travailleurs licenciés vers un nouveau secteur présentant un taux d’emploi élevé. </w:t>
      </w:r>
    </w:p>
    <w:p w:rsidR="00A746AB" w:rsidRPr="00791CCA" w:rsidRDefault="008A70ED" w:rsidP="001A62D7">
      <w:pPr>
        <w:pStyle w:val="Tiret1"/>
        <w:rPr>
          <w:noProof/>
        </w:rPr>
      </w:pPr>
      <w:r w:rsidRPr="00791CCA">
        <w:rPr>
          <w:noProof/>
          <w:u w:val="single"/>
        </w:rPr>
        <w:t>Cartes de sécurité au travail et de compétences professionnelles:</w:t>
      </w:r>
      <w:r w:rsidRPr="00791CCA">
        <w:rPr>
          <w:noProof/>
        </w:rPr>
        <w:t xml:space="preserve"> Les cartes de sécurité au travail et de compétences professionnelles sont des certificats d’aptitude reconnus dans tout le pays pour diverses compétences liées à la sécurité. Ces cartes peuvent être obtenues après avoir suivi une formation spécifique et réussi un test normalisé. </w:t>
      </w:r>
    </w:p>
    <w:p w:rsidR="00DA7337" w:rsidRPr="00791CCA" w:rsidRDefault="008A70ED" w:rsidP="008A792E">
      <w:pPr>
        <w:pStyle w:val="Tiret1"/>
        <w:rPr>
          <w:noProof/>
        </w:rPr>
      </w:pPr>
      <w:r w:rsidRPr="00791CCA">
        <w:rPr>
          <w:noProof/>
          <w:u w:val="single"/>
        </w:rPr>
        <w:t>Formation linguistique:</w:t>
      </w:r>
      <w:r w:rsidRPr="00791CCA">
        <w:rPr>
          <w:noProof/>
        </w:rPr>
        <w:t xml:space="preserve"> </w:t>
      </w:r>
      <w:r w:rsidRPr="00791CCA">
        <w:rPr>
          <w:rFonts w:ascii="TimesNewRoman" w:hAnsi="TimesNewRoman"/>
          <w:noProof/>
          <w:color w:val="000000"/>
        </w:rPr>
        <w:t xml:space="preserve">Une formation en finnois axée sur le marché du travail sera dispensée aux bénéficiaires dont la maîtrise du finnois est insuffisante pour un retour rapide à l’emploi. </w:t>
      </w:r>
    </w:p>
    <w:p w:rsidR="000E18E5" w:rsidRPr="00791CCA" w:rsidRDefault="008A70ED" w:rsidP="001A62D7">
      <w:pPr>
        <w:pStyle w:val="Tiret1"/>
        <w:rPr>
          <w:noProof/>
        </w:rPr>
      </w:pPr>
      <w:r w:rsidRPr="00791CCA">
        <w:rPr>
          <w:noProof/>
          <w:u w:val="single"/>
        </w:rPr>
        <w:t>Subvention de démarrage</w:t>
      </w:r>
      <w:r w:rsidRPr="00791CCA">
        <w:rPr>
          <w:noProof/>
        </w:rPr>
        <w:t>: Une subvention de démarrage garantit un revenu aux personnes désireuses de créer leur entreprise pendant la période qui est estimée nécessaire pour lancer et mettre en place une activité à plein temps, pour une durée maximale de 12 mois.</w:t>
      </w:r>
    </w:p>
    <w:p w:rsidR="008A70ED" w:rsidRPr="00791CCA" w:rsidRDefault="000E18E5" w:rsidP="001A62D7">
      <w:pPr>
        <w:pStyle w:val="Tiret1"/>
        <w:rPr>
          <w:noProof/>
        </w:rPr>
      </w:pPr>
      <w:r w:rsidRPr="00791CCA">
        <w:rPr>
          <w:noProof/>
          <w:u w:val="single"/>
        </w:rPr>
        <w:t>Mesures d’incitation et allocations</w:t>
      </w:r>
      <w:r w:rsidRPr="00791CCA">
        <w:rPr>
          <w:noProof/>
        </w:rPr>
        <w:t>: Les subventions salariales abaissent le seuil de recrutement en réduisant les coûts salariaux du nouvel employeur.</w:t>
      </w:r>
      <w:r w:rsidRPr="00791CCA">
        <w:rPr>
          <w:rFonts w:ascii="TimesNewRoman" w:hAnsi="TimesNewRoman"/>
          <w:noProof/>
          <w:color w:val="000000"/>
        </w:rPr>
        <w:t xml:space="preserve"> L’objectif est d’aider les demandeurs d’emploi à améliorer leurs compétences professionnelles sur le marché du travail ouvert. Le montant de la subvention salariale est généralement de 50 % des coûts salariaux; la durée de la période subventionnée dépend de la durée de la période de chômage ayant précédé le retour à l’emploi.</w:t>
      </w:r>
    </w:p>
    <w:p w:rsidR="001A62D7" w:rsidRPr="00791CCA" w:rsidRDefault="00477AB6" w:rsidP="001A62D7">
      <w:pPr>
        <w:pStyle w:val="ManualNumPar1"/>
        <w:rPr>
          <w:noProof/>
        </w:rPr>
      </w:pPr>
      <w:r>
        <w:rPr>
          <w:noProof/>
        </w:rPr>
        <w:t>28.</w:t>
      </w:r>
      <w:r>
        <w:rPr>
          <w:noProof/>
        </w:rPr>
        <w:tab/>
      </w:r>
      <w:r w:rsidRPr="00791CCA">
        <w:rPr>
          <w:noProof/>
        </w:rPr>
        <w:t xml:space="preserve">Une palette de formations en TIC et un soutien additionnel, proposés sur la base d’une évaluation initiale du niveau des compétences numériques des bénéficiaires, permettront de diffuser les compétences requises à l’ère numérique et dans une économie efficace dans l’utilisation des ressources, conformément à l’article 7, paragraphe 2, du règlement (UE) 2021/691. </w:t>
      </w:r>
    </w:p>
    <w:p w:rsidR="001A62D7" w:rsidRPr="00791CCA" w:rsidRDefault="001A62D7" w:rsidP="009C50F6">
      <w:pPr>
        <w:pStyle w:val="ManualNumPar1"/>
        <w:rPr>
          <w:noProof/>
        </w:rPr>
      </w:pPr>
      <w:r>
        <w:rPr>
          <w:noProof/>
        </w:rPr>
        <w:t>29.</w:t>
      </w:r>
      <w:r>
        <w:rPr>
          <w:noProof/>
        </w:rPr>
        <w:tab/>
      </w:r>
      <w:bookmarkStart w:id="7" w:name="_Ref372214242"/>
      <w:r w:rsidRPr="00791CCA">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791CCA" w:rsidRDefault="0087281C" w:rsidP="009C50F6">
      <w:pPr>
        <w:pStyle w:val="ManualNumPar1"/>
        <w:rPr>
          <w:noProof/>
        </w:rPr>
      </w:pPr>
      <w:r>
        <w:rPr>
          <w:noProof/>
        </w:rPr>
        <w:t>30.</w:t>
      </w:r>
      <w:r>
        <w:rPr>
          <w:noProof/>
        </w:rPr>
        <w:tab/>
      </w:r>
      <w:r w:rsidRPr="00791CCA">
        <w:rPr>
          <w:noProof/>
        </w:rPr>
        <w:t>La Finlande a fourni les informations requises sur les mesures revêtant un caractère obligatoire pour l’entreprise concernée en vertu du droit national ou de conventions collectives. Conformément à l’article 9, paragraphe 1, du règlement (UE) 2021/691, la Finlande a confirmé que la contribution financière du FEM ne se substituerait pas à ces mesures.</w:t>
      </w:r>
      <w:bookmarkEnd w:id="7"/>
    </w:p>
    <w:p w:rsidR="001A62D7" w:rsidRPr="00791CCA" w:rsidRDefault="001A62D7" w:rsidP="001A62D7">
      <w:pPr>
        <w:pStyle w:val="ManualHeading3"/>
        <w:rPr>
          <w:noProof/>
        </w:rPr>
      </w:pPr>
      <w:r w:rsidRPr="00791CCA">
        <w:rPr>
          <w:noProof/>
        </w:rPr>
        <w:t>Budget estimé</w:t>
      </w:r>
    </w:p>
    <w:p w:rsidR="001A62D7" w:rsidRPr="00791CCA" w:rsidRDefault="001A62D7" w:rsidP="00C8368A">
      <w:pPr>
        <w:pStyle w:val="Text1"/>
        <w:rPr>
          <w:noProof/>
        </w:rPr>
      </w:pPr>
      <w:r w:rsidRPr="00791CCA">
        <w:rPr>
          <w:noProof/>
        </w:rPr>
        <w:t>Le coût total estimé s’élève à 683 850 EUR; il correspond aux dépenses afférentes aux services personnalisés à hauteur de 663 850 EUR et aux dépenses afférentes aux activités de préparation, de gestion, d’information et de publicité, ainsi qu’aux activités de contrôle et d’établissement de rapports, à hauteur de 20 000 EUR.</w:t>
      </w:r>
    </w:p>
    <w:p w:rsidR="001A62D7" w:rsidRPr="00791CCA" w:rsidRDefault="001A62D7" w:rsidP="009C50F6">
      <w:pPr>
        <w:pStyle w:val="ManualNumPar1"/>
        <w:rPr>
          <w:noProof/>
        </w:rPr>
      </w:pPr>
      <w:r>
        <w:rPr>
          <w:noProof/>
        </w:rPr>
        <w:t>31.</w:t>
      </w:r>
      <w:r>
        <w:rPr>
          <w:noProof/>
        </w:rPr>
        <w:tab/>
      </w:r>
      <w:bookmarkStart w:id="8" w:name="_Ref372550770"/>
      <w:r w:rsidRPr="00791CCA">
        <w:rPr>
          <w:noProof/>
        </w:rPr>
        <w:t>La contribution financière totale demandée au FEM s’élève à 410 310 EUR (60 % du coût total).</w:t>
      </w:r>
      <w:bookmarkEnd w:id="8"/>
    </w:p>
    <w:p w:rsidR="00D25904" w:rsidRPr="00791CCA" w:rsidRDefault="00D25904" w:rsidP="009C50F6">
      <w:pPr>
        <w:pStyle w:val="ManualNumPar1"/>
        <w:spacing w:after="600"/>
        <w:ind w:left="851" w:hanging="851"/>
        <w:rPr>
          <w:noProof/>
        </w:rPr>
      </w:pPr>
      <w:r>
        <w:rPr>
          <w:noProof/>
        </w:rPr>
        <w:lastRenderedPageBreak/>
        <w:t>32.</w:t>
      </w:r>
      <w:r>
        <w:rPr>
          <w:noProof/>
        </w:rPr>
        <w:tab/>
      </w:r>
      <w:r w:rsidRPr="00791CCA">
        <w:rPr>
          <w:noProof/>
        </w:rPr>
        <w:t>Conformément à l’article 8, paragraphe 7, point m), du règlement (UE) 2021/691, la Finlande a précisé que le préfinancement et le cofinancement nationaux seraient assurés par la région d’emploi de Turku.</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791CCA" w:rsidTr="001D5990">
        <w:tc>
          <w:tcPr>
            <w:tcW w:w="4644" w:type="dxa"/>
            <w:shd w:val="clear" w:color="auto" w:fill="auto"/>
            <w:vAlign w:val="center"/>
          </w:tcPr>
          <w:p w:rsidR="001A62D7" w:rsidRPr="00791CCA" w:rsidRDefault="001A62D7" w:rsidP="001D5990">
            <w:pPr>
              <w:spacing w:before="60" w:after="60"/>
              <w:jc w:val="center"/>
              <w:rPr>
                <w:rFonts w:eastAsia="Times New Roman"/>
                <w:noProof/>
                <w:sz w:val="22"/>
              </w:rPr>
            </w:pPr>
            <w:bookmarkStart w:id="9" w:name="_Hlk231812320"/>
            <w:r w:rsidRPr="00791CCA">
              <w:rPr>
                <w:noProof/>
                <w:sz w:val="22"/>
              </w:rPr>
              <w:t>Mesures</w:t>
            </w:r>
          </w:p>
        </w:tc>
        <w:tc>
          <w:tcPr>
            <w:tcW w:w="1548" w:type="dxa"/>
            <w:shd w:val="clear" w:color="auto" w:fill="auto"/>
            <w:vAlign w:val="center"/>
          </w:tcPr>
          <w:p w:rsidR="001A62D7" w:rsidRPr="00791CCA" w:rsidRDefault="001A62D7" w:rsidP="001D5990">
            <w:pPr>
              <w:spacing w:before="60" w:after="60"/>
              <w:jc w:val="center"/>
              <w:rPr>
                <w:rFonts w:eastAsia="Times New Roman"/>
                <w:noProof/>
                <w:sz w:val="22"/>
              </w:rPr>
            </w:pPr>
            <w:r w:rsidRPr="00791CCA">
              <w:rPr>
                <w:noProof/>
                <w:sz w:val="22"/>
              </w:rPr>
              <w:t>Estimation du nombre de participants</w:t>
            </w:r>
          </w:p>
        </w:tc>
        <w:tc>
          <w:tcPr>
            <w:tcW w:w="1548" w:type="dxa"/>
            <w:shd w:val="clear" w:color="auto" w:fill="auto"/>
            <w:vAlign w:val="center"/>
          </w:tcPr>
          <w:p w:rsidR="001A62D7" w:rsidRPr="00791CCA" w:rsidRDefault="001A62D7" w:rsidP="001D5990">
            <w:pPr>
              <w:spacing w:before="60" w:after="60"/>
              <w:jc w:val="center"/>
              <w:rPr>
                <w:rFonts w:eastAsia="Times New Roman"/>
                <w:noProof/>
                <w:sz w:val="22"/>
              </w:rPr>
            </w:pPr>
            <w:r w:rsidRPr="00791CCA">
              <w:rPr>
                <w:noProof/>
                <w:sz w:val="22"/>
              </w:rPr>
              <w:t>Estimation du coût par participant</w:t>
            </w:r>
            <w:r w:rsidRPr="00791CCA">
              <w:rPr>
                <w:noProof/>
              </w:rPr>
              <w:t xml:space="preserve"> </w:t>
            </w:r>
            <w:r w:rsidRPr="00791CCA">
              <w:rPr>
                <w:noProof/>
              </w:rPr>
              <w:br/>
            </w:r>
            <w:r w:rsidRPr="00791CCA">
              <w:rPr>
                <w:i/>
                <w:noProof/>
                <w:sz w:val="22"/>
              </w:rPr>
              <w:t>(en EUR)</w:t>
            </w:r>
            <w:r w:rsidRPr="00791CCA">
              <w:rPr>
                <w:rStyle w:val="FootnoteReference"/>
                <w:rFonts w:eastAsia="Times New Roman"/>
                <w:i/>
                <w:noProof/>
                <w:sz w:val="22"/>
              </w:rPr>
              <w:footnoteReference w:id="16"/>
            </w:r>
          </w:p>
        </w:tc>
        <w:tc>
          <w:tcPr>
            <w:tcW w:w="1548" w:type="dxa"/>
            <w:shd w:val="clear" w:color="auto" w:fill="auto"/>
            <w:vAlign w:val="center"/>
          </w:tcPr>
          <w:p w:rsidR="001A62D7" w:rsidRPr="00791CCA" w:rsidRDefault="001A62D7" w:rsidP="001D5990">
            <w:pPr>
              <w:spacing w:before="60" w:after="60"/>
              <w:jc w:val="center"/>
              <w:rPr>
                <w:rFonts w:eastAsia="Times New Roman"/>
                <w:noProof/>
                <w:sz w:val="22"/>
              </w:rPr>
            </w:pPr>
            <w:r w:rsidRPr="00791CCA">
              <w:rPr>
                <w:noProof/>
                <w:sz w:val="22"/>
              </w:rPr>
              <w:t>Estimation du coût total</w:t>
            </w:r>
          </w:p>
          <w:p w:rsidR="001A62D7" w:rsidRPr="00791CCA" w:rsidRDefault="001A62D7" w:rsidP="001D5990">
            <w:pPr>
              <w:spacing w:before="60" w:after="60"/>
              <w:jc w:val="center"/>
              <w:rPr>
                <w:rFonts w:eastAsia="Times New Roman"/>
                <w:noProof/>
                <w:sz w:val="22"/>
              </w:rPr>
            </w:pPr>
            <w:r w:rsidRPr="00791CCA">
              <w:rPr>
                <w:i/>
                <w:noProof/>
                <w:sz w:val="22"/>
              </w:rPr>
              <w:t>(en EUR)</w:t>
            </w:r>
            <w:r w:rsidRPr="00791CCA">
              <w:rPr>
                <w:rStyle w:val="FootnoteReference"/>
                <w:rFonts w:eastAsia="Times New Roman"/>
                <w:i/>
                <w:noProof/>
                <w:sz w:val="22"/>
              </w:rPr>
              <w:footnoteReference w:id="17"/>
            </w:r>
            <w:r w:rsidRPr="00791CCA">
              <w:rPr>
                <w:i/>
                <w:noProof/>
                <w:sz w:val="22"/>
              </w:rPr>
              <w:t xml:space="preserve"> </w:t>
            </w:r>
          </w:p>
        </w:tc>
      </w:tr>
      <w:tr w:rsidR="001A62D7" w:rsidRPr="00791CCA" w:rsidTr="001D5990">
        <w:tc>
          <w:tcPr>
            <w:tcW w:w="9288" w:type="dxa"/>
            <w:gridSpan w:val="4"/>
            <w:shd w:val="clear" w:color="auto" w:fill="auto"/>
          </w:tcPr>
          <w:p w:rsidR="001A62D7" w:rsidRPr="00791CCA" w:rsidRDefault="001A62D7" w:rsidP="001D5990">
            <w:pPr>
              <w:spacing w:before="60" w:after="60"/>
              <w:jc w:val="left"/>
              <w:rPr>
                <w:rFonts w:eastAsia="Times New Roman"/>
                <w:noProof/>
                <w:sz w:val="22"/>
              </w:rPr>
            </w:pPr>
            <w:r w:rsidRPr="00791CCA">
              <w:rPr>
                <w:noProof/>
                <w:sz w:val="22"/>
              </w:rPr>
              <w:t xml:space="preserve">Services personnalisés [mesures au titre de l’article 7, </w:t>
            </w:r>
            <w:r w:rsidRPr="00791CCA">
              <w:rPr>
                <w:noProof/>
              </w:rPr>
              <w:t>paragraphe 2</w:t>
            </w:r>
            <w:r w:rsidRPr="00791CCA">
              <w:rPr>
                <w:noProof/>
                <w:sz w:val="22"/>
              </w:rPr>
              <w:t>, deuxième alinéa, point a), du règlement (UE) 2021/691]</w:t>
            </w:r>
          </w:p>
        </w:tc>
      </w:tr>
      <w:tr w:rsidR="001A62D7" w:rsidRPr="00791CCA"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791CCA" w:rsidRDefault="001B771C" w:rsidP="001D5990">
            <w:pPr>
              <w:spacing w:before="60" w:after="60"/>
              <w:jc w:val="left"/>
              <w:rPr>
                <w:noProof/>
              </w:rPr>
            </w:pPr>
            <w:r w:rsidRPr="00791CCA">
              <w:rPr>
                <w:noProof/>
                <w:color w:val="000000"/>
              </w:rPr>
              <w:t>Formation à la recherche d’emploi</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791CCA" w:rsidRDefault="004C5DC2" w:rsidP="001D5990">
            <w:pPr>
              <w:spacing w:before="60" w:after="60"/>
              <w:jc w:val="center"/>
              <w:rPr>
                <w:noProof/>
              </w:rPr>
            </w:pPr>
            <w:r w:rsidRPr="00791CCA">
              <w:rPr>
                <w:noProof/>
              </w:rPr>
              <w:t>233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791CCA" w:rsidRDefault="004C5DC2" w:rsidP="001D5990">
            <w:pPr>
              <w:spacing w:before="60" w:after="60"/>
              <w:jc w:val="center"/>
              <w:rPr>
                <w:noProof/>
              </w:rPr>
            </w:pPr>
            <w:r w:rsidRPr="00791CCA">
              <w:rPr>
                <w:noProof/>
              </w:rPr>
              <w:t>968</w:t>
            </w:r>
          </w:p>
        </w:tc>
        <w:tc>
          <w:tcPr>
            <w:tcW w:w="1548" w:type="dxa"/>
            <w:tcBorders>
              <w:top w:val="single" w:sz="4" w:space="0" w:color="auto"/>
              <w:left w:val="single" w:sz="4" w:space="0" w:color="auto"/>
              <w:bottom w:val="single" w:sz="4" w:space="0" w:color="auto"/>
              <w:right w:val="nil"/>
            </w:tcBorders>
            <w:vAlign w:val="center"/>
            <w:hideMark/>
          </w:tcPr>
          <w:p w:rsidR="001A62D7" w:rsidRPr="00791CCA" w:rsidRDefault="004C5DC2" w:rsidP="001D5990">
            <w:pPr>
              <w:spacing w:before="60" w:after="60"/>
              <w:jc w:val="center"/>
              <w:rPr>
                <w:noProof/>
              </w:rPr>
            </w:pPr>
            <w:r w:rsidRPr="00791CCA">
              <w:rPr>
                <w:noProof/>
              </w:rPr>
              <w:t>225 600</w:t>
            </w:r>
          </w:p>
        </w:tc>
      </w:tr>
      <w:tr w:rsidR="00737FB8" w:rsidRPr="00791CCA"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791CCA" w:rsidRDefault="001B771C" w:rsidP="00737FB8">
            <w:pPr>
              <w:spacing w:before="60" w:after="60"/>
              <w:jc w:val="left"/>
              <w:rPr>
                <w:noProof/>
              </w:rPr>
            </w:pPr>
            <w:r w:rsidRPr="00791CCA">
              <w:rPr>
                <w:noProof/>
                <w:color w:val="000000"/>
              </w:rPr>
              <w:t xml:space="preserve">Accompagnement à la recherche d’emploi et </w:t>
            </w:r>
            <w:r w:rsidR="00592810">
              <w:rPr>
                <w:noProof/>
                <w:color w:val="000000"/>
              </w:rPr>
              <w:t xml:space="preserve">à la gestion </w:t>
            </w:r>
            <w:r w:rsidRPr="00791CCA">
              <w:rPr>
                <w:noProof/>
                <w:color w:val="000000"/>
              </w:rPr>
              <w:t xml:space="preserve">de carrière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791CCA" w:rsidRDefault="00515D18" w:rsidP="00737FB8">
            <w:pPr>
              <w:spacing w:before="60" w:after="60"/>
              <w:jc w:val="center"/>
              <w:rPr>
                <w:noProof/>
              </w:rPr>
            </w:pPr>
            <w:r w:rsidRPr="00791CCA">
              <w:rPr>
                <w:noProof/>
              </w:rPr>
              <w:t>70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791CCA" w:rsidRDefault="00515D18" w:rsidP="00737FB8">
            <w:pPr>
              <w:spacing w:before="60" w:after="60"/>
              <w:jc w:val="center"/>
              <w:rPr>
                <w:noProof/>
              </w:rPr>
            </w:pPr>
            <w:r w:rsidRPr="00791CCA">
              <w:rPr>
                <w:noProof/>
              </w:rPr>
              <w:t>675</w:t>
            </w:r>
          </w:p>
        </w:tc>
        <w:tc>
          <w:tcPr>
            <w:tcW w:w="1548" w:type="dxa"/>
            <w:tcBorders>
              <w:top w:val="single" w:sz="4" w:space="0" w:color="auto"/>
              <w:left w:val="single" w:sz="4" w:space="0" w:color="auto"/>
              <w:bottom w:val="single" w:sz="4" w:space="0" w:color="auto"/>
              <w:right w:val="nil"/>
            </w:tcBorders>
            <w:vAlign w:val="center"/>
          </w:tcPr>
          <w:p w:rsidR="00737FB8" w:rsidRPr="00791CCA" w:rsidRDefault="00515D18" w:rsidP="00737FB8">
            <w:pPr>
              <w:spacing w:before="60" w:after="60"/>
              <w:jc w:val="center"/>
              <w:rPr>
                <w:noProof/>
              </w:rPr>
            </w:pPr>
            <w:r w:rsidRPr="00791CCA">
              <w:rPr>
                <w:noProof/>
              </w:rPr>
              <w:t>47 250</w:t>
            </w:r>
          </w:p>
        </w:tc>
      </w:tr>
      <w:tr w:rsidR="00737FB8" w:rsidRPr="00791CCA"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791CCA" w:rsidRDefault="001B771C" w:rsidP="00737FB8">
            <w:pPr>
              <w:spacing w:before="60" w:after="60"/>
              <w:jc w:val="left"/>
              <w:rPr>
                <w:noProof/>
              </w:rPr>
            </w:pPr>
            <w:r w:rsidRPr="00791CCA">
              <w:rPr>
                <w:noProof/>
                <w:color w:val="000000"/>
              </w:rPr>
              <w:t xml:space="preserve">Formation professionnelle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791CCA" w:rsidRDefault="00737FB8" w:rsidP="00737FB8">
            <w:pPr>
              <w:spacing w:before="60" w:after="60"/>
              <w:jc w:val="center"/>
              <w:rPr>
                <w:noProof/>
              </w:rPr>
            </w:pPr>
            <w:r w:rsidRPr="00791CCA">
              <w:rPr>
                <w:noProof/>
              </w:rPr>
              <w:t>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791CCA" w:rsidRDefault="00515D18" w:rsidP="00737FB8">
            <w:pPr>
              <w:spacing w:before="60" w:after="60"/>
              <w:jc w:val="center"/>
              <w:rPr>
                <w:noProof/>
              </w:rPr>
            </w:pPr>
            <w:r w:rsidRPr="00791CCA">
              <w:rPr>
                <w:noProof/>
              </w:rPr>
              <w:t>5 000</w:t>
            </w:r>
          </w:p>
        </w:tc>
        <w:tc>
          <w:tcPr>
            <w:tcW w:w="1548" w:type="dxa"/>
            <w:tcBorders>
              <w:top w:val="single" w:sz="4" w:space="0" w:color="auto"/>
              <w:left w:val="single" w:sz="4" w:space="0" w:color="auto"/>
              <w:bottom w:val="single" w:sz="4" w:space="0" w:color="auto"/>
              <w:right w:val="nil"/>
            </w:tcBorders>
            <w:vAlign w:val="center"/>
            <w:hideMark/>
          </w:tcPr>
          <w:p w:rsidR="00737FB8" w:rsidRPr="00791CCA" w:rsidRDefault="00515D18" w:rsidP="00737FB8">
            <w:pPr>
              <w:spacing w:before="60" w:after="60"/>
              <w:jc w:val="center"/>
              <w:rPr>
                <w:noProof/>
              </w:rPr>
            </w:pPr>
            <w:r w:rsidRPr="00791CCA">
              <w:rPr>
                <w:noProof/>
              </w:rPr>
              <w:t>80 000</w:t>
            </w:r>
          </w:p>
        </w:tc>
      </w:tr>
      <w:tr w:rsidR="00737FB8" w:rsidRPr="00791CCA"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791CCA" w:rsidRDefault="001B771C" w:rsidP="00737FB8">
            <w:pPr>
              <w:spacing w:before="60" w:after="60"/>
              <w:jc w:val="left"/>
              <w:rPr>
                <w:noProof/>
                <w:color w:val="000000"/>
              </w:rPr>
            </w:pPr>
            <w:r w:rsidRPr="00791CCA">
              <w:rPr>
                <w:noProof/>
                <w:color w:val="000000"/>
              </w:rPr>
              <w:t xml:space="preserve">Cartes de sécurité au travail et de compétences professionnelles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791CCA" w:rsidRDefault="00515D18" w:rsidP="00737FB8">
            <w:pPr>
              <w:spacing w:before="60" w:after="60"/>
              <w:jc w:val="center"/>
              <w:rPr>
                <w:noProof/>
              </w:rPr>
            </w:pPr>
            <w:r w:rsidRPr="00791CCA">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791CCA" w:rsidRDefault="00515D18" w:rsidP="00737FB8">
            <w:pPr>
              <w:spacing w:before="60" w:after="60"/>
              <w:jc w:val="center"/>
              <w:rPr>
                <w:noProof/>
              </w:rPr>
            </w:pPr>
            <w:r w:rsidRPr="00791CCA">
              <w:rPr>
                <w:noProof/>
              </w:rPr>
              <w:t>150</w:t>
            </w:r>
          </w:p>
        </w:tc>
        <w:tc>
          <w:tcPr>
            <w:tcW w:w="1548" w:type="dxa"/>
            <w:tcBorders>
              <w:top w:val="single" w:sz="4" w:space="0" w:color="auto"/>
              <w:left w:val="single" w:sz="4" w:space="0" w:color="auto"/>
              <w:bottom w:val="single" w:sz="4" w:space="0" w:color="auto"/>
              <w:right w:val="nil"/>
            </w:tcBorders>
            <w:vAlign w:val="center"/>
          </w:tcPr>
          <w:p w:rsidR="00737FB8" w:rsidRPr="00791CCA" w:rsidRDefault="00515D18" w:rsidP="00737FB8">
            <w:pPr>
              <w:spacing w:before="60" w:after="60"/>
              <w:jc w:val="center"/>
              <w:rPr>
                <w:noProof/>
              </w:rPr>
            </w:pPr>
            <w:r w:rsidRPr="00791CCA">
              <w:rPr>
                <w:noProof/>
              </w:rPr>
              <w:t>3 000</w:t>
            </w:r>
          </w:p>
        </w:tc>
      </w:tr>
      <w:tr w:rsidR="00737FB8" w:rsidRPr="00791CCA"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791CCA" w:rsidRDefault="001B771C" w:rsidP="00737FB8">
            <w:pPr>
              <w:spacing w:before="60" w:after="60"/>
              <w:jc w:val="left"/>
              <w:rPr>
                <w:i/>
                <w:iCs/>
                <w:noProof/>
              </w:rPr>
            </w:pPr>
            <w:r w:rsidRPr="00791CCA">
              <w:rPr>
                <w:noProof/>
                <w:color w:val="000000"/>
              </w:rPr>
              <w:t xml:space="preserve">Formation linguistique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791CCA" w:rsidRDefault="00515D18" w:rsidP="00737FB8">
            <w:pPr>
              <w:spacing w:before="60" w:after="60"/>
              <w:jc w:val="center"/>
              <w:rPr>
                <w:noProof/>
              </w:rPr>
            </w:pPr>
            <w:r w:rsidRPr="00791CCA">
              <w:rPr>
                <w:noProof/>
              </w:rPr>
              <w:t>40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791CCA" w:rsidRDefault="00515D18" w:rsidP="00737FB8">
            <w:pPr>
              <w:spacing w:before="60" w:after="60"/>
              <w:jc w:val="center"/>
              <w:rPr>
                <w:noProof/>
              </w:rPr>
            </w:pPr>
            <w:r w:rsidRPr="00791CCA">
              <w:rPr>
                <w:noProof/>
              </w:rPr>
              <w:t>750</w:t>
            </w:r>
          </w:p>
        </w:tc>
        <w:tc>
          <w:tcPr>
            <w:tcW w:w="1548" w:type="dxa"/>
            <w:tcBorders>
              <w:top w:val="single" w:sz="4" w:space="0" w:color="auto"/>
              <w:left w:val="single" w:sz="4" w:space="0" w:color="auto"/>
              <w:bottom w:val="single" w:sz="4" w:space="0" w:color="auto"/>
              <w:right w:val="nil"/>
            </w:tcBorders>
            <w:vAlign w:val="center"/>
            <w:hideMark/>
          </w:tcPr>
          <w:p w:rsidR="00737FB8" w:rsidRPr="00791CCA" w:rsidRDefault="00515D18" w:rsidP="00737FB8">
            <w:pPr>
              <w:spacing w:before="60" w:after="60"/>
              <w:jc w:val="center"/>
              <w:rPr>
                <w:noProof/>
              </w:rPr>
            </w:pPr>
            <w:r w:rsidRPr="00791CCA">
              <w:rPr>
                <w:noProof/>
              </w:rPr>
              <w:t>30 000</w:t>
            </w:r>
          </w:p>
        </w:tc>
      </w:tr>
      <w:tr w:rsidR="00A63547" w:rsidRPr="00791CCA" w:rsidTr="001D5BFF">
        <w:trPr>
          <w:trHeight w:val="802"/>
        </w:trPr>
        <w:tc>
          <w:tcPr>
            <w:tcW w:w="4644" w:type="dxa"/>
            <w:tcBorders>
              <w:top w:val="single" w:sz="4" w:space="0" w:color="auto"/>
              <w:left w:val="nil"/>
              <w:bottom w:val="single" w:sz="4" w:space="0" w:color="auto"/>
              <w:right w:val="single" w:sz="4" w:space="0" w:color="auto"/>
            </w:tcBorders>
            <w:vAlign w:val="center"/>
          </w:tcPr>
          <w:p w:rsidR="00A63547" w:rsidRPr="00791CCA" w:rsidRDefault="00A63547" w:rsidP="00A63547">
            <w:pPr>
              <w:spacing w:before="60" w:after="60"/>
              <w:jc w:val="left"/>
              <w:rPr>
                <w:noProof/>
                <w:color w:val="000000"/>
              </w:rPr>
            </w:pPr>
            <w:r w:rsidRPr="00791CCA">
              <w:rPr>
                <w:noProof/>
                <w:color w:val="000000"/>
              </w:rPr>
              <w:t xml:space="preserve">Subvention de démarrage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791CCA" w:rsidRDefault="00137920" w:rsidP="00A63547">
            <w:pPr>
              <w:spacing w:before="60" w:after="60"/>
              <w:jc w:val="center"/>
              <w:rPr>
                <w:noProof/>
              </w:rPr>
            </w:pPr>
            <w:r w:rsidRPr="00791CCA">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791CCA" w:rsidRDefault="00A63547" w:rsidP="00A63547">
            <w:pPr>
              <w:spacing w:before="60" w:after="60"/>
              <w:jc w:val="center"/>
              <w:rPr>
                <w:noProof/>
              </w:rPr>
            </w:pPr>
            <w:r w:rsidRPr="00791CCA">
              <w:rPr>
                <w:noProof/>
              </w:rPr>
              <w:t>9 600</w:t>
            </w:r>
          </w:p>
        </w:tc>
        <w:tc>
          <w:tcPr>
            <w:tcW w:w="1548" w:type="dxa"/>
            <w:tcBorders>
              <w:top w:val="single" w:sz="4" w:space="0" w:color="auto"/>
              <w:left w:val="single" w:sz="4" w:space="0" w:color="auto"/>
              <w:bottom w:val="single" w:sz="4" w:space="0" w:color="auto"/>
              <w:right w:val="nil"/>
            </w:tcBorders>
            <w:vAlign w:val="center"/>
          </w:tcPr>
          <w:p w:rsidR="00A63547" w:rsidRPr="00791CCA" w:rsidRDefault="00137920" w:rsidP="00A63547">
            <w:pPr>
              <w:spacing w:before="60" w:after="60"/>
              <w:jc w:val="center"/>
              <w:rPr>
                <w:noProof/>
              </w:rPr>
            </w:pPr>
            <w:r w:rsidRPr="00791CCA">
              <w:rPr>
                <w:noProof/>
              </w:rPr>
              <w:t>48 000</w:t>
            </w:r>
          </w:p>
        </w:tc>
      </w:tr>
      <w:tr w:rsidR="00A63547" w:rsidRPr="00791CCA" w:rsidTr="00CD50CD">
        <w:trPr>
          <w:trHeight w:val="802"/>
        </w:trPr>
        <w:tc>
          <w:tcPr>
            <w:tcW w:w="4644" w:type="dxa"/>
            <w:tcBorders>
              <w:top w:val="single" w:sz="4" w:space="0" w:color="auto"/>
              <w:left w:val="nil"/>
              <w:bottom w:val="single" w:sz="4" w:space="0" w:color="auto"/>
              <w:right w:val="single" w:sz="4" w:space="0" w:color="auto"/>
            </w:tcBorders>
            <w:vAlign w:val="center"/>
          </w:tcPr>
          <w:p w:rsidR="00A63547" w:rsidRPr="00791CCA" w:rsidRDefault="00A63547" w:rsidP="00A63547">
            <w:pPr>
              <w:spacing w:before="60" w:after="60"/>
              <w:jc w:val="right"/>
              <w:rPr>
                <w:rFonts w:eastAsia="Times New Roman"/>
                <w:noProof/>
                <w:sz w:val="22"/>
              </w:rPr>
            </w:pPr>
            <w:r w:rsidRPr="00791CCA">
              <w:rPr>
                <w:noProof/>
                <w:sz w:val="22"/>
              </w:rPr>
              <w:t>Sous-total a:</w:t>
            </w:r>
          </w:p>
          <w:p w:rsidR="00A63547" w:rsidRPr="00791CCA" w:rsidRDefault="00A63547" w:rsidP="00A63547">
            <w:pPr>
              <w:spacing w:before="60" w:after="60"/>
              <w:jc w:val="right"/>
              <w:rPr>
                <w:noProof/>
                <w:color w:val="000000"/>
              </w:rPr>
            </w:pPr>
            <w:r w:rsidRPr="00791CCA">
              <w:rPr>
                <w:noProof/>
                <w:sz w:val="22"/>
              </w:rPr>
              <w:t>Pourcentage de l’ensemble coordonné de services personnalisés</w:t>
            </w:r>
          </w:p>
        </w:tc>
        <w:tc>
          <w:tcPr>
            <w:tcW w:w="309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63547" w:rsidRPr="00791CCA" w:rsidRDefault="00A63547" w:rsidP="00A63547">
            <w:pPr>
              <w:spacing w:before="60" w:after="60"/>
              <w:jc w:val="center"/>
              <w:rPr>
                <w:noProof/>
                <w:highlight w:val="yellow"/>
              </w:rPr>
            </w:pPr>
            <w:r w:rsidRPr="00791CCA">
              <w:rPr>
                <w:noProof/>
                <w:sz w:val="22"/>
              </w:rPr>
              <w:t xml:space="preserve">— </w:t>
            </w:r>
          </w:p>
        </w:tc>
        <w:tc>
          <w:tcPr>
            <w:tcW w:w="1548" w:type="dxa"/>
            <w:tcBorders>
              <w:top w:val="single" w:sz="4" w:space="0" w:color="auto"/>
              <w:left w:val="single" w:sz="4" w:space="0" w:color="auto"/>
              <w:bottom w:val="single" w:sz="4" w:space="0" w:color="auto"/>
              <w:right w:val="nil"/>
            </w:tcBorders>
            <w:vAlign w:val="center"/>
          </w:tcPr>
          <w:p w:rsidR="00A63547" w:rsidRPr="00791CCA" w:rsidRDefault="00A63547" w:rsidP="00A63547">
            <w:pPr>
              <w:spacing w:before="60" w:after="60"/>
              <w:jc w:val="center"/>
              <w:rPr>
                <w:noProof/>
              </w:rPr>
            </w:pPr>
            <w:r w:rsidRPr="00791CCA">
              <w:rPr>
                <w:noProof/>
              </w:rPr>
              <w:t>433 850</w:t>
            </w:r>
          </w:p>
          <w:p w:rsidR="00A63547" w:rsidRPr="00791CCA" w:rsidRDefault="00A63547" w:rsidP="00A63547">
            <w:pPr>
              <w:spacing w:before="60" w:after="60"/>
              <w:jc w:val="center"/>
              <w:rPr>
                <w:noProof/>
                <w:highlight w:val="yellow"/>
              </w:rPr>
            </w:pPr>
            <w:r w:rsidRPr="00791CCA">
              <w:rPr>
                <w:noProof/>
              </w:rPr>
              <w:t>(65,35 %)</w:t>
            </w:r>
          </w:p>
        </w:tc>
      </w:tr>
      <w:tr w:rsidR="00A63547" w:rsidRPr="00791CCA" w:rsidTr="001D5BFF">
        <w:trPr>
          <w:trHeight w:val="802"/>
        </w:trPr>
        <w:tc>
          <w:tcPr>
            <w:tcW w:w="9288" w:type="dxa"/>
            <w:gridSpan w:val="4"/>
            <w:tcBorders>
              <w:top w:val="single" w:sz="4" w:space="0" w:color="auto"/>
              <w:left w:val="nil"/>
              <w:bottom w:val="single" w:sz="4" w:space="0" w:color="auto"/>
              <w:right w:val="nil"/>
            </w:tcBorders>
            <w:vAlign w:val="center"/>
          </w:tcPr>
          <w:p w:rsidR="00A63547" w:rsidRPr="00791CCA" w:rsidRDefault="00A63547" w:rsidP="00A63547">
            <w:pPr>
              <w:spacing w:before="60" w:after="60"/>
              <w:jc w:val="left"/>
              <w:rPr>
                <w:noProof/>
                <w:highlight w:val="yellow"/>
              </w:rPr>
            </w:pPr>
            <w:r w:rsidRPr="00791CCA">
              <w:rPr>
                <w:noProof/>
                <w:sz w:val="22"/>
              </w:rPr>
              <w:t xml:space="preserve">Allocations et mesures d’incitation [mesures au titre de l’article 7, </w:t>
            </w:r>
            <w:r w:rsidRPr="00791CCA">
              <w:rPr>
                <w:noProof/>
              </w:rPr>
              <w:t>paragraphe 2</w:t>
            </w:r>
            <w:r w:rsidRPr="00791CCA">
              <w:rPr>
                <w:noProof/>
                <w:sz w:val="22"/>
              </w:rPr>
              <w:t>, deuxième alinéa, point b), du règlement (UE) 2021/691]</w:t>
            </w:r>
          </w:p>
        </w:tc>
      </w:tr>
      <w:tr w:rsidR="00A63547" w:rsidRPr="00791CCA" w:rsidTr="001D5990">
        <w:trPr>
          <w:trHeight w:val="802"/>
        </w:trPr>
        <w:tc>
          <w:tcPr>
            <w:tcW w:w="4644" w:type="dxa"/>
            <w:tcBorders>
              <w:top w:val="single" w:sz="4" w:space="0" w:color="auto"/>
              <w:left w:val="nil"/>
              <w:bottom w:val="single" w:sz="4" w:space="0" w:color="auto"/>
              <w:right w:val="single" w:sz="4" w:space="0" w:color="auto"/>
            </w:tcBorders>
            <w:vAlign w:val="center"/>
          </w:tcPr>
          <w:p w:rsidR="00A63547" w:rsidRPr="00791CCA" w:rsidRDefault="00A63547" w:rsidP="00A63547">
            <w:pPr>
              <w:spacing w:before="60" w:after="60"/>
              <w:jc w:val="left"/>
              <w:rPr>
                <w:noProof/>
                <w:color w:val="000000"/>
              </w:rPr>
            </w:pPr>
            <w:r w:rsidRPr="00791CCA">
              <w:rPr>
                <w:noProof/>
                <w:color w:val="000000"/>
              </w:rPr>
              <w:t xml:space="preserve">Subvention salariale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791CCA" w:rsidRDefault="00A63547" w:rsidP="00A63547">
            <w:pPr>
              <w:spacing w:before="60" w:after="60"/>
              <w:jc w:val="center"/>
              <w:rPr>
                <w:noProof/>
              </w:rPr>
            </w:pPr>
            <w:r w:rsidRPr="00791CCA">
              <w:rPr>
                <w:noProof/>
              </w:rPr>
              <w:t>23</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791CCA" w:rsidRDefault="00A63547" w:rsidP="00A63547">
            <w:pPr>
              <w:spacing w:before="60" w:after="60"/>
              <w:jc w:val="center"/>
              <w:rPr>
                <w:noProof/>
              </w:rPr>
            </w:pPr>
            <w:r w:rsidRPr="00791CCA">
              <w:rPr>
                <w:noProof/>
              </w:rPr>
              <w:t>10 000</w:t>
            </w:r>
          </w:p>
        </w:tc>
        <w:tc>
          <w:tcPr>
            <w:tcW w:w="1548" w:type="dxa"/>
            <w:tcBorders>
              <w:top w:val="single" w:sz="4" w:space="0" w:color="auto"/>
              <w:left w:val="single" w:sz="4" w:space="0" w:color="auto"/>
              <w:bottom w:val="single" w:sz="4" w:space="0" w:color="auto"/>
              <w:right w:val="nil"/>
            </w:tcBorders>
            <w:vAlign w:val="center"/>
          </w:tcPr>
          <w:p w:rsidR="00A63547" w:rsidRPr="00791CCA" w:rsidRDefault="00A63547" w:rsidP="00A63547">
            <w:pPr>
              <w:spacing w:before="60" w:after="60"/>
              <w:jc w:val="center"/>
              <w:rPr>
                <w:noProof/>
              </w:rPr>
            </w:pPr>
            <w:r w:rsidRPr="00791CCA">
              <w:rPr>
                <w:noProof/>
              </w:rPr>
              <w:t>230 000</w:t>
            </w:r>
          </w:p>
        </w:tc>
      </w:tr>
      <w:tr w:rsidR="00A63547" w:rsidRPr="00791CCA" w:rsidTr="001D5990">
        <w:trPr>
          <w:trHeight w:val="398"/>
        </w:trPr>
        <w:tc>
          <w:tcPr>
            <w:tcW w:w="4644" w:type="dxa"/>
            <w:vMerge w:val="restart"/>
            <w:shd w:val="clear" w:color="auto" w:fill="auto"/>
            <w:vAlign w:val="center"/>
          </w:tcPr>
          <w:p w:rsidR="00A63547" w:rsidRPr="00791CCA" w:rsidRDefault="00A63547" w:rsidP="00A63547">
            <w:pPr>
              <w:spacing w:before="60" w:after="60"/>
              <w:jc w:val="right"/>
              <w:rPr>
                <w:rFonts w:eastAsia="Times New Roman"/>
                <w:noProof/>
                <w:sz w:val="22"/>
              </w:rPr>
            </w:pPr>
            <w:r w:rsidRPr="00791CCA">
              <w:rPr>
                <w:noProof/>
                <w:sz w:val="22"/>
              </w:rPr>
              <w:t>Sous-total b:</w:t>
            </w:r>
          </w:p>
          <w:p w:rsidR="00A63547" w:rsidRPr="00791CCA" w:rsidRDefault="00A63547" w:rsidP="00A63547">
            <w:pPr>
              <w:spacing w:before="60" w:after="60"/>
              <w:jc w:val="right"/>
              <w:rPr>
                <w:rFonts w:eastAsia="Times New Roman"/>
                <w:noProof/>
                <w:sz w:val="22"/>
              </w:rPr>
            </w:pPr>
            <w:r w:rsidRPr="00791CCA">
              <w:rPr>
                <w:noProof/>
                <w:sz w:val="22"/>
              </w:rPr>
              <w:t xml:space="preserve">Pourcentage de l’ensemble coordonné de services personnalisés </w:t>
            </w:r>
          </w:p>
        </w:tc>
        <w:tc>
          <w:tcPr>
            <w:tcW w:w="3096" w:type="dxa"/>
            <w:gridSpan w:val="2"/>
            <w:vMerge w:val="restart"/>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tcBorders>
              <w:bottom w:val="nil"/>
            </w:tcBorders>
            <w:shd w:val="clear" w:color="auto" w:fill="auto"/>
            <w:vAlign w:val="center"/>
          </w:tcPr>
          <w:p w:rsidR="00A63547" w:rsidRPr="00791CCA" w:rsidRDefault="00A63547" w:rsidP="00A63547">
            <w:pPr>
              <w:spacing w:before="60" w:after="60"/>
              <w:jc w:val="center"/>
              <w:rPr>
                <w:rFonts w:eastAsia="Times New Roman"/>
                <w:noProof/>
                <w:sz w:val="22"/>
              </w:rPr>
            </w:pPr>
            <w:r w:rsidRPr="00791CCA">
              <w:rPr>
                <w:noProof/>
              </w:rPr>
              <w:t>230 000</w:t>
            </w:r>
          </w:p>
        </w:tc>
      </w:tr>
      <w:tr w:rsidR="00A63547" w:rsidRPr="00791CCA" w:rsidTr="002F254E">
        <w:trPr>
          <w:trHeight w:val="780"/>
        </w:trPr>
        <w:tc>
          <w:tcPr>
            <w:tcW w:w="4644" w:type="dxa"/>
            <w:vMerge/>
            <w:shd w:val="clear" w:color="auto" w:fill="auto"/>
            <w:vAlign w:val="center"/>
          </w:tcPr>
          <w:p w:rsidR="00A63547" w:rsidRPr="00791CCA" w:rsidRDefault="00A63547" w:rsidP="00A63547">
            <w:pPr>
              <w:spacing w:before="60" w:after="60"/>
              <w:jc w:val="right"/>
              <w:rPr>
                <w:rFonts w:eastAsia="Times New Roman"/>
                <w:noProof/>
                <w:sz w:val="22"/>
              </w:rPr>
            </w:pPr>
          </w:p>
        </w:tc>
        <w:tc>
          <w:tcPr>
            <w:tcW w:w="3096" w:type="dxa"/>
            <w:gridSpan w:val="2"/>
            <w:vMerge/>
            <w:shd w:val="clear" w:color="auto" w:fill="D9D9D9"/>
            <w:vAlign w:val="center"/>
          </w:tcPr>
          <w:p w:rsidR="00A63547" w:rsidRPr="00791CCA" w:rsidRDefault="00A63547" w:rsidP="00A63547">
            <w:pPr>
              <w:spacing w:before="60" w:after="60"/>
              <w:jc w:val="center"/>
              <w:rPr>
                <w:rFonts w:eastAsia="Times New Roman"/>
                <w:noProof/>
                <w:sz w:val="22"/>
              </w:rPr>
            </w:pPr>
          </w:p>
        </w:tc>
        <w:tc>
          <w:tcPr>
            <w:tcW w:w="1548" w:type="dxa"/>
            <w:tcBorders>
              <w:top w:val="nil"/>
            </w:tcBorders>
            <w:shd w:val="clear" w:color="auto" w:fill="auto"/>
            <w:vAlign w:val="center"/>
          </w:tcPr>
          <w:p w:rsidR="00A63547" w:rsidRPr="00791CCA" w:rsidRDefault="00A63547" w:rsidP="00A63547">
            <w:pPr>
              <w:spacing w:before="60" w:after="60"/>
              <w:jc w:val="center"/>
              <w:rPr>
                <w:rFonts w:eastAsia="Times New Roman"/>
                <w:noProof/>
                <w:sz w:val="22"/>
              </w:rPr>
            </w:pPr>
            <w:r w:rsidRPr="00791CCA">
              <w:rPr>
                <w:noProof/>
                <w:sz w:val="22"/>
              </w:rPr>
              <w:t>(34</w:t>
            </w:r>
            <w:r w:rsidRPr="00791CCA">
              <w:rPr>
                <w:noProof/>
              </w:rPr>
              <w:t>,65 </w:t>
            </w:r>
            <w:r w:rsidRPr="00791CCA">
              <w:rPr>
                <w:noProof/>
                <w:sz w:val="22"/>
              </w:rPr>
              <w:t>%)</w:t>
            </w:r>
          </w:p>
        </w:tc>
      </w:tr>
      <w:tr w:rsidR="00A63547" w:rsidRPr="00791CCA" w:rsidTr="001D5990">
        <w:tc>
          <w:tcPr>
            <w:tcW w:w="9288" w:type="dxa"/>
            <w:gridSpan w:val="4"/>
            <w:shd w:val="clear" w:color="auto" w:fill="auto"/>
            <w:vAlign w:val="center"/>
          </w:tcPr>
          <w:p w:rsidR="00A63547" w:rsidRPr="00791CCA" w:rsidRDefault="00A63547" w:rsidP="00A63547">
            <w:pPr>
              <w:spacing w:before="60" w:after="60"/>
              <w:jc w:val="left"/>
              <w:rPr>
                <w:rFonts w:eastAsia="Times New Roman"/>
                <w:noProof/>
                <w:sz w:val="22"/>
              </w:rPr>
            </w:pPr>
            <w:r w:rsidRPr="00791CCA">
              <w:rPr>
                <w:noProof/>
                <w:sz w:val="22"/>
              </w:rPr>
              <w:t>Activités relevant de l’article 7, paragraphe 5, du règlement (UE) 2021/691</w:t>
            </w:r>
          </w:p>
        </w:tc>
      </w:tr>
      <w:tr w:rsidR="00A63547" w:rsidRPr="00791CCA" w:rsidTr="001D5990">
        <w:tc>
          <w:tcPr>
            <w:tcW w:w="4644" w:type="dxa"/>
            <w:shd w:val="clear" w:color="auto" w:fill="auto"/>
          </w:tcPr>
          <w:p w:rsidR="00A63547" w:rsidRPr="00791CCA" w:rsidRDefault="00A63547" w:rsidP="00A63547">
            <w:pPr>
              <w:spacing w:before="60" w:after="60"/>
              <w:ind w:left="284"/>
              <w:jc w:val="left"/>
              <w:rPr>
                <w:rFonts w:eastAsia="Times New Roman"/>
                <w:noProof/>
                <w:sz w:val="22"/>
              </w:rPr>
            </w:pPr>
            <w:r w:rsidRPr="00791CCA">
              <w:rPr>
                <w:noProof/>
                <w:sz w:val="22"/>
              </w:rPr>
              <w:t>1. Activités de préparation</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shd w:val="clear" w:color="auto" w:fill="auto"/>
          </w:tcPr>
          <w:p w:rsidR="00A63547" w:rsidRPr="00791CCA" w:rsidRDefault="00A63547" w:rsidP="00A63547">
            <w:pPr>
              <w:spacing w:before="60" w:after="60"/>
              <w:jc w:val="center"/>
              <w:rPr>
                <w:rFonts w:eastAsia="Times New Roman"/>
                <w:noProof/>
                <w:sz w:val="22"/>
              </w:rPr>
            </w:pPr>
            <w:r w:rsidRPr="00791CCA">
              <w:rPr>
                <w:noProof/>
              </w:rPr>
              <w:t>2 000</w:t>
            </w:r>
          </w:p>
        </w:tc>
      </w:tr>
      <w:tr w:rsidR="00A63547" w:rsidRPr="00791CCA" w:rsidTr="001D5990">
        <w:tc>
          <w:tcPr>
            <w:tcW w:w="4644" w:type="dxa"/>
            <w:shd w:val="clear" w:color="auto" w:fill="auto"/>
          </w:tcPr>
          <w:p w:rsidR="00A63547" w:rsidRPr="00791CCA" w:rsidRDefault="00A63547" w:rsidP="00A63547">
            <w:pPr>
              <w:spacing w:before="60" w:after="60"/>
              <w:ind w:left="284"/>
              <w:jc w:val="left"/>
              <w:rPr>
                <w:rFonts w:eastAsia="Times New Roman"/>
                <w:noProof/>
                <w:sz w:val="22"/>
              </w:rPr>
            </w:pPr>
            <w:r w:rsidRPr="00791CCA">
              <w:rPr>
                <w:noProof/>
                <w:sz w:val="22"/>
              </w:rPr>
              <w:lastRenderedPageBreak/>
              <w:t>2. Gestion</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shd w:val="clear" w:color="auto" w:fill="auto"/>
          </w:tcPr>
          <w:p w:rsidR="00A63547" w:rsidRPr="00791CCA" w:rsidRDefault="00A63547" w:rsidP="00A63547">
            <w:pPr>
              <w:spacing w:before="60" w:after="60"/>
              <w:jc w:val="center"/>
              <w:rPr>
                <w:rFonts w:eastAsia="Times New Roman"/>
                <w:noProof/>
                <w:sz w:val="22"/>
              </w:rPr>
            </w:pPr>
            <w:r w:rsidRPr="00791CCA">
              <w:rPr>
                <w:noProof/>
              </w:rPr>
              <w:t>12 000</w:t>
            </w:r>
          </w:p>
        </w:tc>
      </w:tr>
      <w:tr w:rsidR="00A63547" w:rsidRPr="00791CCA" w:rsidTr="001D5990">
        <w:tc>
          <w:tcPr>
            <w:tcW w:w="4644" w:type="dxa"/>
            <w:shd w:val="clear" w:color="auto" w:fill="auto"/>
          </w:tcPr>
          <w:p w:rsidR="00A63547" w:rsidRPr="00791CCA" w:rsidRDefault="00A63547" w:rsidP="00A63547">
            <w:pPr>
              <w:spacing w:before="60" w:after="60"/>
              <w:ind w:left="284"/>
              <w:jc w:val="left"/>
              <w:rPr>
                <w:rFonts w:eastAsia="Times New Roman"/>
                <w:noProof/>
                <w:sz w:val="22"/>
              </w:rPr>
            </w:pPr>
            <w:r w:rsidRPr="00791CCA">
              <w:rPr>
                <w:noProof/>
                <w:sz w:val="22"/>
              </w:rPr>
              <w:t>3. Information et publicité</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shd w:val="clear" w:color="auto" w:fill="auto"/>
          </w:tcPr>
          <w:p w:rsidR="00A63547" w:rsidRPr="00791CCA" w:rsidRDefault="00A63547" w:rsidP="00A63547">
            <w:pPr>
              <w:spacing w:before="60" w:after="60"/>
              <w:jc w:val="center"/>
              <w:rPr>
                <w:rFonts w:eastAsia="Times New Roman"/>
                <w:noProof/>
                <w:sz w:val="22"/>
              </w:rPr>
            </w:pPr>
            <w:r w:rsidRPr="00791CCA">
              <w:rPr>
                <w:noProof/>
              </w:rPr>
              <w:t>5 000</w:t>
            </w:r>
          </w:p>
        </w:tc>
      </w:tr>
      <w:tr w:rsidR="00A63547" w:rsidRPr="00791CCA" w:rsidTr="001D5990">
        <w:tc>
          <w:tcPr>
            <w:tcW w:w="4644" w:type="dxa"/>
            <w:shd w:val="clear" w:color="auto" w:fill="auto"/>
          </w:tcPr>
          <w:p w:rsidR="00A63547" w:rsidRPr="00791CCA" w:rsidRDefault="00A63547" w:rsidP="00A63547">
            <w:pPr>
              <w:spacing w:before="60" w:after="60"/>
              <w:ind w:left="284"/>
              <w:jc w:val="left"/>
              <w:rPr>
                <w:rFonts w:eastAsia="Times New Roman"/>
                <w:noProof/>
                <w:sz w:val="22"/>
              </w:rPr>
            </w:pPr>
            <w:r w:rsidRPr="00791CCA">
              <w:rPr>
                <w:noProof/>
                <w:sz w:val="22"/>
              </w:rPr>
              <w:t>4. Contrôle et rapport</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tcBorders>
              <w:bottom w:val="single" w:sz="4" w:space="0" w:color="auto"/>
            </w:tcBorders>
            <w:shd w:val="clear" w:color="auto" w:fill="auto"/>
          </w:tcPr>
          <w:p w:rsidR="00A63547" w:rsidRPr="00791CCA" w:rsidRDefault="00A63547" w:rsidP="00A63547">
            <w:pPr>
              <w:spacing w:before="60" w:after="60"/>
              <w:jc w:val="center"/>
              <w:rPr>
                <w:rFonts w:eastAsia="Times New Roman"/>
                <w:noProof/>
                <w:sz w:val="22"/>
              </w:rPr>
            </w:pPr>
            <w:r w:rsidRPr="00791CCA">
              <w:rPr>
                <w:noProof/>
              </w:rPr>
              <w:t>1 000</w:t>
            </w:r>
          </w:p>
        </w:tc>
      </w:tr>
      <w:tr w:rsidR="00A63547" w:rsidRPr="00791CCA" w:rsidTr="001D5990">
        <w:trPr>
          <w:trHeight w:val="203"/>
        </w:trPr>
        <w:tc>
          <w:tcPr>
            <w:tcW w:w="4644" w:type="dxa"/>
            <w:vMerge w:val="restart"/>
            <w:shd w:val="clear" w:color="auto" w:fill="auto"/>
            <w:vAlign w:val="center"/>
          </w:tcPr>
          <w:p w:rsidR="00A63547" w:rsidRPr="00791CCA" w:rsidRDefault="00A63547" w:rsidP="00A63547">
            <w:pPr>
              <w:spacing w:before="60" w:after="60"/>
              <w:jc w:val="right"/>
              <w:rPr>
                <w:rFonts w:eastAsia="Times New Roman"/>
                <w:noProof/>
                <w:sz w:val="22"/>
              </w:rPr>
            </w:pPr>
            <w:r w:rsidRPr="00791CCA">
              <w:rPr>
                <w:noProof/>
                <w:sz w:val="22"/>
              </w:rPr>
              <w:t>Sous-total c:</w:t>
            </w:r>
          </w:p>
          <w:p w:rsidR="00A63547" w:rsidRPr="00791CCA" w:rsidRDefault="00A63547" w:rsidP="00A63547">
            <w:pPr>
              <w:spacing w:before="60" w:after="60"/>
              <w:jc w:val="right"/>
              <w:rPr>
                <w:rFonts w:eastAsia="Times New Roman"/>
                <w:noProof/>
                <w:sz w:val="22"/>
              </w:rPr>
            </w:pPr>
            <w:r w:rsidRPr="00791CCA">
              <w:rPr>
                <w:noProof/>
                <w:sz w:val="22"/>
              </w:rPr>
              <w:t>Pourcentage du coût total:</w:t>
            </w:r>
          </w:p>
        </w:tc>
        <w:tc>
          <w:tcPr>
            <w:tcW w:w="3096" w:type="dxa"/>
            <w:gridSpan w:val="2"/>
            <w:vMerge w:val="restart"/>
            <w:shd w:val="clear" w:color="auto" w:fill="D9D9D9"/>
            <w:vAlign w:val="center"/>
          </w:tcPr>
          <w:p w:rsidR="00A63547" w:rsidRPr="00791CCA" w:rsidRDefault="00A63547" w:rsidP="00A63547">
            <w:pPr>
              <w:spacing w:before="0" w:after="0"/>
              <w:jc w:val="center"/>
              <w:rPr>
                <w:rFonts w:eastAsia="Times New Roman"/>
                <w:noProof/>
                <w:sz w:val="22"/>
              </w:rPr>
            </w:pPr>
            <w:r w:rsidRPr="00791CCA">
              <w:rPr>
                <w:noProof/>
                <w:sz w:val="22"/>
              </w:rPr>
              <w:t>—</w:t>
            </w:r>
          </w:p>
        </w:tc>
        <w:tc>
          <w:tcPr>
            <w:tcW w:w="1548" w:type="dxa"/>
            <w:tcBorders>
              <w:bottom w:val="nil"/>
            </w:tcBorders>
            <w:shd w:val="clear" w:color="auto" w:fill="auto"/>
            <w:vAlign w:val="center"/>
          </w:tcPr>
          <w:p w:rsidR="00A63547" w:rsidRPr="00791CCA" w:rsidRDefault="00A63547" w:rsidP="00A63547">
            <w:pPr>
              <w:spacing w:before="60" w:after="60"/>
              <w:jc w:val="center"/>
              <w:rPr>
                <w:rFonts w:eastAsia="Times New Roman"/>
                <w:noProof/>
                <w:sz w:val="22"/>
              </w:rPr>
            </w:pPr>
            <w:r w:rsidRPr="00791CCA">
              <w:rPr>
                <w:noProof/>
              </w:rPr>
              <w:t>20 000</w:t>
            </w:r>
          </w:p>
        </w:tc>
      </w:tr>
      <w:tr w:rsidR="00A63547" w:rsidRPr="00791CCA" w:rsidTr="001D5990">
        <w:trPr>
          <w:trHeight w:val="202"/>
        </w:trPr>
        <w:tc>
          <w:tcPr>
            <w:tcW w:w="4644" w:type="dxa"/>
            <w:vMerge/>
            <w:shd w:val="clear" w:color="auto" w:fill="auto"/>
          </w:tcPr>
          <w:p w:rsidR="00A63547" w:rsidRPr="00791CCA" w:rsidRDefault="00A63547" w:rsidP="00A63547">
            <w:pPr>
              <w:spacing w:before="0" w:after="0"/>
              <w:jc w:val="right"/>
              <w:rPr>
                <w:rFonts w:eastAsia="Times New Roman"/>
                <w:noProof/>
                <w:sz w:val="22"/>
              </w:rPr>
            </w:pPr>
          </w:p>
        </w:tc>
        <w:tc>
          <w:tcPr>
            <w:tcW w:w="3096" w:type="dxa"/>
            <w:gridSpan w:val="2"/>
            <w:vMerge/>
            <w:shd w:val="clear" w:color="auto" w:fill="D9D9D9"/>
            <w:vAlign w:val="center"/>
          </w:tcPr>
          <w:p w:rsidR="00A63547" w:rsidRPr="00791CCA" w:rsidRDefault="00A63547" w:rsidP="00A63547">
            <w:pPr>
              <w:spacing w:before="0" w:after="0"/>
              <w:jc w:val="center"/>
              <w:rPr>
                <w:rFonts w:eastAsia="Times New Roman"/>
                <w:noProof/>
                <w:sz w:val="22"/>
              </w:rPr>
            </w:pPr>
          </w:p>
        </w:tc>
        <w:tc>
          <w:tcPr>
            <w:tcW w:w="1548" w:type="dxa"/>
            <w:tcBorders>
              <w:top w:val="nil"/>
            </w:tcBorders>
            <w:shd w:val="clear" w:color="auto" w:fill="auto"/>
            <w:vAlign w:val="center"/>
          </w:tcPr>
          <w:p w:rsidR="00A63547" w:rsidRPr="00791CCA" w:rsidRDefault="00A63547" w:rsidP="00A63547">
            <w:pPr>
              <w:spacing w:before="60" w:after="60"/>
              <w:jc w:val="center"/>
              <w:rPr>
                <w:rFonts w:eastAsia="Times New Roman"/>
                <w:noProof/>
                <w:sz w:val="22"/>
              </w:rPr>
            </w:pPr>
            <w:r w:rsidRPr="00791CCA">
              <w:rPr>
                <w:noProof/>
                <w:sz w:val="22"/>
              </w:rPr>
              <w:t>(2</w:t>
            </w:r>
            <w:r w:rsidRPr="00791CCA">
              <w:rPr>
                <w:noProof/>
              </w:rPr>
              <w:t>,92 </w:t>
            </w:r>
            <w:r w:rsidRPr="00791CCA">
              <w:rPr>
                <w:noProof/>
                <w:sz w:val="22"/>
              </w:rPr>
              <w:t>%)</w:t>
            </w:r>
          </w:p>
        </w:tc>
      </w:tr>
      <w:tr w:rsidR="00A63547" w:rsidRPr="00791CCA" w:rsidTr="001D5990">
        <w:tc>
          <w:tcPr>
            <w:tcW w:w="4644" w:type="dxa"/>
            <w:shd w:val="clear" w:color="auto" w:fill="auto"/>
          </w:tcPr>
          <w:p w:rsidR="00A63547" w:rsidRPr="00791CCA" w:rsidRDefault="00A63547" w:rsidP="00A63547">
            <w:pPr>
              <w:spacing w:before="60" w:after="60"/>
              <w:jc w:val="left"/>
              <w:rPr>
                <w:rFonts w:eastAsia="Times New Roman"/>
                <w:noProof/>
                <w:sz w:val="22"/>
              </w:rPr>
            </w:pPr>
            <w:r w:rsidRPr="00791CCA">
              <w:rPr>
                <w:noProof/>
                <w:sz w:val="22"/>
              </w:rPr>
              <w:t>Coût total (a + b + c):</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shd w:val="clear" w:color="auto" w:fill="auto"/>
          </w:tcPr>
          <w:p w:rsidR="00A63547" w:rsidRPr="00791CCA" w:rsidRDefault="00A63547" w:rsidP="00A63547">
            <w:pPr>
              <w:spacing w:before="60" w:after="60"/>
              <w:jc w:val="center"/>
              <w:rPr>
                <w:noProof/>
                <w:sz w:val="22"/>
              </w:rPr>
            </w:pPr>
            <w:r w:rsidRPr="00791CCA">
              <w:rPr>
                <w:rFonts w:ascii="TimesNewRoman" w:hAnsi="TimesNewRoman"/>
                <w:noProof/>
                <w:color w:val="000000"/>
              </w:rPr>
              <w:t xml:space="preserve"> 683 850</w:t>
            </w:r>
          </w:p>
        </w:tc>
      </w:tr>
      <w:tr w:rsidR="00A63547" w:rsidRPr="00791CCA" w:rsidTr="001D5990">
        <w:tc>
          <w:tcPr>
            <w:tcW w:w="4644" w:type="dxa"/>
            <w:shd w:val="clear" w:color="auto" w:fill="auto"/>
          </w:tcPr>
          <w:p w:rsidR="00A63547" w:rsidRPr="00791CCA" w:rsidRDefault="00A63547" w:rsidP="00A63547">
            <w:pPr>
              <w:spacing w:before="60" w:after="60"/>
              <w:jc w:val="left"/>
              <w:rPr>
                <w:rFonts w:eastAsia="Times New Roman"/>
                <w:noProof/>
                <w:sz w:val="22"/>
              </w:rPr>
            </w:pPr>
            <w:r w:rsidRPr="00791CCA">
              <w:rPr>
                <w:noProof/>
                <w:sz w:val="22"/>
              </w:rPr>
              <w:t>Contribution du FEM (</w:t>
            </w:r>
            <w:r w:rsidRPr="00791CCA">
              <w:rPr>
                <w:noProof/>
              </w:rPr>
              <w:t>60</w:t>
            </w:r>
            <w:r w:rsidRPr="00791CCA">
              <w:rPr>
                <w:noProof/>
                <w:sz w:val="22"/>
              </w:rPr>
              <w:t> % du coût total</w:t>
            </w:r>
            <w:r w:rsidRPr="00791CCA">
              <w:rPr>
                <w:noProof/>
              </w:rPr>
              <w:t>)</w:t>
            </w:r>
          </w:p>
        </w:tc>
        <w:tc>
          <w:tcPr>
            <w:tcW w:w="3096" w:type="dxa"/>
            <w:gridSpan w:val="2"/>
            <w:shd w:val="clear" w:color="auto" w:fill="D9D9D9"/>
            <w:vAlign w:val="center"/>
          </w:tcPr>
          <w:p w:rsidR="00A63547" w:rsidRPr="00791CCA" w:rsidRDefault="00A63547" w:rsidP="00A63547">
            <w:pPr>
              <w:spacing w:before="60" w:after="60"/>
              <w:jc w:val="center"/>
              <w:rPr>
                <w:rFonts w:eastAsia="Times New Roman"/>
                <w:noProof/>
                <w:sz w:val="22"/>
              </w:rPr>
            </w:pPr>
            <w:r w:rsidRPr="00791CCA">
              <w:rPr>
                <w:noProof/>
                <w:sz w:val="22"/>
              </w:rPr>
              <w:t>—</w:t>
            </w:r>
          </w:p>
        </w:tc>
        <w:tc>
          <w:tcPr>
            <w:tcW w:w="1548" w:type="dxa"/>
            <w:shd w:val="clear" w:color="auto" w:fill="auto"/>
          </w:tcPr>
          <w:p w:rsidR="00A63547" w:rsidRPr="00791CCA" w:rsidRDefault="00A63547" w:rsidP="00A63547">
            <w:pPr>
              <w:spacing w:before="60" w:after="60"/>
              <w:jc w:val="center"/>
              <w:rPr>
                <w:rFonts w:eastAsia="Times New Roman"/>
                <w:noProof/>
                <w:sz w:val="22"/>
              </w:rPr>
            </w:pPr>
            <w:r w:rsidRPr="00791CCA">
              <w:rPr>
                <w:rFonts w:ascii="TimesNewRoman" w:hAnsi="TimesNewRoman"/>
                <w:noProof/>
                <w:color w:val="000000"/>
              </w:rPr>
              <w:t>410 310</w:t>
            </w:r>
          </w:p>
        </w:tc>
      </w:tr>
    </w:tbl>
    <w:bookmarkEnd w:id="9"/>
    <w:p w:rsidR="00AA59F5" w:rsidRPr="00791CCA" w:rsidRDefault="00AA59F5" w:rsidP="00AA59F5">
      <w:pPr>
        <w:pStyle w:val="ManualNumPar1"/>
        <w:rPr>
          <w:noProof/>
          <w:szCs w:val="20"/>
        </w:rPr>
      </w:pPr>
      <w:r>
        <w:rPr>
          <w:noProof/>
        </w:rPr>
        <w:t>33.</w:t>
      </w:r>
      <w:r>
        <w:rPr>
          <w:noProof/>
        </w:rPr>
        <w:tab/>
      </w:r>
      <w:r w:rsidRPr="00791CCA">
        <w:rPr>
          <w:noProof/>
        </w:rPr>
        <w:t>Le coût des mesures indiquées dans le tableau ci-dessus en tant que mesures relevant de l’article 7, paragraphe 2, deuxième alinéa, point b), du règlement (UE) 2021/691 ne dépasse pas 35 % du coût total de l’ensemble coordonné de services personnalisés. La Finlande a confirmé que ces mesures étaient conditionnées à la participation active des bénéficiaires visés à des activités de recherche d’emploi ou de formation.</w:t>
      </w:r>
    </w:p>
    <w:p w:rsidR="00AA59F5" w:rsidRPr="00791CCA" w:rsidRDefault="00AA59F5" w:rsidP="00AA59F5">
      <w:pPr>
        <w:pStyle w:val="ManualNumPar1"/>
        <w:rPr>
          <w:noProof/>
        </w:rPr>
      </w:pPr>
      <w:r>
        <w:rPr>
          <w:noProof/>
        </w:rPr>
        <w:t>34.</w:t>
      </w:r>
      <w:r>
        <w:rPr>
          <w:noProof/>
        </w:rPr>
        <w:tab/>
      </w:r>
      <w:r w:rsidRPr="00791CCA">
        <w:rPr>
          <w:noProof/>
        </w:rPr>
        <w:t>Conformément à l’article 7, paragraphe 2, quatrième alinéa, du règlement (UE) 2021/691, la Finlande a confirmé que les coûts d’investissement pour le travail indépendant, la création d’entreprise et la reprise d’entreprise par les salariés ne dépasseront pas 22 000 EUR par bénéficiaire.</w:t>
      </w:r>
    </w:p>
    <w:p w:rsidR="001A62D7" w:rsidRPr="00791CCA" w:rsidRDefault="001A62D7" w:rsidP="001A62D7">
      <w:pPr>
        <w:pStyle w:val="ManualHeading3"/>
        <w:rPr>
          <w:noProof/>
        </w:rPr>
      </w:pPr>
      <w:r w:rsidRPr="00791CCA">
        <w:rPr>
          <w:noProof/>
        </w:rPr>
        <w:t>Période d’éligibilité des dépenses</w:t>
      </w:r>
    </w:p>
    <w:p w:rsidR="007A26EC" w:rsidRPr="00791CCA" w:rsidRDefault="007E3186" w:rsidP="009C50F6">
      <w:pPr>
        <w:pStyle w:val="ManualNumPar1"/>
        <w:rPr>
          <w:noProof/>
        </w:rPr>
      </w:pPr>
      <w:r>
        <w:rPr>
          <w:noProof/>
        </w:rPr>
        <w:t>35.</w:t>
      </w:r>
      <w:r>
        <w:rPr>
          <w:noProof/>
        </w:rPr>
        <w:tab/>
      </w:r>
      <w:r w:rsidRPr="00791CCA">
        <w:rPr>
          <w:noProof/>
        </w:rPr>
        <w:t>La Finlande a commencé à fournir les services personnalisés aux bénéficiaires visés le 23 mars 2026. Les dépenses relatives aux mesures seront donc éligibles à une contribution financière du FEM à partir du 23 mars 2026 et pendant 24 mois après la date d’entrée en vigueur de la décision de financement.</w:t>
      </w:r>
    </w:p>
    <w:p w:rsidR="007A26EC" w:rsidRPr="00791CCA" w:rsidRDefault="007E3186" w:rsidP="009C50F6">
      <w:pPr>
        <w:pStyle w:val="ManualNumPar1"/>
        <w:rPr>
          <w:noProof/>
        </w:rPr>
      </w:pPr>
      <w:r>
        <w:rPr>
          <w:noProof/>
        </w:rPr>
        <w:t>36.</w:t>
      </w:r>
      <w:r>
        <w:rPr>
          <w:noProof/>
        </w:rPr>
        <w:tab/>
      </w:r>
      <w:r w:rsidRPr="00791CCA">
        <w:rPr>
          <w:noProof/>
        </w:rPr>
        <w:t xml:space="preserve">La Finlande a commencé à engager les dépenses administratives pour la mise en œuvre du FEM le 23 mars 2026. Les dépenses relatives aux activités de préparation, de gestion, d’information et de publicité, ainsi que de contrôle et de rapport, sont donc éligibles à une contribution financière du FEM à partir du 23 mars 2026 et pendant 31 mois après la date d’entrée en vigueur de la décision de financement.  </w:t>
      </w:r>
    </w:p>
    <w:p w:rsidR="001A62D7" w:rsidRPr="00791CCA" w:rsidRDefault="001A62D7" w:rsidP="001A62D7">
      <w:pPr>
        <w:pStyle w:val="ManualHeading2"/>
        <w:rPr>
          <w:noProof/>
        </w:rPr>
      </w:pPr>
      <w:r w:rsidRPr="00791CCA">
        <w:rPr>
          <w:noProof/>
        </w:rPr>
        <w:t>Systèmes de gestion et de contrôle</w:t>
      </w:r>
    </w:p>
    <w:p w:rsidR="007A26EC" w:rsidRPr="00791CCA" w:rsidRDefault="007A26EC" w:rsidP="009C50F6">
      <w:pPr>
        <w:pStyle w:val="ManualNumPar1"/>
        <w:rPr>
          <w:noProof/>
        </w:rPr>
      </w:pPr>
      <w:r>
        <w:rPr>
          <w:noProof/>
        </w:rPr>
        <w:t>37.</w:t>
      </w:r>
      <w:r>
        <w:rPr>
          <w:noProof/>
        </w:rPr>
        <w:tab/>
      </w:r>
      <w:r w:rsidRPr="00791CCA">
        <w:rPr>
          <w:noProof/>
        </w:rPr>
        <w:t xml:space="preserve">La demande contient une description du système de gestion et de contrôle requis en vertu de l’article 23 du règlement (UE) 2021/691, qui précise les responsabilités des organismes concernés. La Finlande a informé la Commission que la contribution financière serait gérée et contrôlée par le ministère des affaires économiques et de l’emploi, par les mêmes unités que celles qui jouent le rôle d’autorité de gestion et de certification pour le FSE+ en Finlande. Le service d’audit interne indépendant, placé sous l’autorité du secrétaire permanent du ministère des affaires économiques et de l’emploi, sert d’autorité d’audit pour le FEM. </w:t>
      </w:r>
    </w:p>
    <w:p w:rsidR="001A62D7" w:rsidRPr="00791CCA" w:rsidRDefault="001A62D7" w:rsidP="001A62D7">
      <w:pPr>
        <w:pStyle w:val="ManualHeading2"/>
        <w:rPr>
          <w:noProof/>
        </w:rPr>
      </w:pPr>
      <w:r w:rsidRPr="00791CCA">
        <w:rPr>
          <w:noProof/>
        </w:rPr>
        <w:t>Engagements de l’État membre concerné</w:t>
      </w:r>
    </w:p>
    <w:p w:rsidR="001A62D7" w:rsidRPr="00791CCA" w:rsidRDefault="007E3186" w:rsidP="009C50F6">
      <w:pPr>
        <w:pStyle w:val="ManualNumPar1"/>
        <w:rPr>
          <w:noProof/>
        </w:rPr>
      </w:pPr>
      <w:r>
        <w:rPr>
          <w:noProof/>
        </w:rPr>
        <w:t>38.</w:t>
      </w:r>
      <w:r>
        <w:rPr>
          <w:noProof/>
        </w:rPr>
        <w:tab/>
      </w:r>
      <w:r w:rsidRPr="00791CCA">
        <w:rPr>
          <w:noProof/>
        </w:rPr>
        <w:t xml:space="preserve">La Finlande a apporté toutes les assurances nécessaires concernant les aspects suivants: </w:t>
      </w:r>
    </w:p>
    <w:p w:rsidR="001A62D7" w:rsidRPr="00791CCA" w:rsidRDefault="001A62D7" w:rsidP="001A62D7">
      <w:pPr>
        <w:pStyle w:val="Tiret1"/>
        <w:rPr>
          <w:noProof/>
        </w:rPr>
      </w:pPr>
      <w:r w:rsidRPr="00791CCA">
        <w:rPr>
          <w:noProof/>
        </w:rPr>
        <w:t>les principes d’égalité de traitement et de non-discrimination seront respectés pour l’accès aux mesures proposées et leur réalisation,</w:t>
      </w:r>
    </w:p>
    <w:p w:rsidR="001A62D7" w:rsidRPr="00791CCA" w:rsidRDefault="001A62D7" w:rsidP="001A62D7">
      <w:pPr>
        <w:pStyle w:val="Tiret1"/>
        <w:rPr>
          <w:noProof/>
        </w:rPr>
      </w:pPr>
      <w:r w:rsidRPr="00791CCA">
        <w:rPr>
          <w:noProof/>
        </w:rPr>
        <w:lastRenderedPageBreak/>
        <w:t>les exigences fixées dans la législation nationale et dans celle de l’UE concernant les licenciements collectifs ont été respectées,</w:t>
      </w:r>
    </w:p>
    <w:p w:rsidR="001A62D7" w:rsidRPr="00791CCA" w:rsidRDefault="001A62D7" w:rsidP="001A62D7">
      <w:pPr>
        <w:pStyle w:val="Tiret1"/>
        <w:rPr>
          <w:noProof/>
        </w:rPr>
      </w:pPr>
      <w:r w:rsidRPr="00791CCA">
        <w:rPr>
          <w:noProof/>
        </w:rPr>
        <w:t>tout double financement sera évité,</w:t>
      </w:r>
    </w:p>
    <w:p w:rsidR="001A62D7" w:rsidRPr="00791CCA" w:rsidRDefault="001A62D7" w:rsidP="001A62D7">
      <w:pPr>
        <w:pStyle w:val="Tiret1"/>
        <w:rPr>
          <w:noProof/>
        </w:rPr>
      </w:pPr>
      <w:r w:rsidRPr="00791CCA">
        <w:rPr>
          <w:noProof/>
        </w:rPr>
        <w:t>la contribution financière du FEM sera conforme aux règles procédurales et de fond de l’Union en matière d’aides d’État.</w:t>
      </w:r>
    </w:p>
    <w:p w:rsidR="001A62D7" w:rsidRPr="00791CCA" w:rsidRDefault="001A62D7" w:rsidP="001A62D7">
      <w:pPr>
        <w:pStyle w:val="ManualHeading1"/>
        <w:rPr>
          <w:noProof/>
        </w:rPr>
      </w:pPr>
      <w:r w:rsidRPr="00791CCA">
        <w:rPr>
          <w:noProof/>
        </w:rPr>
        <w:t>INCIDENCE BUDGÉTAIRE</w:t>
      </w:r>
    </w:p>
    <w:p w:rsidR="001A62D7" w:rsidRPr="00791CCA" w:rsidRDefault="001A62D7" w:rsidP="001A62D7">
      <w:pPr>
        <w:pStyle w:val="ManualHeading2"/>
        <w:rPr>
          <w:noProof/>
        </w:rPr>
      </w:pPr>
      <w:r w:rsidRPr="00791CCA">
        <w:rPr>
          <w:noProof/>
        </w:rPr>
        <w:t>Proposition budgétaire</w:t>
      </w:r>
    </w:p>
    <w:p w:rsidR="001A62D7" w:rsidRPr="00791CCA" w:rsidRDefault="001A62D7" w:rsidP="009C50F6">
      <w:pPr>
        <w:pStyle w:val="ManualNumPar1"/>
        <w:rPr>
          <w:noProof/>
        </w:rPr>
      </w:pPr>
      <w:r>
        <w:rPr>
          <w:noProof/>
        </w:rPr>
        <w:t>39.</w:t>
      </w:r>
      <w:r>
        <w:rPr>
          <w:noProof/>
        </w:rPr>
        <w:tab/>
      </w:r>
      <w:r w:rsidRPr="00791CCA">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Pr="00791CCA">
        <w:rPr>
          <w:rStyle w:val="FootnoteReference"/>
          <w:noProof/>
        </w:rPr>
        <w:footnoteReference w:id="18"/>
      </w:r>
      <w:r w:rsidRPr="00791CCA">
        <w:rPr>
          <w:noProof/>
        </w:rPr>
        <w:t>.</w:t>
      </w:r>
    </w:p>
    <w:p w:rsidR="001A62D7" w:rsidRPr="00791CCA" w:rsidRDefault="001A62D7" w:rsidP="009C50F6">
      <w:pPr>
        <w:pStyle w:val="ManualNumPar1"/>
        <w:rPr>
          <w:rFonts w:eastAsia="Calibri"/>
          <w:noProof/>
        </w:rPr>
      </w:pPr>
      <w:r>
        <w:rPr>
          <w:noProof/>
        </w:rPr>
        <w:t>40.</w:t>
      </w:r>
      <w:r>
        <w:rPr>
          <w:noProof/>
        </w:rPr>
        <w:tab/>
      </w:r>
      <w:r w:rsidRPr="00791CCA">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410 310 EUR, ce qui correspond à 60 % du coût total des mesures proposées, afin d’apporter une contribution financière en réponse à la demande.</w:t>
      </w:r>
    </w:p>
    <w:p w:rsidR="001A62D7" w:rsidRPr="00791CCA" w:rsidRDefault="001A62D7" w:rsidP="009C50F6">
      <w:pPr>
        <w:pStyle w:val="ManualNumPar1"/>
        <w:rPr>
          <w:rFonts w:eastAsia="Times New Roman"/>
          <w:noProof/>
        </w:rPr>
      </w:pPr>
      <w:r>
        <w:rPr>
          <w:noProof/>
        </w:rPr>
        <w:t>41.</w:t>
      </w:r>
      <w:r>
        <w:rPr>
          <w:noProof/>
        </w:rPr>
        <w:tab/>
      </w:r>
      <w:r w:rsidRPr="00791CCA">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791CCA">
        <w:rPr>
          <w:rStyle w:val="FootnoteReference"/>
          <w:noProof/>
        </w:rPr>
        <w:footnoteReference w:id="19"/>
      </w:r>
      <w:r w:rsidRPr="00791CCA">
        <w:rPr>
          <w:noProof/>
        </w:rPr>
        <w:t>.</w:t>
      </w:r>
    </w:p>
    <w:p w:rsidR="001A62D7" w:rsidRPr="00791CCA" w:rsidRDefault="001A62D7" w:rsidP="001A62D7">
      <w:pPr>
        <w:pStyle w:val="ManualHeading2"/>
        <w:rPr>
          <w:noProof/>
        </w:rPr>
      </w:pPr>
      <w:r w:rsidRPr="00791CCA">
        <w:rPr>
          <w:noProof/>
        </w:rPr>
        <w:t>Actes liés</w:t>
      </w:r>
    </w:p>
    <w:p w:rsidR="001A62D7" w:rsidRPr="00791CCA" w:rsidRDefault="001A62D7" w:rsidP="009C50F6">
      <w:pPr>
        <w:pStyle w:val="ManualNumPar1"/>
        <w:rPr>
          <w:noProof/>
        </w:rPr>
      </w:pPr>
      <w:r>
        <w:rPr>
          <w:noProof/>
        </w:rPr>
        <w:t>42.</w:t>
      </w:r>
      <w:r>
        <w:rPr>
          <w:noProof/>
        </w:rPr>
        <w:tab/>
      </w:r>
      <w:r w:rsidRPr="00791CCA">
        <w:rPr>
          <w:noProof/>
        </w:rPr>
        <w:t>En même temps que la présente proposition de décision de mobilisation du FEM, la Commission présentera au Parlement européen et au Conseil une proposition de virement à la ligne budgétaire concernée d’un montant de 410 310 EUR.</w:t>
      </w:r>
    </w:p>
    <w:p w:rsidR="001A62D7" w:rsidRPr="00791CCA" w:rsidRDefault="001A62D7" w:rsidP="009C50F6">
      <w:pPr>
        <w:pStyle w:val="ManualNumPar1"/>
        <w:rPr>
          <w:noProof/>
        </w:rPr>
      </w:pPr>
      <w:r>
        <w:rPr>
          <w:noProof/>
        </w:rPr>
        <w:t>43.</w:t>
      </w:r>
      <w:r>
        <w:rPr>
          <w:noProof/>
        </w:rPr>
        <w:tab/>
      </w:r>
      <w:r w:rsidRPr="00791CCA">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791CCA">
        <w:rPr>
          <w:rStyle w:val="FootnoteReference"/>
          <w:noProof/>
        </w:rPr>
        <w:footnoteReference w:id="20"/>
      </w:r>
      <w:r w:rsidRPr="00791CCA">
        <w:rPr>
          <w:noProof/>
        </w:rPr>
        <w:t>. Cette décision de financement entre en vigueur à la date à laquelle la Commission est informée de l’approbation du virement budgétaire par le Parlement européen et le Conseil, en application de l’article 15, paragraphe 2, premier alinéa, du règlement (UE) 2021/691.</w:t>
      </w:r>
    </w:p>
    <w:p w:rsidR="001A62D7" w:rsidRPr="00791CCA" w:rsidRDefault="001A62D7" w:rsidP="001A62D7">
      <w:pPr>
        <w:rPr>
          <w:noProof/>
        </w:rPr>
        <w:sectPr w:rsidR="001A62D7" w:rsidRPr="00791CCA" w:rsidSect="00DD128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F245C1" w:rsidRDefault="00321DE8">
      <w:pPr>
        <w:pStyle w:val="Rfrenceinterinstitutionnelle"/>
        <w:rPr>
          <w:noProof/>
        </w:rPr>
      </w:pPr>
      <w:r>
        <w:rPr>
          <w:noProof/>
        </w:rPr>
        <w:lastRenderedPageBreak/>
        <w:t>2026/0220 (BUD)</w:t>
      </w:r>
    </w:p>
    <w:p w:rsidR="001A62D7" w:rsidRPr="00791CCA" w:rsidRDefault="00A17A78" w:rsidP="00A17A78">
      <w:pPr>
        <w:pStyle w:val="Statut"/>
        <w:rPr>
          <w:noProof/>
        </w:rPr>
      </w:pPr>
      <w:r w:rsidRPr="00A17A78">
        <w:rPr>
          <w:noProof/>
        </w:rPr>
        <w:t>Proposition de</w:t>
      </w:r>
    </w:p>
    <w:p w:rsidR="001A62D7" w:rsidRPr="00791CCA" w:rsidRDefault="00A17A78" w:rsidP="00A17A78">
      <w:pPr>
        <w:pStyle w:val="Typedudocument"/>
        <w:rPr>
          <w:noProof/>
        </w:rPr>
      </w:pPr>
      <w:r w:rsidRPr="00A17A78">
        <w:rPr>
          <w:noProof/>
        </w:rPr>
        <w:t>DÉCISION DU PARLEMENT EUROPÉEN ET DU CONSEIL</w:t>
      </w:r>
    </w:p>
    <w:p w:rsidR="001A62D7" w:rsidRPr="00791CCA" w:rsidRDefault="00A17A78" w:rsidP="00A17A78">
      <w:pPr>
        <w:pStyle w:val="Titreobjet"/>
        <w:rPr>
          <w:noProof/>
        </w:rPr>
      </w:pPr>
      <w:r w:rsidRPr="00A17A78">
        <w:rPr>
          <w:noProof/>
        </w:rPr>
        <w:t>relative à la mobilisation du Fonds européen d’ajustement à la mondialisation en faveur des travailleurs licenciés à la suite d’une demande de la Finlande (EGF/2026/003 FI/Valmet Automotive)</w:t>
      </w:r>
    </w:p>
    <w:p w:rsidR="001A62D7" w:rsidRPr="00791CCA" w:rsidRDefault="001A62D7" w:rsidP="001A62D7">
      <w:pPr>
        <w:pStyle w:val="Institutionquiagit"/>
        <w:rPr>
          <w:noProof/>
        </w:rPr>
      </w:pPr>
      <w:r w:rsidRPr="00791CCA">
        <w:rPr>
          <w:noProof/>
        </w:rPr>
        <w:t>LE PARLEMENT EUROPÉEN ET LE CONSEIL DE L’UNION EUROPÉENNE,</w:t>
      </w:r>
    </w:p>
    <w:p w:rsidR="001A62D7" w:rsidRPr="00791CCA" w:rsidRDefault="001A62D7" w:rsidP="001A62D7">
      <w:pPr>
        <w:rPr>
          <w:noProof/>
        </w:rPr>
      </w:pPr>
      <w:r w:rsidRPr="00791CCA">
        <w:rPr>
          <w:noProof/>
        </w:rPr>
        <w:t>vu le traité sur le fonctionnement de l’Union européenne,</w:t>
      </w:r>
    </w:p>
    <w:p w:rsidR="001A62D7" w:rsidRPr="00791CCA" w:rsidRDefault="001A62D7" w:rsidP="001A62D7">
      <w:pPr>
        <w:rPr>
          <w:noProof/>
        </w:rPr>
      </w:pPr>
      <w:r w:rsidRPr="00791CCA">
        <w:rPr>
          <w:noProof/>
        </w:rPr>
        <w:t>vu le règlement (UE) 2021/691 du Parlement européen et du Conseil du 28 avril 2021 relatif au Fonds européen d’ajustement à la mondialisation en faveur des travailleurs licenciés (FEM) et abrogeant le règlement (UE) nº 1309/2013</w:t>
      </w:r>
      <w:r w:rsidRPr="00791CCA">
        <w:rPr>
          <w:rStyle w:val="FootnoteReference"/>
          <w:noProof/>
        </w:rPr>
        <w:footnoteReference w:id="21"/>
      </w:r>
      <w:r w:rsidRPr="00791CCA">
        <w:rPr>
          <w:noProof/>
        </w:rPr>
        <w:t>, et notamment son article 15, paragraphe 1, premier alinéa,</w:t>
      </w:r>
    </w:p>
    <w:p w:rsidR="001A62D7" w:rsidRPr="00791CCA" w:rsidRDefault="001A62D7" w:rsidP="001A62D7">
      <w:pPr>
        <w:rPr>
          <w:noProof/>
        </w:rPr>
      </w:pPr>
      <w:r w:rsidRPr="00791CCA">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791CCA">
        <w:rPr>
          <w:rStyle w:val="FootnoteReference"/>
          <w:noProof/>
        </w:rPr>
        <w:footnoteReference w:id="22"/>
      </w:r>
      <w:r w:rsidRPr="00791CCA">
        <w:rPr>
          <w:noProof/>
        </w:rPr>
        <w:t>, et notamment son point 9,</w:t>
      </w:r>
    </w:p>
    <w:p w:rsidR="001A62D7" w:rsidRPr="00791CCA" w:rsidRDefault="001A62D7" w:rsidP="001A62D7">
      <w:pPr>
        <w:rPr>
          <w:noProof/>
        </w:rPr>
      </w:pPr>
      <w:r w:rsidRPr="00791CCA">
        <w:rPr>
          <w:noProof/>
        </w:rPr>
        <w:t>vu la proposition de la Commission européenne,</w:t>
      </w:r>
    </w:p>
    <w:p w:rsidR="001A62D7" w:rsidRPr="00791CCA" w:rsidRDefault="001A62D7" w:rsidP="001A62D7">
      <w:pPr>
        <w:rPr>
          <w:noProof/>
        </w:rPr>
      </w:pPr>
      <w:r w:rsidRPr="00791CCA">
        <w:rPr>
          <w:noProof/>
        </w:rPr>
        <w:t>considérant ce qui suit:</w:t>
      </w:r>
    </w:p>
    <w:p w:rsidR="001A62D7" w:rsidRPr="00791CCA" w:rsidRDefault="001A62D7" w:rsidP="009C50F6">
      <w:pPr>
        <w:pStyle w:val="ManualConsidrant"/>
        <w:rPr>
          <w:noProof/>
        </w:rPr>
      </w:pPr>
      <w:r>
        <w:rPr>
          <w:noProof/>
        </w:rPr>
        <w:t>(1)</w:t>
      </w:r>
      <w:r>
        <w:rPr>
          <w:noProof/>
        </w:rPr>
        <w:tab/>
      </w:r>
      <w:r w:rsidRPr="00791CCA">
        <w:rPr>
          <w:noProof/>
        </w:rPr>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 </w:t>
      </w:r>
    </w:p>
    <w:p w:rsidR="001A62D7" w:rsidRPr="00791CCA" w:rsidRDefault="001A62D7" w:rsidP="009C50F6">
      <w:pPr>
        <w:pStyle w:val="ManualConsidrant"/>
        <w:rPr>
          <w:noProof/>
        </w:rPr>
      </w:pPr>
      <w:r>
        <w:rPr>
          <w:noProof/>
        </w:rPr>
        <w:t>(2)</w:t>
      </w:r>
      <w:r>
        <w:rPr>
          <w:noProof/>
        </w:rPr>
        <w:tab/>
      </w:r>
      <w:r w:rsidRPr="00791CCA">
        <w:rPr>
          <w:noProof/>
        </w:rPr>
        <w:t>La dotation annuelle du FEM n’excède pas un montant maximal de 30 000 000 EUR (aux prix de 2018), comme le prévoient l’article 8 du règlement (UE, Euratom) 2020/2093 du Conseil</w:t>
      </w:r>
      <w:r w:rsidRPr="00791CCA">
        <w:rPr>
          <w:rStyle w:val="FootnoteReference"/>
          <w:noProof/>
        </w:rPr>
        <w:footnoteReference w:id="23"/>
      </w:r>
      <w:r w:rsidRPr="00791CCA">
        <w:rPr>
          <w:noProof/>
        </w:rPr>
        <w:t xml:space="preserve"> et l’article 16 du règlement (UE) 2021/691.</w:t>
      </w:r>
    </w:p>
    <w:p w:rsidR="001A62D7" w:rsidRPr="00791CCA" w:rsidRDefault="001A62D7" w:rsidP="009C50F6">
      <w:pPr>
        <w:pStyle w:val="ManualConsidrant"/>
        <w:rPr>
          <w:noProof/>
        </w:rPr>
      </w:pPr>
      <w:r>
        <w:rPr>
          <w:noProof/>
        </w:rPr>
        <w:t>(3)</w:t>
      </w:r>
      <w:r>
        <w:rPr>
          <w:noProof/>
        </w:rPr>
        <w:tab/>
      </w:r>
      <w:r w:rsidRPr="00791CCA">
        <w:rPr>
          <w:noProof/>
        </w:rPr>
        <w:t xml:space="preserve">Le 5 mai 2026, la Finlande a présenté, conformément à l’article 8, paragraphe 1, du règlement (UE) 2021/691, une demande d’intervention du FEM en ce qui concerne les licenciements de travailleurs survenus chez Valmet Automotive et cinq de ses sous-traitants et fournisseurs en Finlande.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w:t>
      </w:r>
      <w:r w:rsidRPr="00791CCA">
        <w:rPr>
          <w:noProof/>
        </w:rPr>
        <w:lastRenderedPageBreak/>
        <w:t>base de l’évaluation effectuée par la Commission dans la proposition de décision du Parlement européen et du Conseil relative à la mobilisation du FEM</w:t>
      </w:r>
      <w:r w:rsidRPr="00791CCA">
        <w:rPr>
          <w:rStyle w:val="FootnoteReference"/>
          <w:iCs/>
          <w:noProof/>
        </w:rPr>
        <w:footnoteReference w:id="24"/>
      </w:r>
      <w:r w:rsidRPr="00791CCA">
        <w:rPr>
          <w:noProof/>
        </w:rPr>
        <w:t>.</w:t>
      </w:r>
    </w:p>
    <w:p w:rsidR="001A62D7" w:rsidRPr="00791CCA" w:rsidRDefault="001A62D7" w:rsidP="009C50F6">
      <w:pPr>
        <w:pStyle w:val="ManualConsidrant"/>
        <w:rPr>
          <w:noProof/>
        </w:rPr>
      </w:pPr>
      <w:r>
        <w:rPr>
          <w:noProof/>
        </w:rPr>
        <w:t>(4)</w:t>
      </w:r>
      <w:r>
        <w:rPr>
          <w:noProof/>
        </w:rPr>
        <w:tab/>
      </w:r>
      <w:r w:rsidRPr="00791CCA">
        <w:rPr>
          <w:noProof/>
        </w:rPr>
        <w:t>Il y a lieu, par conséquent, de mobiliser le FEM en vue d’octroyer une contribution financière d’un montant de 410 310 EUR en réponse à la demande présentée par la Finlande.</w:t>
      </w:r>
    </w:p>
    <w:p w:rsidR="001A62D7" w:rsidRPr="00791CCA" w:rsidRDefault="001A62D7" w:rsidP="009C50F6">
      <w:pPr>
        <w:pStyle w:val="ManualConsidrant"/>
        <w:rPr>
          <w:noProof/>
        </w:rPr>
      </w:pPr>
      <w:r>
        <w:rPr>
          <w:noProof/>
        </w:rPr>
        <w:t>(5)</w:t>
      </w:r>
      <w:r>
        <w:rPr>
          <w:noProof/>
        </w:rPr>
        <w:tab/>
      </w:r>
      <w:r w:rsidRPr="00791CCA">
        <w:rPr>
          <w:noProof/>
        </w:rPr>
        <w:t>Afin de limiter au maximum le délai de mobilisation du FEM, il convient que la présente décision soit applicable à partir de la date de son adoption,</w:t>
      </w:r>
    </w:p>
    <w:p w:rsidR="001A62D7" w:rsidRPr="00791CCA" w:rsidRDefault="001A62D7" w:rsidP="001A62D7">
      <w:pPr>
        <w:pStyle w:val="Formuledadoption"/>
        <w:rPr>
          <w:noProof/>
        </w:rPr>
      </w:pPr>
      <w:r w:rsidRPr="00791CCA">
        <w:rPr>
          <w:noProof/>
        </w:rPr>
        <w:t xml:space="preserve">ONT ADOPTÉ LA PRÉSENTE DÉCISION: </w:t>
      </w:r>
    </w:p>
    <w:p w:rsidR="001A62D7" w:rsidRPr="00791CCA" w:rsidRDefault="001A62D7" w:rsidP="001A62D7">
      <w:pPr>
        <w:pStyle w:val="Titrearticle"/>
        <w:rPr>
          <w:noProof/>
        </w:rPr>
      </w:pPr>
      <w:r w:rsidRPr="00791CCA">
        <w:rPr>
          <w:noProof/>
        </w:rPr>
        <w:t>Article premier</w:t>
      </w:r>
    </w:p>
    <w:p w:rsidR="001A62D7" w:rsidRPr="00791CCA" w:rsidRDefault="001A62D7" w:rsidP="001A62D7">
      <w:pPr>
        <w:rPr>
          <w:noProof/>
        </w:rPr>
      </w:pPr>
      <w:r w:rsidRPr="00791CCA">
        <w:rPr>
          <w:noProof/>
        </w:rPr>
        <w:t>Dans le cadre du budget général de l’Union établi pour l’exercice 2026, un montant de 410 310 EUR en crédits d’engagement et de paiement est mobilisé au titre du Fonds européen d’ajustement à la mondialisation en faveur des travailleurs licenciés.</w:t>
      </w:r>
    </w:p>
    <w:p w:rsidR="001A62D7" w:rsidRPr="00791CCA" w:rsidRDefault="001A62D7" w:rsidP="00D42B24">
      <w:pPr>
        <w:pStyle w:val="Titrearticle"/>
        <w:rPr>
          <w:noProof/>
        </w:rPr>
      </w:pPr>
      <w:r w:rsidRPr="00791CCA">
        <w:rPr>
          <w:noProof/>
        </w:rPr>
        <w:t>Article 2</w:t>
      </w:r>
    </w:p>
    <w:p w:rsidR="001A62D7" w:rsidRPr="00791CCA" w:rsidRDefault="001A62D7" w:rsidP="001A62D7">
      <w:pPr>
        <w:keepNext/>
        <w:keepLines/>
        <w:rPr>
          <w:noProof/>
        </w:rPr>
      </w:pPr>
      <w:r w:rsidRPr="00791CCA">
        <w:rPr>
          <w:noProof/>
        </w:rPr>
        <w:t xml:space="preserve">La présente décision entre en vigueur le jour de sa publication au </w:t>
      </w:r>
      <w:r w:rsidRPr="00791CCA">
        <w:rPr>
          <w:i/>
          <w:noProof/>
        </w:rPr>
        <w:t>Journal officiel de l’Union européenne</w:t>
      </w:r>
      <w:r w:rsidRPr="00791CCA">
        <w:rPr>
          <w:noProof/>
        </w:rPr>
        <w:t xml:space="preserve">. Elle est applicable à partir du </w:t>
      </w:r>
      <w:r w:rsidRPr="00791CCA">
        <w:rPr>
          <w:noProof/>
          <w:color w:val="FF0000"/>
        </w:rPr>
        <w:t>[</w:t>
      </w:r>
      <w:r w:rsidRPr="00791CCA">
        <w:rPr>
          <w:i/>
          <w:noProof/>
          <w:color w:val="FF0000"/>
        </w:rPr>
        <w:t>date de son adoption</w:t>
      </w:r>
      <w:r w:rsidRPr="00791CCA">
        <w:rPr>
          <w:noProof/>
          <w:color w:val="FF0000"/>
        </w:rPr>
        <w:t>]</w:t>
      </w:r>
      <w:r w:rsidRPr="00791CCA">
        <w:rPr>
          <w:rStyle w:val="FootnoteReference"/>
          <w:noProof/>
          <w:color w:val="FF0000"/>
        </w:rPr>
        <w:footnoteReference w:customMarkFollows="1" w:id="25"/>
        <w:t>*</w:t>
      </w:r>
      <w:r w:rsidRPr="00791CCA">
        <w:rPr>
          <w:noProof/>
        </w:rPr>
        <w:t xml:space="preserve">. </w:t>
      </w:r>
    </w:p>
    <w:p w:rsidR="001A62D7" w:rsidRPr="00791CCA" w:rsidRDefault="00A17A78" w:rsidP="00D42B24">
      <w:pPr>
        <w:pStyle w:val="Fait"/>
        <w:rPr>
          <w:noProof/>
        </w:rPr>
      </w:pPr>
      <w:r>
        <w:rPr>
          <w:noProof/>
        </w:rPr>
        <w:t>Fait à Bruxelles, le</w:t>
      </w:r>
    </w:p>
    <w:p w:rsidR="001A62D7" w:rsidRPr="00791CCA" w:rsidRDefault="001A62D7" w:rsidP="00D42B24">
      <w:pPr>
        <w:pStyle w:val="Institutionquisigne"/>
        <w:rPr>
          <w:noProof/>
        </w:rPr>
      </w:pPr>
      <w:r w:rsidRPr="00791CCA">
        <w:rPr>
          <w:noProof/>
        </w:rPr>
        <w:t>Par le Parlement européen</w:t>
      </w:r>
      <w:r w:rsidRPr="00791CCA">
        <w:rPr>
          <w:noProof/>
        </w:rPr>
        <w:tab/>
        <w:t>Par le Conseil</w:t>
      </w:r>
    </w:p>
    <w:p w:rsidR="001A62D7" w:rsidRPr="00791CCA" w:rsidRDefault="001A62D7" w:rsidP="001A62D7">
      <w:pPr>
        <w:pStyle w:val="Personnequisigne"/>
        <w:rPr>
          <w:noProof/>
        </w:rPr>
      </w:pPr>
      <w:r w:rsidRPr="00791CCA">
        <w:rPr>
          <w:noProof/>
        </w:rPr>
        <w:t>La présidente</w:t>
      </w:r>
      <w:r w:rsidRPr="00791CCA">
        <w:rPr>
          <w:noProof/>
        </w:rPr>
        <w:tab/>
        <w:t xml:space="preserve">Le président/La présidente </w:t>
      </w:r>
      <w:r w:rsidRPr="00791CCA">
        <w:rPr>
          <w:noProof/>
        </w:rPr>
        <w:br/>
      </w:r>
    </w:p>
    <w:sectPr w:rsidR="001A62D7" w:rsidRPr="00791CCA" w:rsidSect="00DD128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Default="00CE63C3" w:rsidP="001A62D7">
      <w:pPr>
        <w:spacing w:before="0" w:after="0"/>
      </w:pPr>
      <w:r>
        <w:separator/>
      </w:r>
    </w:p>
  </w:endnote>
  <w:endnote w:type="continuationSeparator" w:id="0">
    <w:p w:rsidR="00CE63C3" w:rsidRDefault="00CE63C3"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Pr="00DD128D" w:rsidRDefault="00DD128D" w:rsidP="00DD128D">
    <w:pPr>
      <w:pStyle w:val="Footer"/>
      <w:rPr>
        <w:rFonts w:ascii="Arial" w:hAnsi="Arial" w:cs="Arial"/>
        <w:b/>
        <w:sz w:val="48"/>
      </w:rPr>
    </w:pPr>
    <w:r w:rsidRPr="00DD128D">
      <w:rPr>
        <w:rFonts w:ascii="Arial" w:hAnsi="Arial" w:cs="Arial"/>
        <w:b/>
        <w:sz w:val="48"/>
      </w:rPr>
      <w:t>FR</w:t>
    </w:r>
    <w:r w:rsidRPr="00DD128D">
      <w:rPr>
        <w:rFonts w:ascii="Arial" w:hAnsi="Arial" w:cs="Arial"/>
        <w:b/>
        <w:sz w:val="48"/>
      </w:rPr>
      <w:tab/>
    </w:r>
    <w:r w:rsidRPr="00DD128D">
      <w:rPr>
        <w:rFonts w:ascii="Arial" w:hAnsi="Arial" w:cs="Arial"/>
        <w:b/>
        <w:sz w:val="48"/>
      </w:rPr>
      <w:tab/>
    </w:r>
    <w:r w:rsidRPr="00DD128D">
      <w:tab/>
    </w:r>
    <w:r w:rsidRPr="00DD128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Pr="00DD128D" w:rsidRDefault="00DD128D" w:rsidP="00DD128D">
    <w:pPr>
      <w:pStyle w:val="Footer"/>
      <w:rPr>
        <w:rFonts w:ascii="Arial" w:hAnsi="Arial" w:cs="Arial"/>
        <w:b/>
        <w:sz w:val="48"/>
      </w:rPr>
    </w:pPr>
    <w:r w:rsidRPr="00DD128D">
      <w:rPr>
        <w:rFonts w:ascii="Arial" w:hAnsi="Arial" w:cs="Arial"/>
        <w:b/>
        <w:sz w:val="48"/>
      </w:rPr>
      <w:t>FR</w:t>
    </w:r>
    <w:r w:rsidRPr="00DD128D">
      <w:rPr>
        <w:rFonts w:ascii="Arial" w:hAnsi="Arial" w:cs="Arial"/>
        <w:b/>
        <w:sz w:val="48"/>
      </w:rPr>
      <w:tab/>
    </w:r>
    <w:r w:rsidRPr="00DD128D">
      <w:rPr>
        <w:rFonts w:ascii="Arial" w:hAnsi="Arial" w:cs="Arial"/>
        <w:b/>
        <w:sz w:val="48"/>
      </w:rPr>
      <w:tab/>
    </w:r>
    <w:r w:rsidRPr="00DD128D">
      <w:tab/>
    </w:r>
    <w:r w:rsidRPr="00DD128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Default="00DD12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Pr="00DD128D" w:rsidRDefault="00DD128D" w:rsidP="00DD128D">
    <w:pPr>
      <w:pStyle w:val="Footer"/>
      <w:rPr>
        <w:rFonts w:ascii="Arial" w:hAnsi="Arial" w:cs="Arial"/>
        <w:b/>
        <w:sz w:val="48"/>
      </w:rPr>
    </w:pPr>
    <w:r w:rsidRPr="00DD128D">
      <w:rPr>
        <w:rFonts w:ascii="Arial" w:hAnsi="Arial" w:cs="Arial"/>
        <w:b/>
        <w:sz w:val="48"/>
      </w:rPr>
      <w:t>FR</w:t>
    </w:r>
    <w:r w:rsidRPr="00DD128D">
      <w:rPr>
        <w:rFonts w:ascii="Arial" w:hAnsi="Arial" w:cs="Arial"/>
        <w:b/>
        <w:sz w:val="48"/>
      </w:rPr>
      <w:tab/>
    </w:r>
    <w:r>
      <w:fldChar w:fldCharType="begin"/>
    </w:r>
    <w:r>
      <w:instrText xml:space="preserve"> PAGE  \* MERGEFORMAT </w:instrText>
    </w:r>
    <w:r>
      <w:fldChar w:fldCharType="separate"/>
    </w:r>
    <w:r w:rsidR="00D42B24">
      <w:rPr>
        <w:noProof/>
      </w:rPr>
      <w:t>12</w:t>
    </w:r>
    <w:r>
      <w:fldChar w:fldCharType="end"/>
    </w:r>
    <w:r>
      <w:tab/>
    </w:r>
    <w:r w:rsidRPr="00DD128D">
      <w:tab/>
    </w:r>
    <w:r w:rsidRPr="00DD128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Default="00DD128D" w:rsidP="00DD1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Default="00CE63C3" w:rsidP="001A62D7">
      <w:pPr>
        <w:spacing w:before="0" w:after="0"/>
      </w:pPr>
      <w:r>
        <w:separator/>
      </w:r>
    </w:p>
  </w:footnote>
  <w:footnote w:type="continuationSeparator" w:id="0">
    <w:p w:rsidR="00CE63C3" w:rsidRDefault="00CE63C3" w:rsidP="001A62D7">
      <w:pPr>
        <w:spacing w:before="0" w:after="0"/>
      </w:pPr>
      <w:r>
        <w:continuationSeparator/>
      </w:r>
    </w:p>
  </w:footnote>
  <w:footnote w:id="1">
    <w:p w:rsidR="00D04DD1" w:rsidRPr="00791CCA" w:rsidRDefault="00D04DD1" w:rsidP="00517E70">
      <w:pPr>
        <w:pStyle w:val="FootnoteText"/>
        <w:tabs>
          <w:tab w:val="left" w:pos="720"/>
          <w:tab w:val="left" w:pos="1440"/>
          <w:tab w:val="left" w:pos="2160"/>
          <w:tab w:val="left" w:pos="2880"/>
        </w:tabs>
        <w:rPr>
          <w:lang w:val="fr-BE"/>
        </w:rPr>
      </w:pPr>
      <w:r>
        <w:rPr>
          <w:rStyle w:val="FootnoteReference"/>
        </w:rPr>
        <w:footnoteRef/>
      </w:r>
      <w:r w:rsidRPr="00791CCA">
        <w:rPr>
          <w:lang w:val="fr-BE"/>
        </w:rPr>
        <w:tab/>
        <w:t xml:space="preserve">JO L 153 du 3.5.2021, p. 48, ELI: http://data.europa.eu/eli/reg/2021/691/oj. </w:t>
      </w:r>
    </w:p>
  </w:footnote>
  <w:footnote w:id="2">
    <w:p w:rsidR="00D04DD1" w:rsidRPr="00791CCA" w:rsidRDefault="00D04DD1">
      <w:pPr>
        <w:pStyle w:val="FootnoteText"/>
        <w:rPr>
          <w:lang w:val="fr-BE"/>
        </w:rPr>
      </w:pPr>
      <w:r>
        <w:rPr>
          <w:rStyle w:val="FootnoteReference"/>
        </w:rPr>
        <w:footnoteRef/>
      </w:r>
      <w:r w:rsidRPr="00791CCA">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3E37DE" w:rsidRPr="00791CCA" w:rsidRDefault="003E37DE" w:rsidP="003E37DE">
      <w:pPr>
        <w:pStyle w:val="FootnoteText"/>
        <w:rPr>
          <w:lang w:val="fr-BE"/>
        </w:rPr>
      </w:pPr>
      <w:r>
        <w:rPr>
          <w:rStyle w:val="FootnoteReference"/>
        </w:rPr>
        <w:footnoteRef/>
      </w:r>
      <w:r w:rsidRPr="00791CCA">
        <w:rPr>
          <w:lang w:val="fr-BE"/>
        </w:rPr>
        <w:tab/>
        <w:t>Les licenciements ont eu lieu au cours de la période de référence dans l’entreprise principale et chez l’un de ses fournisseurs, et en dehors de la période de référence chez quatre sous-traitants.</w:t>
      </w:r>
    </w:p>
  </w:footnote>
  <w:footnote w:id="4">
    <w:p w:rsidR="00D04DD1" w:rsidRPr="00791CCA" w:rsidRDefault="00D04DD1">
      <w:pPr>
        <w:pStyle w:val="FootnoteText"/>
        <w:rPr>
          <w:lang w:val="fr-BE"/>
        </w:rPr>
      </w:pPr>
      <w:r>
        <w:rPr>
          <w:rStyle w:val="FootnoteReference"/>
        </w:rPr>
        <w:footnoteRef/>
      </w:r>
      <w:r w:rsidRPr="00791CCA">
        <w:rPr>
          <w:lang w:val="fr-BE"/>
        </w:rPr>
        <w:tab/>
        <w:t>JO L 393 du 30.12.2006, p. 1.</w:t>
      </w:r>
    </w:p>
  </w:footnote>
  <w:footnote w:id="5">
    <w:p w:rsidR="00B45769" w:rsidRPr="00791CCA" w:rsidRDefault="00B45769">
      <w:pPr>
        <w:pStyle w:val="FootnoteText"/>
        <w:rPr>
          <w:lang w:val="fr-BE"/>
        </w:rPr>
      </w:pPr>
      <w:r>
        <w:rPr>
          <w:rStyle w:val="FootnoteReference"/>
        </w:rPr>
        <w:footnoteRef/>
      </w:r>
      <w:r w:rsidRPr="00791CCA">
        <w:rPr>
          <w:lang w:val="fr-BE"/>
        </w:rPr>
        <w:tab/>
        <w:t>Conformément à l’article 7, paragraphe 5, du règlement (UE) 2021/691.</w:t>
      </w:r>
    </w:p>
  </w:footnote>
  <w:footnote w:id="6">
    <w:p w:rsidR="005E6A35" w:rsidRPr="00791CCA" w:rsidRDefault="005E6A35">
      <w:pPr>
        <w:pStyle w:val="FootnoteText"/>
        <w:rPr>
          <w:lang w:val="fr-BE"/>
        </w:rPr>
      </w:pPr>
      <w:r>
        <w:rPr>
          <w:rStyle w:val="FootnoteReference"/>
        </w:rPr>
        <w:footnoteRef/>
      </w:r>
      <w:r w:rsidRPr="00791CCA">
        <w:rPr>
          <w:lang w:val="fr-BE"/>
        </w:rPr>
        <w:tab/>
        <w:t>Journal «Turun Sanomat» du 12.11.2025.</w:t>
      </w:r>
    </w:p>
  </w:footnote>
  <w:footnote w:id="7">
    <w:p w:rsidR="00567057" w:rsidRPr="00791CCA" w:rsidRDefault="00567057" w:rsidP="00567057">
      <w:pPr>
        <w:pStyle w:val="FootnoteText"/>
        <w:jc w:val="left"/>
        <w:rPr>
          <w:lang w:val="fr-BE"/>
        </w:rPr>
      </w:pPr>
      <w:r>
        <w:rPr>
          <w:rStyle w:val="FootnoteReference"/>
        </w:rPr>
        <w:footnoteRef/>
      </w:r>
      <w:r w:rsidRPr="00791CCA">
        <w:rPr>
          <w:lang w:val="fr-BE"/>
        </w:rPr>
        <w:tab/>
        <w:t xml:space="preserve">Bases de données statistiques de la Finlande: </w:t>
      </w:r>
      <w:hyperlink r:id="rId1" w:history="1">
        <w:r w:rsidRPr="00791CCA">
          <w:rPr>
            <w:rStyle w:val="Hyperlink"/>
            <w:lang w:val="fr-BE"/>
          </w:rPr>
          <w:t xml:space="preserve">Työttömien työnhakijoiden osuus työvoimasta kk:n lopussa </w:t>
        </w:r>
      </w:hyperlink>
      <w:r w:rsidRPr="00791CCA">
        <w:rPr>
          <w:lang w:val="fr-BE"/>
        </w:rPr>
        <w:t xml:space="preserve"> </w:t>
      </w:r>
    </w:p>
  </w:footnote>
  <w:footnote w:id="8">
    <w:p w:rsidR="00EC37C0" w:rsidRPr="00791CCA" w:rsidRDefault="00EC37C0" w:rsidP="00EC37C0">
      <w:pPr>
        <w:pStyle w:val="FootnoteText"/>
        <w:rPr>
          <w:lang w:val="fr-BE"/>
        </w:rPr>
      </w:pPr>
      <w:r>
        <w:rPr>
          <w:rStyle w:val="FootnoteReference"/>
        </w:rPr>
        <w:footnoteRef/>
      </w:r>
      <w:r w:rsidRPr="00791CCA">
        <w:rPr>
          <w:lang w:val="fr-BE"/>
        </w:rPr>
        <w:tab/>
        <w:t xml:space="preserve">Institut finlandais de la statistique: </w:t>
      </w:r>
      <w:hyperlink r:id="rId2" w:history="1">
        <w:r w:rsidRPr="00791CCA">
          <w:rPr>
            <w:rStyle w:val="Hyperlink"/>
            <w:lang w:val="fr-BE"/>
          </w:rPr>
          <w:t>Alle 25-vuotiaiden työttömien työnhakijoiden osuus alle 25-vuotiaasta työvoimasta</w:t>
        </w:r>
      </w:hyperlink>
    </w:p>
  </w:footnote>
  <w:footnote w:id="9">
    <w:p w:rsidR="000D3622" w:rsidRPr="00791CCA" w:rsidRDefault="000D3622">
      <w:pPr>
        <w:pStyle w:val="FootnoteText"/>
        <w:rPr>
          <w:lang w:val="fr-BE"/>
        </w:rPr>
      </w:pPr>
      <w:r>
        <w:rPr>
          <w:rStyle w:val="FootnoteReference"/>
        </w:rPr>
        <w:footnoteRef/>
      </w:r>
      <w:r w:rsidRPr="00791CCA">
        <w:rPr>
          <w:lang w:val="fr-BE"/>
        </w:rPr>
        <w:tab/>
        <w:t xml:space="preserve">Institut finlandais de la statistique: </w:t>
      </w:r>
      <w:hyperlink r:id="rId3" w:history="1">
        <w:r w:rsidRPr="00791CCA">
          <w:rPr>
            <w:rStyle w:val="Hyperlink"/>
            <w:lang w:val="fr-BE"/>
          </w:rPr>
          <w:t>Työnvälitystilasto</w:t>
        </w:r>
      </w:hyperlink>
      <w:r w:rsidRPr="00791CCA">
        <w:rPr>
          <w:lang w:val="fr-BE"/>
        </w:rPr>
        <w:t xml:space="preserve"> </w:t>
      </w:r>
    </w:p>
  </w:footnote>
  <w:footnote w:id="10">
    <w:p w:rsidR="00C52717" w:rsidRPr="00791CCA" w:rsidRDefault="00C52717">
      <w:pPr>
        <w:pStyle w:val="FootnoteText"/>
        <w:rPr>
          <w:lang w:val="fr-BE"/>
        </w:rPr>
      </w:pPr>
      <w:r>
        <w:rPr>
          <w:rStyle w:val="FootnoteReference"/>
        </w:rPr>
        <w:footnoteRef/>
      </w:r>
      <w:r w:rsidRPr="00791CCA">
        <w:rPr>
          <w:lang w:val="fr-BE"/>
        </w:rPr>
        <w:tab/>
        <w:t xml:space="preserve">Institut finlandais de la statistique: </w:t>
      </w:r>
      <w:hyperlink r:id="rId4" w:history="1">
        <w:r w:rsidRPr="00791CCA">
          <w:rPr>
            <w:rStyle w:val="Hyperlink"/>
            <w:lang w:val="fr-BE"/>
          </w:rPr>
          <w:t xml:space="preserve">Työnvälitystilasto </w:t>
        </w:r>
      </w:hyperlink>
    </w:p>
  </w:footnote>
  <w:footnote w:id="11">
    <w:p w:rsidR="00FA4425" w:rsidRPr="00791CCA" w:rsidRDefault="00FA4425" w:rsidP="00FA4425">
      <w:pPr>
        <w:pStyle w:val="FootnoteText"/>
        <w:rPr>
          <w:lang w:val="fr-BE"/>
        </w:rPr>
      </w:pPr>
      <w:r>
        <w:rPr>
          <w:rStyle w:val="FootnoteReference"/>
        </w:rPr>
        <w:footnoteRef/>
      </w:r>
      <w:r w:rsidRPr="00791CCA">
        <w:rPr>
          <w:lang w:val="fr-BE"/>
        </w:rPr>
        <w:tab/>
        <w:t xml:space="preserve">Institut finlandais de la statistique: </w:t>
      </w:r>
      <w:hyperlink r:id="rId5" w:history="1">
        <w:r w:rsidRPr="00791CCA">
          <w:rPr>
            <w:rStyle w:val="Hyperlink"/>
            <w:lang w:val="fr-BE"/>
          </w:rPr>
          <w:t>Työnvälitystilasto</w:t>
        </w:r>
      </w:hyperlink>
      <w:r w:rsidRPr="00791CCA">
        <w:rPr>
          <w:lang w:val="fr-BE"/>
        </w:rPr>
        <w:t xml:space="preserve"> </w:t>
      </w:r>
    </w:p>
  </w:footnote>
  <w:footnote w:id="12">
    <w:p w:rsidR="00B45769" w:rsidRPr="00791CCA" w:rsidRDefault="00B45769">
      <w:pPr>
        <w:pStyle w:val="FootnoteText"/>
        <w:rPr>
          <w:lang w:val="fr-BE"/>
        </w:rPr>
      </w:pPr>
      <w:r>
        <w:rPr>
          <w:rStyle w:val="FootnoteReference"/>
        </w:rPr>
        <w:footnoteRef/>
      </w:r>
      <w:r w:rsidRPr="00791CCA">
        <w:rPr>
          <w:lang w:val="fr-BE"/>
        </w:rPr>
        <w:tab/>
        <w:t>CITE 0-2.</w:t>
      </w:r>
    </w:p>
  </w:footnote>
  <w:footnote w:id="13">
    <w:p w:rsidR="00B45769" w:rsidRPr="00791CCA" w:rsidRDefault="00B45769">
      <w:pPr>
        <w:pStyle w:val="FootnoteText"/>
        <w:rPr>
          <w:lang w:val="fr-BE"/>
        </w:rPr>
      </w:pPr>
      <w:r>
        <w:rPr>
          <w:rStyle w:val="FootnoteReference"/>
        </w:rPr>
        <w:footnoteRef/>
      </w:r>
      <w:r w:rsidRPr="00791CCA">
        <w:rPr>
          <w:lang w:val="fr-BE"/>
        </w:rPr>
        <w:tab/>
        <w:t>CITE 3.</w:t>
      </w:r>
    </w:p>
  </w:footnote>
  <w:footnote w:id="14">
    <w:p w:rsidR="00B45769" w:rsidRPr="00791CCA" w:rsidRDefault="00B45769">
      <w:pPr>
        <w:pStyle w:val="FootnoteText"/>
        <w:rPr>
          <w:lang w:val="fr-BE"/>
        </w:rPr>
      </w:pPr>
      <w:r>
        <w:rPr>
          <w:rStyle w:val="FootnoteReference"/>
        </w:rPr>
        <w:footnoteRef/>
      </w:r>
      <w:r w:rsidRPr="00791CCA">
        <w:rPr>
          <w:lang w:val="fr-BE"/>
        </w:rPr>
        <w:tab/>
        <w:t>CITE 4.</w:t>
      </w:r>
    </w:p>
  </w:footnote>
  <w:footnote w:id="15">
    <w:p w:rsidR="00B45769" w:rsidRPr="00791CCA" w:rsidRDefault="00B45769">
      <w:pPr>
        <w:pStyle w:val="FootnoteText"/>
        <w:rPr>
          <w:lang w:val="fr-BE"/>
        </w:rPr>
      </w:pPr>
      <w:r>
        <w:rPr>
          <w:rStyle w:val="FootnoteReference"/>
        </w:rPr>
        <w:footnoteRef/>
      </w:r>
      <w:r w:rsidRPr="00791CCA">
        <w:rPr>
          <w:lang w:val="fr-BE"/>
        </w:rPr>
        <w:tab/>
        <w:t>CITE 5-8.</w:t>
      </w:r>
    </w:p>
  </w:footnote>
  <w:footnote w:id="16">
    <w:p w:rsidR="001A62D7" w:rsidRPr="00791CCA" w:rsidRDefault="001A62D7" w:rsidP="001A62D7">
      <w:pPr>
        <w:pStyle w:val="FootnoteText"/>
        <w:rPr>
          <w:lang w:val="fr-BE"/>
        </w:rPr>
      </w:pPr>
      <w:r>
        <w:rPr>
          <w:rStyle w:val="FootnoteReference"/>
        </w:rPr>
        <w:footnoteRef/>
      </w:r>
      <w:r w:rsidRPr="00791CCA">
        <w:rPr>
          <w:lang w:val="fr-BE"/>
        </w:rPr>
        <w:tab/>
        <w:t>Afin d’éviter les décimales, les coûts estimés par travailleur ont été arrondis. Cela n’a néanmoins aucune incidence sur le coût total de chaque mesure, qui reste identique à celui indiqué dans la demande présentée par la Finlande.</w:t>
      </w:r>
    </w:p>
  </w:footnote>
  <w:footnote w:id="17">
    <w:p w:rsidR="001A62D7" w:rsidRPr="00791CCA" w:rsidRDefault="001A62D7" w:rsidP="001A62D7">
      <w:pPr>
        <w:pStyle w:val="FootnoteText"/>
        <w:rPr>
          <w:lang w:val="fr-BE"/>
        </w:rPr>
      </w:pPr>
      <w:r>
        <w:rPr>
          <w:rStyle w:val="FootnoteReference"/>
        </w:rPr>
        <w:footnoteRef/>
      </w:r>
      <w:r w:rsidRPr="00791CCA">
        <w:rPr>
          <w:lang w:val="fr-BE"/>
        </w:rPr>
        <w:tab/>
        <w:t>Le total diffère de la somme des rubriques en raison de l’arrondi.</w:t>
      </w:r>
    </w:p>
  </w:footnote>
  <w:footnote w:id="18">
    <w:p w:rsidR="001A62D7" w:rsidRPr="00791CCA" w:rsidRDefault="001A62D7" w:rsidP="001A62D7">
      <w:pPr>
        <w:pStyle w:val="FootnoteText"/>
        <w:rPr>
          <w:lang w:val="fr-BE"/>
        </w:rPr>
      </w:pPr>
      <w:r>
        <w:rPr>
          <w:rStyle w:val="FootnoteReference"/>
        </w:rPr>
        <w:footnoteRef/>
      </w:r>
      <w:r w:rsidRPr="00791CCA">
        <w:rPr>
          <w:lang w:val="fr-BE"/>
        </w:rPr>
        <w:tab/>
        <w:t xml:space="preserve">JO L 433 I du 22.12.2020, p. 11, ELI: http://data.europa.eu/eli/reg/2020/2093/oj. </w:t>
      </w:r>
    </w:p>
  </w:footnote>
  <w:footnote w:id="19">
    <w:p w:rsidR="001A62D7" w:rsidRPr="00791CCA" w:rsidRDefault="001A62D7" w:rsidP="001A62D7">
      <w:pPr>
        <w:pStyle w:val="FootnoteText"/>
        <w:rPr>
          <w:lang w:val="fr-BE"/>
        </w:rPr>
      </w:pPr>
      <w:r>
        <w:rPr>
          <w:rStyle w:val="FootnoteReference"/>
        </w:rPr>
        <w:footnoteRef/>
      </w:r>
      <w:r w:rsidRPr="00791CCA">
        <w:rPr>
          <w:lang w:val="fr-BE"/>
        </w:rPr>
        <w:tab/>
        <w:t xml:space="preserve">JO L 433 I du 22.12.2020, p. 28, ELI: http://data.europa.eu/eli/agree_interinstit/2020/1222/oj. </w:t>
      </w:r>
    </w:p>
  </w:footnote>
  <w:footnote w:id="20">
    <w:p w:rsidR="001A62D7" w:rsidRPr="00791CCA" w:rsidRDefault="001A62D7" w:rsidP="001A62D7">
      <w:pPr>
        <w:pStyle w:val="FootnoteText"/>
        <w:rPr>
          <w:lang w:val="fr-BE"/>
        </w:rPr>
      </w:pPr>
      <w:r>
        <w:rPr>
          <w:rStyle w:val="FootnoteReference"/>
        </w:rPr>
        <w:footnoteRef/>
      </w:r>
      <w:r w:rsidRPr="00791CCA">
        <w:rPr>
          <w:lang w:val="fr-BE"/>
        </w:rPr>
        <w:tab/>
        <w:t xml:space="preserve">Règlement (UE, Euratom) 2024/2509 du Parlement européen et du Conseil du 23 septembre 2024 relatif aux règles financières applicables au budget général de l’Union (refonte), JO L, 2024/2509, 26.9.2024, ELI: http://data.europa.eu/eli/reg/2024/2509/oj. </w:t>
      </w:r>
    </w:p>
  </w:footnote>
  <w:footnote w:id="21">
    <w:p w:rsidR="001A62D7" w:rsidRPr="00791CCA" w:rsidRDefault="001A62D7" w:rsidP="001A62D7">
      <w:pPr>
        <w:pStyle w:val="FootnoteText"/>
        <w:rPr>
          <w:lang w:val="fr-BE"/>
        </w:rPr>
      </w:pPr>
      <w:r>
        <w:rPr>
          <w:rStyle w:val="FootnoteReference"/>
        </w:rPr>
        <w:footnoteRef/>
      </w:r>
      <w:r w:rsidRPr="00791CCA">
        <w:rPr>
          <w:lang w:val="fr-BE"/>
        </w:rPr>
        <w:tab/>
        <w:t xml:space="preserve">JO L 153 du 3.5.2021, p. 48, ELI: http://data.europa.eu/eli/reg/2021/691/oj. </w:t>
      </w:r>
    </w:p>
  </w:footnote>
  <w:footnote w:id="22">
    <w:p w:rsidR="001A62D7" w:rsidRPr="00791CCA" w:rsidRDefault="001A62D7" w:rsidP="001A62D7">
      <w:pPr>
        <w:pStyle w:val="FootnoteText"/>
        <w:rPr>
          <w:lang w:val="fr-BE"/>
        </w:rPr>
      </w:pPr>
      <w:r>
        <w:rPr>
          <w:rStyle w:val="FootnoteReference"/>
        </w:rPr>
        <w:footnoteRef/>
      </w:r>
      <w:r w:rsidRPr="00791CCA">
        <w:rPr>
          <w:lang w:val="fr-BE"/>
        </w:rPr>
        <w:tab/>
        <w:t xml:space="preserve">JO L 433 I du 22.12.2020, p. 28, ELI: http://data.europa.eu/eli/agree_interinstit/2020/1222/oj. </w:t>
      </w:r>
    </w:p>
  </w:footnote>
  <w:footnote w:id="23">
    <w:p w:rsidR="001A62D7" w:rsidRPr="00791CCA" w:rsidRDefault="001A62D7" w:rsidP="001A62D7">
      <w:pPr>
        <w:pStyle w:val="FootnoteText"/>
        <w:rPr>
          <w:lang w:val="fr-BE"/>
        </w:rPr>
      </w:pPr>
      <w:r>
        <w:rPr>
          <w:rStyle w:val="FootnoteReference"/>
        </w:rPr>
        <w:footnoteRef/>
      </w:r>
      <w:r w:rsidRPr="00791CCA">
        <w:rPr>
          <w:lang w:val="fr-BE"/>
        </w:rPr>
        <w:tab/>
        <w:t>Règlement (UE, Euratom) 2020/2093 du Conseil du 17 décembre 2020 fixant le cadre financier pluriannuel pour les années 2021 à 2027 (JO L 433 I du 22.12.2020, p. 11, ELI: http://data.europa.eu/eli/reg/2020/2093/oj).</w:t>
      </w:r>
    </w:p>
  </w:footnote>
  <w:footnote w:id="24">
    <w:p w:rsidR="001A62D7" w:rsidRPr="00791CCA" w:rsidRDefault="001A62D7" w:rsidP="001A62D7">
      <w:pPr>
        <w:pStyle w:val="FootnoteText"/>
        <w:rPr>
          <w:lang w:val="fr-BE"/>
        </w:rPr>
      </w:pPr>
      <w:r>
        <w:rPr>
          <w:rStyle w:val="FootnoteReference"/>
        </w:rPr>
        <w:footnoteRef/>
      </w:r>
      <w:r w:rsidRPr="00791CCA">
        <w:rPr>
          <w:lang w:val="fr-BE"/>
        </w:rPr>
        <w:tab/>
        <w:t>COM(2026) 400.</w:t>
      </w:r>
    </w:p>
  </w:footnote>
  <w:footnote w:id="25">
    <w:p w:rsidR="00EC0935" w:rsidRPr="00791CCA" w:rsidRDefault="00EC0935" w:rsidP="00EC0935">
      <w:pPr>
        <w:pStyle w:val="FootnoteText"/>
        <w:rPr>
          <w:lang w:val="fr-BE"/>
        </w:rPr>
      </w:pPr>
      <w:r w:rsidRPr="00791CCA">
        <w:rPr>
          <w:rStyle w:val="FootnoteReference"/>
          <w:lang w:val="fr-BE"/>
        </w:rPr>
        <w:t>*</w:t>
      </w:r>
      <w:r w:rsidRPr="00791CCA">
        <w:rPr>
          <w:lang w:val="fr-BE"/>
        </w:rPr>
        <w:tab/>
      </w:r>
      <w:r w:rsidRPr="00791CCA">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Default="00DD1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28D" w:rsidRDefault="00DD1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1 18:04: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B4204FD-57A2-4102-8022-67BCA6B6B264"/>
    <w:docVar w:name="LW_COVERPAGE_TYPE" w:val="1"/>
    <w:docVar w:name="LW_CreatedUtc" w:val="2025-02-03T12:09:04.7855178Z"/>
    <w:docVar w:name="LW_CROSSREFERENCE" w:val="&lt;UNUSED&gt;"/>
    <w:docVar w:name="LW_DocType" w:val="COM"/>
    <w:docVar w:name="LW_EMISSION" w:val="24.7.2026"/>
    <w:docVar w:name="LW_EMISSION_ISODATE" w:val="2026-07-24"/>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220"/>
    <w:docVar w:name="LW_REF.II.NEW.CP_YEAR" w:val="2026"/>
    <w:docVar w:name="LW_REF.INST.NEW" w:val="COM"/>
    <w:docVar w:name="LW_REF.INST.NEW_ADOPTED" w:val="final"/>
    <w:docVar w:name="LW_REF.INST.NEW_TEXT" w:val="(2026) 4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Finlande (EGF/2026/003 FI/Valmet Automotive)"/>
    <w:docVar w:name="LW_TYPE.DOC.CP" w:val="DÉCISION DU PARLEMENT EUROPÉEN ET DU CONSEIL"/>
    <w:docVar w:name="LwApiVersions" w:val="LW4CoDe 1.24.5.0; LW 9.2, Build 20251112"/>
  </w:docVars>
  <w:rsids>
    <w:rsidRoot w:val="001A62D7"/>
    <w:rsid w:val="00004EB3"/>
    <w:rsid w:val="000125BE"/>
    <w:rsid w:val="00023F90"/>
    <w:rsid w:val="00024087"/>
    <w:rsid w:val="000269AE"/>
    <w:rsid w:val="00030AE7"/>
    <w:rsid w:val="00051AD2"/>
    <w:rsid w:val="00053DDE"/>
    <w:rsid w:val="00054608"/>
    <w:rsid w:val="00054BC8"/>
    <w:rsid w:val="000609C3"/>
    <w:rsid w:val="00061791"/>
    <w:rsid w:val="00067E6D"/>
    <w:rsid w:val="00070B81"/>
    <w:rsid w:val="00072208"/>
    <w:rsid w:val="00076604"/>
    <w:rsid w:val="000A20E1"/>
    <w:rsid w:val="000A2E5C"/>
    <w:rsid w:val="000A6D47"/>
    <w:rsid w:val="000A75B9"/>
    <w:rsid w:val="000B1FE1"/>
    <w:rsid w:val="000B44A2"/>
    <w:rsid w:val="000B4824"/>
    <w:rsid w:val="000B7C62"/>
    <w:rsid w:val="000C7F45"/>
    <w:rsid w:val="000D1507"/>
    <w:rsid w:val="000D3622"/>
    <w:rsid w:val="000D734A"/>
    <w:rsid w:val="000E18E5"/>
    <w:rsid w:val="000E1A08"/>
    <w:rsid w:val="000E28CA"/>
    <w:rsid w:val="000E7A0D"/>
    <w:rsid w:val="000F2ECE"/>
    <w:rsid w:val="000F3FBB"/>
    <w:rsid w:val="000F601E"/>
    <w:rsid w:val="001065F5"/>
    <w:rsid w:val="00113B50"/>
    <w:rsid w:val="00121B5E"/>
    <w:rsid w:val="001238EF"/>
    <w:rsid w:val="00125A6E"/>
    <w:rsid w:val="00130162"/>
    <w:rsid w:val="00137920"/>
    <w:rsid w:val="001425E8"/>
    <w:rsid w:val="00147C69"/>
    <w:rsid w:val="001501F1"/>
    <w:rsid w:val="00160671"/>
    <w:rsid w:val="001635F4"/>
    <w:rsid w:val="0016531C"/>
    <w:rsid w:val="0016558E"/>
    <w:rsid w:val="0016637D"/>
    <w:rsid w:val="00173D49"/>
    <w:rsid w:val="00175BF1"/>
    <w:rsid w:val="001765F3"/>
    <w:rsid w:val="00181DB4"/>
    <w:rsid w:val="00184ABC"/>
    <w:rsid w:val="00192631"/>
    <w:rsid w:val="00193BC3"/>
    <w:rsid w:val="00194F20"/>
    <w:rsid w:val="00197613"/>
    <w:rsid w:val="001A0466"/>
    <w:rsid w:val="001A35CA"/>
    <w:rsid w:val="001A62D7"/>
    <w:rsid w:val="001B1932"/>
    <w:rsid w:val="001B2E14"/>
    <w:rsid w:val="001B6735"/>
    <w:rsid w:val="001B771C"/>
    <w:rsid w:val="001C0746"/>
    <w:rsid w:val="001C5556"/>
    <w:rsid w:val="001C6959"/>
    <w:rsid w:val="001D2C71"/>
    <w:rsid w:val="001D5BFF"/>
    <w:rsid w:val="001E1AFF"/>
    <w:rsid w:val="001E1B79"/>
    <w:rsid w:val="00204907"/>
    <w:rsid w:val="00206E7F"/>
    <w:rsid w:val="00211138"/>
    <w:rsid w:val="002156AF"/>
    <w:rsid w:val="00222D38"/>
    <w:rsid w:val="00225C7B"/>
    <w:rsid w:val="002322CE"/>
    <w:rsid w:val="00233DC7"/>
    <w:rsid w:val="002344E7"/>
    <w:rsid w:val="00241A60"/>
    <w:rsid w:val="00247779"/>
    <w:rsid w:val="00255F20"/>
    <w:rsid w:val="00261F2A"/>
    <w:rsid w:val="00266CE5"/>
    <w:rsid w:val="00274D6E"/>
    <w:rsid w:val="002826E9"/>
    <w:rsid w:val="00285BEE"/>
    <w:rsid w:val="0029533F"/>
    <w:rsid w:val="00297D5D"/>
    <w:rsid w:val="002A057B"/>
    <w:rsid w:val="002A22AB"/>
    <w:rsid w:val="002B30AF"/>
    <w:rsid w:val="002C22A1"/>
    <w:rsid w:val="002C32FA"/>
    <w:rsid w:val="002C4437"/>
    <w:rsid w:val="002C4839"/>
    <w:rsid w:val="002C7E98"/>
    <w:rsid w:val="002D5A3B"/>
    <w:rsid w:val="002F24C0"/>
    <w:rsid w:val="002F272F"/>
    <w:rsid w:val="002F3C4B"/>
    <w:rsid w:val="002F6AC0"/>
    <w:rsid w:val="002F6E41"/>
    <w:rsid w:val="002F6ED0"/>
    <w:rsid w:val="00300D14"/>
    <w:rsid w:val="003038E0"/>
    <w:rsid w:val="00314A5F"/>
    <w:rsid w:val="00324478"/>
    <w:rsid w:val="00330C89"/>
    <w:rsid w:val="00331700"/>
    <w:rsid w:val="0033344A"/>
    <w:rsid w:val="00336001"/>
    <w:rsid w:val="00337D9F"/>
    <w:rsid w:val="00343014"/>
    <w:rsid w:val="00344B82"/>
    <w:rsid w:val="00346CC8"/>
    <w:rsid w:val="00346FE2"/>
    <w:rsid w:val="00353D58"/>
    <w:rsid w:val="0036303C"/>
    <w:rsid w:val="0036684B"/>
    <w:rsid w:val="00370469"/>
    <w:rsid w:val="00373CEB"/>
    <w:rsid w:val="00391E94"/>
    <w:rsid w:val="003A0B2C"/>
    <w:rsid w:val="003A4EE2"/>
    <w:rsid w:val="003B342B"/>
    <w:rsid w:val="003B4A79"/>
    <w:rsid w:val="003D0A5F"/>
    <w:rsid w:val="003D19FA"/>
    <w:rsid w:val="003D261D"/>
    <w:rsid w:val="003D5C86"/>
    <w:rsid w:val="003E20C4"/>
    <w:rsid w:val="003E37DE"/>
    <w:rsid w:val="003E3B3A"/>
    <w:rsid w:val="003E6EDD"/>
    <w:rsid w:val="003F60EF"/>
    <w:rsid w:val="003F6FCC"/>
    <w:rsid w:val="0041603A"/>
    <w:rsid w:val="004223ED"/>
    <w:rsid w:val="00424C7A"/>
    <w:rsid w:val="0042648E"/>
    <w:rsid w:val="004302CE"/>
    <w:rsid w:val="0043146A"/>
    <w:rsid w:val="00434E5B"/>
    <w:rsid w:val="00437F72"/>
    <w:rsid w:val="004434AB"/>
    <w:rsid w:val="00443B2E"/>
    <w:rsid w:val="00443EEB"/>
    <w:rsid w:val="0044569F"/>
    <w:rsid w:val="00447FE9"/>
    <w:rsid w:val="00464552"/>
    <w:rsid w:val="00467D58"/>
    <w:rsid w:val="00472D66"/>
    <w:rsid w:val="00477AB6"/>
    <w:rsid w:val="00482025"/>
    <w:rsid w:val="00492DDE"/>
    <w:rsid w:val="004936D2"/>
    <w:rsid w:val="004A18A9"/>
    <w:rsid w:val="004A22F7"/>
    <w:rsid w:val="004A7C1A"/>
    <w:rsid w:val="004B6215"/>
    <w:rsid w:val="004C3C5B"/>
    <w:rsid w:val="004C50D9"/>
    <w:rsid w:val="004C5DC2"/>
    <w:rsid w:val="004C7017"/>
    <w:rsid w:val="004C7923"/>
    <w:rsid w:val="004D6C79"/>
    <w:rsid w:val="004D6C9E"/>
    <w:rsid w:val="004D7D3D"/>
    <w:rsid w:val="004E39EE"/>
    <w:rsid w:val="004F5528"/>
    <w:rsid w:val="005028D6"/>
    <w:rsid w:val="00515D18"/>
    <w:rsid w:val="00517E70"/>
    <w:rsid w:val="00526266"/>
    <w:rsid w:val="005277E4"/>
    <w:rsid w:val="00537A4D"/>
    <w:rsid w:val="00541A61"/>
    <w:rsid w:val="00541CE5"/>
    <w:rsid w:val="005434B0"/>
    <w:rsid w:val="00545AD1"/>
    <w:rsid w:val="00546FB3"/>
    <w:rsid w:val="005520A5"/>
    <w:rsid w:val="0055444B"/>
    <w:rsid w:val="00561E81"/>
    <w:rsid w:val="00564A03"/>
    <w:rsid w:val="00567057"/>
    <w:rsid w:val="00582F9D"/>
    <w:rsid w:val="005831B7"/>
    <w:rsid w:val="00586801"/>
    <w:rsid w:val="00592810"/>
    <w:rsid w:val="00594365"/>
    <w:rsid w:val="005A158F"/>
    <w:rsid w:val="005A356F"/>
    <w:rsid w:val="005A40BF"/>
    <w:rsid w:val="005A7F9F"/>
    <w:rsid w:val="005B1EB6"/>
    <w:rsid w:val="005D41A3"/>
    <w:rsid w:val="005E047F"/>
    <w:rsid w:val="005E07A3"/>
    <w:rsid w:val="005E6250"/>
    <w:rsid w:val="005E6A35"/>
    <w:rsid w:val="0060036F"/>
    <w:rsid w:val="00605A59"/>
    <w:rsid w:val="00613344"/>
    <w:rsid w:val="0064043B"/>
    <w:rsid w:val="006443EB"/>
    <w:rsid w:val="00650C65"/>
    <w:rsid w:val="00653208"/>
    <w:rsid w:val="00655010"/>
    <w:rsid w:val="006741F5"/>
    <w:rsid w:val="00684209"/>
    <w:rsid w:val="006864B5"/>
    <w:rsid w:val="006905BD"/>
    <w:rsid w:val="006A04E8"/>
    <w:rsid w:val="006B015D"/>
    <w:rsid w:val="006C28EC"/>
    <w:rsid w:val="006D046C"/>
    <w:rsid w:val="006D4198"/>
    <w:rsid w:val="006D5AA9"/>
    <w:rsid w:val="006D7F70"/>
    <w:rsid w:val="006E53E9"/>
    <w:rsid w:val="006F08F6"/>
    <w:rsid w:val="006F170C"/>
    <w:rsid w:val="006F274D"/>
    <w:rsid w:val="006F3D6A"/>
    <w:rsid w:val="0070088B"/>
    <w:rsid w:val="00713BEE"/>
    <w:rsid w:val="007215B4"/>
    <w:rsid w:val="00731699"/>
    <w:rsid w:val="00731F25"/>
    <w:rsid w:val="00737F90"/>
    <w:rsid w:val="00737FB8"/>
    <w:rsid w:val="0074158B"/>
    <w:rsid w:val="007452BA"/>
    <w:rsid w:val="00745B3E"/>
    <w:rsid w:val="0075483B"/>
    <w:rsid w:val="00772A4E"/>
    <w:rsid w:val="00773331"/>
    <w:rsid w:val="00784BFE"/>
    <w:rsid w:val="00786548"/>
    <w:rsid w:val="00791943"/>
    <w:rsid w:val="00791CCA"/>
    <w:rsid w:val="007932EF"/>
    <w:rsid w:val="00793F72"/>
    <w:rsid w:val="0079639E"/>
    <w:rsid w:val="00797902"/>
    <w:rsid w:val="007A1355"/>
    <w:rsid w:val="007A26EC"/>
    <w:rsid w:val="007A3244"/>
    <w:rsid w:val="007A3441"/>
    <w:rsid w:val="007B2437"/>
    <w:rsid w:val="007C4F40"/>
    <w:rsid w:val="007D02B4"/>
    <w:rsid w:val="007D6186"/>
    <w:rsid w:val="007E05B0"/>
    <w:rsid w:val="007E0D46"/>
    <w:rsid w:val="007E3186"/>
    <w:rsid w:val="007E3251"/>
    <w:rsid w:val="007F5F1C"/>
    <w:rsid w:val="00802C8A"/>
    <w:rsid w:val="0081439C"/>
    <w:rsid w:val="00816D3C"/>
    <w:rsid w:val="008179C7"/>
    <w:rsid w:val="00817ABA"/>
    <w:rsid w:val="00825362"/>
    <w:rsid w:val="008327B7"/>
    <w:rsid w:val="00837D49"/>
    <w:rsid w:val="00842DE2"/>
    <w:rsid w:val="00845D9D"/>
    <w:rsid w:val="00856DAE"/>
    <w:rsid w:val="00865240"/>
    <w:rsid w:val="00867418"/>
    <w:rsid w:val="0087281C"/>
    <w:rsid w:val="00874D22"/>
    <w:rsid w:val="00883BBD"/>
    <w:rsid w:val="00886CAA"/>
    <w:rsid w:val="008875E5"/>
    <w:rsid w:val="00891B7E"/>
    <w:rsid w:val="00892FFD"/>
    <w:rsid w:val="0089437D"/>
    <w:rsid w:val="0089565D"/>
    <w:rsid w:val="008A2914"/>
    <w:rsid w:val="008A443E"/>
    <w:rsid w:val="008A70ED"/>
    <w:rsid w:val="008A792E"/>
    <w:rsid w:val="008B19CB"/>
    <w:rsid w:val="008B2B26"/>
    <w:rsid w:val="008C164E"/>
    <w:rsid w:val="008D2433"/>
    <w:rsid w:val="008D3624"/>
    <w:rsid w:val="008E1BA8"/>
    <w:rsid w:val="008E4D8E"/>
    <w:rsid w:val="008E569A"/>
    <w:rsid w:val="008E6DE5"/>
    <w:rsid w:val="008F04F1"/>
    <w:rsid w:val="008F0EA0"/>
    <w:rsid w:val="008F3FFD"/>
    <w:rsid w:val="008F50D6"/>
    <w:rsid w:val="008F5FE1"/>
    <w:rsid w:val="00900D9C"/>
    <w:rsid w:val="009020F6"/>
    <w:rsid w:val="009027EB"/>
    <w:rsid w:val="00903FB0"/>
    <w:rsid w:val="00904CED"/>
    <w:rsid w:val="009102F0"/>
    <w:rsid w:val="00910A62"/>
    <w:rsid w:val="00912C2F"/>
    <w:rsid w:val="0091490B"/>
    <w:rsid w:val="00916973"/>
    <w:rsid w:val="00921A89"/>
    <w:rsid w:val="0092760C"/>
    <w:rsid w:val="0092772A"/>
    <w:rsid w:val="00931AD2"/>
    <w:rsid w:val="00935E3E"/>
    <w:rsid w:val="009432D6"/>
    <w:rsid w:val="009443AD"/>
    <w:rsid w:val="0095785B"/>
    <w:rsid w:val="00962972"/>
    <w:rsid w:val="00971957"/>
    <w:rsid w:val="009736AA"/>
    <w:rsid w:val="009744E2"/>
    <w:rsid w:val="00974BC9"/>
    <w:rsid w:val="00984952"/>
    <w:rsid w:val="0098603A"/>
    <w:rsid w:val="0099392B"/>
    <w:rsid w:val="00997C74"/>
    <w:rsid w:val="009A476A"/>
    <w:rsid w:val="009A5BDA"/>
    <w:rsid w:val="009A5C2E"/>
    <w:rsid w:val="009B0829"/>
    <w:rsid w:val="009B2B57"/>
    <w:rsid w:val="009C2DEC"/>
    <w:rsid w:val="009C50F6"/>
    <w:rsid w:val="009D1AB4"/>
    <w:rsid w:val="009D6A18"/>
    <w:rsid w:val="009F458A"/>
    <w:rsid w:val="00A1041A"/>
    <w:rsid w:val="00A10D3E"/>
    <w:rsid w:val="00A1442E"/>
    <w:rsid w:val="00A17A78"/>
    <w:rsid w:val="00A22553"/>
    <w:rsid w:val="00A256BF"/>
    <w:rsid w:val="00A265D8"/>
    <w:rsid w:val="00A31E6D"/>
    <w:rsid w:val="00A33965"/>
    <w:rsid w:val="00A351FE"/>
    <w:rsid w:val="00A41192"/>
    <w:rsid w:val="00A417A1"/>
    <w:rsid w:val="00A50DD1"/>
    <w:rsid w:val="00A57B75"/>
    <w:rsid w:val="00A63547"/>
    <w:rsid w:val="00A66F09"/>
    <w:rsid w:val="00A72597"/>
    <w:rsid w:val="00A746AB"/>
    <w:rsid w:val="00A77172"/>
    <w:rsid w:val="00A879D3"/>
    <w:rsid w:val="00A901F8"/>
    <w:rsid w:val="00A91F9A"/>
    <w:rsid w:val="00AA088C"/>
    <w:rsid w:val="00AA4C67"/>
    <w:rsid w:val="00AA59F5"/>
    <w:rsid w:val="00AA6694"/>
    <w:rsid w:val="00AB01C3"/>
    <w:rsid w:val="00AC3AEF"/>
    <w:rsid w:val="00AC69F6"/>
    <w:rsid w:val="00AD62A8"/>
    <w:rsid w:val="00AE446F"/>
    <w:rsid w:val="00AF2836"/>
    <w:rsid w:val="00B04911"/>
    <w:rsid w:val="00B0521D"/>
    <w:rsid w:val="00B11428"/>
    <w:rsid w:val="00B126CD"/>
    <w:rsid w:val="00B16D40"/>
    <w:rsid w:val="00B2054F"/>
    <w:rsid w:val="00B229DB"/>
    <w:rsid w:val="00B229E2"/>
    <w:rsid w:val="00B24C2C"/>
    <w:rsid w:val="00B25EF1"/>
    <w:rsid w:val="00B27A37"/>
    <w:rsid w:val="00B33A23"/>
    <w:rsid w:val="00B401FA"/>
    <w:rsid w:val="00B44AFA"/>
    <w:rsid w:val="00B45769"/>
    <w:rsid w:val="00B46720"/>
    <w:rsid w:val="00B53F62"/>
    <w:rsid w:val="00B53FAA"/>
    <w:rsid w:val="00B71ACA"/>
    <w:rsid w:val="00B72C22"/>
    <w:rsid w:val="00B75014"/>
    <w:rsid w:val="00B75419"/>
    <w:rsid w:val="00B76851"/>
    <w:rsid w:val="00B77905"/>
    <w:rsid w:val="00B83D1B"/>
    <w:rsid w:val="00B92FDB"/>
    <w:rsid w:val="00B958F2"/>
    <w:rsid w:val="00BA2DF6"/>
    <w:rsid w:val="00BA76D1"/>
    <w:rsid w:val="00BC0F8C"/>
    <w:rsid w:val="00BC333F"/>
    <w:rsid w:val="00BD4AB4"/>
    <w:rsid w:val="00BD7438"/>
    <w:rsid w:val="00BE00B2"/>
    <w:rsid w:val="00BE4770"/>
    <w:rsid w:val="00BE58D3"/>
    <w:rsid w:val="00BF0DB9"/>
    <w:rsid w:val="00C06C7D"/>
    <w:rsid w:val="00C12301"/>
    <w:rsid w:val="00C129C8"/>
    <w:rsid w:val="00C13E42"/>
    <w:rsid w:val="00C159D0"/>
    <w:rsid w:val="00C17426"/>
    <w:rsid w:val="00C20148"/>
    <w:rsid w:val="00C20B57"/>
    <w:rsid w:val="00C220AF"/>
    <w:rsid w:val="00C22D01"/>
    <w:rsid w:val="00C262D6"/>
    <w:rsid w:val="00C267CB"/>
    <w:rsid w:val="00C26AE4"/>
    <w:rsid w:val="00C3424D"/>
    <w:rsid w:val="00C3491B"/>
    <w:rsid w:val="00C36DE7"/>
    <w:rsid w:val="00C37049"/>
    <w:rsid w:val="00C440FE"/>
    <w:rsid w:val="00C52717"/>
    <w:rsid w:val="00C6699C"/>
    <w:rsid w:val="00C82F9F"/>
    <w:rsid w:val="00C8368A"/>
    <w:rsid w:val="00C84B39"/>
    <w:rsid w:val="00C84E77"/>
    <w:rsid w:val="00C9396A"/>
    <w:rsid w:val="00C973E2"/>
    <w:rsid w:val="00CB1E54"/>
    <w:rsid w:val="00CB6D22"/>
    <w:rsid w:val="00CC17D6"/>
    <w:rsid w:val="00CC1CB2"/>
    <w:rsid w:val="00CC2F27"/>
    <w:rsid w:val="00CC36CA"/>
    <w:rsid w:val="00CC41A9"/>
    <w:rsid w:val="00CC4703"/>
    <w:rsid w:val="00CC78E1"/>
    <w:rsid w:val="00CD38FE"/>
    <w:rsid w:val="00CD3DB7"/>
    <w:rsid w:val="00CD42B6"/>
    <w:rsid w:val="00CD50CD"/>
    <w:rsid w:val="00CD7042"/>
    <w:rsid w:val="00CE2FB0"/>
    <w:rsid w:val="00CE63C3"/>
    <w:rsid w:val="00CF73DD"/>
    <w:rsid w:val="00D04DD1"/>
    <w:rsid w:val="00D11095"/>
    <w:rsid w:val="00D20381"/>
    <w:rsid w:val="00D235E6"/>
    <w:rsid w:val="00D25904"/>
    <w:rsid w:val="00D32A53"/>
    <w:rsid w:val="00D42B24"/>
    <w:rsid w:val="00D54F1D"/>
    <w:rsid w:val="00D60158"/>
    <w:rsid w:val="00D66C9C"/>
    <w:rsid w:val="00D67714"/>
    <w:rsid w:val="00D82A16"/>
    <w:rsid w:val="00D935F5"/>
    <w:rsid w:val="00D93ACC"/>
    <w:rsid w:val="00DA2419"/>
    <w:rsid w:val="00DA31D6"/>
    <w:rsid w:val="00DA3E34"/>
    <w:rsid w:val="00DA508D"/>
    <w:rsid w:val="00DA7337"/>
    <w:rsid w:val="00DB1DD2"/>
    <w:rsid w:val="00DB3FF9"/>
    <w:rsid w:val="00DD128D"/>
    <w:rsid w:val="00DD5180"/>
    <w:rsid w:val="00DE079D"/>
    <w:rsid w:val="00DF1166"/>
    <w:rsid w:val="00DF1A65"/>
    <w:rsid w:val="00DF4E7E"/>
    <w:rsid w:val="00DF797F"/>
    <w:rsid w:val="00E035DE"/>
    <w:rsid w:val="00E1163B"/>
    <w:rsid w:val="00E11A22"/>
    <w:rsid w:val="00E13727"/>
    <w:rsid w:val="00E13FA6"/>
    <w:rsid w:val="00E2169E"/>
    <w:rsid w:val="00E22EAF"/>
    <w:rsid w:val="00E346FB"/>
    <w:rsid w:val="00E355E4"/>
    <w:rsid w:val="00E36FCE"/>
    <w:rsid w:val="00E47030"/>
    <w:rsid w:val="00E47944"/>
    <w:rsid w:val="00E5301D"/>
    <w:rsid w:val="00E55FFC"/>
    <w:rsid w:val="00E67BF8"/>
    <w:rsid w:val="00E80EA5"/>
    <w:rsid w:val="00E83703"/>
    <w:rsid w:val="00E914FA"/>
    <w:rsid w:val="00EA127B"/>
    <w:rsid w:val="00EA2FDF"/>
    <w:rsid w:val="00EA4057"/>
    <w:rsid w:val="00EA5827"/>
    <w:rsid w:val="00EB28DE"/>
    <w:rsid w:val="00EC0935"/>
    <w:rsid w:val="00EC0CDD"/>
    <w:rsid w:val="00EC30D5"/>
    <w:rsid w:val="00EC37C0"/>
    <w:rsid w:val="00EC6F00"/>
    <w:rsid w:val="00ED2F49"/>
    <w:rsid w:val="00ED6F0C"/>
    <w:rsid w:val="00EE2A20"/>
    <w:rsid w:val="00EE2D3F"/>
    <w:rsid w:val="00EE6613"/>
    <w:rsid w:val="00EE6FC7"/>
    <w:rsid w:val="00EF1BDE"/>
    <w:rsid w:val="00EF3483"/>
    <w:rsid w:val="00EF7072"/>
    <w:rsid w:val="00F01C2E"/>
    <w:rsid w:val="00F027DD"/>
    <w:rsid w:val="00F03387"/>
    <w:rsid w:val="00F07A76"/>
    <w:rsid w:val="00F1371F"/>
    <w:rsid w:val="00F15865"/>
    <w:rsid w:val="00F245C1"/>
    <w:rsid w:val="00F2491B"/>
    <w:rsid w:val="00F25749"/>
    <w:rsid w:val="00F25CC3"/>
    <w:rsid w:val="00F36E8F"/>
    <w:rsid w:val="00F40349"/>
    <w:rsid w:val="00F42380"/>
    <w:rsid w:val="00F45CF2"/>
    <w:rsid w:val="00F6213D"/>
    <w:rsid w:val="00F627F3"/>
    <w:rsid w:val="00F6649C"/>
    <w:rsid w:val="00F70735"/>
    <w:rsid w:val="00F71369"/>
    <w:rsid w:val="00F71468"/>
    <w:rsid w:val="00F74C55"/>
    <w:rsid w:val="00F80C79"/>
    <w:rsid w:val="00F90936"/>
    <w:rsid w:val="00FA1B23"/>
    <w:rsid w:val="00FA25DA"/>
    <w:rsid w:val="00FA4425"/>
    <w:rsid w:val="00FB2121"/>
    <w:rsid w:val="00FB23E4"/>
    <w:rsid w:val="00FB3312"/>
    <w:rsid w:val="00FB4CE0"/>
    <w:rsid w:val="00FC38F8"/>
    <w:rsid w:val="00FC6C00"/>
    <w:rsid w:val="00FD2303"/>
    <w:rsid w:val="00FD42B2"/>
    <w:rsid w:val="00FE0A29"/>
    <w:rsid w:val="00FE7F6A"/>
    <w:rsid w:val="00FF531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rsid w:val="001A62D7"/>
    <w:rPr>
      <w:rFonts w:cs="Times New Roman"/>
      <w:sz w:val="16"/>
      <w:szCs w:val="16"/>
    </w:rPr>
  </w:style>
  <w:style w:type="paragraph" w:styleId="CommentText">
    <w:name w:val="annotation text"/>
    <w:basedOn w:val="Normal"/>
    <w:link w:val="CommentTextChar"/>
    <w:rsid w:val="001A62D7"/>
    <w:rPr>
      <w:rFonts w:eastAsia="Times New Roman"/>
      <w:sz w:val="20"/>
      <w:szCs w:val="20"/>
      <w:lang w:eastAsia="en-GB"/>
    </w:rPr>
  </w:style>
  <w:style w:type="character" w:customStyle="1" w:styleId="CommentTextChar">
    <w:name w:val="Comment Text Char"/>
    <w:basedOn w:val="DefaultParagraphFont"/>
    <w:link w:val="CommentText"/>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DD128D"/>
    <w:rPr>
      <w:rFonts w:ascii="Times New Roman" w:hAnsi="Times New Roman" w:cs="Times New Roman"/>
      <w:sz w:val="24"/>
      <w:lang w:val="fr-FR"/>
    </w:rPr>
  </w:style>
  <w:style w:type="character" w:customStyle="1" w:styleId="FooterChar">
    <w:name w:val="Footer Char"/>
    <w:basedOn w:val="DefaultParagraphFont"/>
    <w:link w:val="Footer"/>
    <w:uiPriority w:val="99"/>
    <w:rsid w:val="00DD128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D12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D128D"/>
    <w:pPr>
      <w:spacing w:before="0"/>
      <w:jc w:val="right"/>
    </w:pPr>
    <w:rPr>
      <w:sz w:val="28"/>
    </w:rPr>
  </w:style>
  <w:style w:type="paragraph" w:customStyle="1" w:styleId="FooterSensitivity">
    <w:name w:val="Footer Sensitivity"/>
    <w:basedOn w:val="Normal"/>
    <w:rsid w:val="00DD12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D128D"/>
    <w:pPr>
      <w:tabs>
        <w:tab w:val="center" w:pos="4535"/>
        <w:tab w:val="right" w:pos="9071"/>
      </w:tabs>
      <w:spacing w:before="0"/>
    </w:pPr>
  </w:style>
  <w:style w:type="paragraph" w:customStyle="1" w:styleId="HeaderLandscape">
    <w:name w:val="HeaderLandscape"/>
    <w:basedOn w:val="Normal"/>
    <w:rsid w:val="00DD128D"/>
    <w:pPr>
      <w:tabs>
        <w:tab w:val="center" w:pos="7285"/>
        <w:tab w:val="right" w:pos="14003"/>
      </w:tabs>
      <w:spacing w:before="0"/>
    </w:pPr>
  </w:style>
  <w:style w:type="paragraph" w:styleId="Footer">
    <w:name w:val="footer"/>
    <w:basedOn w:val="Normal"/>
    <w:link w:val="FooterChar"/>
    <w:uiPriority w:val="99"/>
    <w:unhideWhenUsed/>
    <w:rsid w:val="00DD12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D12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tat.fi/fi/tilasto/tyonv" TargetMode="External"/><Relationship Id="rId2" Type="http://schemas.openxmlformats.org/officeDocument/2006/relationships/hyperlink" Target="https://pxdata.stat.fi/PxWeb/pxweb/fi/StatFin/StatFin__tyonv/statfin_tyonv_pxt_12th.px/" TargetMode="External"/><Relationship Id="rId1" Type="http://schemas.openxmlformats.org/officeDocument/2006/relationships/hyperlink" Target="https://pxdata.stat.fi/PXWeb/pxweb/fi/StatFin/StatFin__tyonv/statfin_tyonv_pxt_12tf.px" TargetMode="External"/><Relationship Id="rId5" Type="http://schemas.openxmlformats.org/officeDocument/2006/relationships/hyperlink" Target="https://stat.fi/fi/tilasto/tyonv" TargetMode="External"/><Relationship Id="rId4" Type="http://schemas.openxmlformats.org/officeDocument/2006/relationships/hyperlink" Target="https://stat.fi/fi/tilasto/tyon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3.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4.xml><?xml version="1.0" encoding="utf-8"?>
<ds:datastoreItem xmlns:ds="http://schemas.openxmlformats.org/officeDocument/2006/customXml" ds:itemID="{5D9D820F-638B-4EFD-90EB-4FB9B84C8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288</TotalTime>
  <Pages>13</Pages>
  <Words>4186</Words>
  <Characters>23866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50</cp:revision>
  <dcterms:created xsi:type="dcterms:W3CDTF">2026-06-10T13:36:00Z</dcterms:created>
  <dcterms:modified xsi:type="dcterms:W3CDTF">2026-07-21T16:04:00Z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