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Pr="00B43213" w:rsidRDefault="006733F2" w:rsidP="006733F2">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767765E-F5B3-48CF-A854-F8F50FBF4766" style="width:455.25pt;height:357.75pt">
            <v:imagedata r:id="rId11" o:title=""/>
          </v:shape>
        </w:pict>
      </w:r>
    </w:p>
    <w:p w:rsidR="001A62D7" w:rsidRPr="00B43213" w:rsidRDefault="001A62D7" w:rsidP="001A62D7">
      <w:pPr>
        <w:rPr>
          <w:noProof/>
        </w:rPr>
        <w:sectPr w:rsidR="001A62D7" w:rsidRPr="00B43213" w:rsidSect="006733F2">
          <w:footerReference w:type="even" r:id="rId12"/>
          <w:footerReference w:type="default" r:id="rId13"/>
          <w:pgSz w:w="11907" w:h="16839"/>
          <w:pgMar w:top="1134" w:right="1417" w:bottom="1134" w:left="1417" w:header="709" w:footer="709" w:gutter="0"/>
          <w:pgNumType w:start="0"/>
          <w:cols w:space="720"/>
          <w:docGrid w:linePitch="360"/>
        </w:sectPr>
      </w:pPr>
    </w:p>
    <w:p w:rsidR="001A62D7" w:rsidRPr="00B43213" w:rsidRDefault="001A62D7" w:rsidP="001A62D7">
      <w:pPr>
        <w:pStyle w:val="Exposdesmotifstitre"/>
        <w:rPr>
          <w:noProof/>
        </w:rPr>
      </w:pPr>
      <w:bookmarkStart w:id="0" w:name="_GoBack"/>
      <w:bookmarkEnd w:id="0"/>
      <w:r w:rsidRPr="00B43213">
        <w:rPr>
          <w:noProof/>
        </w:rPr>
        <w:lastRenderedPageBreak/>
        <w:t>EXPUNERE DE MOTIVE</w:t>
      </w:r>
    </w:p>
    <w:p w:rsidR="001A62D7" w:rsidRPr="00B43213" w:rsidRDefault="001A62D7" w:rsidP="001A62D7">
      <w:pPr>
        <w:pStyle w:val="ManualHeading1"/>
        <w:rPr>
          <w:noProof/>
        </w:rPr>
      </w:pPr>
      <w:r w:rsidRPr="00B43213">
        <w:rPr>
          <w:noProof/>
        </w:rPr>
        <w:t>CONTEXTUL PROPUNERII</w:t>
      </w:r>
    </w:p>
    <w:p w:rsidR="001A62D7" w:rsidRPr="00B43213" w:rsidRDefault="001A62D7" w:rsidP="009C50F6">
      <w:pPr>
        <w:pStyle w:val="ManualNumPar1"/>
        <w:rPr>
          <w:noProof/>
        </w:rPr>
      </w:pPr>
      <w:r>
        <w:rPr>
          <w:noProof/>
        </w:rPr>
        <w:t>1.</w:t>
      </w:r>
      <w:r>
        <w:rPr>
          <w:noProof/>
        </w:rPr>
        <w:tab/>
      </w:r>
      <w:r w:rsidRPr="00B43213">
        <w:rPr>
          <w:noProof/>
        </w:rPr>
        <w:t>Normele aplicabile contribuțiilor financiare din partea Fondului european de ajustare la globalizare pentru lucrătorii disponibilizați (FEG) sunt prevăzute în Regulamentul (UE) 2021/691 al Parlamentului European și al Consiliului din 28 aprilie 2021 privind Fondul european de ajustare la globalizare pentru lucrătorii disponibilizați (FEG) și de abrogare a Regulamentului (UE) nr. 1309/2013</w:t>
      </w:r>
      <w:r w:rsidRPr="00B43213">
        <w:rPr>
          <w:rStyle w:val="FootnoteReference"/>
          <w:noProof/>
        </w:rPr>
        <w:footnoteReference w:id="1"/>
      </w:r>
      <w:r w:rsidRPr="00B43213">
        <w:rPr>
          <w:noProof/>
        </w:rPr>
        <w:t>.</w:t>
      </w:r>
    </w:p>
    <w:p w:rsidR="001A62D7" w:rsidRPr="00B43213" w:rsidRDefault="001A62D7" w:rsidP="009C50F6">
      <w:pPr>
        <w:pStyle w:val="ManualNumPar1"/>
        <w:rPr>
          <w:noProof/>
        </w:rPr>
      </w:pPr>
      <w:r>
        <w:rPr>
          <w:noProof/>
        </w:rPr>
        <w:t>2.</w:t>
      </w:r>
      <w:r>
        <w:rPr>
          <w:noProof/>
        </w:rPr>
        <w:tab/>
      </w:r>
      <w:r w:rsidRPr="00B43213">
        <w:rPr>
          <w:noProof/>
        </w:rPr>
        <w:t>La 5 mai 2026, Finlanda a depus cererea EGF/2026/003 FI/</w:t>
      </w:r>
      <w:r w:rsidRPr="00B43213">
        <w:rPr>
          <w:i/>
          <w:iCs/>
          <w:noProof/>
        </w:rPr>
        <w:t>Valmet Automotive</w:t>
      </w:r>
      <w:r w:rsidRPr="00B43213">
        <w:rPr>
          <w:noProof/>
        </w:rPr>
        <w:t xml:space="preserve"> pentru o contribuție financiară din partea FEG, ca urmare a disponibilizărilor de la </w:t>
      </w:r>
      <w:r w:rsidRPr="00B43213">
        <w:rPr>
          <w:i/>
          <w:iCs/>
          <w:noProof/>
        </w:rPr>
        <w:t>Valmet Automotive</w:t>
      </w:r>
      <w:r w:rsidRPr="00B43213">
        <w:rPr>
          <w:noProof/>
        </w:rPr>
        <w:t xml:space="preserve"> și de la cinci subcontractanți și furnizori din Finlanda.</w:t>
      </w:r>
    </w:p>
    <w:p w:rsidR="001A62D7" w:rsidRPr="00B43213" w:rsidRDefault="001A62D7" w:rsidP="009C50F6">
      <w:pPr>
        <w:pStyle w:val="ManualNumPar1"/>
        <w:rPr>
          <w:noProof/>
        </w:rPr>
      </w:pPr>
      <w:r>
        <w:rPr>
          <w:noProof/>
        </w:rPr>
        <w:t>3.</w:t>
      </w:r>
      <w:r>
        <w:rPr>
          <w:noProof/>
        </w:rPr>
        <w:tab/>
      </w:r>
      <w:r w:rsidRPr="00B43213">
        <w:rPr>
          <w:noProof/>
        </w:rPr>
        <w:t xml:space="preserve">După evaluarea acestei cereri, Comisia a concluzionat, în conformitate cu toate dispozițiile aplicabile ale Regulamentului (UE) 2021/691, că sunt îndeplinite condițiile pentru acordarea unei contribuții financiare din partea FEG. </w:t>
      </w:r>
    </w:p>
    <w:p w:rsidR="001A62D7" w:rsidRPr="00B43213" w:rsidRDefault="001A62D7" w:rsidP="001A62D7">
      <w:pPr>
        <w:pStyle w:val="ManualHeading1"/>
        <w:rPr>
          <w:noProof/>
        </w:rPr>
      </w:pPr>
      <w:r w:rsidRPr="00B43213">
        <w:rPr>
          <w:noProof/>
        </w:rPr>
        <w:t>REZUMATUL CERERII</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6F274D" w:rsidRPr="00B43213" w:rsidTr="001D5990">
        <w:tc>
          <w:tcPr>
            <w:tcW w:w="4908" w:type="dxa"/>
            <w:shd w:val="clear" w:color="auto" w:fill="auto"/>
          </w:tcPr>
          <w:p w:rsidR="006F274D" w:rsidRPr="00B43213" w:rsidRDefault="006F274D" w:rsidP="006F274D">
            <w:pPr>
              <w:spacing w:before="60" w:after="60"/>
              <w:jc w:val="left"/>
              <w:rPr>
                <w:rFonts w:eastAsia="Calibri"/>
                <w:noProof/>
              </w:rPr>
            </w:pPr>
            <w:r w:rsidRPr="00B43213">
              <w:rPr>
                <w:noProof/>
              </w:rPr>
              <w:t>Cererea FEG</w:t>
            </w:r>
          </w:p>
        </w:tc>
        <w:tc>
          <w:tcPr>
            <w:tcW w:w="4379" w:type="dxa"/>
            <w:shd w:val="clear" w:color="auto" w:fill="auto"/>
          </w:tcPr>
          <w:p w:rsidR="006F274D" w:rsidRPr="00B43213" w:rsidRDefault="006F274D" w:rsidP="006F274D">
            <w:pPr>
              <w:spacing w:before="60" w:after="60"/>
              <w:ind w:rightChars="192" w:right="461"/>
              <w:jc w:val="left"/>
              <w:rPr>
                <w:rFonts w:eastAsia="Calibri"/>
                <w:noProof/>
              </w:rPr>
            </w:pPr>
            <w:bookmarkStart w:id="1" w:name="_Hlk212110034"/>
            <w:r w:rsidRPr="00B43213">
              <w:rPr>
                <w:noProof/>
              </w:rPr>
              <w:t>EGF/2026/003 FI/</w:t>
            </w:r>
            <w:bookmarkEnd w:id="1"/>
            <w:r w:rsidRPr="00B43213">
              <w:rPr>
                <w:noProof/>
              </w:rPr>
              <w:t>Valmet Automotive</w:t>
            </w:r>
          </w:p>
        </w:tc>
      </w:tr>
      <w:tr w:rsidR="006F274D" w:rsidRPr="00B43213" w:rsidTr="001D5990">
        <w:tc>
          <w:tcPr>
            <w:tcW w:w="4908" w:type="dxa"/>
            <w:shd w:val="clear" w:color="auto" w:fill="auto"/>
          </w:tcPr>
          <w:p w:rsidR="006F274D" w:rsidRPr="00B43213" w:rsidRDefault="006F274D" w:rsidP="006F274D">
            <w:pPr>
              <w:spacing w:before="60" w:after="60"/>
              <w:jc w:val="left"/>
              <w:rPr>
                <w:rFonts w:eastAsia="Calibri"/>
                <w:noProof/>
              </w:rPr>
            </w:pPr>
            <w:r w:rsidRPr="00B43213">
              <w:rPr>
                <w:noProof/>
              </w:rPr>
              <w:t>Statul membru</w:t>
            </w:r>
          </w:p>
        </w:tc>
        <w:tc>
          <w:tcPr>
            <w:tcW w:w="4379" w:type="dxa"/>
            <w:shd w:val="clear" w:color="auto" w:fill="auto"/>
          </w:tcPr>
          <w:p w:rsidR="006F274D" w:rsidRPr="00B43213" w:rsidRDefault="00ED6F0C" w:rsidP="006F274D">
            <w:pPr>
              <w:spacing w:before="60" w:after="60"/>
              <w:ind w:rightChars="192" w:right="461"/>
              <w:jc w:val="left"/>
              <w:rPr>
                <w:rFonts w:eastAsia="Calibri"/>
                <w:noProof/>
              </w:rPr>
            </w:pPr>
            <w:r w:rsidRPr="00B43213">
              <w:rPr>
                <w:noProof/>
              </w:rPr>
              <w:t>Finlanda</w:t>
            </w:r>
          </w:p>
        </w:tc>
      </w:tr>
      <w:tr w:rsidR="006F274D" w:rsidRPr="00B43213" w:rsidTr="001D5990">
        <w:tc>
          <w:tcPr>
            <w:tcW w:w="4908" w:type="dxa"/>
            <w:tcBorders>
              <w:bottom w:val="single" w:sz="4" w:space="0" w:color="auto"/>
            </w:tcBorders>
            <w:shd w:val="clear" w:color="auto" w:fill="auto"/>
          </w:tcPr>
          <w:p w:rsidR="006F274D" w:rsidRPr="00B43213" w:rsidRDefault="006F274D" w:rsidP="006F274D">
            <w:pPr>
              <w:spacing w:before="60" w:after="60"/>
              <w:jc w:val="left"/>
              <w:rPr>
                <w:rFonts w:eastAsia="Calibri"/>
                <w:noProof/>
              </w:rPr>
            </w:pPr>
            <w:r w:rsidRPr="00B43213">
              <w:rPr>
                <w:noProof/>
              </w:rPr>
              <w:t>Regiunea sau regiunile vizate (nivel NUTS</w:t>
            </w:r>
            <w:r w:rsidRPr="00B43213">
              <w:rPr>
                <w:rStyle w:val="FootnoteReference"/>
                <w:rFonts w:eastAsia="Calibri"/>
                <w:noProof/>
              </w:rPr>
              <w:footnoteReference w:id="2"/>
            </w:r>
            <w:r w:rsidRPr="00B43213">
              <w:rPr>
                <w:noProof/>
              </w:rPr>
              <w:t xml:space="preserve"> 2)</w:t>
            </w:r>
          </w:p>
        </w:tc>
        <w:tc>
          <w:tcPr>
            <w:tcW w:w="4379" w:type="dxa"/>
            <w:tcBorders>
              <w:bottom w:val="single" w:sz="4" w:space="0" w:color="auto"/>
            </w:tcBorders>
            <w:shd w:val="clear" w:color="auto" w:fill="auto"/>
          </w:tcPr>
          <w:p w:rsidR="006F274D" w:rsidRPr="00B43213" w:rsidRDefault="007D6186" w:rsidP="006F274D">
            <w:pPr>
              <w:spacing w:before="0" w:after="0"/>
              <w:ind w:rightChars="192" w:right="461"/>
              <w:jc w:val="left"/>
              <w:rPr>
                <w:noProof/>
                <w:szCs w:val="24"/>
              </w:rPr>
            </w:pPr>
            <w:r w:rsidRPr="00B43213">
              <w:rPr>
                <w:noProof/>
              </w:rPr>
              <w:t>Länsi-Suomi (FI19)</w:t>
            </w:r>
          </w:p>
        </w:tc>
      </w:tr>
      <w:tr w:rsidR="006F274D" w:rsidRPr="00B43213" w:rsidTr="001D5990">
        <w:tc>
          <w:tcPr>
            <w:tcW w:w="4908" w:type="dxa"/>
            <w:tcBorders>
              <w:bottom w:val="dotted" w:sz="4" w:space="0" w:color="auto"/>
            </w:tcBorders>
            <w:shd w:val="clear" w:color="auto" w:fill="auto"/>
          </w:tcPr>
          <w:p w:rsidR="006F274D" w:rsidRPr="00B43213" w:rsidRDefault="006F274D" w:rsidP="006F274D">
            <w:pPr>
              <w:spacing w:before="60" w:after="60"/>
              <w:jc w:val="left"/>
              <w:rPr>
                <w:rFonts w:eastAsia="Calibri"/>
                <w:noProof/>
              </w:rPr>
            </w:pPr>
            <w:r w:rsidRPr="00B43213">
              <w:rPr>
                <w:noProof/>
              </w:rPr>
              <w:t>Data depunerii cererii</w:t>
            </w:r>
          </w:p>
        </w:tc>
        <w:tc>
          <w:tcPr>
            <w:tcW w:w="4379" w:type="dxa"/>
            <w:tcBorders>
              <w:bottom w:val="dotted" w:sz="4" w:space="0" w:color="auto"/>
            </w:tcBorders>
            <w:shd w:val="clear" w:color="auto" w:fill="auto"/>
          </w:tcPr>
          <w:p w:rsidR="006F274D" w:rsidRPr="00B43213" w:rsidRDefault="00ED6F0C" w:rsidP="006F274D">
            <w:pPr>
              <w:spacing w:before="60" w:after="60"/>
              <w:ind w:rightChars="192" w:right="461"/>
              <w:jc w:val="left"/>
              <w:rPr>
                <w:rFonts w:eastAsia="Calibri"/>
                <w:noProof/>
              </w:rPr>
            </w:pPr>
            <w:r w:rsidRPr="00B43213">
              <w:rPr>
                <w:noProof/>
              </w:rPr>
              <w:t>5 mai 2026</w:t>
            </w:r>
          </w:p>
        </w:tc>
      </w:tr>
      <w:tr w:rsidR="006F274D" w:rsidRPr="00B43213" w:rsidTr="001D5990">
        <w:tc>
          <w:tcPr>
            <w:tcW w:w="4908" w:type="dxa"/>
            <w:tcBorders>
              <w:top w:val="dotted" w:sz="4" w:space="0" w:color="auto"/>
              <w:bottom w:val="dotted" w:sz="4" w:space="0" w:color="auto"/>
            </w:tcBorders>
            <w:shd w:val="clear" w:color="auto" w:fill="auto"/>
          </w:tcPr>
          <w:p w:rsidR="006F274D" w:rsidRPr="00B43213" w:rsidRDefault="006F274D" w:rsidP="006F274D">
            <w:pPr>
              <w:spacing w:before="60" w:after="60"/>
              <w:jc w:val="left"/>
              <w:rPr>
                <w:rFonts w:eastAsia="Calibri"/>
                <w:noProof/>
              </w:rPr>
            </w:pPr>
            <w:r w:rsidRPr="00B43213">
              <w:rPr>
                <w:noProof/>
              </w:rPr>
              <w:t>Data confirmării primirii cererii</w:t>
            </w:r>
          </w:p>
        </w:tc>
        <w:tc>
          <w:tcPr>
            <w:tcW w:w="4379" w:type="dxa"/>
            <w:tcBorders>
              <w:top w:val="dotted" w:sz="4" w:space="0" w:color="auto"/>
              <w:bottom w:val="dotted" w:sz="4" w:space="0" w:color="auto"/>
            </w:tcBorders>
            <w:shd w:val="clear" w:color="auto" w:fill="auto"/>
          </w:tcPr>
          <w:p w:rsidR="006F274D" w:rsidRPr="00B43213" w:rsidRDefault="00ED6F0C" w:rsidP="006F274D">
            <w:pPr>
              <w:spacing w:before="60" w:after="60"/>
              <w:ind w:rightChars="192" w:right="461"/>
              <w:jc w:val="left"/>
              <w:rPr>
                <w:rFonts w:eastAsia="Calibri"/>
                <w:noProof/>
              </w:rPr>
            </w:pPr>
            <w:r w:rsidRPr="00B43213">
              <w:rPr>
                <w:noProof/>
              </w:rPr>
              <w:t>5 mai 2026</w:t>
            </w:r>
          </w:p>
        </w:tc>
      </w:tr>
      <w:tr w:rsidR="001E1B79" w:rsidRPr="00B43213" w:rsidTr="001D5990">
        <w:tc>
          <w:tcPr>
            <w:tcW w:w="4908" w:type="dxa"/>
            <w:tcBorders>
              <w:top w:val="dotted" w:sz="4" w:space="0" w:color="auto"/>
              <w:bottom w:val="dotted" w:sz="4" w:space="0" w:color="auto"/>
            </w:tcBorders>
            <w:shd w:val="clear" w:color="auto" w:fill="auto"/>
          </w:tcPr>
          <w:p w:rsidR="001E1B79" w:rsidRPr="00B43213" w:rsidRDefault="001E1B79" w:rsidP="001E1B79">
            <w:pPr>
              <w:spacing w:before="60" w:after="60"/>
              <w:jc w:val="left"/>
              <w:rPr>
                <w:rFonts w:eastAsia="Calibri"/>
                <w:noProof/>
              </w:rPr>
            </w:pPr>
            <w:r w:rsidRPr="00B43213">
              <w:rPr>
                <w:noProof/>
              </w:rPr>
              <w:t>Data cererii de informații suplimentare</w:t>
            </w:r>
          </w:p>
        </w:tc>
        <w:tc>
          <w:tcPr>
            <w:tcW w:w="4379" w:type="dxa"/>
            <w:tcBorders>
              <w:top w:val="dotted" w:sz="4" w:space="0" w:color="auto"/>
              <w:bottom w:val="dotted" w:sz="4" w:space="0" w:color="auto"/>
            </w:tcBorders>
            <w:shd w:val="clear" w:color="auto" w:fill="auto"/>
          </w:tcPr>
          <w:p w:rsidR="001E1B79" w:rsidRPr="00B43213" w:rsidRDefault="002826E9" w:rsidP="001E1B79">
            <w:pPr>
              <w:spacing w:before="60" w:after="60"/>
              <w:ind w:rightChars="192" w:right="461"/>
              <w:jc w:val="left"/>
              <w:rPr>
                <w:rFonts w:eastAsia="Calibri"/>
                <w:noProof/>
              </w:rPr>
            </w:pPr>
            <w:r w:rsidRPr="00B43213">
              <w:rPr>
                <w:noProof/>
              </w:rPr>
              <w:t>21 mai 2026</w:t>
            </w:r>
          </w:p>
        </w:tc>
      </w:tr>
      <w:tr w:rsidR="001E1B79" w:rsidRPr="00B43213" w:rsidTr="001D5990">
        <w:tc>
          <w:tcPr>
            <w:tcW w:w="4908" w:type="dxa"/>
            <w:tcBorders>
              <w:top w:val="dotted" w:sz="4" w:space="0" w:color="auto"/>
              <w:bottom w:val="dotted" w:sz="4" w:space="0" w:color="auto"/>
            </w:tcBorders>
            <w:shd w:val="clear" w:color="auto" w:fill="auto"/>
          </w:tcPr>
          <w:p w:rsidR="001E1B79" w:rsidRPr="00B43213" w:rsidRDefault="001E1B79" w:rsidP="001E1B79">
            <w:pPr>
              <w:spacing w:before="60" w:after="60"/>
              <w:jc w:val="left"/>
              <w:rPr>
                <w:rFonts w:eastAsia="Calibri"/>
                <w:noProof/>
              </w:rPr>
            </w:pPr>
            <w:r w:rsidRPr="00B43213">
              <w:rPr>
                <w:noProof/>
              </w:rPr>
              <w:t>Termenul pentru furnizarea informațiilor suplimentare</w:t>
            </w:r>
          </w:p>
        </w:tc>
        <w:tc>
          <w:tcPr>
            <w:tcW w:w="4379" w:type="dxa"/>
            <w:tcBorders>
              <w:top w:val="dotted" w:sz="4" w:space="0" w:color="auto"/>
              <w:bottom w:val="dotted" w:sz="4" w:space="0" w:color="auto"/>
            </w:tcBorders>
            <w:shd w:val="clear" w:color="auto" w:fill="auto"/>
          </w:tcPr>
          <w:p w:rsidR="001E1B79" w:rsidRPr="00B43213" w:rsidRDefault="00A1041A" w:rsidP="001E1B79">
            <w:pPr>
              <w:spacing w:before="60" w:after="60"/>
              <w:ind w:rightChars="192" w:right="461"/>
              <w:jc w:val="left"/>
              <w:rPr>
                <w:rFonts w:eastAsia="Calibri"/>
                <w:noProof/>
              </w:rPr>
            </w:pPr>
            <w:r w:rsidRPr="00B43213">
              <w:rPr>
                <w:noProof/>
              </w:rPr>
              <w:t>12 iunie 2026</w:t>
            </w:r>
          </w:p>
        </w:tc>
      </w:tr>
      <w:tr w:rsidR="001E1B79" w:rsidRPr="00B43213" w:rsidTr="001D5990">
        <w:tc>
          <w:tcPr>
            <w:tcW w:w="4908" w:type="dxa"/>
            <w:tcBorders>
              <w:top w:val="dotted" w:sz="4" w:space="0" w:color="auto"/>
            </w:tcBorders>
            <w:shd w:val="clear" w:color="auto" w:fill="auto"/>
          </w:tcPr>
          <w:p w:rsidR="001E1B79" w:rsidRPr="00B43213" w:rsidRDefault="001E1B79" w:rsidP="001E1B79">
            <w:pPr>
              <w:spacing w:before="60" w:after="60"/>
              <w:jc w:val="left"/>
              <w:rPr>
                <w:rFonts w:eastAsia="Calibri"/>
                <w:noProof/>
              </w:rPr>
            </w:pPr>
            <w:r w:rsidRPr="00B43213">
              <w:rPr>
                <w:noProof/>
              </w:rPr>
              <w:t>Termenul pentru finalizarea evaluării</w:t>
            </w:r>
          </w:p>
        </w:tc>
        <w:tc>
          <w:tcPr>
            <w:tcW w:w="4379" w:type="dxa"/>
            <w:tcBorders>
              <w:top w:val="dotted" w:sz="4" w:space="0" w:color="auto"/>
            </w:tcBorders>
            <w:shd w:val="clear" w:color="auto" w:fill="auto"/>
          </w:tcPr>
          <w:p w:rsidR="001E1B79" w:rsidRPr="00B43213" w:rsidRDefault="002826E9" w:rsidP="001E1B79">
            <w:pPr>
              <w:spacing w:before="60" w:after="60"/>
              <w:ind w:rightChars="192" w:right="461"/>
              <w:jc w:val="left"/>
              <w:rPr>
                <w:rFonts w:eastAsia="Calibri"/>
                <w:noProof/>
              </w:rPr>
            </w:pPr>
            <w:r w:rsidRPr="00B43213">
              <w:rPr>
                <w:noProof/>
              </w:rPr>
              <w:t xml:space="preserve">24 august 2026 </w:t>
            </w:r>
          </w:p>
        </w:tc>
      </w:tr>
      <w:tr w:rsidR="001E1B79" w:rsidRPr="00B43213" w:rsidTr="001D5990">
        <w:tc>
          <w:tcPr>
            <w:tcW w:w="4908" w:type="dxa"/>
            <w:shd w:val="clear" w:color="auto" w:fill="auto"/>
          </w:tcPr>
          <w:p w:rsidR="001E1B79" w:rsidRPr="00B43213" w:rsidRDefault="001E1B79" w:rsidP="001E1B79">
            <w:pPr>
              <w:spacing w:before="60" w:after="60"/>
              <w:jc w:val="left"/>
              <w:rPr>
                <w:rFonts w:eastAsia="Calibri"/>
                <w:noProof/>
              </w:rPr>
            </w:pPr>
            <w:r w:rsidRPr="00B43213">
              <w:rPr>
                <w:noProof/>
              </w:rPr>
              <w:t>Criteriul de intervenție</w:t>
            </w:r>
          </w:p>
        </w:tc>
        <w:tc>
          <w:tcPr>
            <w:tcW w:w="4379" w:type="dxa"/>
            <w:shd w:val="clear" w:color="auto" w:fill="auto"/>
          </w:tcPr>
          <w:p w:rsidR="001E1B79" w:rsidRPr="00B43213" w:rsidRDefault="001E1B79" w:rsidP="001E1B79">
            <w:pPr>
              <w:spacing w:before="60" w:after="60"/>
              <w:ind w:rightChars="192" w:right="461"/>
              <w:jc w:val="left"/>
              <w:rPr>
                <w:rFonts w:eastAsia="Calibri"/>
                <w:noProof/>
              </w:rPr>
            </w:pPr>
            <w:r w:rsidRPr="00B43213">
              <w:rPr>
                <w:noProof/>
              </w:rPr>
              <w:t>Articolul 4 alineatul (2) litera (a) din Regulamentul (UE) 2021/691</w:t>
            </w:r>
          </w:p>
        </w:tc>
      </w:tr>
      <w:tr w:rsidR="000B7C62" w:rsidRPr="00B43213" w:rsidTr="001D5990">
        <w:tc>
          <w:tcPr>
            <w:tcW w:w="4908" w:type="dxa"/>
            <w:tcBorders>
              <w:top w:val="single" w:sz="4" w:space="0" w:color="auto"/>
              <w:bottom w:val="single" w:sz="4" w:space="0" w:color="auto"/>
              <w:right w:val="single" w:sz="4" w:space="0" w:color="auto"/>
            </w:tcBorders>
            <w:shd w:val="clear" w:color="auto" w:fill="auto"/>
          </w:tcPr>
          <w:p w:rsidR="000B7C62" w:rsidRPr="00B43213" w:rsidRDefault="000B7C62" w:rsidP="001E1B79">
            <w:pPr>
              <w:spacing w:before="60" w:after="60"/>
              <w:jc w:val="left"/>
              <w:rPr>
                <w:noProof/>
              </w:rPr>
            </w:pPr>
            <w:r w:rsidRPr="00B43213">
              <w:rPr>
                <w:noProof/>
              </w:rPr>
              <w:t>Întreprinderea principală</w:t>
            </w:r>
          </w:p>
        </w:tc>
        <w:tc>
          <w:tcPr>
            <w:tcW w:w="4379" w:type="dxa"/>
            <w:tcBorders>
              <w:top w:val="single" w:sz="4" w:space="0" w:color="auto"/>
              <w:left w:val="single" w:sz="4" w:space="0" w:color="auto"/>
              <w:bottom w:val="single" w:sz="4" w:space="0" w:color="auto"/>
            </w:tcBorders>
            <w:shd w:val="clear" w:color="auto" w:fill="auto"/>
          </w:tcPr>
          <w:p w:rsidR="000B7C62" w:rsidRPr="00B43213" w:rsidRDefault="00ED6F0C" w:rsidP="001E1B79">
            <w:pPr>
              <w:spacing w:before="60" w:after="60"/>
              <w:ind w:rightChars="192" w:right="461"/>
              <w:jc w:val="left"/>
              <w:rPr>
                <w:noProof/>
              </w:rPr>
            </w:pPr>
            <w:r w:rsidRPr="00B43213">
              <w:rPr>
                <w:i/>
                <w:iCs/>
                <w:noProof/>
              </w:rPr>
              <w:t>Valmet Automotive Oyj</w:t>
            </w:r>
          </w:p>
        </w:tc>
      </w:tr>
      <w:tr w:rsidR="001E1B79" w:rsidRPr="00B43213" w:rsidTr="001D5990">
        <w:tc>
          <w:tcPr>
            <w:tcW w:w="4908" w:type="dxa"/>
            <w:tcBorders>
              <w:top w:val="single" w:sz="4" w:space="0" w:color="auto"/>
              <w:bottom w:val="single" w:sz="4" w:space="0" w:color="auto"/>
              <w:right w:val="single" w:sz="4" w:space="0" w:color="auto"/>
            </w:tcBorders>
            <w:shd w:val="clear" w:color="auto" w:fill="auto"/>
          </w:tcPr>
          <w:p w:rsidR="001E1B79" w:rsidRPr="00B43213" w:rsidRDefault="001E1B79" w:rsidP="001E1B79">
            <w:pPr>
              <w:spacing w:before="60" w:after="60"/>
              <w:jc w:val="left"/>
              <w:rPr>
                <w:rFonts w:eastAsia="Calibri"/>
                <w:noProof/>
              </w:rPr>
            </w:pPr>
            <w:r w:rsidRPr="00B43213">
              <w:rPr>
                <w:noProof/>
              </w:rPr>
              <w:br w:type="page"/>
              <w:t>Numărul de întreprinderi vizate</w:t>
            </w:r>
          </w:p>
        </w:tc>
        <w:tc>
          <w:tcPr>
            <w:tcW w:w="4379" w:type="dxa"/>
            <w:tcBorders>
              <w:top w:val="single" w:sz="4" w:space="0" w:color="auto"/>
              <w:left w:val="single" w:sz="4" w:space="0" w:color="auto"/>
              <w:bottom w:val="single" w:sz="4" w:space="0" w:color="auto"/>
            </w:tcBorders>
            <w:shd w:val="clear" w:color="auto" w:fill="auto"/>
          </w:tcPr>
          <w:p w:rsidR="001E1B79" w:rsidRPr="00B43213" w:rsidRDefault="002826E9" w:rsidP="001E1B79">
            <w:pPr>
              <w:spacing w:before="60" w:after="60"/>
              <w:ind w:rightChars="192" w:right="461"/>
              <w:jc w:val="left"/>
              <w:rPr>
                <w:noProof/>
                <w:szCs w:val="24"/>
              </w:rPr>
            </w:pPr>
            <w:r w:rsidRPr="00B43213">
              <w:rPr>
                <w:noProof/>
              </w:rPr>
              <w:t>6</w:t>
            </w:r>
            <w:r w:rsidRPr="00B43213">
              <w:rPr>
                <w:rStyle w:val="FootnoteReference"/>
                <w:noProof/>
                <w:szCs w:val="24"/>
              </w:rPr>
              <w:footnoteReference w:id="3"/>
            </w:r>
          </w:p>
        </w:tc>
      </w:tr>
      <w:tr w:rsidR="001E1B79" w:rsidRPr="00B43213" w:rsidTr="001D5990">
        <w:tc>
          <w:tcPr>
            <w:tcW w:w="4908" w:type="dxa"/>
            <w:shd w:val="clear" w:color="auto" w:fill="auto"/>
          </w:tcPr>
          <w:p w:rsidR="001E1B79" w:rsidRPr="00B43213" w:rsidRDefault="001E1B79" w:rsidP="000C7F45">
            <w:pPr>
              <w:spacing w:before="60" w:after="60"/>
              <w:jc w:val="left"/>
              <w:rPr>
                <w:rFonts w:eastAsia="Calibri"/>
                <w:noProof/>
              </w:rPr>
            </w:pPr>
            <w:r w:rsidRPr="00B43213">
              <w:rPr>
                <w:noProof/>
              </w:rPr>
              <w:t>Sectorul de activitate economică al întreprinderii primare (diviziunea NACE Rev. 2)</w:t>
            </w:r>
            <w:r w:rsidRPr="00B43213">
              <w:rPr>
                <w:rStyle w:val="FootnoteReference"/>
                <w:rFonts w:eastAsia="Calibri"/>
                <w:noProof/>
              </w:rPr>
              <w:footnoteReference w:id="4"/>
            </w:r>
          </w:p>
        </w:tc>
        <w:tc>
          <w:tcPr>
            <w:tcW w:w="4379" w:type="dxa"/>
            <w:shd w:val="clear" w:color="auto" w:fill="auto"/>
          </w:tcPr>
          <w:p w:rsidR="001E1B79" w:rsidRPr="00B43213" w:rsidRDefault="001E1B79" w:rsidP="001E1B79">
            <w:pPr>
              <w:spacing w:before="60" w:after="60"/>
              <w:ind w:rightChars="192" w:right="461"/>
              <w:jc w:val="left"/>
              <w:rPr>
                <w:rFonts w:eastAsia="Calibri"/>
                <w:noProof/>
              </w:rPr>
            </w:pPr>
            <w:r w:rsidRPr="00B43213">
              <w:rPr>
                <w:noProof/>
              </w:rPr>
              <w:t>Diviziunea 29 („Fabricarea autovehiculelor, a remorcilor și a semiremorcilor”)</w:t>
            </w:r>
          </w:p>
        </w:tc>
      </w:tr>
      <w:tr w:rsidR="000C7F45" w:rsidRPr="00B43213" w:rsidTr="001D5990">
        <w:tc>
          <w:tcPr>
            <w:tcW w:w="4908" w:type="dxa"/>
            <w:tcBorders>
              <w:bottom w:val="single" w:sz="4" w:space="0" w:color="auto"/>
            </w:tcBorders>
            <w:shd w:val="clear" w:color="auto" w:fill="auto"/>
          </w:tcPr>
          <w:p w:rsidR="000C7F45" w:rsidRPr="00B43213" w:rsidRDefault="000C7F45" w:rsidP="001E1B79">
            <w:pPr>
              <w:spacing w:before="60" w:after="60"/>
              <w:jc w:val="left"/>
              <w:rPr>
                <w:rFonts w:eastAsia="Calibri"/>
                <w:noProof/>
              </w:rPr>
            </w:pPr>
            <w:r w:rsidRPr="00B43213">
              <w:rPr>
                <w:noProof/>
              </w:rPr>
              <w:t>Numărul de subcontractanți și furnizori</w:t>
            </w:r>
          </w:p>
        </w:tc>
        <w:tc>
          <w:tcPr>
            <w:tcW w:w="4379" w:type="dxa"/>
            <w:tcBorders>
              <w:bottom w:val="single" w:sz="4" w:space="0" w:color="auto"/>
            </w:tcBorders>
            <w:shd w:val="clear" w:color="auto" w:fill="auto"/>
          </w:tcPr>
          <w:p w:rsidR="000C7F45" w:rsidRPr="00B43213" w:rsidRDefault="00F45CF2" w:rsidP="001E1B79">
            <w:pPr>
              <w:spacing w:before="60" w:after="60"/>
              <w:ind w:rightChars="192" w:right="461"/>
              <w:jc w:val="left"/>
              <w:rPr>
                <w:noProof/>
              </w:rPr>
            </w:pPr>
            <w:r w:rsidRPr="00B43213">
              <w:rPr>
                <w:noProof/>
              </w:rPr>
              <w:t>5</w:t>
            </w:r>
          </w:p>
        </w:tc>
      </w:tr>
      <w:tr w:rsidR="001E1B79" w:rsidRPr="00B43213" w:rsidTr="001D5990">
        <w:tc>
          <w:tcPr>
            <w:tcW w:w="4908" w:type="dxa"/>
            <w:tcBorders>
              <w:bottom w:val="single" w:sz="4" w:space="0" w:color="auto"/>
            </w:tcBorders>
            <w:shd w:val="clear" w:color="auto" w:fill="auto"/>
          </w:tcPr>
          <w:p w:rsidR="001E1B79" w:rsidRPr="00B43213" w:rsidRDefault="001E1B79" w:rsidP="001E1B79">
            <w:pPr>
              <w:spacing w:before="60" w:after="60"/>
              <w:jc w:val="left"/>
              <w:rPr>
                <w:rFonts w:eastAsia="Calibri"/>
                <w:noProof/>
              </w:rPr>
            </w:pPr>
            <w:r w:rsidRPr="00B43213">
              <w:rPr>
                <w:noProof/>
              </w:rPr>
              <w:t>Perioada de referință (patru luni):</w:t>
            </w:r>
          </w:p>
        </w:tc>
        <w:tc>
          <w:tcPr>
            <w:tcW w:w="4379" w:type="dxa"/>
            <w:tcBorders>
              <w:bottom w:val="single" w:sz="4" w:space="0" w:color="auto"/>
            </w:tcBorders>
            <w:shd w:val="clear" w:color="auto" w:fill="auto"/>
          </w:tcPr>
          <w:p w:rsidR="001E1B79" w:rsidRPr="00B43213" w:rsidRDefault="00ED6F0C" w:rsidP="001E1B79">
            <w:pPr>
              <w:spacing w:before="60" w:after="60"/>
              <w:ind w:rightChars="192" w:right="461"/>
              <w:jc w:val="left"/>
              <w:rPr>
                <w:rFonts w:eastAsia="Calibri"/>
                <w:noProof/>
              </w:rPr>
            </w:pPr>
            <w:r w:rsidRPr="00B43213">
              <w:rPr>
                <w:noProof/>
              </w:rPr>
              <w:t>2 decembrie 2025 – 2 aprilie 2026</w:t>
            </w:r>
          </w:p>
        </w:tc>
      </w:tr>
      <w:tr w:rsidR="001E1B79" w:rsidRPr="00B43213" w:rsidTr="001D5990">
        <w:tc>
          <w:tcPr>
            <w:tcW w:w="4908" w:type="dxa"/>
            <w:tcBorders>
              <w:bottom w:val="dotted" w:sz="4" w:space="0" w:color="auto"/>
            </w:tcBorders>
            <w:shd w:val="clear" w:color="auto" w:fill="auto"/>
          </w:tcPr>
          <w:p w:rsidR="001E1B79" w:rsidRPr="00B43213" w:rsidRDefault="001E1B79" w:rsidP="001E1B79">
            <w:pPr>
              <w:spacing w:before="60" w:after="60"/>
              <w:jc w:val="left"/>
              <w:rPr>
                <w:rFonts w:eastAsia="Calibri"/>
                <w:noProof/>
                <w:highlight w:val="magenta"/>
              </w:rPr>
            </w:pPr>
            <w:r w:rsidRPr="00B43213">
              <w:rPr>
                <w:noProof/>
              </w:rPr>
              <w:lastRenderedPageBreak/>
              <w:t>Numărul de disponibilizări în perioada de referință (</w:t>
            </w:r>
            <w:r w:rsidRPr="00B43213">
              <w:rPr>
                <w:i/>
                <w:iCs/>
                <w:noProof/>
              </w:rPr>
              <w:t>a</w:t>
            </w:r>
            <w:r w:rsidRPr="00B43213">
              <w:rPr>
                <w:noProof/>
              </w:rPr>
              <w:t>)</w:t>
            </w:r>
          </w:p>
        </w:tc>
        <w:tc>
          <w:tcPr>
            <w:tcW w:w="4379" w:type="dxa"/>
            <w:tcBorders>
              <w:bottom w:val="dotted" w:sz="4" w:space="0" w:color="auto"/>
            </w:tcBorders>
            <w:shd w:val="clear" w:color="auto" w:fill="auto"/>
          </w:tcPr>
          <w:p w:rsidR="001E1B79" w:rsidRPr="00B43213" w:rsidRDefault="00B92FDB" w:rsidP="001E1B79">
            <w:pPr>
              <w:spacing w:before="60" w:after="60"/>
              <w:ind w:rightChars="192" w:right="461"/>
              <w:jc w:val="left"/>
              <w:rPr>
                <w:rFonts w:eastAsia="Calibri"/>
                <w:noProof/>
              </w:rPr>
            </w:pPr>
            <w:r w:rsidRPr="00B43213">
              <w:rPr>
                <w:noProof/>
              </w:rPr>
              <w:t>239</w:t>
            </w:r>
          </w:p>
        </w:tc>
      </w:tr>
      <w:tr w:rsidR="000C7F45" w:rsidRPr="00B43213" w:rsidTr="001D5990">
        <w:tc>
          <w:tcPr>
            <w:tcW w:w="4908" w:type="dxa"/>
            <w:tcBorders>
              <w:bottom w:val="dotted" w:sz="4" w:space="0" w:color="auto"/>
            </w:tcBorders>
            <w:shd w:val="clear" w:color="auto" w:fill="auto"/>
          </w:tcPr>
          <w:p w:rsidR="000C7F45" w:rsidRPr="00B43213" w:rsidRDefault="000C7F45" w:rsidP="001E1B79">
            <w:pPr>
              <w:spacing w:before="60" w:after="60"/>
              <w:jc w:val="left"/>
              <w:rPr>
                <w:rFonts w:eastAsia="Calibri"/>
                <w:noProof/>
              </w:rPr>
            </w:pPr>
            <w:r w:rsidRPr="00B43213">
              <w:rPr>
                <w:noProof/>
              </w:rPr>
              <w:t>Numărul de disponibilizări înainte sau după perioada de referință (</w:t>
            </w:r>
            <w:r w:rsidRPr="00B43213">
              <w:rPr>
                <w:i/>
                <w:iCs/>
                <w:noProof/>
              </w:rPr>
              <w:t>b</w:t>
            </w:r>
            <w:r w:rsidRPr="00B43213">
              <w:rPr>
                <w:noProof/>
              </w:rPr>
              <w:t>)</w:t>
            </w:r>
          </w:p>
        </w:tc>
        <w:tc>
          <w:tcPr>
            <w:tcW w:w="4379" w:type="dxa"/>
            <w:tcBorders>
              <w:bottom w:val="dotted" w:sz="4" w:space="0" w:color="auto"/>
            </w:tcBorders>
            <w:shd w:val="clear" w:color="auto" w:fill="auto"/>
          </w:tcPr>
          <w:p w:rsidR="000C7F45" w:rsidRPr="00B43213" w:rsidRDefault="00A1041A" w:rsidP="001E1B79">
            <w:pPr>
              <w:spacing w:before="60" w:after="60"/>
              <w:ind w:rightChars="192" w:right="461"/>
              <w:jc w:val="left"/>
              <w:rPr>
                <w:rFonts w:eastAsia="Calibri"/>
                <w:noProof/>
              </w:rPr>
            </w:pPr>
            <w:r w:rsidRPr="00B43213">
              <w:rPr>
                <w:noProof/>
              </w:rPr>
              <w:t>21</w:t>
            </w:r>
          </w:p>
        </w:tc>
      </w:tr>
      <w:tr w:rsidR="000C7F45" w:rsidRPr="00B43213" w:rsidTr="001D5990">
        <w:tc>
          <w:tcPr>
            <w:tcW w:w="4908" w:type="dxa"/>
            <w:tcBorders>
              <w:bottom w:val="dotted" w:sz="4" w:space="0" w:color="auto"/>
            </w:tcBorders>
            <w:shd w:val="clear" w:color="auto" w:fill="auto"/>
          </w:tcPr>
          <w:p w:rsidR="000C7F45" w:rsidRPr="00B43213" w:rsidRDefault="000C7F45" w:rsidP="001E1B79">
            <w:pPr>
              <w:spacing w:before="60" w:after="60"/>
              <w:jc w:val="left"/>
              <w:rPr>
                <w:rFonts w:eastAsia="Calibri"/>
                <w:noProof/>
              </w:rPr>
            </w:pPr>
            <w:r w:rsidRPr="00B43213">
              <w:rPr>
                <w:noProof/>
              </w:rPr>
              <w:t>Numărul total de disponibilizări (</w:t>
            </w:r>
            <w:r w:rsidRPr="00B43213">
              <w:rPr>
                <w:i/>
                <w:iCs/>
                <w:noProof/>
              </w:rPr>
              <w:t>a + b</w:t>
            </w:r>
            <w:r w:rsidRPr="00B43213">
              <w:rPr>
                <w:noProof/>
              </w:rPr>
              <w:t xml:space="preserve">) </w:t>
            </w:r>
          </w:p>
        </w:tc>
        <w:tc>
          <w:tcPr>
            <w:tcW w:w="4379" w:type="dxa"/>
            <w:tcBorders>
              <w:bottom w:val="dotted" w:sz="4" w:space="0" w:color="auto"/>
            </w:tcBorders>
            <w:shd w:val="clear" w:color="auto" w:fill="auto"/>
          </w:tcPr>
          <w:p w:rsidR="000C7F45" w:rsidRPr="00B43213" w:rsidRDefault="000C7F45" w:rsidP="001E1B79">
            <w:pPr>
              <w:spacing w:before="60" w:after="60"/>
              <w:ind w:rightChars="192" w:right="461"/>
              <w:jc w:val="left"/>
              <w:rPr>
                <w:rFonts w:eastAsia="Calibri"/>
                <w:noProof/>
              </w:rPr>
            </w:pPr>
            <w:r w:rsidRPr="00B43213">
              <w:rPr>
                <w:noProof/>
              </w:rPr>
              <w:t>260</w:t>
            </w:r>
          </w:p>
        </w:tc>
      </w:tr>
      <w:tr w:rsidR="001E1B79" w:rsidRPr="00B43213" w:rsidTr="001D5990">
        <w:tc>
          <w:tcPr>
            <w:tcW w:w="4908" w:type="dxa"/>
            <w:tcBorders>
              <w:bottom w:val="dotted" w:sz="4" w:space="0" w:color="auto"/>
            </w:tcBorders>
            <w:shd w:val="clear" w:color="auto" w:fill="auto"/>
          </w:tcPr>
          <w:p w:rsidR="001E1B79" w:rsidRPr="00B43213" w:rsidRDefault="001E1B79" w:rsidP="001E1B79">
            <w:pPr>
              <w:spacing w:before="60" w:after="60"/>
              <w:jc w:val="left"/>
              <w:rPr>
                <w:rFonts w:eastAsia="Calibri"/>
                <w:noProof/>
              </w:rPr>
            </w:pPr>
            <w:r w:rsidRPr="00B43213">
              <w:rPr>
                <w:noProof/>
              </w:rPr>
              <w:t>Numărul total de beneficiari eligibili</w:t>
            </w:r>
          </w:p>
        </w:tc>
        <w:tc>
          <w:tcPr>
            <w:tcW w:w="4379" w:type="dxa"/>
            <w:tcBorders>
              <w:bottom w:val="dotted" w:sz="4" w:space="0" w:color="auto"/>
            </w:tcBorders>
            <w:shd w:val="clear" w:color="auto" w:fill="auto"/>
          </w:tcPr>
          <w:p w:rsidR="001E1B79" w:rsidRPr="00B43213" w:rsidRDefault="002826E9" w:rsidP="001E1B79">
            <w:pPr>
              <w:spacing w:before="60" w:after="60"/>
              <w:ind w:rightChars="192" w:right="461"/>
              <w:jc w:val="left"/>
              <w:rPr>
                <w:rFonts w:eastAsia="Calibri"/>
                <w:noProof/>
              </w:rPr>
            </w:pPr>
            <w:r w:rsidRPr="00B43213">
              <w:rPr>
                <w:noProof/>
              </w:rPr>
              <w:t>260</w:t>
            </w:r>
          </w:p>
        </w:tc>
      </w:tr>
      <w:tr w:rsidR="001E1B79" w:rsidRPr="00B43213" w:rsidTr="001D5990">
        <w:tc>
          <w:tcPr>
            <w:tcW w:w="4908" w:type="dxa"/>
            <w:tcBorders>
              <w:top w:val="dotted" w:sz="4" w:space="0" w:color="auto"/>
              <w:bottom w:val="dotted" w:sz="4" w:space="0" w:color="auto"/>
            </w:tcBorders>
            <w:shd w:val="clear" w:color="auto" w:fill="auto"/>
          </w:tcPr>
          <w:p w:rsidR="001E1B79" w:rsidRPr="00B43213" w:rsidRDefault="001E1B79" w:rsidP="001E1B79">
            <w:pPr>
              <w:spacing w:before="60" w:after="60"/>
              <w:jc w:val="left"/>
              <w:rPr>
                <w:rFonts w:eastAsia="Calibri"/>
                <w:noProof/>
              </w:rPr>
            </w:pPr>
            <w:r w:rsidRPr="00B43213">
              <w:rPr>
                <w:noProof/>
              </w:rPr>
              <w:t>Numărul total de beneficiari vizați</w:t>
            </w:r>
          </w:p>
        </w:tc>
        <w:tc>
          <w:tcPr>
            <w:tcW w:w="4379" w:type="dxa"/>
            <w:tcBorders>
              <w:top w:val="dotted" w:sz="4" w:space="0" w:color="auto"/>
              <w:bottom w:val="dotted" w:sz="4" w:space="0" w:color="auto"/>
            </w:tcBorders>
            <w:shd w:val="clear" w:color="auto" w:fill="auto"/>
          </w:tcPr>
          <w:p w:rsidR="001E1B79" w:rsidRPr="00B43213" w:rsidRDefault="00ED6F0C" w:rsidP="001E1B79">
            <w:pPr>
              <w:spacing w:before="60" w:after="60"/>
              <w:ind w:rightChars="192" w:right="461"/>
              <w:jc w:val="left"/>
              <w:rPr>
                <w:rFonts w:eastAsia="Calibri"/>
                <w:noProof/>
              </w:rPr>
            </w:pPr>
            <w:r w:rsidRPr="00B43213">
              <w:rPr>
                <w:noProof/>
              </w:rPr>
              <w:t>233</w:t>
            </w:r>
          </w:p>
        </w:tc>
      </w:tr>
      <w:tr w:rsidR="001E1B79" w:rsidRPr="00B43213" w:rsidTr="001D5990">
        <w:tc>
          <w:tcPr>
            <w:tcW w:w="4908" w:type="dxa"/>
            <w:tcBorders>
              <w:bottom w:val="dotted" w:sz="4" w:space="0" w:color="auto"/>
            </w:tcBorders>
            <w:shd w:val="clear" w:color="auto" w:fill="auto"/>
            <w:vAlign w:val="center"/>
          </w:tcPr>
          <w:p w:rsidR="001E1B79" w:rsidRPr="00B43213" w:rsidRDefault="001E1B79" w:rsidP="001E1B79">
            <w:pPr>
              <w:spacing w:before="0" w:after="0"/>
              <w:jc w:val="left"/>
              <w:rPr>
                <w:noProof/>
              </w:rPr>
            </w:pPr>
            <w:r w:rsidRPr="00B43213">
              <w:rPr>
                <w:noProof/>
              </w:rPr>
              <w:t>Bugetul pentru servicii personalizate (EUR)</w:t>
            </w:r>
          </w:p>
        </w:tc>
        <w:tc>
          <w:tcPr>
            <w:tcW w:w="4379" w:type="dxa"/>
            <w:tcBorders>
              <w:bottom w:val="dotted" w:sz="4" w:space="0" w:color="auto"/>
            </w:tcBorders>
            <w:shd w:val="clear" w:color="auto" w:fill="auto"/>
            <w:vAlign w:val="center"/>
          </w:tcPr>
          <w:p w:rsidR="001E1B79" w:rsidRPr="00B43213" w:rsidRDefault="00030AE7" w:rsidP="001E1B79">
            <w:pPr>
              <w:spacing w:before="0" w:after="0"/>
              <w:ind w:rightChars="192" w:right="461"/>
              <w:jc w:val="left"/>
              <w:rPr>
                <w:noProof/>
              </w:rPr>
            </w:pPr>
            <w:r w:rsidRPr="00B43213">
              <w:rPr>
                <w:noProof/>
              </w:rPr>
              <w:t>663 85</w:t>
            </w:r>
            <w:r w:rsidRPr="00B43213">
              <w:rPr>
                <w:rFonts w:ascii="TimesNewRoman" w:hAnsi="TimesNewRoman"/>
                <w:noProof/>
                <w:color w:val="000000"/>
              </w:rPr>
              <w:t>0</w:t>
            </w:r>
          </w:p>
        </w:tc>
      </w:tr>
      <w:tr w:rsidR="001E1B79" w:rsidRPr="00B43213" w:rsidTr="00030AE7">
        <w:trPr>
          <w:trHeight w:val="389"/>
        </w:trPr>
        <w:tc>
          <w:tcPr>
            <w:tcW w:w="4908" w:type="dxa"/>
            <w:tcBorders>
              <w:top w:val="dotted" w:sz="4" w:space="0" w:color="auto"/>
              <w:bottom w:val="dotted" w:sz="4" w:space="0" w:color="auto"/>
            </w:tcBorders>
            <w:shd w:val="clear" w:color="auto" w:fill="auto"/>
            <w:vAlign w:val="center"/>
          </w:tcPr>
          <w:p w:rsidR="001E1B79" w:rsidRPr="00B43213" w:rsidRDefault="001E1B79" w:rsidP="001E1B79">
            <w:pPr>
              <w:spacing w:before="0" w:after="0"/>
              <w:jc w:val="left"/>
              <w:rPr>
                <w:noProof/>
              </w:rPr>
            </w:pPr>
            <w:r w:rsidRPr="00B43213">
              <w:rPr>
                <w:noProof/>
              </w:rPr>
              <w:t>Bugetul pentru implementarea FEG</w:t>
            </w:r>
            <w:r w:rsidRPr="00B43213">
              <w:rPr>
                <w:rStyle w:val="FootnoteReference"/>
                <w:noProof/>
              </w:rPr>
              <w:footnoteReference w:id="5"/>
            </w:r>
            <w:r w:rsidRPr="00B43213">
              <w:rPr>
                <w:noProof/>
              </w:rPr>
              <w:t xml:space="preserve"> (EUR)</w:t>
            </w:r>
          </w:p>
        </w:tc>
        <w:tc>
          <w:tcPr>
            <w:tcW w:w="4379" w:type="dxa"/>
            <w:tcBorders>
              <w:top w:val="dotted" w:sz="4" w:space="0" w:color="auto"/>
              <w:bottom w:val="dotted" w:sz="4" w:space="0" w:color="auto"/>
            </w:tcBorders>
            <w:shd w:val="clear" w:color="auto" w:fill="auto"/>
            <w:vAlign w:val="center"/>
          </w:tcPr>
          <w:p w:rsidR="001E1B79" w:rsidRPr="00B43213" w:rsidRDefault="00C220AF" w:rsidP="001E1B79">
            <w:pPr>
              <w:spacing w:before="0" w:after="0"/>
              <w:ind w:rightChars="192" w:right="461"/>
              <w:jc w:val="left"/>
              <w:rPr>
                <w:noProof/>
              </w:rPr>
            </w:pPr>
            <w:r w:rsidRPr="00B43213">
              <w:rPr>
                <w:noProof/>
              </w:rPr>
              <w:t>20 000</w:t>
            </w:r>
          </w:p>
        </w:tc>
      </w:tr>
      <w:tr w:rsidR="001E1B79" w:rsidRPr="00B43213" w:rsidTr="001D5990">
        <w:tc>
          <w:tcPr>
            <w:tcW w:w="4908" w:type="dxa"/>
            <w:tcBorders>
              <w:top w:val="dotted" w:sz="4" w:space="0" w:color="auto"/>
              <w:bottom w:val="dotted" w:sz="4" w:space="0" w:color="auto"/>
            </w:tcBorders>
            <w:shd w:val="clear" w:color="auto" w:fill="auto"/>
            <w:vAlign w:val="center"/>
          </w:tcPr>
          <w:p w:rsidR="001E1B79" w:rsidRPr="00B43213" w:rsidRDefault="001E1B79" w:rsidP="001E1B79">
            <w:pPr>
              <w:spacing w:before="0" w:after="0"/>
              <w:jc w:val="left"/>
              <w:rPr>
                <w:noProof/>
              </w:rPr>
            </w:pPr>
            <w:r w:rsidRPr="00B43213">
              <w:rPr>
                <w:noProof/>
              </w:rPr>
              <w:t>Bugetul total (EUR)</w:t>
            </w:r>
          </w:p>
        </w:tc>
        <w:tc>
          <w:tcPr>
            <w:tcW w:w="4379" w:type="dxa"/>
            <w:tcBorders>
              <w:top w:val="dotted" w:sz="4" w:space="0" w:color="auto"/>
              <w:bottom w:val="dotted" w:sz="4" w:space="0" w:color="auto"/>
            </w:tcBorders>
            <w:shd w:val="clear" w:color="auto" w:fill="auto"/>
            <w:vAlign w:val="center"/>
          </w:tcPr>
          <w:p w:rsidR="001E1B79" w:rsidRPr="00B43213" w:rsidRDefault="00C220AF" w:rsidP="001E1B79">
            <w:pPr>
              <w:spacing w:before="0" w:after="0"/>
              <w:ind w:rightChars="192" w:right="461"/>
              <w:jc w:val="left"/>
              <w:rPr>
                <w:noProof/>
              </w:rPr>
            </w:pPr>
            <w:r w:rsidRPr="00B43213">
              <w:rPr>
                <w:rFonts w:ascii="TimesNewRoman" w:hAnsi="TimesNewRoman"/>
                <w:noProof/>
                <w:color w:val="000000"/>
              </w:rPr>
              <w:t>683 850</w:t>
            </w:r>
          </w:p>
        </w:tc>
      </w:tr>
      <w:tr w:rsidR="001E1B79" w:rsidRPr="00B43213" w:rsidTr="001D5990">
        <w:tc>
          <w:tcPr>
            <w:tcW w:w="4908" w:type="dxa"/>
            <w:tcBorders>
              <w:top w:val="dotted" w:sz="4" w:space="0" w:color="auto"/>
            </w:tcBorders>
            <w:shd w:val="clear" w:color="auto" w:fill="auto"/>
            <w:vAlign w:val="center"/>
          </w:tcPr>
          <w:p w:rsidR="001E1B79" w:rsidRPr="00B43213" w:rsidRDefault="001E1B79" w:rsidP="001E1B79">
            <w:pPr>
              <w:spacing w:before="0" w:after="0"/>
              <w:jc w:val="left"/>
              <w:rPr>
                <w:noProof/>
              </w:rPr>
            </w:pPr>
            <w:r w:rsidRPr="00B43213">
              <w:rPr>
                <w:noProof/>
              </w:rPr>
              <w:t>Contribuția FEG (60 %) (EUR)</w:t>
            </w:r>
          </w:p>
        </w:tc>
        <w:tc>
          <w:tcPr>
            <w:tcW w:w="4379" w:type="dxa"/>
            <w:tcBorders>
              <w:top w:val="dotted" w:sz="4" w:space="0" w:color="auto"/>
            </w:tcBorders>
            <w:shd w:val="clear" w:color="auto" w:fill="auto"/>
            <w:vAlign w:val="center"/>
          </w:tcPr>
          <w:p w:rsidR="001E1B79" w:rsidRPr="00B43213" w:rsidRDefault="00C220AF" w:rsidP="001E1B79">
            <w:pPr>
              <w:spacing w:before="0" w:after="0"/>
              <w:ind w:rightChars="192" w:right="461"/>
              <w:jc w:val="left"/>
              <w:rPr>
                <w:noProof/>
              </w:rPr>
            </w:pPr>
            <w:r w:rsidRPr="00B43213">
              <w:rPr>
                <w:rFonts w:ascii="TimesNewRoman" w:hAnsi="TimesNewRoman"/>
                <w:noProof/>
                <w:color w:val="000000"/>
              </w:rPr>
              <w:t>410 310</w:t>
            </w:r>
          </w:p>
        </w:tc>
      </w:tr>
    </w:tbl>
    <w:p w:rsidR="001A62D7" w:rsidRPr="00B43213" w:rsidRDefault="001A62D7" w:rsidP="001A62D7">
      <w:pPr>
        <w:pStyle w:val="ManualHeading1"/>
        <w:rPr>
          <w:noProof/>
        </w:rPr>
      </w:pPr>
      <w:r w:rsidRPr="00B43213">
        <w:rPr>
          <w:noProof/>
        </w:rPr>
        <w:t>EVALUAREA CERERII</w:t>
      </w:r>
    </w:p>
    <w:p w:rsidR="001A62D7" w:rsidRPr="00B43213" w:rsidRDefault="001A62D7" w:rsidP="001A62D7">
      <w:pPr>
        <w:pStyle w:val="ManualHeading2"/>
        <w:rPr>
          <w:noProof/>
        </w:rPr>
      </w:pPr>
      <w:r w:rsidRPr="00B43213">
        <w:rPr>
          <w:noProof/>
        </w:rPr>
        <w:t>Procedura</w:t>
      </w:r>
    </w:p>
    <w:p w:rsidR="001A62D7" w:rsidRPr="00B43213" w:rsidRDefault="00ED6F0C" w:rsidP="009C50F6">
      <w:pPr>
        <w:pStyle w:val="ManualNumPar1"/>
        <w:rPr>
          <w:noProof/>
        </w:rPr>
      </w:pPr>
      <w:r>
        <w:rPr>
          <w:noProof/>
        </w:rPr>
        <w:t>4.</w:t>
      </w:r>
      <w:r>
        <w:rPr>
          <w:noProof/>
        </w:rPr>
        <w:tab/>
      </w:r>
      <w:r w:rsidRPr="00B43213">
        <w:rPr>
          <w:noProof/>
        </w:rPr>
        <w:t>La 5 mai 2026, Finlanda a depus cererea EGF/2026/003 FI/</w:t>
      </w:r>
      <w:r w:rsidRPr="00B43213">
        <w:rPr>
          <w:i/>
          <w:iCs/>
          <w:noProof/>
        </w:rPr>
        <w:t>Valmet Automotive</w:t>
      </w:r>
      <w:r w:rsidRPr="00B43213">
        <w:rPr>
          <w:noProof/>
        </w:rPr>
        <w:t xml:space="preserve"> în termen de 12 săptămâni de la data la care au fost îndeplinite criteriile de intervenție prevăzute la articolul 4 alineatul (2) litera (a) din Regulamentul (UE) 2021/691. Comisia a confirmat primirea cererii la aceeași dată, iar </w:t>
      </w:r>
      <w:bookmarkStart w:id="2" w:name="_Hlk176343556"/>
      <w:r w:rsidRPr="00B43213">
        <w:rPr>
          <w:noProof/>
        </w:rPr>
        <w:t>la 21 mai 2026 a solicitat Finlandei informații suplimentare. Aceste informații suplimentare au fost furnizate în termen de 15 zile lucrătoare de la data cererii. Termenul de 50 de zile lucrătoare de la data primirii cererii complete, în cursul căruia Comisia are obligația să finalizeze evaluarea conformității cererii cu condițiile de acordare a unei contribuții financiare, expiră la 24 august 2026.</w:t>
      </w:r>
      <w:bookmarkEnd w:id="2"/>
    </w:p>
    <w:p w:rsidR="001A62D7" w:rsidRPr="00B43213" w:rsidRDefault="001A62D7" w:rsidP="001A62D7">
      <w:pPr>
        <w:pStyle w:val="ManualHeading2"/>
        <w:rPr>
          <w:noProof/>
        </w:rPr>
      </w:pPr>
      <w:r w:rsidRPr="00B43213">
        <w:rPr>
          <w:noProof/>
        </w:rPr>
        <w:t>Eligibilitatea cererii</w:t>
      </w:r>
    </w:p>
    <w:p w:rsidR="001A62D7" w:rsidRPr="00B43213" w:rsidRDefault="001A62D7" w:rsidP="001A62D7">
      <w:pPr>
        <w:pStyle w:val="ManualHeading3"/>
        <w:rPr>
          <w:noProof/>
        </w:rPr>
      </w:pPr>
      <w:r w:rsidRPr="00B43213">
        <w:rPr>
          <w:noProof/>
        </w:rPr>
        <w:t>Întreprinderile și beneficiarii în cauză</w:t>
      </w:r>
    </w:p>
    <w:p w:rsidR="00AC3AEF" w:rsidRPr="00B43213" w:rsidRDefault="00181DB4" w:rsidP="009C50F6">
      <w:pPr>
        <w:pStyle w:val="ManualNumPar1"/>
        <w:rPr>
          <w:noProof/>
          <w:szCs w:val="24"/>
        </w:rPr>
      </w:pPr>
      <w:r>
        <w:rPr>
          <w:noProof/>
        </w:rPr>
        <w:t>5.</w:t>
      </w:r>
      <w:r>
        <w:rPr>
          <w:noProof/>
        </w:rPr>
        <w:tab/>
      </w:r>
      <w:r w:rsidRPr="00B43213">
        <w:rPr>
          <w:noProof/>
        </w:rPr>
        <w:t xml:space="preserve">Cererea se referă la 239 de lucrători disponibilizați a căror activitate a încetat la </w:t>
      </w:r>
      <w:r w:rsidRPr="00B43213">
        <w:rPr>
          <w:i/>
          <w:iCs/>
          <w:noProof/>
        </w:rPr>
        <w:t>Valmet Automotive</w:t>
      </w:r>
      <w:r w:rsidRPr="00B43213">
        <w:rPr>
          <w:noProof/>
        </w:rPr>
        <w:t xml:space="preserve"> și la unul dintre furnizorii săi. Întreprinderea principală își desfășoară activitatea în sectorul economic clasificat în diviziunea 29 (Fabricarea autovehiculelor, remorcilor și semiremorcilor) a NACE Rev. 2. Disponibilizările au fost efectuate în regiunea NUTS 2 Länsi-Suomi (FI19).</w:t>
      </w:r>
    </w:p>
    <w:tbl>
      <w:tblPr>
        <w:tblW w:w="8232"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40"/>
        <w:gridCol w:w="3117"/>
        <w:gridCol w:w="183"/>
        <w:gridCol w:w="1092"/>
      </w:tblGrid>
      <w:tr w:rsidR="00AC3AEF" w:rsidRPr="00B43213" w:rsidTr="00AC3AEF">
        <w:trPr>
          <w:trHeight w:val="284"/>
          <w:tblHeader/>
        </w:trPr>
        <w:tc>
          <w:tcPr>
            <w:tcW w:w="823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C3AEF" w:rsidRPr="00B43213" w:rsidRDefault="00AC3AEF" w:rsidP="003E3147">
            <w:pPr>
              <w:spacing w:beforeLines="20" w:before="48" w:afterLines="20" w:after="48" w:line="276" w:lineRule="auto"/>
              <w:ind w:left="57"/>
              <w:jc w:val="center"/>
              <w:rPr>
                <w:rFonts w:eastAsia="Calibri"/>
                <w:b/>
                <w:noProof/>
                <w:szCs w:val="24"/>
              </w:rPr>
            </w:pPr>
            <w:r w:rsidRPr="00B43213">
              <w:rPr>
                <w:b/>
                <w:noProof/>
              </w:rPr>
              <w:t>Întreprinderile și numărul disponibilizărilor în perioada de referință</w:t>
            </w:r>
          </w:p>
        </w:tc>
      </w:tr>
      <w:tr w:rsidR="00AC3AEF" w:rsidRPr="00B43213" w:rsidTr="00AC3AEF">
        <w:tc>
          <w:tcPr>
            <w:tcW w:w="6957" w:type="dxa"/>
            <w:gridSpan w:val="2"/>
            <w:tcBorders>
              <w:bottom w:val="single" w:sz="4" w:space="0" w:color="auto"/>
              <w:right w:val="single" w:sz="4" w:space="0" w:color="auto"/>
            </w:tcBorders>
            <w:shd w:val="clear" w:color="auto" w:fill="auto"/>
            <w:vAlign w:val="center"/>
          </w:tcPr>
          <w:p w:rsidR="00AC3AEF" w:rsidRPr="00B43213" w:rsidRDefault="000E7A0D" w:rsidP="003E3147">
            <w:pPr>
              <w:spacing w:before="0" w:after="0"/>
              <w:ind w:right="252"/>
              <w:jc w:val="left"/>
              <w:rPr>
                <w:noProof/>
                <w:szCs w:val="24"/>
              </w:rPr>
            </w:pPr>
            <w:r w:rsidRPr="00B43213">
              <w:rPr>
                <w:i/>
                <w:iCs/>
                <w:noProof/>
              </w:rPr>
              <w:t>Valmet Automotive Oyj</w:t>
            </w:r>
            <w:r w:rsidRPr="00B43213">
              <w:rPr>
                <w:noProof/>
              </w:rPr>
              <w:t xml:space="preserve"> (Fabricarea autovehiculelor)</w:t>
            </w:r>
          </w:p>
        </w:tc>
        <w:tc>
          <w:tcPr>
            <w:tcW w:w="1275" w:type="dxa"/>
            <w:gridSpan w:val="2"/>
            <w:tcBorders>
              <w:left w:val="single" w:sz="4" w:space="0" w:color="auto"/>
              <w:bottom w:val="single" w:sz="4" w:space="0" w:color="auto"/>
            </w:tcBorders>
            <w:shd w:val="clear" w:color="auto" w:fill="auto"/>
            <w:vAlign w:val="center"/>
          </w:tcPr>
          <w:p w:rsidR="00AC3AEF" w:rsidRPr="00B43213" w:rsidRDefault="00AC3AEF" w:rsidP="003E3147">
            <w:pPr>
              <w:spacing w:before="0" w:after="0"/>
              <w:ind w:left="-828"/>
              <w:jc w:val="right"/>
              <w:rPr>
                <w:noProof/>
                <w:szCs w:val="24"/>
              </w:rPr>
            </w:pPr>
            <w:r w:rsidRPr="00B43213">
              <w:rPr>
                <w:noProof/>
              </w:rPr>
              <w:t>230</w:t>
            </w:r>
          </w:p>
        </w:tc>
      </w:tr>
      <w:tr w:rsidR="000E7A0D" w:rsidRPr="00B43213" w:rsidTr="00AC3AEF">
        <w:tc>
          <w:tcPr>
            <w:tcW w:w="6957" w:type="dxa"/>
            <w:gridSpan w:val="2"/>
            <w:tcBorders>
              <w:bottom w:val="single" w:sz="4" w:space="0" w:color="auto"/>
              <w:right w:val="single" w:sz="4" w:space="0" w:color="auto"/>
            </w:tcBorders>
            <w:shd w:val="clear" w:color="auto" w:fill="auto"/>
            <w:vAlign w:val="center"/>
          </w:tcPr>
          <w:p w:rsidR="000E7A0D" w:rsidRPr="00B43213" w:rsidRDefault="000E7A0D" w:rsidP="003E3147">
            <w:pPr>
              <w:spacing w:before="0" w:after="0"/>
              <w:ind w:right="252"/>
              <w:jc w:val="left"/>
              <w:rPr>
                <w:noProof/>
                <w:szCs w:val="24"/>
              </w:rPr>
            </w:pPr>
            <w:r w:rsidRPr="00B43213">
              <w:rPr>
                <w:i/>
                <w:iCs/>
                <w:noProof/>
                <w:color w:val="000000"/>
              </w:rPr>
              <w:t>Compass Group Finland Oy</w:t>
            </w:r>
            <w:r w:rsidRPr="00B43213">
              <w:rPr>
                <w:noProof/>
                <w:color w:val="000000"/>
              </w:rPr>
              <w:t xml:space="preserve"> (Activități de servicii de alimentație)</w:t>
            </w:r>
          </w:p>
        </w:tc>
        <w:tc>
          <w:tcPr>
            <w:tcW w:w="1275" w:type="dxa"/>
            <w:gridSpan w:val="2"/>
            <w:tcBorders>
              <w:left w:val="single" w:sz="4" w:space="0" w:color="auto"/>
              <w:bottom w:val="single" w:sz="4" w:space="0" w:color="auto"/>
            </w:tcBorders>
            <w:shd w:val="clear" w:color="auto" w:fill="auto"/>
            <w:vAlign w:val="center"/>
          </w:tcPr>
          <w:p w:rsidR="000E7A0D" w:rsidRPr="00B43213" w:rsidRDefault="000E7A0D" w:rsidP="003E3147">
            <w:pPr>
              <w:spacing w:before="0" w:after="0"/>
              <w:ind w:left="-828"/>
              <w:jc w:val="right"/>
              <w:rPr>
                <w:noProof/>
                <w:szCs w:val="24"/>
              </w:rPr>
            </w:pPr>
            <w:r w:rsidRPr="00B43213">
              <w:rPr>
                <w:noProof/>
              </w:rPr>
              <w:t>9</w:t>
            </w:r>
          </w:p>
        </w:tc>
      </w:tr>
      <w:tr w:rsidR="00AC3AEF" w:rsidRPr="00B43213" w:rsidTr="00AC3AEF">
        <w:trPr>
          <w:trHeight w:val="284"/>
        </w:trPr>
        <w:tc>
          <w:tcPr>
            <w:tcW w:w="3840" w:type="dxa"/>
            <w:tcBorders>
              <w:top w:val="single" w:sz="4" w:space="0" w:color="auto"/>
              <w:bottom w:val="nil"/>
              <w:right w:val="nil"/>
            </w:tcBorders>
            <w:shd w:val="clear" w:color="auto" w:fill="E6E6E6"/>
            <w:vAlign w:val="center"/>
          </w:tcPr>
          <w:p w:rsidR="00AC3AEF" w:rsidRPr="00B43213" w:rsidRDefault="00AC3AEF" w:rsidP="003E3147">
            <w:pPr>
              <w:spacing w:beforeLines="20" w:before="48" w:afterLines="20" w:after="48" w:line="276" w:lineRule="auto"/>
              <w:ind w:left="57"/>
              <w:jc w:val="left"/>
              <w:rPr>
                <w:rFonts w:eastAsia="Calibri"/>
                <w:b/>
                <w:noProof/>
                <w:szCs w:val="24"/>
              </w:rPr>
            </w:pPr>
            <w:r w:rsidRPr="00B43213">
              <w:rPr>
                <w:noProof/>
              </w:rPr>
              <w:br w:type="page"/>
            </w:r>
            <w:r w:rsidRPr="00B43213">
              <w:rPr>
                <w:b/>
                <w:noProof/>
              </w:rPr>
              <w:t>Numărul total de întreprinderi:</w:t>
            </w:r>
            <w:r w:rsidRPr="00B43213">
              <w:rPr>
                <w:b/>
                <w:noProof/>
                <w:sz w:val="22"/>
              </w:rPr>
              <w:t xml:space="preserve"> </w:t>
            </w:r>
            <w:r w:rsidRPr="00B43213">
              <w:rPr>
                <w:b/>
                <w:noProof/>
              </w:rPr>
              <w:t>2</w:t>
            </w:r>
          </w:p>
        </w:tc>
        <w:tc>
          <w:tcPr>
            <w:tcW w:w="3300" w:type="dxa"/>
            <w:gridSpan w:val="2"/>
            <w:tcBorders>
              <w:top w:val="single" w:sz="4" w:space="0" w:color="auto"/>
              <w:left w:val="nil"/>
              <w:bottom w:val="nil"/>
              <w:right w:val="nil"/>
            </w:tcBorders>
            <w:shd w:val="clear" w:color="auto" w:fill="E6E6E6"/>
            <w:vAlign w:val="center"/>
          </w:tcPr>
          <w:p w:rsidR="00AC3AEF" w:rsidRPr="00B43213" w:rsidRDefault="00AC3AEF" w:rsidP="003E3147">
            <w:pPr>
              <w:spacing w:beforeLines="20" w:before="48" w:afterLines="20" w:after="48" w:line="276" w:lineRule="auto"/>
              <w:ind w:left="57" w:right="227"/>
              <w:jc w:val="left"/>
              <w:rPr>
                <w:rFonts w:eastAsia="Calibri"/>
                <w:b/>
                <w:noProof/>
                <w:szCs w:val="24"/>
              </w:rPr>
            </w:pPr>
            <w:r w:rsidRPr="00B43213">
              <w:rPr>
                <w:b/>
                <w:noProof/>
              </w:rPr>
              <w:t>Numărul total de disponibilizări:</w:t>
            </w:r>
            <w:r w:rsidRPr="00B43213">
              <w:rPr>
                <w:b/>
                <w:noProof/>
                <w:sz w:val="22"/>
              </w:rPr>
              <w:t xml:space="preserve"> </w:t>
            </w:r>
          </w:p>
        </w:tc>
        <w:tc>
          <w:tcPr>
            <w:tcW w:w="1092" w:type="dxa"/>
            <w:tcBorders>
              <w:top w:val="single" w:sz="4" w:space="0" w:color="auto"/>
              <w:left w:val="nil"/>
              <w:bottom w:val="nil"/>
            </w:tcBorders>
            <w:shd w:val="clear" w:color="auto" w:fill="E6E6E6"/>
            <w:vAlign w:val="center"/>
          </w:tcPr>
          <w:p w:rsidR="00AC3AEF" w:rsidRPr="00B43213" w:rsidRDefault="00CD42B6" w:rsidP="003E3147">
            <w:pPr>
              <w:spacing w:beforeLines="20" w:before="48" w:afterLines="20" w:after="48" w:line="276" w:lineRule="auto"/>
              <w:ind w:left="57" w:right="227"/>
              <w:jc w:val="right"/>
              <w:rPr>
                <w:rFonts w:eastAsia="Calibri"/>
                <w:b/>
                <w:noProof/>
                <w:szCs w:val="24"/>
              </w:rPr>
            </w:pPr>
            <w:r w:rsidRPr="00B43213">
              <w:rPr>
                <w:b/>
                <w:noProof/>
              </w:rPr>
              <w:t>239</w:t>
            </w:r>
          </w:p>
        </w:tc>
      </w:tr>
      <w:tr w:rsidR="00AC3AEF" w:rsidRPr="00B43213" w:rsidTr="00AC3AEF">
        <w:trPr>
          <w:trHeight w:val="284"/>
        </w:trPr>
        <w:tc>
          <w:tcPr>
            <w:tcW w:w="7140" w:type="dxa"/>
            <w:gridSpan w:val="3"/>
            <w:tcBorders>
              <w:top w:val="nil"/>
              <w:bottom w:val="nil"/>
              <w:right w:val="nil"/>
            </w:tcBorders>
            <w:shd w:val="clear" w:color="auto" w:fill="E6E6E6"/>
            <w:vAlign w:val="center"/>
          </w:tcPr>
          <w:p w:rsidR="00AC3AEF" w:rsidRPr="00B43213" w:rsidRDefault="00AC3AEF" w:rsidP="003E3147">
            <w:pPr>
              <w:spacing w:beforeLines="20" w:before="48" w:afterLines="20" w:after="48" w:line="276" w:lineRule="auto"/>
              <w:ind w:left="57" w:right="227"/>
              <w:jc w:val="left"/>
              <w:rPr>
                <w:rFonts w:eastAsia="Calibri"/>
                <w:b/>
                <w:noProof/>
                <w:szCs w:val="24"/>
              </w:rPr>
            </w:pPr>
          </w:p>
        </w:tc>
        <w:tc>
          <w:tcPr>
            <w:tcW w:w="1092" w:type="dxa"/>
            <w:tcBorders>
              <w:top w:val="nil"/>
              <w:left w:val="nil"/>
              <w:bottom w:val="nil"/>
            </w:tcBorders>
            <w:shd w:val="clear" w:color="auto" w:fill="E6E6E6"/>
            <w:vAlign w:val="center"/>
          </w:tcPr>
          <w:p w:rsidR="00AC3AEF" w:rsidRPr="00B43213" w:rsidRDefault="00AC3AEF" w:rsidP="00EA127B">
            <w:pPr>
              <w:spacing w:beforeLines="20" w:before="48" w:afterLines="20" w:after="48" w:line="276" w:lineRule="auto"/>
              <w:ind w:right="227"/>
              <w:rPr>
                <w:rFonts w:eastAsia="Calibri"/>
                <w:b/>
                <w:noProof/>
                <w:szCs w:val="24"/>
              </w:rPr>
            </w:pPr>
          </w:p>
        </w:tc>
      </w:tr>
      <w:tr w:rsidR="00AC3AEF" w:rsidRPr="00B43213" w:rsidTr="00EA127B">
        <w:trPr>
          <w:trHeight w:val="87"/>
        </w:trPr>
        <w:tc>
          <w:tcPr>
            <w:tcW w:w="7140" w:type="dxa"/>
            <w:gridSpan w:val="3"/>
            <w:tcBorders>
              <w:top w:val="nil"/>
              <w:right w:val="nil"/>
            </w:tcBorders>
            <w:shd w:val="clear" w:color="auto" w:fill="E6E6E6"/>
            <w:vAlign w:val="center"/>
          </w:tcPr>
          <w:p w:rsidR="00AC3AEF" w:rsidRPr="00B43213" w:rsidRDefault="00AC3AEF" w:rsidP="00EA127B">
            <w:pPr>
              <w:spacing w:beforeLines="20" w:before="48" w:afterLines="20" w:after="48" w:line="276" w:lineRule="auto"/>
              <w:jc w:val="left"/>
              <w:rPr>
                <w:rFonts w:eastAsia="Calibri"/>
                <w:b/>
                <w:noProof/>
                <w:szCs w:val="24"/>
              </w:rPr>
            </w:pPr>
          </w:p>
        </w:tc>
        <w:tc>
          <w:tcPr>
            <w:tcW w:w="1092" w:type="dxa"/>
            <w:tcBorders>
              <w:top w:val="nil"/>
              <w:left w:val="nil"/>
            </w:tcBorders>
            <w:shd w:val="clear" w:color="auto" w:fill="E6E6E6"/>
            <w:vAlign w:val="center"/>
          </w:tcPr>
          <w:p w:rsidR="00AC3AEF" w:rsidRPr="00B43213" w:rsidRDefault="00AC3AEF" w:rsidP="003E3147">
            <w:pPr>
              <w:spacing w:beforeLines="20" w:before="48" w:afterLines="20" w:after="48" w:line="276" w:lineRule="auto"/>
              <w:ind w:left="57" w:right="227"/>
              <w:jc w:val="right"/>
              <w:rPr>
                <w:rFonts w:eastAsia="Calibri"/>
                <w:b/>
                <w:noProof/>
                <w:szCs w:val="24"/>
              </w:rPr>
            </w:pPr>
          </w:p>
        </w:tc>
      </w:tr>
    </w:tbl>
    <w:p w:rsidR="001A62D7" w:rsidRPr="00B43213" w:rsidRDefault="001A62D7" w:rsidP="001A62D7">
      <w:pPr>
        <w:pStyle w:val="ManualHeading3"/>
        <w:rPr>
          <w:noProof/>
        </w:rPr>
      </w:pPr>
      <w:r w:rsidRPr="00B43213">
        <w:rPr>
          <w:noProof/>
        </w:rPr>
        <w:t>Criteriile de intervenție</w:t>
      </w:r>
    </w:p>
    <w:p w:rsidR="00A50DD1" w:rsidRPr="00B43213" w:rsidRDefault="00EA127B" w:rsidP="00A50DD1">
      <w:pPr>
        <w:pStyle w:val="ManualNumPar1"/>
        <w:rPr>
          <w:noProof/>
        </w:rPr>
      </w:pPr>
      <w:r>
        <w:rPr>
          <w:noProof/>
        </w:rPr>
        <w:t>6.</w:t>
      </w:r>
      <w:r>
        <w:rPr>
          <w:noProof/>
        </w:rPr>
        <w:tab/>
      </w:r>
      <w:bookmarkStart w:id="3" w:name="_Ref372189348"/>
      <w:r w:rsidRPr="00B43213">
        <w:rPr>
          <w:noProof/>
        </w:rPr>
        <w:t xml:space="preserve">Finlanda a depus cererea în temeiul criteriilor de intervenție prevăzute la articolul 4 alineatul (2) litera (a) din Regulamentul (UE) 2021/691, care prevede drept condiție </w:t>
      </w:r>
      <w:r w:rsidRPr="00B43213">
        <w:rPr>
          <w:noProof/>
        </w:rPr>
        <w:lastRenderedPageBreak/>
        <w:t>încetarea activității a cel puțin 200 de lucrători disponibilizați, într-o perioadă de referință de patru luni, într-o întreprindere dintr-un stat membru, inclusiv lucrători disponibilizați de furnizorii și producătorii din aval.</w:t>
      </w:r>
    </w:p>
    <w:bookmarkEnd w:id="3"/>
    <w:p w:rsidR="00545AD1" w:rsidRPr="00B43213" w:rsidRDefault="00545AD1" w:rsidP="00545AD1">
      <w:pPr>
        <w:pStyle w:val="ManualNumPar1"/>
        <w:rPr>
          <w:noProof/>
        </w:rPr>
      </w:pPr>
      <w:r>
        <w:rPr>
          <w:noProof/>
        </w:rPr>
        <w:t>7.</w:t>
      </w:r>
      <w:r>
        <w:rPr>
          <w:noProof/>
        </w:rPr>
        <w:tab/>
      </w:r>
      <w:r w:rsidRPr="00B43213">
        <w:rPr>
          <w:noProof/>
        </w:rPr>
        <w:t>Perioada de referință de patru luni pentru cerere este cuprinsă între 2 decembrie 2025 și 2 aprilie 2026.</w:t>
      </w:r>
    </w:p>
    <w:p w:rsidR="00346CC8" w:rsidRPr="00B43213" w:rsidRDefault="00A50DD1" w:rsidP="00346CC8">
      <w:pPr>
        <w:pStyle w:val="ManualNumPar1"/>
        <w:rPr>
          <w:noProof/>
        </w:rPr>
      </w:pPr>
      <w:r>
        <w:rPr>
          <w:noProof/>
        </w:rPr>
        <w:t>8.</w:t>
      </w:r>
      <w:r>
        <w:rPr>
          <w:noProof/>
        </w:rPr>
        <w:tab/>
      </w:r>
      <w:r w:rsidRPr="00B43213">
        <w:rPr>
          <w:noProof/>
        </w:rPr>
        <w:t>În perioada de referință au avut loc 239 de disponibilizări.</w:t>
      </w:r>
    </w:p>
    <w:p w:rsidR="001A62D7" w:rsidRPr="00B43213" w:rsidRDefault="001A62D7" w:rsidP="001A62D7">
      <w:pPr>
        <w:pStyle w:val="ManualHeading3"/>
        <w:rPr>
          <w:noProof/>
        </w:rPr>
      </w:pPr>
      <w:r w:rsidRPr="00B43213">
        <w:rPr>
          <w:noProof/>
        </w:rPr>
        <w:t>Calcularea disponibilizărilor și a cazurilor de încetare a activității</w:t>
      </w:r>
    </w:p>
    <w:p w:rsidR="00713BEE" w:rsidRPr="00B43213" w:rsidRDefault="00A50DD1" w:rsidP="00B229E2">
      <w:pPr>
        <w:pStyle w:val="ManualNumPar1"/>
        <w:rPr>
          <w:noProof/>
        </w:rPr>
      </w:pPr>
      <w:r>
        <w:rPr>
          <w:noProof/>
        </w:rPr>
        <w:t>9.</w:t>
      </w:r>
      <w:r>
        <w:rPr>
          <w:noProof/>
        </w:rPr>
        <w:tab/>
      </w:r>
      <w:r w:rsidRPr="00B43213">
        <w:rPr>
          <w:noProof/>
        </w:rPr>
        <w:t>În temeiul articolului 6 primul paragraf litera (a) coroborat cu articolul 5 primul paragraf litera (c) din Regulamentul (UE) 2021/691, încetarea activității lucrătorilor disponibilizați în cursul perioadei de referință a fost calculată de la data notificării individuale.</w:t>
      </w:r>
    </w:p>
    <w:p w:rsidR="001A62D7" w:rsidRPr="00B43213" w:rsidRDefault="001A62D7" w:rsidP="001A62D7">
      <w:pPr>
        <w:pStyle w:val="ManualHeading3"/>
        <w:rPr>
          <w:noProof/>
        </w:rPr>
      </w:pPr>
      <w:r w:rsidRPr="00B43213">
        <w:rPr>
          <w:noProof/>
        </w:rPr>
        <w:t>Beneficiarii eligibili</w:t>
      </w:r>
    </w:p>
    <w:p w:rsidR="00EA127B" w:rsidRPr="00B43213" w:rsidRDefault="00EA127B" w:rsidP="009C50F6">
      <w:pPr>
        <w:pStyle w:val="ManualNumPar1"/>
        <w:rPr>
          <w:noProof/>
        </w:rPr>
      </w:pPr>
      <w:r>
        <w:rPr>
          <w:noProof/>
        </w:rPr>
        <w:t>10.</w:t>
      </w:r>
      <w:r>
        <w:rPr>
          <w:noProof/>
        </w:rPr>
        <w:tab/>
      </w:r>
      <w:r w:rsidRPr="00B43213">
        <w:rPr>
          <w:noProof/>
        </w:rPr>
        <w:t xml:space="preserve">Pe lângă lucrătorii deja menționați, printre beneficiarii eligibili se numără 21 de lucrători disponibilizați a căror activitate a încetat înainte sau după perioada de referință de patru luni. Toți acești lucrători și-au încetat activitatea în cele șase luni anterioare începerii perioadei de referință, la 2 decembrie 2025, sau între sfârșitul perioadei de referință și ziua anterioară adoptării prezentei propuneri, în conformitate cu articolul 6 primul paragraf litera (b) din Regulamentul (UE) 2021/691. Se poate stabili o legătură de cauzalitate clară cu evenimentul care a declanșat încetarea activității lucrătorilor disponibilizați în perioada de referință, astfel cum se prevede la articolul 6 al doilea paragraf din Regulamentul (UE) 2021/691. </w:t>
      </w:r>
    </w:p>
    <w:p w:rsidR="001A62D7" w:rsidRPr="00B43213" w:rsidRDefault="001A62D7" w:rsidP="009C50F6">
      <w:pPr>
        <w:pStyle w:val="ManualNumPar1"/>
        <w:rPr>
          <w:noProof/>
        </w:rPr>
      </w:pPr>
      <w:r>
        <w:rPr>
          <w:noProof/>
        </w:rPr>
        <w:t>11.</w:t>
      </w:r>
      <w:r>
        <w:rPr>
          <w:noProof/>
        </w:rPr>
        <w:tab/>
      </w:r>
      <w:r w:rsidRPr="00B43213">
        <w:rPr>
          <w:noProof/>
        </w:rPr>
        <w:t>Numărul total al beneficiarilor eligibili este de 260.</w:t>
      </w:r>
    </w:p>
    <w:p w:rsidR="001A62D7" w:rsidRPr="00B43213" w:rsidRDefault="001A62D7" w:rsidP="001A62D7">
      <w:pPr>
        <w:pStyle w:val="ManualHeading3"/>
        <w:rPr>
          <w:noProof/>
        </w:rPr>
      </w:pPr>
      <w:r w:rsidRPr="00B43213">
        <w:rPr>
          <w:noProof/>
        </w:rPr>
        <w:t>Descrierea evenimentelor care au determinat disponibilizările și încetarea activității</w:t>
      </w:r>
    </w:p>
    <w:p w:rsidR="00713BEE" w:rsidRPr="00B43213" w:rsidRDefault="00C20B57" w:rsidP="00713BEE">
      <w:pPr>
        <w:pStyle w:val="ManualNumPar1"/>
        <w:spacing w:before="100"/>
        <w:rPr>
          <w:noProof/>
          <w:color w:val="000000"/>
        </w:rPr>
      </w:pPr>
      <w:r>
        <w:rPr>
          <w:noProof/>
        </w:rPr>
        <w:t>12.</w:t>
      </w:r>
      <w:r>
        <w:rPr>
          <w:noProof/>
        </w:rPr>
        <w:tab/>
      </w:r>
      <w:r w:rsidRPr="00B43213">
        <w:rPr>
          <w:noProof/>
          <w:color w:val="000000"/>
        </w:rPr>
        <w:t xml:space="preserve">Situația financiară și gradul de ocupare a forței de muncă ale </w:t>
      </w:r>
      <w:r w:rsidRPr="00B43213">
        <w:rPr>
          <w:i/>
          <w:iCs/>
          <w:noProof/>
          <w:color w:val="000000"/>
        </w:rPr>
        <w:t>Valmet Automotive</w:t>
      </w:r>
      <w:r w:rsidRPr="00B43213">
        <w:rPr>
          <w:noProof/>
          <w:color w:val="000000"/>
        </w:rPr>
        <w:t xml:space="preserve">, un producător contractant din industria automobilelor, au depins întotdeauna de contracte pe durată determinată cu marii producători de automobile și, prin urmare, au fost supuse fluctuațiilor. </w:t>
      </w:r>
    </w:p>
    <w:p w:rsidR="00A72597" w:rsidRPr="00B43213" w:rsidRDefault="00D66C9C" w:rsidP="00A72597">
      <w:pPr>
        <w:pStyle w:val="ManualNumPar1"/>
        <w:rPr>
          <w:noProof/>
        </w:rPr>
      </w:pPr>
      <w:r>
        <w:rPr>
          <w:noProof/>
        </w:rPr>
        <w:t>13.</w:t>
      </w:r>
      <w:r>
        <w:rPr>
          <w:noProof/>
        </w:rPr>
        <w:tab/>
      </w:r>
      <w:r w:rsidRPr="00B43213">
        <w:rPr>
          <w:noProof/>
          <w:color w:val="000000"/>
        </w:rPr>
        <w:t>Din cauza recesiunii mondiale din industria automobilelor, care a continuat timp de mai mulți ani, întreprinderea a întâmpinat dificultăți și a fost nevoită să-și reducă treptat personalul, de la aproape 3 200 de angajați la începutul anilor 2020 la aproximativ 1 300 înainte de ultimele concedieri</w:t>
      </w:r>
      <w:r w:rsidRPr="00B43213">
        <w:rPr>
          <w:rStyle w:val="FootnoteReference"/>
          <w:noProof/>
          <w:color w:val="000000"/>
        </w:rPr>
        <w:footnoteReference w:id="6"/>
      </w:r>
      <w:r w:rsidRPr="00B43213">
        <w:rPr>
          <w:noProof/>
          <w:color w:val="000000"/>
        </w:rPr>
        <w:t>.</w:t>
      </w:r>
    </w:p>
    <w:p w:rsidR="008D3624" w:rsidRPr="00B43213" w:rsidRDefault="00A72597" w:rsidP="008D3624">
      <w:pPr>
        <w:pStyle w:val="ManualNumPar1"/>
        <w:rPr>
          <w:noProof/>
        </w:rPr>
      </w:pPr>
      <w:r>
        <w:rPr>
          <w:noProof/>
        </w:rPr>
        <w:t>14.</w:t>
      </w:r>
      <w:r>
        <w:rPr>
          <w:noProof/>
        </w:rPr>
        <w:tab/>
      </w:r>
      <w:r w:rsidRPr="00B43213">
        <w:rPr>
          <w:noProof/>
          <w:color w:val="000000"/>
        </w:rPr>
        <w:t xml:space="preserve">După încetarea, în 2025, a contractului încheiat cu </w:t>
      </w:r>
      <w:r w:rsidRPr="00B43213">
        <w:rPr>
          <w:i/>
          <w:iCs/>
          <w:noProof/>
          <w:color w:val="000000"/>
        </w:rPr>
        <w:t>Mercedes-Benz</w:t>
      </w:r>
      <w:r w:rsidRPr="00B43213">
        <w:rPr>
          <w:noProof/>
          <w:color w:val="000000"/>
        </w:rPr>
        <w:t xml:space="preserve"> pentru producția celor două modele, fabrica nu mai avea comenzi, ceea ce a obligat-o să efectueze noi reduceri de personal. În cadrul negocierilor de cooperare din noiembrie 2025, compania a anunțat că va concedia maximum 235 de persoane și va trece în șomaj tehnic 860 de persoane. Situația dificilă a întreprinderii a afectat, de asemenea, în mod firesc, întregul lanț de subcontractare.</w:t>
      </w:r>
      <w:r w:rsidRPr="00B43213">
        <w:rPr>
          <w:noProof/>
        </w:rPr>
        <w:t xml:space="preserve"> </w:t>
      </w:r>
    </w:p>
    <w:p w:rsidR="001A62D7" w:rsidRPr="00B43213" w:rsidRDefault="001A62D7" w:rsidP="001A62D7">
      <w:pPr>
        <w:pStyle w:val="ManualHeading3"/>
        <w:tabs>
          <w:tab w:val="clear" w:pos="850"/>
          <w:tab w:val="left" w:pos="0"/>
        </w:tabs>
        <w:ind w:left="0" w:firstLine="0"/>
        <w:rPr>
          <w:noProof/>
        </w:rPr>
      </w:pPr>
      <w:r w:rsidRPr="00B43213">
        <w:rPr>
          <w:noProof/>
        </w:rPr>
        <w:t xml:space="preserve">Impactul preconizat al disponibilizărilor asupra economiei și a ocupării forței de muncă la nivel local, regional sau național </w:t>
      </w:r>
    </w:p>
    <w:p w:rsidR="00910A62" w:rsidRPr="00B43213" w:rsidRDefault="001D2C71" w:rsidP="008D3624">
      <w:pPr>
        <w:pStyle w:val="ManualNumPar1"/>
        <w:rPr>
          <w:noProof/>
          <w:color w:val="000000"/>
        </w:rPr>
      </w:pPr>
      <w:r>
        <w:rPr>
          <w:noProof/>
        </w:rPr>
        <w:t>15.</w:t>
      </w:r>
      <w:r>
        <w:rPr>
          <w:noProof/>
        </w:rPr>
        <w:tab/>
      </w:r>
      <w:r w:rsidRPr="00B43213">
        <w:rPr>
          <w:noProof/>
          <w:color w:val="000000"/>
        </w:rPr>
        <w:t xml:space="preserve">Noile măsuri de șomaj tehnic și disponibilizări la scară largă de la fabrica de automobile </w:t>
      </w:r>
      <w:r w:rsidRPr="00B43213">
        <w:rPr>
          <w:i/>
          <w:iCs/>
          <w:noProof/>
          <w:color w:val="000000"/>
        </w:rPr>
        <w:t>Valmet Automotive</w:t>
      </w:r>
      <w:r w:rsidRPr="00B43213">
        <w:rPr>
          <w:noProof/>
          <w:color w:val="000000"/>
        </w:rPr>
        <w:t xml:space="preserve"> Uusikaupunki, de departe cel mai mare angajator din regiune, au afectat grav întreaga regiune. Dependența puternică de uzina de </w:t>
      </w:r>
      <w:r w:rsidRPr="00B43213">
        <w:rPr>
          <w:noProof/>
          <w:color w:val="000000"/>
        </w:rPr>
        <w:lastRenderedPageBreak/>
        <w:t>automobile din subregiunea Vakka-Suomi reprezintă o provocare semnificativă pentru situația deja dificilă din regiune.</w:t>
      </w:r>
    </w:p>
    <w:p w:rsidR="00C26AE4" w:rsidRPr="00B43213" w:rsidRDefault="00C26AE4" w:rsidP="00C26AE4">
      <w:pPr>
        <w:pStyle w:val="ManualNumPar1"/>
        <w:rPr>
          <w:noProof/>
        </w:rPr>
      </w:pPr>
      <w:r>
        <w:rPr>
          <w:noProof/>
        </w:rPr>
        <w:t>16.</w:t>
      </w:r>
      <w:r>
        <w:rPr>
          <w:noProof/>
        </w:rPr>
        <w:tab/>
      </w:r>
      <w:r w:rsidRPr="00B43213">
        <w:rPr>
          <w:noProof/>
          <w:color w:val="000000"/>
        </w:rPr>
        <w:t>Rata șomajului în Vakka-Suomi a crescut la 12,2 % în decembrie 2025, cu 1,7 puncte procentuale peste procentul din anul precedent</w:t>
      </w:r>
      <w:r w:rsidRPr="00B43213">
        <w:rPr>
          <w:rStyle w:val="FootnoteReference"/>
          <w:noProof/>
          <w:color w:val="000000"/>
        </w:rPr>
        <w:footnoteReference w:id="7"/>
      </w:r>
      <w:r w:rsidRPr="00B43213">
        <w:rPr>
          <w:noProof/>
          <w:color w:val="000000"/>
        </w:rPr>
        <w:t>. În rândul tinerilor aflați în căutarea unui loc de muncă (în vârstă de sub 25 de ani), rata șomajului a ajuns la 17,3 %, ceea ce reprezintă o creștere de 4,2 puncte procentuale față de anul anterior</w:t>
      </w:r>
      <w:r w:rsidRPr="00B43213">
        <w:rPr>
          <w:rStyle w:val="FootnoteReference"/>
          <w:noProof/>
          <w:color w:val="000000"/>
        </w:rPr>
        <w:footnoteReference w:id="8"/>
      </w:r>
      <w:r w:rsidRPr="00B43213">
        <w:rPr>
          <w:noProof/>
          <w:color w:val="000000"/>
        </w:rPr>
        <w:t xml:space="preserve">. </w:t>
      </w:r>
    </w:p>
    <w:p w:rsidR="001D2C71" w:rsidRPr="00B43213" w:rsidRDefault="001D2C71" w:rsidP="008D3624">
      <w:pPr>
        <w:pStyle w:val="ManualNumPar1"/>
        <w:rPr>
          <w:noProof/>
        </w:rPr>
      </w:pPr>
      <w:r>
        <w:rPr>
          <w:noProof/>
        </w:rPr>
        <w:t>17.</w:t>
      </w:r>
      <w:r>
        <w:rPr>
          <w:noProof/>
        </w:rPr>
        <w:tab/>
      </w:r>
      <w:r w:rsidRPr="00B43213">
        <w:rPr>
          <w:noProof/>
          <w:color w:val="000000"/>
        </w:rPr>
        <w:t>Fiind o regiune axată pe exporturi, Länsi-Suomi a suferit mai mult decât alte regiuni în urma fluctuațiilor și a incertitudinilor din economia mondială. Rata de creștere a șomajului în Länsi-Suomi a fost a treia ca mărime din țară, ea situându-se la aproape 15 % în perioada 2024-2025</w:t>
      </w:r>
      <w:r w:rsidRPr="00B43213">
        <w:rPr>
          <w:rStyle w:val="FootnoteReference"/>
          <w:noProof/>
          <w:color w:val="000000"/>
        </w:rPr>
        <w:footnoteReference w:id="9"/>
      </w:r>
      <w:r w:rsidRPr="00B43213">
        <w:rPr>
          <w:noProof/>
          <w:color w:val="000000"/>
        </w:rPr>
        <w:t>.</w:t>
      </w:r>
      <w:r w:rsidRPr="00B43213">
        <w:rPr>
          <w:noProof/>
        </w:rPr>
        <w:t xml:space="preserve"> Rata șomajului, de 12,3 % în decembrie 2025, se află în continuare sub media națională.</w:t>
      </w:r>
      <w:r w:rsidRPr="00B43213">
        <w:rPr>
          <w:noProof/>
          <w:color w:val="000000"/>
        </w:rPr>
        <w:t xml:space="preserve"> Cu toate acestea, numărul șomerilor de lungă durată a crescut la cele mai ridicate niveluri din istorie, cu 39 % față de 2024</w:t>
      </w:r>
      <w:r w:rsidRPr="00B43213">
        <w:rPr>
          <w:rStyle w:val="FootnoteReference"/>
          <w:noProof/>
          <w:color w:val="000000"/>
        </w:rPr>
        <w:footnoteReference w:id="10"/>
      </w:r>
      <w:r w:rsidRPr="00B43213">
        <w:rPr>
          <w:noProof/>
          <w:color w:val="000000"/>
        </w:rPr>
        <w:t xml:space="preserve">. </w:t>
      </w:r>
      <w:r w:rsidRPr="00B43213">
        <w:rPr>
          <w:noProof/>
        </w:rPr>
        <w:t>La scară națională, șomajul a crescut constant, ajungând la 13,0 % în decembrie 2025</w:t>
      </w:r>
      <w:r w:rsidRPr="00B43213">
        <w:rPr>
          <w:rStyle w:val="FootnoteReference"/>
          <w:noProof/>
        </w:rPr>
        <w:footnoteReference w:id="11"/>
      </w:r>
      <w:r w:rsidRPr="00B43213">
        <w:rPr>
          <w:noProof/>
        </w:rPr>
        <w:t>, iar cererea de forță de muncă s-a redus în ultimii doi ani.</w:t>
      </w:r>
    </w:p>
    <w:p w:rsidR="0087281C" w:rsidRPr="00B43213" w:rsidRDefault="000E28CA" w:rsidP="00C267CB">
      <w:pPr>
        <w:pStyle w:val="ManualNumPar1"/>
        <w:rPr>
          <w:noProof/>
        </w:rPr>
      </w:pPr>
      <w:r>
        <w:rPr>
          <w:noProof/>
        </w:rPr>
        <w:t>18.</w:t>
      </w:r>
      <w:r>
        <w:rPr>
          <w:noProof/>
        </w:rPr>
        <w:tab/>
      </w:r>
      <w:r w:rsidRPr="00B43213">
        <w:rPr>
          <w:noProof/>
        </w:rPr>
        <w:t xml:space="preserve">Situația celor mai mari întreprinderi din regiune este relativ stabilă, deoarece multe întreprinderi continuă să-și manifeste dorința de a investi și urmări obiectivul de creștere economică. Unii dintre lucrătorii concediați de </w:t>
      </w:r>
      <w:r w:rsidRPr="00B43213">
        <w:rPr>
          <w:i/>
          <w:iCs/>
          <w:noProof/>
        </w:rPr>
        <w:t>Valmet Automotive</w:t>
      </w:r>
      <w:r w:rsidRPr="00B43213">
        <w:rPr>
          <w:noProof/>
        </w:rPr>
        <w:t xml:space="preserve"> și-ar putea găsi un loc de muncă în alte întreprinderi din regiune, prin formare sau alte măsuri de sprijin.</w:t>
      </w:r>
    </w:p>
    <w:p w:rsidR="0087281C" w:rsidRPr="00B43213" w:rsidRDefault="0087281C" w:rsidP="00C26AE4">
      <w:pPr>
        <w:pStyle w:val="ManualNumPar1"/>
        <w:rPr>
          <w:noProof/>
        </w:rPr>
      </w:pPr>
      <w:r>
        <w:rPr>
          <w:noProof/>
        </w:rPr>
        <w:t>19.</w:t>
      </w:r>
      <w:r>
        <w:rPr>
          <w:noProof/>
        </w:rPr>
        <w:tab/>
      </w:r>
      <w:r w:rsidRPr="00B43213">
        <w:rPr>
          <w:i/>
          <w:iCs/>
          <w:noProof/>
        </w:rPr>
        <w:t>Valmet Automotive</w:t>
      </w:r>
      <w:r w:rsidRPr="00B43213">
        <w:rPr>
          <w:noProof/>
        </w:rPr>
        <w:t xml:space="preserve"> a încercat să-și extindă operațiunile în noi câmpuri de activitate. Ea a semnat o scrisoare de intenție cu Patria, principala companie de tehnologie de apărare din Finlanda, și a primit o comandă mică pentru asamblarea de vehicule blindate. Dacă </w:t>
      </w:r>
      <w:r w:rsidRPr="00B43213">
        <w:rPr>
          <w:i/>
          <w:iCs/>
          <w:noProof/>
        </w:rPr>
        <w:t>Valmet Automotive</w:t>
      </w:r>
      <w:r w:rsidRPr="00B43213">
        <w:rPr>
          <w:noProof/>
        </w:rPr>
        <w:t xml:space="preserve"> reușește să treacă cu succes la tehnologia de apărare și de securitate, întreprinderea ar putea fi în măsură să reangajeze o parte considerabilă a angajaților săi disponibilizați. Prin urmare, este esențial ca atât societatea, cât și regiunea Uusikaupunki să mențină capacitatea de muncă a acestor persoane și să le păstreze, pe ele și familiile lor, în regiune. Acest lucru este deosebit de important pentru lucrătorii imigranți care dețin un permis de ședere legat de locul de muncă.</w:t>
      </w:r>
    </w:p>
    <w:p w:rsidR="00DB3FF9" w:rsidRPr="00B43213" w:rsidRDefault="00DB3FF9" w:rsidP="00DB3FF9">
      <w:pPr>
        <w:pStyle w:val="ManualNumPar1"/>
        <w:rPr>
          <w:noProof/>
          <w:color w:val="000000"/>
        </w:rPr>
      </w:pPr>
      <w:r>
        <w:rPr>
          <w:noProof/>
        </w:rPr>
        <w:t>20.</w:t>
      </w:r>
      <w:r>
        <w:rPr>
          <w:noProof/>
        </w:rPr>
        <w:tab/>
      </w:r>
      <w:r w:rsidRPr="00B43213">
        <w:rPr>
          <w:noProof/>
          <w:color w:val="000000"/>
        </w:rPr>
        <w:t xml:space="preserve">Turku, situat la aproximativ 70 km de Uusikaupunki, este un centru important pentru industria maritimă, care are o cerere constantă de specialiști în domeniul tehnic. Dintre lucrătorii concediați de </w:t>
      </w:r>
      <w:r w:rsidRPr="00B43213">
        <w:rPr>
          <w:i/>
          <w:iCs/>
          <w:noProof/>
          <w:color w:val="000000"/>
        </w:rPr>
        <w:t>Valmet Automotive</w:t>
      </w:r>
      <w:r w:rsidRPr="00B43213">
        <w:rPr>
          <w:noProof/>
          <w:color w:val="000000"/>
        </w:rPr>
        <w:t xml:space="preserve">, mulți ar putea găsi noi locuri de muncă în industria maritimă prin orientare de specialitate sau formare de specializare. suplimentară  Pachetul de sprijin FEG este conceput pentru a-i ajuta pe lucrătorii disponibilizați să-și alinieze competențele la cererea de competențe a angajatorilor din regiunile Uusikaupunki și Turku.  </w:t>
      </w:r>
    </w:p>
    <w:p w:rsidR="001A62D7" w:rsidRPr="00B43213" w:rsidRDefault="001A62D7" w:rsidP="001A62D7">
      <w:pPr>
        <w:pStyle w:val="ManualHeading2"/>
        <w:rPr>
          <w:noProof/>
        </w:rPr>
      </w:pPr>
      <w:r w:rsidRPr="00B43213">
        <w:rPr>
          <w:noProof/>
        </w:rPr>
        <w:t xml:space="preserve">Aplicarea Cadrului de calitate al UE pentru anticiparea schimbărilor și a restructurării (QFR) </w:t>
      </w:r>
    </w:p>
    <w:p w:rsidR="00297D5D" w:rsidRPr="00B43213" w:rsidRDefault="001D2C71" w:rsidP="009C50F6">
      <w:pPr>
        <w:pStyle w:val="ManualNumPar1"/>
        <w:rPr>
          <w:noProof/>
        </w:rPr>
      </w:pPr>
      <w:r>
        <w:rPr>
          <w:noProof/>
        </w:rPr>
        <w:t>21.</w:t>
      </w:r>
      <w:r>
        <w:rPr>
          <w:noProof/>
        </w:rPr>
        <w:tab/>
      </w:r>
      <w:r w:rsidRPr="00B43213">
        <w:rPr>
          <w:noProof/>
        </w:rPr>
        <w:t xml:space="preserve">Finlanda a descris modul în care au fost luate în considerare recomandările prevăzute în Cadrul de calitate al UE pentru anticiparea schimbărilor și a restructurării. Sprijinul FEG este conceput pentru a fi în concordanță cu cadrul de calitate al UE, </w:t>
      </w:r>
      <w:r w:rsidRPr="00B43213">
        <w:rPr>
          <w:noProof/>
        </w:rPr>
        <w:lastRenderedPageBreak/>
        <w:t xml:space="preserve">prin consolidarea intervenției timpurii, a măsurilor active pe piața forței de muncă și a pachetelor de sprijin coordonate. </w:t>
      </w:r>
      <w:bookmarkStart w:id="4" w:name="_Hlk232083175"/>
      <w:r w:rsidRPr="00B43213">
        <w:rPr>
          <w:noProof/>
        </w:rPr>
        <w:t xml:space="preserve">Comitetul de monitorizare a programului, </w:t>
      </w:r>
      <w:bookmarkStart w:id="5" w:name="_Hlk232083089"/>
      <w:r w:rsidRPr="00B43213">
        <w:rPr>
          <w:noProof/>
        </w:rPr>
        <w:t>format din reprezentanți ai ministerelor, regiunilor și partenerilor sociali</w:t>
      </w:r>
      <w:bookmarkEnd w:id="5"/>
      <w:r w:rsidRPr="00B43213">
        <w:rPr>
          <w:noProof/>
        </w:rPr>
        <w:t>, supraveghează implementarea, eficacitatea și alinierea la obiectivele strategice</w:t>
      </w:r>
      <w:bookmarkEnd w:id="4"/>
      <w:r w:rsidRPr="00B43213">
        <w:rPr>
          <w:noProof/>
        </w:rPr>
        <w:t>, asigurându-se că fondurile UE și resursele naționale sunt utilizate în mod complementar și coordonat.</w:t>
      </w:r>
    </w:p>
    <w:p w:rsidR="00297D5D" w:rsidRPr="00B43213" w:rsidRDefault="00297D5D" w:rsidP="009C50F6">
      <w:pPr>
        <w:pStyle w:val="ManualNumPar1"/>
        <w:rPr>
          <w:noProof/>
        </w:rPr>
      </w:pPr>
      <w:r>
        <w:rPr>
          <w:noProof/>
        </w:rPr>
        <w:t>22.</w:t>
      </w:r>
      <w:r>
        <w:rPr>
          <w:noProof/>
        </w:rPr>
        <w:tab/>
      </w:r>
      <w:r w:rsidRPr="00B43213">
        <w:rPr>
          <w:noProof/>
        </w:rPr>
        <w:t>În ceea ce privește activitățile întreprinse pentru a oferi asistență lucrătorilor disponibilizați, Finlanda a raportat că serviciile de ocupare a forței de muncă pentru lucrătorii disponibilizați au demarat în ziua în care au fost emise notificările de reziliere, printre ele numărându-se, de exemplu, mai multe sesiuni de informare și consiliere individuală.</w:t>
      </w:r>
      <w:r w:rsidRPr="00B43213">
        <w:rPr>
          <w:noProof/>
          <w:color w:val="000000"/>
        </w:rPr>
        <w:t xml:space="preserve"> Prima formare privind căutarea unui loc de muncă pentru foștii lucrători ai întreprinderii </w:t>
      </w:r>
      <w:r w:rsidRPr="00B43213">
        <w:rPr>
          <w:i/>
          <w:iCs/>
          <w:noProof/>
          <w:color w:val="000000"/>
        </w:rPr>
        <w:t>Valmet Automotive</w:t>
      </w:r>
      <w:r w:rsidRPr="00B43213">
        <w:rPr>
          <w:noProof/>
          <w:color w:val="000000"/>
        </w:rPr>
        <w:t xml:space="preserve"> a debutat la 23 martie 2026. </w:t>
      </w:r>
    </w:p>
    <w:p w:rsidR="001A62D7" w:rsidRPr="00B43213" w:rsidRDefault="001A62D7" w:rsidP="001A62D7">
      <w:pPr>
        <w:pStyle w:val="ManualHeading3"/>
        <w:rPr>
          <w:noProof/>
        </w:rPr>
      </w:pPr>
      <w:r w:rsidRPr="00B43213">
        <w:rPr>
          <w:noProof/>
        </w:rPr>
        <w:t>Complementaritatea cu acțiunile finanțate din fonduri naționale sau fonduri ale Uniunii</w:t>
      </w:r>
    </w:p>
    <w:p w:rsidR="00070B81" w:rsidRPr="00B43213" w:rsidRDefault="00903FB0" w:rsidP="009C50F6">
      <w:pPr>
        <w:pStyle w:val="ManualNumPar1"/>
        <w:rPr>
          <w:noProof/>
        </w:rPr>
      </w:pPr>
      <w:r>
        <w:rPr>
          <w:noProof/>
        </w:rPr>
        <w:t>23.</w:t>
      </w:r>
      <w:r>
        <w:rPr>
          <w:noProof/>
        </w:rPr>
        <w:tab/>
      </w:r>
      <w:r w:rsidRPr="00B43213">
        <w:rPr>
          <w:noProof/>
        </w:rPr>
        <w:t>Finlanda a confirmat faptul că măsurile descrise mai jos care primesc o contribuție financiară din partea FEG nu vor beneficia de contribuții financiare și din partea altor instrumente financiare ale Uniunii.</w:t>
      </w:r>
    </w:p>
    <w:p w:rsidR="00070B81" w:rsidRPr="00B43213" w:rsidRDefault="00070B81" w:rsidP="009C50F6">
      <w:pPr>
        <w:pStyle w:val="ManualNumPar1"/>
        <w:rPr>
          <w:noProof/>
        </w:rPr>
      </w:pPr>
      <w:r>
        <w:rPr>
          <w:noProof/>
        </w:rPr>
        <w:t>24.</w:t>
      </w:r>
      <w:r>
        <w:rPr>
          <w:noProof/>
        </w:rPr>
        <w:tab/>
      </w:r>
      <w:r w:rsidRPr="00B43213">
        <w:rPr>
          <w:noProof/>
        </w:rPr>
        <w:t>Pachetul coordonat de servicii personalizate completează acțiunile finanțate prin alte fonduri naționale sau ale UE.</w:t>
      </w:r>
    </w:p>
    <w:p w:rsidR="001A62D7" w:rsidRPr="00B43213" w:rsidRDefault="001A62D7" w:rsidP="001A62D7">
      <w:pPr>
        <w:pStyle w:val="ManualHeading3"/>
        <w:tabs>
          <w:tab w:val="clear" w:pos="850"/>
          <w:tab w:val="left" w:pos="0"/>
        </w:tabs>
        <w:ind w:left="0" w:firstLine="0"/>
        <w:rPr>
          <w:noProof/>
          <w:u w:val="single"/>
        </w:rPr>
      </w:pPr>
      <w:r w:rsidRPr="00B43213">
        <w:rPr>
          <w:noProof/>
        </w:rPr>
        <w:t>Proceduri de consultare a beneficiarilor vizați sau a reprezentanților acestora ori a partenerilor sociali, precum și a autorităților locale și regionale</w:t>
      </w:r>
    </w:p>
    <w:p w:rsidR="00070B81" w:rsidRPr="00B43213" w:rsidRDefault="00903FB0" w:rsidP="009C50F6">
      <w:pPr>
        <w:pStyle w:val="ManualNumPar1"/>
        <w:rPr>
          <w:noProof/>
        </w:rPr>
      </w:pPr>
      <w:r>
        <w:rPr>
          <w:noProof/>
        </w:rPr>
        <w:t>25.</w:t>
      </w:r>
      <w:r>
        <w:rPr>
          <w:noProof/>
        </w:rPr>
        <w:tab/>
      </w:r>
      <w:r w:rsidRPr="00B43213">
        <w:rPr>
          <w:noProof/>
        </w:rPr>
        <w:t>Finlanda a indicat că pachetul coordonat de servicii personalizate a fost elaborat în consultare cu experți și cu partenerii sociali, în conformitate cu articolul 7 alineatul (4) din Regulamentul (UE) 2021/691. Sprijinul FEG este discutat în cadrul grupului regional de coordonare a schimbărilor structurale bruște, implicând părțile interesate de la nivel regional și Ministerul Afacerilor Economice și Ocupării Forței de Muncă, începând din decembrie 2025. Pachetul final de măsuri a fost convenit la 4 mai 2026, în cadrul unei reuniuni cu serviciile publice de ocupare a forței de muncă și cu reprezentanții angajaților și angajatorilor.</w:t>
      </w:r>
    </w:p>
    <w:p w:rsidR="001A62D7" w:rsidRPr="00B43213" w:rsidRDefault="001A62D7" w:rsidP="001A62D7">
      <w:pPr>
        <w:pStyle w:val="ManualHeading2"/>
        <w:rPr>
          <w:noProof/>
        </w:rPr>
      </w:pPr>
      <w:r w:rsidRPr="00B43213">
        <w:rPr>
          <w:noProof/>
        </w:rPr>
        <w:t>Beneficiarii vizați și măsurile propuse</w:t>
      </w:r>
    </w:p>
    <w:p w:rsidR="001A62D7" w:rsidRPr="00B43213" w:rsidRDefault="001A62D7" w:rsidP="001A62D7">
      <w:pPr>
        <w:pStyle w:val="ManualHeading3"/>
        <w:rPr>
          <w:noProof/>
        </w:rPr>
      </w:pPr>
      <w:r w:rsidRPr="00B43213">
        <w:rPr>
          <w:noProof/>
        </w:rPr>
        <w:t>Beneficiarii vizați</w:t>
      </w:r>
    </w:p>
    <w:p w:rsidR="001A62D7" w:rsidRPr="00B43213" w:rsidRDefault="00903FB0" w:rsidP="009C50F6">
      <w:pPr>
        <w:pStyle w:val="ManualNumPar1"/>
        <w:rPr>
          <w:noProof/>
        </w:rPr>
      </w:pPr>
      <w:r>
        <w:rPr>
          <w:noProof/>
        </w:rPr>
        <w:t>26.</w:t>
      </w:r>
      <w:r>
        <w:rPr>
          <w:noProof/>
        </w:rPr>
        <w:tab/>
      </w:r>
      <w:r w:rsidRPr="00B43213">
        <w:rPr>
          <w:noProof/>
        </w:rPr>
        <w:t>Se estimează că numărul lucrătorilor disponibilizați care vor beneficia de măsuri va fi de 233. În conformitate cu articolul 8 alineatul (7) litera (f) din Regulamentul (UE) 2021/691, defalcarea acestor lucrători în funcție de gen, grupă de vârstă și nivel de studii este următoarea:</w:t>
      </w:r>
    </w:p>
    <w:tbl>
      <w:tblPr>
        <w:tblW w:w="0" w:type="auto"/>
        <w:jc w:val="center"/>
        <w:tblLook w:val="04A0" w:firstRow="1" w:lastRow="0" w:firstColumn="1" w:lastColumn="0" w:noHBand="0" w:noVBand="1"/>
      </w:tblPr>
      <w:tblGrid>
        <w:gridCol w:w="1496"/>
        <w:gridCol w:w="2063"/>
        <w:gridCol w:w="1176"/>
        <w:gridCol w:w="1176"/>
      </w:tblGrid>
      <w:tr w:rsidR="001A62D7" w:rsidRPr="00B43213" w:rsidTr="001D5990">
        <w:trPr>
          <w:jc w:val="center"/>
        </w:trPr>
        <w:tc>
          <w:tcPr>
            <w:tcW w:w="3559" w:type="dxa"/>
            <w:gridSpan w:val="2"/>
            <w:tcBorders>
              <w:top w:val="single" w:sz="4" w:space="0" w:color="auto"/>
              <w:left w:val="nil"/>
              <w:bottom w:val="single" w:sz="4" w:space="0" w:color="auto"/>
              <w:right w:val="nil"/>
            </w:tcBorders>
            <w:hideMark/>
          </w:tcPr>
          <w:p w:rsidR="001A62D7" w:rsidRPr="00B43213" w:rsidRDefault="001A62D7" w:rsidP="001D5990">
            <w:pPr>
              <w:spacing w:before="60" w:after="60"/>
              <w:jc w:val="center"/>
              <w:rPr>
                <w:noProof/>
              </w:rPr>
            </w:pPr>
            <w:r w:rsidRPr="00B43213">
              <w:rPr>
                <w:noProof/>
              </w:rPr>
              <w:t>Categorie</w:t>
            </w:r>
          </w:p>
        </w:tc>
        <w:tc>
          <w:tcPr>
            <w:tcW w:w="2352" w:type="dxa"/>
            <w:gridSpan w:val="2"/>
            <w:tcBorders>
              <w:top w:val="single" w:sz="4" w:space="0" w:color="auto"/>
              <w:left w:val="nil"/>
              <w:bottom w:val="single" w:sz="4" w:space="0" w:color="auto"/>
              <w:right w:val="nil"/>
            </w:tcBorders>
            <w:hideMark/>
          </w:tcPr>
          <w:p w:rsidR="001A62D7" w:rsidRPr="00B43213" w:rsidRDefault="001A62D7" w:rsidP="001D5990">
            <w:pPr>
              <w:spacing w:before="60" w:after="60"/>
              <w:jc w:val="center"/>
              <w:rPr>
                <w:noProof/>
              </w:rPr>
            </w:pPr>
            <w:r w:rsidRPr="00B43213">
              <w:rPr>
                <w:noProof/>
              </w:rPr>
              <w:t xml:space="preserve">Numărul de  </w:t>
            </w:r>
            <w:r w:rsidRPr="00B43213">
              <w:rPr>
                <w:noProof/>
              </w:rPr>
              <w:br/>
              <w:t>beneficiari preconizați</w:t>
            </w:r>
          </w:p>
        </w:tc>
      </w:tr>
      <w:tr w:rsidR="001A62D7" w:rsidRPr="00B43213" w:rsidTr="001D5990">
        <w:trPr>
          <w:jc w:val="center"/>
        </w:trPr>
        <w:tc>
          <w:tcPr>
            <w:tcW w:w="1496" w:type="dxa"/>
            <w:tcBorders>
              <w:top w:val="single" w:sz="4" w:space="0" w:color="auto"/>
              <w:left w:val="nil"/>
              <w:right w:val="nil"/>
            </w:tcBorders>
            <w:hideMark/>
          </w:tcPr>
          <w:p w:rsidR="001A62D7" w:rsidRPr="00B43213" w:rsidRDefault="001A62D7" w:rsidP="001D5990">
            <w:pPr>
              <w:spacing w:before="60" w:after="60"/>
              <w:rPr>
                <w:noProof/>
              </w:rPr>
            </w:pPr>
            <w:r w:rsidRPr="00B43213">
              <w:rPr>
                <w:noProof/>
              </w:rPr>
              <w:t>Gen:</w:t>
            </w:r>
          </w:p>
        </w:tc>
        <w:tc>
          <w:tcPr>
            <w:tcW w:w="2063" w:type="dxa"/>
            <w:tcBorders>
              <w:top w:val="single" w:sz="4" w:space="0" w:color="auto"/>
              <w:left w:val="nil"/>
              <w:right w:val="nil"/>
            </w:tcBorders>
            <w:hideMark/>
          </w:tcPr>
          <w:p w:rsidR="001A62D7" w:rsidRPr="00B43213" w:rsidRDefault="001A62D7" w:rsidP="001D5990">
            <w:pPr>
              <w:spacing w:before="60" w:after="60"/>
              <w:rPr>
                <w:noProof/>
              </w:rPr>
            </w:pPr>
            <w:r w:rsidRPr="00B43213">
              <w:rPr>
                <w:noProof/>
              </w:rPr>
              <w:t>Bărbați:</w:t>
            </w:r>
          </w:p>
        </w:tc>
        <w:tc>
          <w:tcPr>
            <w:tcW w:w="1176" w:type="dxa"/>
            <w:tcBorders>
              <w:top w:val="single" w:sz="4" w:space="0" w:color="auto"/>
              <w:left w:val="nil"/>
              <w:right w:val="nil"/>
            </w:tcBorders>
            <w:hideMark/>
          </w:tcPr>
          <w:p w:rsidR="001A62D7" w:rsidRPr="00B43213" w:rsidRDefault="007452BA" w:rsidP="001D5990">
            <w:pPr>
              <w:spacing w:before="60" w:after="60"/>
              <w:jc w:val="right"/>
              <w:rPr>
                <w:noProof/>
              </w:rPr>
            </w:pPr>
            <w:r w:rsidRPr="00B43213">
              <w:rPr>
                <w:noProof/>
              </w:rPr>
              <w:t>164</w:t>
            </w:r>
          </w:p>
        </w:tc>
        <w:tc>
          <w:tcPr>
            <w:tcW w:w="1176" w:type="dxa"/>
            <w:tcBorders>
              <w:top w:val="single" w:sz="4" w:space="0" w:color="auto"/>
              <w:left w:val="nil"/>
              <w:right w:val="nil"/>
            </w:tcBorders>
            <w:hideMark/>
          </w:tcPr>
          <w:p w:rsidR="001A62D7" w:rsidRPr="00B43213" w:rsidRDefault="001A62D7" w:rsidP="001D5990">
            <w:pPr>
              <w:spacing w:before="60" w:after="60"/>
              <w:jc w:val="right"/>
              <w:rPr>
                <w:noProof/>
              </w:rPr>
            </w:pPr>
            <w:r w:rsidRPr="00B43213">
              <w:rPr>
                <w:noProof/>
              </w:rPr>
              <w:t>(70,4 %)</w:t>
            </w:r>
          </w:p>
        </w:tc>
      </w:tr>
      <w:tr w:rsidR="001A62D7" w:rsidRPr="00B43213" w:rsidTr="001D5990">
        <w:trPr>
          <w:jc w:val="center"/>
        </w:trPr>
        <w:tc>
          <w:tcPr>
            <w:tcW w:w="1496" w:type="dxa"/>
            <w:tcBorders>
              <w:top w:val="nil"/>
              <w:left w:val="nil"/>
              <w:right w:val="nil"/>
            </w:tcBorders>
          </w:tcPr>
          <w:p w:rsidR="001A62D7" w:rsidRPr="00B43213" w:rsidRDefault="001A62D7" w:rsidP="001D5990">
            <w:pPr>
              <w:spacing w:before="60" w:after="60"/>
              <w:rPr>
                <w:noProof/>
              </w:rPr>
            </w:pPr>
          </w:p>
        </w:tc>
        <w:tc>
          <w:tcPr>
            <w:tcW w:w="2063" w:type="dxa"/>
            <w:tcBorders>
              <w:top w:val="nil"/>
              <w:left w:val="nil"/>
              <w:right w:val="nil"/>
            </w:tcBorders>
          </w:tcPr>
          <w:p w:rsidR="001A62D7" w:rsidRPr="00B43213" w:rsidRDefault="001A62D7" w:rsidP="001D5990">
            <w:pPr>
              <w:spacing w:before="60" w:after="60"/>
              <w:rPr>
                <w:rFonts w:eastAsia="Calibri"/>
                <w:noProof/>
              </w:rPr>
            </w:pPr>
            <w:r w:rsidRPr="00B43213">
              <w:rPr>
                <w:noProof/>
              </w:rPr>
              <w:t>Femei:</w:t>
            </w:r>
          </w:p>
        </w:tc>
        <w:tc>
          <w:tcPr>
            <w:tcW w:w="1176" w:type="dxa"/>
          </w:tcPr>
          <w:p w:rsidR="001A62D7" w:rsidRPr="00B43213" w:rsidRDefault="00903FB0" w:rsidP="001D5990">
            <w:pPr>
              <w:spacing w:before="60" w:after="60"/>
              <w:jc w:val="right"/>
              <w:rPr>
                <w:noProof/>
              </w:rPr>
            </w:pPr>
            <w:r w:rsidRPr="00B43213">
              <w:rPr>
                <w:noProof/>
              </w:rPr>
              <w:t>69</w:t>
            </w:r>
          </w:p>
        </w:tc>
        <w:tc>
          <w:tcPr>
            <w:tcW w:w="1176" w:type="dxa"/>
          </w:tcPr>
          <w:p w:rsidR="001A62D7" w:rsidRPr="00B43213" w:rsidRDefault="001A62D7" w:rsidP="001D5990">
            <w:pPr>
              <w:spacing w:before="60" w:after="60"/>
              <w:jc w:val="right"/>
              <w:rPr>
                <w:rFonts w:eastAsia="Calibri"/>
                <w:noProof/>
              </w:rPr>
            </w:pPr>
            <w:r w:rsidRPr="00B43213">
              <w:rPr>
                <w:noProof/>
              </w:rPr>
              <w:t>(29,6 %)</w:t>
            </w:r>
          </w:p>
        </w:tc>
      </w:tr>
      <w:tr w:rsidR="001A62D7" w:rsidRPr="00B43213" w:rsidTr="001D5990">
        <w:trPr>
          <w:jc w:val="center"/>
        </w:trPr>
        <w:tc>
          <w:tcPr>
            <w:tcW w:w="1496" w:type="dxa"/>
            <w:tcBorders>
              <w:left w:val="nil"/>
              <w:bottom w:val="single" w:sz="4" w:space="0" w:color="auto"/>
              <w:right w:val="nil"/>
            </w:tcBorders>
          </w:tcPr>
          <w:p w:rsidR="001A62D7" w:rsidRPr="00B43213" w:rsidRDefault="001A62D7" w:rsidP="001D5990">
            <w:pPr>
              <w:spacing w:before="60" w:after="60"/>
              <w:rPr>
                <w:noProof/>
              </w:rPr>
            </w:pPr>
          </w:p>
        </w:tc>
        <w:tc>
          <w:tcPr>
            <w:tcW w:w="2063" w:type="dxa"/>
            <w:tcBorders>
              <w:left w:val="nil"/>
              <w:bottom w:val="single" w:sz="4" w:space="0" w:color="auto"/>
              <w:right w:val="nil"/>
            </w:tcBorders>
          </w:tcPr>
          <w:p w:rsidR="001A62D7" w:rsidRPr="00B43213" w:rsidRDefault="001A62D7" w:rsidP="001D5990">
            <w:pPr>
              <w:spacing w:before="60" w:after="60"/>
              <w:rPr>
                <w:noProof/>
              </w:rPr>
            </w:pPr>
            <w:r w:rsidRPr="00B43213">
              <w:rPr>
                <w:noProof/>
              </w:rPr>
              <w:t>Persoane non-binare:</w:t>
            </w:r>
          </w:p>
        </w:tc>
        <w:tc>
          <w:tcPr>
            <w:tcW w:w="1176" w:type="dxa"/>
            <w:tcBorders>
              <w:bottom w:val="single" w:sz="4" w:space="0" w:color="auto"/>
            </w:tcBorders>
            <w:hideMark/>
          </w:tcPr>
          <w:p w:rsidR="001A62D7" w:rsidRPr="00B43213" w:rsidRDefault="007452BA" w:rsidP="001D5990">
            <w:pPr>
              <w:spacing w:before="60" w:after="60"/>
              <w:jc w:val="right"/>
              <w:rPr>
                <w:noProof/>
              </w:rPr>
            </w:pPr>
            <w:r w:rsidRPr="00B43213">
              <w:rPr>
                <w:noProof/>
              </w:rPr>
              <w:t>0</w:t>
            </w:r>
          </w:p>
        </w:tc>
        <w:tc>
          <w:tcPr>
            <w:tcW w:w="1176" w:type="dxa"/>
            <w:tcBorders>
              <w:bottom w:val="single" w:sz="4" w:space="0" w:color="auto"/>
            </w:tcBorders>
            <w:hideMark/>
          </w:tcPr>
          <w:p w:rsidR="001A62D7" w:rsidRPr="00B43213" w:rsidRDefault="001A62D7" w:rsidP="001D5990">
            <w:pPr>
              <w:spacing w:before="60" w:after="60"/>
              <w:jc w:val="right"/>
              <w:rPr>
                <w:noProof/>
              </w:rPr>
            </w:pPr>
            <w:r w:rsidRPr="00B43213">
              <w:rPr>
                <w:noProof/>
              </w:rPr>
              <w:t>(0,0 %)</w:t>
            </w:r>
          </w:p>
        </w:tc>
      </w:tr>
      <w:tr w:rsidR="001A62D7" w:rsidRPr="00B43213" w:rsidTr="001D5990">
        <w:trPr>
          <w:jc w:val="center"/>
        </w:trPr>
        <w:tc>
          <w:tcPr>
            <w:tcW w:w="1496" w:type="dxa"/>
            <w:tcBorders>
              <w:top w:val="single" w:sz="4" w:space="0" w:color="auto"/>
              <w:left w:val="nil"/>
              <w:bottom w:val="nil"/>
              <w:right w:val="nil"/>
            </w:tcBorders>
            <w:hideMark/>
          </w:tcPr>
          <w:p w:rsidR="001A62D7" w:rsidRPr="00B43213" w:rsidRDefault="001A62D7" w:rsidP="001D5990">
            <w:pPr>
              <w:spacing w:before="60" w:after="60"/>
              <w:rPr>
                <w:noProof/>
              </w:rPr>
            </w:pPr>
            <w:r w:rsidRPr="00B43213">
              <w:rPr>
                <w:noProof/>
              </w:rPr>
              <w:t>Grupa de vârstă:</w:t>
            </w:r>
          </w:p>
        </w:tc>
        <w:tc>
          <w:tcPr>
            <w:tcW w:w="2063" w:type="dxa"/>
            <w:tcBorders>
              <w:top w:val="single" w:sz="4" w:space="0" w:color="auto"/>
              <w:left w:val="nil"/>
              <w:bottom w:val="nil"/>
              <w:right w:val="nil"/>
            </w:tcBorders>
            <w:hideMark/>
          </w:tcPr>
          <w:p w:rsidR="001A62D7" w:rsidRPr="00B43213" w:rsidRDefault="001A62D7" w:rsidP="001D5990">
            <w:pPr>
              <w:spacing w:before="60" w:after="60"/>
              <w:rPr>
                <w:noProof/>
              </w:rPr>
            </w:pPr>
            <w:r w:rsidRPr="00B43213">
              <w:rPr>
                <w:noProof/>
              </w:rPr>
              <w:t>Sub 30 de ani:</w:t>
            </w:r>
          </w:p>
        </w:tc>
        <w:tc>
          <w:tcPr>
            <w:tcW w:w="1176" w:type="dxa"/>
            <w:tcBorders>
              <w:top w:val="single" w:sz="4" w:space="0" w:color="auto"/>
            </w:tcBorders>
            <w:hideMark/>
          </w:tcPr>
          <w:p w:rsidR="001A62D7" w:rsidRPr="00B43213" w:rsidRDefault="00903FB0" w:rsidP="001D5990">
            <w:pPr>
              <w:spacing w:before="60" w:after="60"/>
              <w:jc w:val="right"/>
              <w:rPr>
                <w:noProof/>
              </w:rPr>
            </w:pPr>
            <w:r w:rsidRPr="00B43213">
              <w:rPr>
                <w:noProof/>
              </w:rPr>
              <w:t>19</w:t>
            </w:r>
          </w:p>
        </w:tc>
        <w:tc>
          <w:tcPr>
            <w:tcW w:w="1176" w:type="dxa"/>
            <w:tcBorders>
              <w:top w:val="single" w:sz="4" w:space="0" w:color="auto"/>
            </w:tcBorders>
            <w:hideMark/>
          </w:tcPr>
          <w:p w:rsidR="001A62D7" w:rsidRPr="00B43213" w:rsidRDefault="001A62D7" w:rsidP="001D5990">
            <w:pPr>
              <w:spacing w:before="60" w:after="60"/>
              <w:jc w:val="right"/>
              <w:rPr>
                <w:noProof/>
              </w:rPr>
            </w:pPr>
            <w:r w:rsidRPr="00B43213">
              <w:rPr>
                <w:noProof/>
              </w:rPr>
              <w:t>(8,1 %)</w:t>
            </w:r>
          </w:p>
        </w:tc>
      </w:tr>
      <w:tr w:rsidR="001A62D7" w:rsidRPr="00B43213" w:rsidTr="001D5990">
        <w:trPr>
          <w:jc w:val="center"/>
        </w:trPr>
        <w:tc>
          <w:tcPr>
            <w:tcW w:w="1496" w:type="dxa"/>
          </w:tcPr>
          <w:p w:rsidR="001A62D7" w:rsidRPr="00B43213" w:rsidRDefault="001A62D7" w:rsidP="001D5990">
            <w:pPr>
              <w:spacing w:before="60" w:after="60"/>
              <w:rPr>
                <w:noProof/>
              </w:rPr>
            </w:pPr>
          </w:p>
        </w:tc>
        <w:tc>
          <w:tcPr>
            <w:tcW w:w="2063" w:type="dxa"/>
            <w:hideMark/>
          </w:tcPr>
          <w:p w:rsidR="001A62D7" w:rsidRPr="00B43213" w:rsidRDefault="001A62D7" w:rsidP="001D5990">
            <w:pPr>
              <w:spacing w:before="60" w:after="60"/>
              <w:rPr>
                <w:noProof/>
              </w:rPr>
            </w:pPr>
            <w:r w:rsidRPr="00B43213">
              <w:rPr>
                <w:noProof/>
              </w:rPr>
              <w:t>30-54 de ani:</w:t>
            </w:r>
          </w:p>
        </w:tc>
        <w:tc>
          <w:tcPr>
            <w:tcW w:w="1176" w:type="dxa"/>
            <w:hideMark/>
          </w:tcPr>
          <w:p w:rsidR="001A62D7" w:rsidRPr="00B43213" w:rsidRDefault="00903FB0" w:rsidP="001D5990">
            <w:pPr>
              <w:spacing w:before="60" w:after="60"/>
              <w:jc w:val="right"/>
              <w:rPr>
                <w:noProof/>
              </w:rPr>
            </w:pPr>
            <w:r w:rsidRPr="00B43213">
              <w:rPr>
                <w:noProof/>
              </w:rPr>
              <w:t>150</w:t>
            </w:r>
          </w:p>
        </w:tc>
        <w:tc>
          <w:tcPr>
            <w:tcW w:w="1176" w:type="dxa"/>
            <w:hideMark/>
          </w:tcPr>
          <w:p w:rsidR="001A62D7" w:rsidRPr="00B43213" w:rsidRDefault="001A62D7" w:rsidP="001D5990">
            <w:pPr>
              <w:spacing w:before="60" w:after="60"/>
              <w:jc w:val="right"/>
              <w:rPr>
                <w:noProof/>
              </w:rPr>
            </w:pPr>
            <w:r w:rsidRPr="00B43213">
              <w:rPr>
                <w:noProof/>
              </w:rPr>
              <w:t>(64,4 %)</w:t>
            </w:r>
          </w:p>
        </w:tc>
      </w:tr>
      <w:tr w:rsidR="001A62D7" w:rsidRPr="00B43213" w:rsidTr="001D5990">
        <w:trPr>
          <w:jc w:val="center"/>
        </w:trPr>
        <w:tc>
          <w:tcPr>
            <w:tcW w:w="1496" w:type="dxa"/>
          </w:tcPr>
          <w:p w:rsidR="001A62D7" w:rsidRPr="00B43213" w:rsidRDefault="001A62D7" w:rsidP="001D5990">
            <w:pPr>
              <w:spacing w:before="60" w:after="60"/>
              <w:rPr>
                <w:noProof/>
              </w:rPr>
            </w:pPr>
          </w:p>
        </w:tc>
        <w:tc>
          <w:tcPr>
            <w:tcW w:w="2063" w:type="dxa"/>
            <w:hideMark/>
          </w:tcPr>
          <w:p w:rsidR="001A62D7" w:rsidRPr="00B43213" w:rsidRDefault="001A62D7" w:rsidP="001D5990">
            <w:pPr>
              <w:spacing w:before="60" w:after="60"/>
              <w:jc w:val="left"/>
              <w:rPr>
                <w:noProof/>
              </w:rPr>
            </w:pPr>
            <w:r w:rsidRPr="00B43213">
              <w:rPr>
                <w:noProof/>
              </w:rPr>
              <w:t>Peste 54 de ani:</w:t>
            </w:r>
          </w:p>
        </w:tc>
        <w:tc>
          <w:tcPr>
            <w:tcW w:w="1176" w:type="dxa"/>
            <w:hideMark/>
          </w:tcPr>
          <w:p w:rsidR="001A62D7" w:rsidRPr="00B43213" w:rsidRDefault="00903FB0" w:rsidP="001D5990">
            <w:pPr>
              <w:spacing w:before="60" w:after="60"/>
              <w:jc w:val="right"/>
              <w:rPr>
                <w:noProof/>
              </w:rPr>
            </w:pPr>
            <w:r w:rsidRPr="00B43213">
              <w:rPr>
                <w:noProof/>
              </w:rPr>
              <w:t>64</w:t>
            </w:r>
          </w:p>
        </w:tc>
        <w:tc>
          <w:tcPr>
            <w:tcW w:w="1176" w:type="dxa"/>
            <w:hideMark/>
          </w:tcPr>
          <w:p w:rsidR="001A62D7" w:rsidRPr="00B43213" w:rsidRDefault="001A62D7" w:rsidP="001D5990">
            <w:pPr>
              <w:spacing w:before="60" w:after="60"/>
              <w:jc w:val="right"/>
              <w:rPr>
                <w:noProof/>
              </w:rPr>
            </w:pPr>
            <w:r w:rsidRPr="00B43213">
              <w:rPr>
                <w:noProof/>
              </w:rPr>
              <w:t>(27,5 %)</w:t>
            </w:r>
          </w:p>
        </w:tc>
      </w:tr>
      <w:tr w:rsidR="001A62D7" w:rsidRPr="00B43213" w:rsidTr="001D5990">
        <w:trPr>
          <w:jc w:val="center"/>
        </w:trPr>
        <w:tc>
          <w:tcPr>
            <w:tcW w:w="1496" w:type="dxa"/>
            <w:tcBorders>
              <w:top w:val="single" w:sz="4" w:space="0" w:color="auto"/>
              <w:left w:val="nil"/>
              <w:bottom w:val="nil"/>
              <w:right w:val="nil"/>
            </w:tcBorders>
          </w:tcPr>
          <w:p w:rsidR="001A62D7" w:rsidRPr="00B43213" w:rsidRDefault="001A62D7" w:rsidP="001D5990">
            <w:pPr>
              <w:spacing w:before="60" w:after="60"/>
              <w:rPr>
                <w:noProof/>
              </w:rPr>
            </w:pPr>
            <w:r w:rsidRPr="00B43213">
              <w:rPr>
                <w:noProof/>
              </w:rPr>
              <w:t>Nivel de instruire</w:t>
            </w:r>
          </w:p>
        </w:tc>
        <w:tc>
          <w:tcPr>
            <w:tcW w:w="2063" w:type="dxa"/>
            <w:tcBorders>
              <w:top w:val="single" w:sz="4" w:space="0" w:color="auto"/>
              <w:left w:val="nil"/>
              <w:bottom w:val="nil"/>
              <w:right w:val="nil"/>
            </w:tcBorders>
          </w:tcPr>
          <w:p w:rsidR="001A62D7" w:rsidRPr="00B43213" w:rsidRDefault="001A62D7" w:rsidP="001D5990">
            <w:pPr>
              <w:spacing w:before="60" w:after="60"/>
              <w:rPr>
                <w:noProof/>
              </w:rPr>
            </w:pPr>
            <w:r w:rsidRPr="00B43213">
              <w:rPr>
                <w:noProof/>
              </w:rPr>
              <w:t>Învățământ secundar inferior sau sub acest nivel</w:t>
            </w:r>
            <w:r w:rsidRPr="00B43213">
              <w:rPr>
                <w:rStyle w:val="FootnoteReference"/>
                <w:noProof/>
              </w:rPr>
              <w:footnoteReference w:id="12"/>
            </w:r>
            <w:r w:rsidRPr="00B43213">
              <w:rPr>
                <w:noProof/>
              </w:rPr>
              <w:t xml:space="preserve"> </w:t>
            </w:r>
          </w:p>
        </w:tc>
        <w:tc>
          <w:tcPr>
            <w:tcW w:w="1176" w:type="dxa"/>
            <w:tcBorders>
              <w:top w:val="single" w:sz="4" w:space="0" w:color="auto"/>
              <w:left w:val="nil"/>
              <w:bottom w:val="nil"/>
              <w:right w:val="nil"/>
            </w:tcBorders>
          </w:tcPr>
          <w:p w:rsidR="001A62D7" w:rsidRPr="00B43213" w:rsidRDefault="00903FB0" w:rsidP="001D5990">
            <w:pPr>
              <w:spacing w:before="60" w:after="60"/>
              <w:jc w:val="right"/>
              <w:rPr>
                <w:noProof/>
              </w:rPr>
            </w:pPr>
            <w:r w:rsidRPr="00B43213">
              <w:rPr>
                <w:noProof/>
              </w:rPr>
              <w:t>49</w:t>
            </w:r>
          </w:p>
        </w:tc>
        <w:tc>
          <w:tcPr>
            <w:tcW w:w="1176" w:type="dxa"/>
            <w:tcBorders>
              <w:top w:val="single" w:sz="4" w:space="0" w:color="auto"/>
              <w:left w:val="nil"/>
              <w:bottom w:val="nil"/>
              <w:right w:val="nil"/>
            </w:tcBorders>
          </w:tcPr>
          <w:p w:rsidR="001A62D7" w:rsidRPr="00B43213" w:rsidRDefault="001A62D7" w:rsidP="001D5990">
            <w:pPr>
              <w:spacing w:before="60" w:after="60"/>
              <w:jc w:val="right"/>
              <w:rPr>
                <w:rFonts w:eastAsia="Calibri"/>
                <w:noProof/>
              </w:rPr>
            </w:pPr>
            <w:r w:rsidRPr="00B43213">
              <w:rPr>
                <w:noProof/>
              </w:rPr>
              <w:t>(21,0 %)</w:t>
            </w:r>
          </w:p>
        </w:tc>
      </w:tr>
      <w:tr w:rsidR="001A62D7" w:rsidRPr="00B43213" w:rsidTr="001D5990">
        <w:trPr>
          <w:jc w:val="center"/>
        </w:trPr>
        <w:tc>
          <w:tcPr>
            <w:tcW w:w="1496" w:type="dxa"/>
            <w:tcBorders>
              <w:top w:val="nil"/>
              <w:left w:val="nil"/>
              <w:right w:val="nil"/>
            </w:tcBorders>
          </w:tcPr>
          <w:p w:rsidR="001A62D7" w:rsidRPr="00B43213" w:rsidRDefault="001A62D7" w:rsidP="001D5990">
            <w:pPr>
              <w:spacing w:before="60" w:after="60"/>
              <w:rPr>
                <w:noProof/>
              </w:rPr>
            </w:pPr>
          </w:p>
        </w:tc>
        <w:tc>
          <w:tcPr>
            <w:tcW w:w="2063" w:type="dxa"/>
            <w:tcBorders>
              <w:top w:val="nil"/>
              <w:left w:val="nil"/>
              <w:right w:val="nil"/>
            </w:tcBorders>
          </w:tcPr>
          <w:p w:rsidR="001A62D7" w:rsidRPr="00B43213" w:rsidRDefault="001A62D7" w:rsidP="001D5990">
            <w:pPr>
              <w:spacing w:before="60" w:after="60"/>
              <w:rPr>
                <w:noProof/>
              </w:rPr>
            </w:pPr>
            <w:r w:rsidRPr="00B43213">
              <w:rPr>
                <w:noProof/>
              </w:rPr>
              <w:t>Învățământ liceal</w:t>
            </w:r>
            <w:r w:rsidRPr="00B43213">
              <w:rPr>
                <w:rStyle w:val="FootnoteReference"/>
                <w:noProof/>
              </w:rPr>
              <w:footnoteReference w:id="13"/>
            </w:r>
            <w:r w:rsidRPr="00B43213">
              <w:rPr>
                <w:noProof/>
              </w:rPr>
              <w:t xml:space="preserve"> sau postliceal</w:t>
            </w:r>
            <w:r w:rsidRPr="00B43213">
              <w:rPr>
                <w:rStyle w:val="FootnoteReference"/>
                <w:noProof/>
              </w:rPr>
              <w:footnoteReference w:id="14"/>
            </w:r>
          </w:p>
        </w:tc>
        <w:tc>
          <w:tcPr>
            <w:tcW w:w="1176" w:type="dxa"/>
            <w:tcBorders>
              <w:top w:val="nil"/>
              <w:left w:val="nil"/>
              <w:right w:val="nil"/>
            </w:tcBorders>
          </w:tcPr>
          <w:p w:rsidR="001A62D7" w:rsidRPr="00B43213" w:rsidRDefault="00903FB0" w:rsidP="001D5990">
            <w:pPr>
              <w:spacing w:before="60" w:after="60"/>
              <w:jc w:val="right"/>
              <w:rPr>
                <w:noProof/>
              </w:rPr>
            </w:pPr>
            <w:r w:rsidRPr="00B43213">
              <w:rPr>
                <w:noProof/>
              </w:rPr>
              <w:t>173</w:t>
            </w:r>
          </w:p>
        </w:tc>
        <w:tc>
          <w:tcPr>
            <w:tcW w:w="1176" w:type="dxa"/>
            <w:tcBorders>
              <w:top w:val="nil"/>
              <w:left w:val="nil"/>
              <w:right w:val="nil"/>
            </w:tcBorders>
          </w:tcPr>
          <w:p w:rsidR="001A62D7" w:rsidRPr="00B43213" w:rsidRDefault="001A62D7" w:rsidP="001D5990">
            <w:pPr>
              <w:spacing w:before="60" w:after="60"/>
              <w:jc w:val="right"/>
              <w:rPr>
                <w:rFonts w:eastAsia="Calibri"/>
                <w:noProof/>
              </w:rPr>
            </w:pPr>
            <w:r w:rsidRPr="00B43213">
              <w:rPr>
                <w:noProof/>
              </w:rPr>
              <w:t>(74,2 %)</w:t>
            </w:r>
          </w:p>
        </w:tc>
      </w:tr>
      <w:tr w:rsidR="001A62D7" w:rsidRPr="00B43213" w:rsidTr="001D5990">
        <w:trPr>
          <w:jc w:val="center"/>
        </w:trPr>
        <w:tc>
          <w:tcPr>
            <w:tcW w:w="1496" w:type="dxa"/>
            <w:tcBorders>
              <w:top w:val="nil"/>
              <w:left w:val="nil"/>
              <w:bottom w:val="single" w:sz="4" w:space="0" w:color="auto"/>
              <w:right w:val="nil"/>
            </w:tcBorders>
          </w:tcPr>
          <w:p w:rsidR="001A62D7" w:rsidRPr="00B43213" w:rsidRDefault="001A62D7" w:rsidP="001D5990">
            <w:pPr>
              <w:spacing w:before="60" w:after="60"/>
              <w:rPr>
                <w:noProof/>
              </w:rPr>
            </w:pPr>
          </w:p>
        </w:tc>
        <w:tc>
          <w:tcPr>
            <w:tcW w:w="2063" w:type="dxa"/>
            <w:tcBorders>
              <w:top w:val="nil"/>
              <w:left w:val="nil"/>
              <w:bottom w:val="single" w:sz="4" w:space="0" w:color="auto"/>
              <w:right w:val="nil"/>
            </w:tcBorders>
          </w:tcPr>
          <w:p w:rsidR="001A62D7" w:rsidRPr="00B43213" w:rsidRDefault="001A62D7" w:rsidP="001D5990">
            <w:pPr>
              <w:spacing w:before="60" w:after="60"/>
              <w:rPr>
                <w:noProof/>
              </w:rPr>
            </w:pPr>
            <w:r w:rsidRPr="00B43213">
              <w:rPr>
                <w:noProof/>
              </w:rPr>
              <w:t>Învățământ terțiar</w:t>
            </w:r>
            <w:r w:rsidRPr="00B43213">
              <w:rPr>
                <w:rStyle w:val="FootnoteReference"/>
                <w:noProof/>
              </w:rPr>
              <w:footnoteReference w:id="15"/>
            </w:r>
          </w:p>
        </w:tc>
        <w:tc>
          <w:tcPr>
            <w:tcW w:w="1176" w:type="dxa"/>
            <w:tcBorders>
              <w:top w:val="nil"/>
              <w:left w:val="nil"/>
              <w:bottom w:val="single" w:sz="4" w:space="0" w:color="auto"/>
              <w:right w:val="nil"/>
            </w:tcBorders>
          </w:tcPr>
          <w:p w:rsidR="001A62D7" w:rsidRPr="00B43213" w:rsidRDefault="00903FB0" w:rsidP="001D5990">
            <w:pPr>
              <w:spacing w:before="60" w:after="60"/>
              <w:jc w:val="right"/>
              <w:rPr>
                <w:noProof/>
              </w:rPr>
            </w:pPr>
            <w:r w:rsidRPr="00B43213">
              <w:rPr>
                <w:noProof/>
              </w:rPr>
              <w:t>11</w:t>
            </w:r>
          </w:p>
        </w:tc>
        <w:tc>
          <w:tcPr>
            <w:tcW w:w="1176" w:type="dxa"/>
            <w:tcBorders>
              <w:top w:val="nil"/>
              <w:left w:val="nil"/>
              <w:bottom w:val="single" w:sz="4" w:space="0" w:color="auto"/>
              <w:right w:val="nil"/>
            </w:tcBorders>
          </w:tcPr>
          <w:p w:rsidR="001A62D7" w:rsidRPr="00B43213" w:rsidRDefault="001A62D7" w:rsidP="001D5990">
            <w:pPr>
              <w:spacing w:before="60" w:after="60"/>
              <w:jc w:val="right"/>
              <w:rPr>
                <w:rFonts w:eastAsia="Calibri"/>
                <w:noProof/>
              </w:rPr>
            </w:pPr>
            <w:r w:rsidRPr="00B43213">
              <w:rPr>
                <w:noProof/>
              </w:rPr>
              <w:t>(4,7 %)</w:t>
            </w:r>
          </w:p>
        </w:tc>
      </w:tr>
    </w:tbl>
    <w:p w:rsidR="001A62D7" w:rsidRPr="00B43213" w:rsidRDefault="001A62D7" w:rsidP="001A62D7">
      <w:pPr>
        <w:pStyle w:val="ManualHeading3"/>
        <w:rPr>
          <w:noProof/>
          <w:u w:val="single"/>
        </w:rPr>
      </w:pPr>
      <w:r w:rsidRPr="00B43213">
        <w:rPr>
          <w:noProof/>
        </w:rPr>
        <w:t>Măsuri propuse</w:t>
      </w:r>
    </w:p>
    <w:p w:rsidR="001A62D7" w:rsidRPr="00B43213" w:rsidRDefault="001A62D7" w:rsidP="009C50F6">
      <w:pPr>
        <w:pStyle w:val="ManualNumPar1"/>
        <w:rPr>
          <w:noProof/>
        </w:rPr>
      </w:pPr>
      <w:r>
        <w:rPr>
          <w:noProof/>
        </w:rPr>
        <w:t>27.</w:t>
      </w:r>
      <w:r>
        <w:rPr>
          <w:noProof/>
        </w:rPr>
        <w:tab/>
      </w:r>
      <w:bookmarkStart w:id="6" w:name="_Ref372214239"/>
      <w:r w:rsidRPr="00B43213">
        <w:rPr>
          <w:noProof/>
        </w:rPr>
        <w:t>În conformitate cu articolul 8 alineatul (7) litera (h) din Regulamentul (UE) 2021/691, pachetul coordonat personalizat care urmează să fie pus la dispoziția lucrătorilor disponibilizați constă în următoarele măsuri:</w:t>
      </w:r>
      <w:bookmarkEnd w:id="6"/>
      <w:r w:rsidRPr="00B43213">
        <w:rPr>
          <w:noProof/>
        </w:rPr>
        <w:t xml:space="preserve"> </w:t>
      </w:r>
    </w:p>
    <w:p w:rsidR="001A62D7" w:rsidRPr="00B43213" w:rsidRDefault="008A70ED" w:rsidP="00432671">
      <w:pPr>
        <w:pStyle w:val="Tiret1"/>
        <w:numPr>
          <w:ilvl w:val="0"/>
          <w:numId w:val="19"/>
        </w:numPr>
        <w:rPr>
          <w:noProof/>
        </w:rPr>
      </w:pPr>
      <w:r w:rsidRPr="00B43213">
        <w:rPr>
          <w:noProof/>
          <w:u w:val="single"/>
        </w:rPr>
        <w:t>Formare privind căutarea unui loc de muncă</w:t>
      </w:r>
      <w:r w:rsidRPr="00B43213">
        <w:rPr>
          <w:noProof/>
        </w:rPr>
        <w:t xml:space="preserve">: </w:t>
      </w:r>
      <w:r w:rsidR="00B43213">
        <w:rPr>
          <w:rFonts w:ascii="TimesNewRoman" w:hAnsi="TimesNewRoman"/>
          <w:noProof/>
          <w:color w:val="000000"/>
        </w:rPr>
        <w:t>p</w:t>
      </w:r>
      <w:r w:rsidRPr="00B43213">
        <w:rPr>
          <w:rFonts w:ascii="TimesNewRoman" w:hAnsi="TimesNewRoman"/>
          <w:noProof/>
          <w:color w:val="000000"/>
        </w:rPr>
        <w:t>articipanții primesc informații referitoare la serviciile de sprijin disponibile pentru persoanele aflate în căutarea unui loc de muncă și cursuri de formare pentru a cartografia reintegrarea acestora pe piața muncii. Ei vor practica depunerea de candidaturi pentru un loc de muncă redactându-și sau actualizându-și CV-urile și scriind scrisori propriu-zise de candidatură. Se vor realiza interviuri personale cu evaluarea situației de către experți dedicați proiectului. Se va acorda o atenție deosebită participanților care au nevoie să-și îmbunătățească competențele digitale pentru a-și îmbunătăți competențele de căutare a unui loc de muncă și/sau poziția pe piața forței de muncă.</w:t>
      </w:r>
      <w:r w:rsidRPr="00B43213">
        <w:rPr>
          <w:noProof/>
        </w:rPr>
        <w:t xml:space="preserve"> </w:t>
      </w:r>
    </w:p>
    <w:p w:rsidR="00A746AB" w:rsidRPr="00B43213" w:rsidRDefault="008A70ED" w:rsidP="00E83703">
      <w:pPr>
        <w:pStyle w:val="Tiret1"/>
        <w:rPr>
          <w:noProof/>
        </w:rPr>
      </w:pPr>
      <w:r w:rsidRPr="00B43213">
        <w:rPr>
          <w:noProof/>
          <w:u w:val="single"/>
        </w:rPr>
        <w:t>Îndrumare profesională și pentru carieră</w:t>
      </w:r>
      <w:r w:rsidRPr="00B43213">
        <w:rPr>
          <w:noProof/>
        </w:rPr>
        <w:t xml:space="preserve">: </w:t>
      </w:r>
      <w:r w:rsidR="00B43213">
        <w:rPr>
          <w:noProof/>
        </w:rPr>
        <w:t>î</w:t>
      </w:r>
      <w:r w:rsidRPr="00B43213">
        <w:rPr>
          <w:noProof/>
        </w:rPr>
        <w:t>ndrumarea profesională oferă orientări generale pentru căutarea unui loc de muncă, dar poate include, de asemenea, un consilier personal oferind asistență personalizată. În ceea ce privește îndrumarea profesională, participanților li se oferă sprijin personalizat pentru a-i ajuta să-și planifice cariera profesională, inclusiv posibile schimbări de carieră sau de sector de activitate, cu cartografierea competențelor/aptitudinilor necesare. Dacă este necesar, pot fi furnizate programe de sprijin pe termen mai lung, cu exerciții de grup. Acestea pot include, de asemenea, perioade introductive în unul sau mai multe locuri de muncă.</w:t>
      </w:r>
    </w:p>
    <w:p w:rsidR="001B771C" w:rsidRPr="00B43213" w:rsidRDefault="001B771C" w:rsidP="001B771C">
      <w:pPr>
        <w:pStyle w:val="Tiret1"/>
        <w:rPr>
          <w:noProof/>
        </w:rPr>
      </w:pPr>
      <w:r w:rsidRPr="00B43213">
        <w:rPr>
          <w:noProof/>
          <w:u w:val="single"/>
        </w:rPr>
        <w:t>Formare profesională</w:t>
      </w:r>
      <w:r w:rsidRPr="00B43213">
        <w:rPr>
          <w:noProof/>
        </w:rPr>
        <w:t xml:space="preserve">: </w:t>
      </w:r>
      <w:r w:rsidR="00B43213">
        <w:rPr>
          <w:noProof/>
        </w:rPr>
        <w:t>o</w:t>
      </w:r>
      <w:r w:rsidRPr="00B43213">
        <w:rPr>
          <w:noProof/>
        </w:rPr>
        <w:t xml:space="preserve">biectivul formării profesionale este dobândirea de competențe care să sprijine tranziția către un nou sector de activitate cu o rată ridicată de ocupare a forței de muncă. </w:t>
      </w:r>
    </w:p>
    <w:p w:rsidR="00A746AB" w:rsidRPr="00B43213" w:rsidRDefault="008A70ED" w:rsidP="001A62D7">
      <w:pPr>
        <w:pStyle w:val="Tiret1"/>
        <w:rPr>
          <w:noProof/>
        </w:rPr>
      </w:pPr>
      <w:r w:rsidRPr="00B43213">
        <w:rPr>
          <w:noProof/>
          <w:u w:val="single"/>
        </w:rPr>
        <w:t>Carduri de securitate în muncă și de competențe profesionale:</w:t>
      </w:r>
      <w:r w:rsidRPr="00B43213">
        <w:rPr>
          <w:noProof/>
        </w:rPr>
        <w:t xml:space="preserve"> </w:t>
      </w:r>
      <w:r w:rsidR="00B43213">
        <w:rPr>
          <w:noProof/>
        </w:rPr>
        <w:t>c</w:t>
      </w:r>
      <w:r w:rsidRPr="00B43213">
        <w:rPr>
          <w:noProof/>
        </w:rPr>
        <w:t xml:space="preserve">ardurile de securitate în muncă și de competențe profesionale sunt certificate de competență recunoscute la nivel național pentru diverse aptitudini legate de siguranță. Aceste carduri pot fi obținute prin finalizarea unui curs de învățare și absolvirea unui test standardizat. </w:t>
      </w:r>
    </w:p>
    <w:p w:rsidR="00DA7337" w:rsidRPr="00B43213" w:rsidRDefault="008A70ED" w:rsidP="008A792E">
      <w:pPr>
        <w:pStyle w:val="Tiret1"/>
        <w:rPr>
          <w:noProof/>
        </w:rPr>
      </w:pPr>
      <w:r w:rsidRPr="00B43213">
        <w:rPr>
          <w:noProof/>
          <w:u w:val="single"/>
        </w:rPr>
        <w:lastRenderedPageBreak/>
        <w:t>Pregătirea lingvistică:</w:t>
      </w:r>
      <w:r w:rsidRPr="00B43213">
        <w:rPr>
          <w:noProof/>
        </w:rPr>
        <w:t xml:space="preserve"> </w:t>
      </w:r>
      <w:r w:rsidR="00B43213">
        <w:rPr>
          <w:rFonts w:ascii="TimesNewRoman" w:hAnsi="TimesNewRoman"/>
          <w:noProof/>
          <w:color w:val="000000"/>
        </w:rPr>
        <w:t>s</w:t>
      </w:r>
      <w:r w:rsidRPr="00B43213">
        <w:rPr>
          <w:rFonts w:ascii="TimesNewRoman" w:hAnsi="TimesNewRoman"/>
          <w:noProof/>
          <w:color w:val="000000"/>
        </w:rPr>
        <w:t xml:space="preserve">e vor oferi cursuri de limbă finlandeză orientate către piața forței de muncă pentru acei beneficiari al căror nivel de cunoaștere a limbii finlandeze este insuficient pentru o reangajare rapidă. </w:t>
      </w:r>
    </w:p>
    <w:p w:rsidR="000E18E5" w:rsidRPr="00B43213" w:rsidRDefault="008A70ED" w:rsidP="001A62D7">
      <w:pPr>
        <w:pStyle w:val="Tiret1"/>
        <w:rPr>
          <w:noProof/>
        </w:rPr>
      </w:pPr>
      <w:r w:rsidRPr="00B43213">
        <w:rPr>
          <w:noProof/>
          <w:u w:val="single"/>
        </w:rPr>
        <w:t>Grant de start-up</w:t>
      </w:r>
      <w:r w:rsidRPr="00B43213">
        <w:rPr>
          <w:noProof/>
        </w:rPr>
        <w:t xml:space="preserve">: </w:t>
      </w:r>
      <w:r w:rsidR="00B43213">
        <w:rPr>
          <w:noProof/>
        </w:rPr>
        <w:t>g</w:t>
      </w:r>
      <w:r w:rsidRPr="00B43213">
        <w:rPr>
          <w:noProof/>
        </w:rPr>
        <w:t>rantul de start-up asigură un venit pentru o persoană care intenționează să devină antreprenor pe durata perioadei estimate a fi necesare pentru lansarea și consolidarea unei activități comerciale cu normă întreagă, până la un maxim de 12 luni.</w:t>
      </w:r>
    </w:p>
    <w:p w:rsidR="008A70ED" w:rsidRPr="00B43213" w:rsidRDefault="000E18E5" w:rsidP="001A62D7">
      <w:pPr>
        <w:pStyle w:val="Tiret1"/>
        <w:rPr>
          <w:noProof/>
        </w:rPr>
      </w:pPr>
      <w:r w:rsidRPr="00B43213">
        <w:rPr>
          <w:noProof/>
          <w:u w:val="single"/>
        </w:rPr>
        <w:t>Stimulente și alocații</w:t>
      </w:r>
      <w:r w:rsidRPr="00B43213">
        <w:rPr>
          <w:noProof/>
        </w:rPr>
        <w:t xml:space="preserve">: </w:t>
      </w:r>
      <w:r w:rsidR="00B43213">
        <w:rPr>
          <w:noProof/>
        </w:rPr>
        <w:t>s</w:t>
      </w:r>
      <w:r w:rsidRPr="00B43213">
        <w:rPr>
          <w:noProof/>
        </w:rPr>
        <w:t>ubvențiile salariale reduc pragul de recrutare prin reducerea costurilor salariale ale noului angajator.</w:t>
      </w:r>
      <w:r w:rsidRPr="00B43213">
        <w:rPr>
          <w:rFonts w:ascii="TimesNewRoman" w:hAnsi="TimesNewRoman"/>
          <w:noProof/>
          <w:color w:val="000000"/>
        </w:rPr>
        <w:t xml:space="preserve"> Scopul este de a ajuta persoanele aflate în căutarea unui loc de muncă să-și îmbunătățească competențele profesionale pe piața deschisă a forței de muncă. Valoarea subvenției salariale este, în general, de 50 % din costurile salariale; durata perioadei subvenționate depinde de durata perioadei de șomaj precedente.</w:t>
      </w:r>
    </w:p>
    <w:p w:rsidR="001A62D7" w:rsidRPr="00B43213" w:rsidRDefault="00477AB6" w:rsidP="001A62D7">
      <w:pPr>
        <w:pStyle w:val="ManualNumPar1"/>
        <w:rPr>
          <w:noProof/>
        </w:rPr>
      </w:pPr>
      <w:r>
        <w:rPr>
          <w:noProof/>
        </w:rPr>
        <w:t>28.</w:t>
      </w:r>
      <w:r>
        <w:rPr>
          <w:noProof/>
        </w:rPr>
        <w:tab/>
      </w:r>
      <w:r w:rsidRPr="00B43213">
        <w:rPr>
          <w:noProof/>
        </w:rPr>
        <w:t xml:space="preserve">Un evantai de cursuri de formare în domeniul TIC și un sprijin suplimentar, bazate pe o evaluare inițială a nivelului competențelor digitale ale beneficiarilor, permit diseminarea competențelor necesare în era industrială digitală și într-o economie eficientă din punctul de vedere al utilizării resurselor, astfel cum se prevede la articolul 7 alineatul (2) din Regulamentul (UE) 2021/691. </w:t>
      </w:r>
    </w:p>
    <w:p w:rsidR="001A62D7" w:rsidRPr="00B43213" w:rsidRDefault="001A62D7" w:rsidP="009C50F6">
      <w:pPr>
        <w:pStyle w:val="ManualNumPar1"/>
        <w:rPr>
          <w:noProof/>
        </w:rPr>
      </w:pPr>
      <w:r>
        <w:rPr>
          <w:noProof/>
        </w:rPr>
        <w:t>29.</w:t>
      </w:r>
      <w:r>
        <w:rPr>
          <w:noProof/>
        </w:rPr>
        <w:tab/>
      </w:r>
      <w:bookmarkStart w:id="7" w:name="_Ref372214242"/>
      <w:r w:rsidRPr="00B43213">
        <w:rPr>
          <w:noProof/>
        </w:rPr>
        <w:t xml:space="preserve">Acțiunile propuse, descrise în prezentul document, constituie măsuri active de ocupare a forței de muncă ce se încadrează la acțiunile eligibile prevăzute la articolul 7 din Regulamentul (UE) 2021/691. Aceste acțiuni nu înlocuiesc măsurile pasive de protecție socială. </w:t>
      </w:r>
    </w:p>
    <w:p w:rsidR="001A62D7" w:rsidRPr="00B43213" w:rsidRDefault="0087281C" w:rsidP="009C50F6">
      <w:pPr>
        <w:pStyle w:val="ManualNumPar1"/>
        <w:rPr>
          <w:noProof/>
        </w:rPr>
      </w:pPr>
      <w:r>
        <w:rPr>
          <w:noProof/>
        </w:rPr>
        <w:t>30.</w:t>
      </w:r>
      <w:r>
        <w:rPr>
          <w:noProof/>
        </w:rPr>
        <w:tab/>
      </w:r>
      <w:r w:rsidRPr="00B43213">
        <w:rPr>
          <w:noProof/>
        </w:rPr>
        <w:t>Finlanda a furnizat informațiile necesare privind măsurile care sunt obligatorii pentru întreprinderea vizată în temeiul legislației naționale sau al contractelor colective de muncă. În conformitate cu articolul 9 alineatul (1) din Regulamentul (UE) 2021/691, Finlanda a confirmat că măsurile respective nu vor fi înlocuite cu o contribuție financiară din partea FEG.</w:t>
      </w:r>
      <w:bookmarkEnd w:id="7"/>
    </w:p>
    <w:p w:rsidR="001A62D7" w:rsidRPr="00B43213" w:rsidRDefault="001A62D7" w:rsidP="001A62D7">
      <w:pPr>
        <w:pStyle w:val="ManualHeading3"/>
        <w:rPr>
          <w:noProof/>
        </w:rPr>
      </w:pPr>
      <w:r w:rsidRPr="00B43213">
        <w:rPr>
          <w:noProof/>
        </w:rPr>
        <w:t>Bugetul estimat</w:t>
      </w:r>
    </w:p>
    <w:p w:rsidR="001A62D7" w:rsidRPr="00B43213" w:rsidRDefault="001A62D7" w:rsidP="00C8368A">
      <w:pPr>
        <w:pStyle w:val="Text1"/>
        <w:rPr>
          <w:noProof/>
        </w:rPr>
      </w:pPr>
      <w:r w:rsidRPr="00B43213">
        <w:rPr>
          <w:noProof/>
        </w:rPr>
        <w:t>Costurile totale estimate sunt de 683 850 EUR și se compun din cheltuielile pentru serviciile personalizate, în valoare de 663 850 EUR și cheltuielile pentru activitățile de pregătire, gestionare, informare și publicitate și control și raportare, în valoare de 20 000 EUR .</w:t>
      </w:r>
    </w:p>
    <w:p w:rsidR="001A62D7" w:rsidRPr="00B43213" w:rsidRDefault="001A62D7" w:rsidP="009C50F6">
      <w:pPr>
        <w:pStyle w:val="ManualNumPar1"/>
        <w:rPr>
          <w:noProof/>
        </w:rPr>
      </w:pPr>
      <w:r>
        <w:rPr>
          <w:noProof/>
        </w:rPr>
        <w:t>31.</w:t>
      </w:r>
      <w:r>
        <w:rPr>
          <w:noProof/>
        </w:rPr>
        <w:tab/>
      </w:r>
      <w:bookmarkStart w:id="8" w:name="_Ref372550770"/>
      <w:r w:rsidRPr="00B43213">
        <w:rPr>
          <w:noProof/>
        </w:rPr>
        <w:t>Contribuția financiară totală solicitată din partea FEG este de 410 310 EUR (60 % din costurile totale).</w:t>
      </w:r>
      <w:bookmarkEnd w:id="8"/>
    </w:p>
    <w:p w:rsidR="00D25904" w:rsidRPr="00B43213" w:rsidRDefault="00D25904" w:rsidP="009C50F6">
      <w:pPr>
        <w:pStyle w:val="ManualNumPar1"/>
        <w:spacing w:after="600"/>
        <w:ind w:left="851" w:hanging="851"/>
        <w:rPr>
          <w:noProof/>
        </w:rPr>
      </w:pPr>
      <w:r>
        <w:rPr>
          <w:noProof/>
        </w:rPr>
        <w:t>32.</w:t>
      </w:r>
      <w:r>
        <w:rPr>
          <w:noProof/>
        </w:rPr>
        <w:tab/>
      </w:r>
      <w:r w:rsidRPr="00B43213">
        <w:rPr>
          <w:noProof/>
        </w:rPr>
        <w:t>În conformitate cu articolul 8 alineatul (7) litera (m) din Regulamentul (UE) 2021/691, Finlanda a precizat că prefinanțarea și cofinanțarea națională sunt asigurate de regiunea de ocupare a forței de muncă Turku.</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B43213" w:rsidTr="001D5990">
        <w:tc>
          <w:tcPr>
            <w:tcW w:w="4644" w:type="dxa"/>
            <w:shd w:val="clear" w:color="auto" w:fill="auto"/>
            <w:vAlign w:val="center"/>
          </w:tcPr>
          <w:p w:rsidR="001A62D7" w:rsidRPr="00B43213" w:rsidRDefault="001A62D7" w:rsidP="001D5990">
            <w:pPr>
              <w:spacing w:before="60" w:after="60"/>
              <w:jc w:val="center"/>
              <w:rPr>
                <w:rFonts w:eastAsia="Times New Roman"/>
                <w:noProof/>
                <w:sz w:val="22"/>
              </w:rPr>
            </w:pPr>
            <w:bookmarkStart w:id="9" w:name="_Hlk231812320"/>
            <w:r w:rsidRPr="00B43213">
              <w:rPr>
                <w:noProof/>
                <w:sz w:val="22"/>
              </w:rPr>
              <w:t>Măsuri</w:t>
            </w:r>
          </w:p>
        </w:tc>
        <w:tc>
          <w:tcPr>
            <w:tcW w:w="1548" w:type="dxa"/>
            <w:shd w:val="clear" w:color="auto" w:fill="auto"/>
            <w:vAlign w:val="center"/>
          </w:tcPr>
          <w:p w:rsidR="001A62D7" w:rsidRPr="00B43213" w:rsidRDefault="001A62D7" w:rsidP="001D5990">
            <w:pPr>
              <w:spacing w:before="60" w:after="60"/>
              <w:jc w:val="center"/>
              <w:rPr>
                <w:rFonts w:eastAsia="Times New Roman"/>
                <w:noProof/>
                <w:sz w:val="22"/>
              </w:rPr>
            </w:pPr>
            <w:r w:rsidRPr="00B43213">
              <w:rPr>
                <w:noProof/>
                <w:sz w:val="22"/>
              </w:rPr>
              <w:t>Numărul de participanți estimat</w:t>
            </w:r>
          </w:p>
        </w:tc>
        <w:tc>
          <w:tcPr>
            <w:tcW w:w="1548" w:type="dxa"/>
            <w:shd w:val="clear" w:color="auto" w:fill="auto"/>
            <w:vAlign w:val="center"/>
          </w:tcPr>
          <w:p w:rsidR="001A62D7" w:rsidRPr="00B43213" w:rsidRDefault="001A62D7" w:rsidP="001D5990">
            <w:pPr>
              <w:spacing w:before="60" w:after="60"/>
              <w:jc w:val="center"/>
              <w:rPr>
                <w:rFonts w:eastAsia="Times New Roman"/>
                <w:noProof/>
                <w:sz w:val="22"/>
              </w:rPr>
            </w:pPr>
            <w:r w:rsidRPr="00B43213">
              <w:rPr>
                <w:noProof/>
                <w:sz w:val="22"/>
              </w:rPr>
              <w:t>Costul estimat per participant</w:t>
            </w:r>
            <w:r w:rsidRPr="00B43213">
              <w:rPr>
                <w:noProof/>
              </w:rPr>
              <w:t xml:space="preserve"> </w:t>
            </w:r>
            <w:r w:rsidRPr="00B43213">
              <w:rPr>
                <w:noProof/>
              </w:rPr>
              <w:br/>
            </w:r>
            <w:r w:rsidRPr="00B43213">
              <w:rPr>
                <w:i/>
                <w:noProof/>
                <w:sz w:val="22"/>
              </w:rPr>
              <w:t>(EUR)</w:t>
            </w:r>
            <w:r w:rsidRPr="00B43213">
              <w:rPr>
                <w:rStyle w:val="FootnoteReference"/>
                <w:rFonts w:eastAsia="Times New Roman"/>
                <w:i/>
                <w:noProof/>
                <w:sz w:val="22"/>
              </w:rPr>
              <w:footnoteReference w:id="16"/>
            </w:r>
          </w:p>
        </w:tc>
        <w:tc>
          <w:tcPr>
            <w:tcW w:w="1548" w:type="dxa"/>
            <w:shd w:val="clear" w:color="auto" w:fill="auto"/>
            <w:vAlign w:val="center"/>
          </w:tcPr>
          <w:p w:rsidR="001A62D7" w:rsidRPr="00B43213" w:rsidRDefault="001A62D7" w:rsidP="001D5990">
            <w:pPr>
              <w:spacing w:before="60" w:after="60"/>
              <w:jc w:val="center"/>
              <w:rPr>
                <w:rFonts w:eastAsia="Times New Roman"/>
                <w:noProof/>
                <w:sz w:val="22"/>
              </w:rPr>
            </w:pPr>
            <w:r w:rsidRPr="00B43213">
              <w:rPr>
                <w:noProof/>
                <w:sz w:val="22"/>
              </w:rPr>
              <w:t>Costuri totale estimate</w:t>
            </w:r>
          </w:p>
          <w:p w:rsidR="001A62D7" w:rsidRPr="00B43213" w:rsidRDefault="001A62D7" w:rsidP="001D5990">
            <w:pPr>
              <w:spacing w:before="60" w:after="60"/>
              <w:jc w:val="center"/>
              <w:rPr>
                <w:rFonts w:eastAsia="Times New Roman"/>
                <w:noProof/>
                <w:sz w:val="22"/>
              </w:rPr>
            </w:pPr>
            <w:r w:rsidRPr="00B43213">
              <w:rPr>
                <w:i/>
                <w:noProof/>
                <w:sz w:val="22"/>
              </w:rPr>
              <w:t>(EUR)</w:t>
            </w:r>
            <w:r w:rsidRPr="00B43213">
              <w:rPr>
                <w:rStyle w:val="FootnoteReference"/>
                <w:rFonts w:eastAsia="Times New Roman"/>
                <w:i/>
                <w:noProof/>
                <w:sz w:val="22"/>
              </w:rPr>
              <w:footnoteReference w:id="17"/>
            </w:r>
            <w:r w:rsidRPr="00B43213">
              <w:rPr>
                <w:i/>
                <w:noProof/>
                <w:sz w:val="22"/>
              </w:rPr>
              <w:t xml:space="preserve"> </w:t>
            </w:r>
          </w:p>
        </w:tc>
      </w:tr>
      <w:tr w:rsidR="001A62D7" w:rsidRPr="00B43213" w:rsidTr="001D5990">
        <w:tc>
          <w:tcPr>
            <w:tcW w:w="9288" w:type="dxa"/>
            <w:gridSpan w:val="4"/>
            <w:shd w:val="clear" w:color="auto" w:fill="auto"/>
          </w:tcPr>
          <w:p w:rsidR="001A62D7" w:rsidRPr="00B43213" w:rsidRDefault="001A62D7" w:rsidP="001D5990">
            <w:pPr>
              <w:spacing w:before="60" w:after="60"/>
              <w:jc w:val="left"/>
              <w:rPr>
                <w:rFonts w:eastAsia="Times New Roman"/>
                <w:noProof/>
                <w:sz w:val="22"/>
              </w:rPr>
            </w:pPr>
            <w:r w:rsidRPr="00B43213">
              <w:rPr>
                <w:noProof/>
              </w:rPr>
              <w:lastRenderedPageBreak/>
              <w:t>Servicii personalizate [măsuri în temeiul articolului 7 alineatul (2) al doilea paragraf litera (a) din Regulamentul (UE) 2021/691]</w:t>
            </w:r>
          </w:p>
        </w:tc>
      </w:tr>
      <w:tr w:rsidR="001A62D7" w:rsidRPr="00B43213"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B43213" w:rsidRDefault="001B771C" w:rsidP="001D5990">
            <w:pPr>
              <w:spacing w:before="60" w:after="60"/>
              <w:jc w:val="left"/>
              <w:rPr>
                <w:noProof/>
              </w:rPr>
            </w:pPr>
            <w:r w:rsidRPr="00B43213">
              <w:rPr>
                <w:noProof/>
                <w:color w:val="000000"/>
              </w:rPr>
              <w:t>Formare privind căutarea unui loc de muncă</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43213" w:rsidRDefault="004C5DC2" w:rsidP="001D5990">
            <w:pPr>
              <w:spacing w:before="60" w:after="60"/>
              <w:jc w:val="center"/>
              <w:rPr>
                <w:noProof/>
              </w:rPr>
            </w:pPr>
            <w:r w:rsidRPr="00B43213">
              <w:rPr>
                <w:noProof/>
              </w:rPr>
              <w:t>233</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B43213" w:rsidRDefault="004C5DC2" w:rsidP="001D5990">
            <w:pPr>
              <w:spacing w:before="60" w:after="60"/>
              <w:jc w:val="center"/>
              <w:rPr>
                <w:noProof/>
              </w:rPr>
            </w:pPr>
            <w:r w:rsidRPr="00B43213">
              <w:rPr>
                <w:noProof/>
              </w:rPr>
              <w:t>968</w:t>
            </w:r>
          </w:p>
        </w:tc>
        <w:tc>
          <w:tcPr>
            <w:tcW w:w="1548" w:type="dxa"/>
            <w:tcBorders>
              <w:top w:val="single" w:sz="4" w:space="0" w:color="auto"/>
              <w:left w:val="single" w:sz="4" w:space="0" w:color="auto"/>
              <w:bottom w:val="single" w:sz="4" w:space="0" w:color="auto"/>
              <w:right w:val="nil"/>
            </w:tcBorders>
            <w:vAlign w:val="center"/>
            <w:hideMark/>
          </w:tcPr>
          <w:p w:rsidR="001A62D7" w:rsidRPr="00B43213" w:rsidRDefault="004C5DC2" w:rsidP="001D5990">
            <w:pPr>
              <w:spacing w:before="60" w:after="60"/>
              <w:jc w:val="center"/>
              <w:rPr>
                <w:noProof/>
              </w:rPr>
            </w:pPr>
            <w:r w:rsidRPr="00B43213">
              <w:rPr>
                <w:noProof/>
              </w:rPr>
              <w:t>225 600</w:t>
            </w:r>
          </w:p>
        </w:tc>
      </w:tr>
      <w:tr w:rsidR="00737FB8" w:rsidRPr="00B43213" w:rsidTr="001D5990">
        <w:trPr>
          <w:trHeight w:val="802"/>
        </w:trPr>
        <w:tc>
          <w:tcPr>
            <w:tcW w:w="4644" w:type="dxa"/>
            <w:tcBorders>
              <w:top w:val="single" w:sz="4" w:space="0" w:color="auto"/>
              <w:left w:val="nil"/>
              <w:bottom w:val="single" w:sz="4" w:space="0" w:color="auto"/>
              <w:right w:val="single" w:sz="4" w:space="0" w:color="auto"/>
            </w:tcBorders>
            <w:vAlign w:val="center"/>
          </w:tcPr>
          <w:p w:rsidR="00737FB8" w:rsidRPr="00B43213" w:rsidRDefault="001B771C" w:rsidP="00737FB8">
            <w:pPr>
              <w:spacing w:before="60" w:after="60"/>
              <w:jc w:val="left"/>
              <w:rPr>
                <w:noProof/>
              </w:rPr>
            </w:pPr>
            <w:r w:rsidRPr="00B43213">
              <w:rPr>
                <w:noProof/>
                <w:color w:val="000000"/>
              </w:rPr>
              <w:t xml:space="preserve">Îndrumare profesională și pentru carieră </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Pr="00B43213" w:rsidRDefault="00515D18" w:rsidP="00737FB8">
            <w:pPr>
              <w:spacing w:before="60" w:after="60"/>
              <w:jc w:val="center"/>
              <w:rPr>
                <w:noProof/>
              </w:rPr>
            </w:pPr>
            <w:r w:rsidRPr="00B43213">
              <w:rPr>
                <w:noProof/>
              </w:rPr>
              <w:t>70</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Pr="00B43213" w:rsidRDefault="00515D18" w:rsidP="00737FB8">
            <w:pPr>
              <w:spacing w:before="60" w:after="60"/>
              <w:jc w:val="center"/>
              <w:rPr>
                <w:noProof/>
              </w:rPr>
            </w:pPr>
            <w:r w:rsidRPr="00B43213">
              <w:rPr>
                <w:noProof/>
              </w:rPr>
              <w:t>675</w:t>
            </w:r>
          </w:p>
        </w:tc>
        <w:tc>
          <w:tcPr>
            <w:tcW w:w="1548" w:type="dxa"/>
            <w:tcBorders>
              <w:top w:val="single" w:sz="4" w:space="0" w:color="auto"/>
              <w:left w:val="single" w:sz="4" w:space="0" w:color="auto"/>
              <w:bottom w:val="single" w:sz="4" w:space="0" w:color="auto"/>
              <w:right w:val="nil"/>
            </w:tcBorders>
            <w:vAlign w:val="center"/>
          </w:tcPr>
          <w:p w:rsidR="00737FB8" w:rsidRPr="00B43213" w:rsidRDefault="00515D18" w:rsidP="00737FB8">
            <w:pPr>
              <w:spacing w:before="60" w:after="60"/>
              <w:jc w:val="center"/>
              <w:rPr>
                <w:noProof/>
              </w:rPr>
            </w:pPr>
            <w:r w:rsidRPr="00B43213">
              <w:rPr>
                <w:noProof/>
              </w:rPr>
              <w:t>47 250</w:t>
            </w:r>
          </w:p>
        </w:tc>
      </w:tr>
      <w:tr w:rsidR="00737FB8" w:rsidRPr="00B43213"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737FB8" w:rsidRPr="00B43213" w:rsidRDefault="001B771C" w:rsidP="00737FB8">
            <w:pPr>
              <w:spacing w:before="60" w:after="60"/>
              <w:jc w:val="left"/>
              <w:rPr>
                <w:noProof/>
              </w:rPr>
            </w:pPr>
            <w:r w:rsidRPr="00B43213">
              <w:rPr>
                <w:noProof/>
                <w:color w:val="000000"/>
              </w:rPr>
              <w:t xml:space="preserve">Formare profesională </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Pr="00B43213" w:rsidRDefault="00737FB8" w:rsidP="00737FB8">
            <w:pPr>
              <w:spacing w:before="60" w:after="60"/>
              <w:jc w:val="center"/>
              <w:rPr>
                <w:noProof/>
              </w:rPr>
            </w:pPr>
            <w:r w:rsidRPr="00B43213">
              <w:rPr>
                <w:noProof/>
              </w:rPr>
              <w:t>16</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Pr="00B43213" w:rsidRDefault="00515D18" w:rsidP="00737FB8">
            <w:pPr>
              <w:spacing w:before="60" w:after="60"/>
              <w:jc w:val="center"/>
              <w:rPr>
                <w:noProof/>
              </w:rPr>
            </w:pPr>
            <w:r w:rsidRPr="00B43213">
              <w:rPr>
                <w:noProof/>
              </w:rPr>
              <w:t>5 000</w:t>
            </w:r>
          </w:p>
        </w:tc>
        <w:tc>
          <w:tcPr>
            <w:tcW w:w="1548" w:type="dxa"/>
            <w:tcBorders>
              <w:top w:val="single" w:sz="4" w:space="0" w:color="auto"/>
              <w:left w:val="single" w:sz="4" w:space="0" w:color="auto"/>
              <w:bottom w:val="single" w:sz="4" w:space="0" w:color="auto"/>
              <w:right w:val="nil"/>
            </w:tcBorders>
            <w:vAlign w:val="center"/>
            <w:hideMark/>
          </w:tcPr>
          <w:p w:rsidR="00737FB8" w:rsidRPr="00B43213" w:rsidRDefault="00515D18" w:rsidP="00737FB8">
            <w:pPr>
              <w:spacing w:before="60" w:after="60"/>
              <w:jc w:val="center"/>
              <w:rPr>
                <w:noProof/>
              </w:rPr>
            </w:pPr>
            <w:r w:rsidRPr="00B43213">
              <w:rPr>
                <w:noProof/>
              </w:rPr>
              <w:t>80 000</w:t>
            </w:r>
          </w:p>
        </w:tc>
      </w:tr>
      <w:tr w:rsidR="00737FB8" w:rsidRPr="00B43213" w:rsidTr="001D5990">
        <w:trPr>
          <w:trHeight w:val="802"/>
        </w:trPr>
        <w:tc>
          <w:tcPr>
            <w:tcW w:w="4644" w:type="dxa"/>
            <w:tcBorders>
              <w:top w:val="single" w:sz="4" w:space="0" w:color="auto"/>
              <w:left w:val="nil"/>
              <w:bottom w:val="single" w:sz="4" w:space="0" w:color="auto"/>
              <w:right w:val="single" w:sz="4" w:space="0" w:color="auto"/>
            </w:tcBorders>
            <w:vAlign w:val="center"/>
          </w:tcPr>
          <w:p w:rsidR="00737FB8" w:rsidRPr="00B43213" w:rsidRDefault="001B771C" w:rsidP="00737FB8">
            <w:pPr>
              <w:spacing w:before="60" w:after="60"/>
              <w:jc w:val="left"/>
              <w:rPr>
                <w:noProof/>
                <w:color w:val="000000"/>
              </w:rPr>
            </w:pPr>
            <w:r w:rsidRPr="00B43213">
              <w:rPr>
                <w:noProof/>
                <w:color w:val="000000"/>
              </w:rPr>
              <w:t xml:space="preserve">Carduri de securitate în muncă și de competențe profesionale </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Pr="00B43213" w:rsidRDefault="00515D18" w:rsidP="00737FB8">
            <w:pPr>
              <w:spacing w:before="60" w:after="60"/>
              <w:jc w:val="center"/>
              <w:rPr>
                <w:noProof/>
              </w:rPr>
            </w:pPr>
            <w:r w:rsidRPr="00B43213">
              <w:rPr>
                <w:noProof/>
              </w:rPr>
              <w:t>20</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Pr="00B43213" w:rsidRDefault="00515D18" w:rsidP="00737FB8">
            <w:pPr>
              <w:spacing w:before="60" w:after="60"/>
              <w:jc w:val="center"/>
              <w:rPr>
                <w:noProof/>
              </w:rPr>
            </w:pPr>
            <w:r w:rsidRPr="00B43213">
              <w:rPr>
                <w:noProof/>
              </w:rPr>
              <w:t>150</w:t>
            </w:r>
          </w:p>
        </w:tc>
        <w:tc>
          <w:tcPr>
            <w:tcW w:w="1548" w:type="dxa"/>
            <w:tcBorders>
              <w:top w:val="single" w:sz="4" w:space="0" w:color="auto"/>
              <w:left w:val="single" w:sz="4" w:space="0" w:color="auto"/>
              <w:bottom w:val="single" w:sz="4" w:space="0" w:color="auto"/>
              <w:right w:val="nil"/>
            </w:tcBorders>
            <w:vAlign w:val="center"/>
          </w:tcPr>
          <w:p w:rsidR="00737FB8" w:rsidRPr="00B43213" w:rsidRDefault="00515D18" w:rsidP="00737FB8">
            <w:pPr>
              <w:spacing w:before="60" w:after="60"/>
              <w:jc w:val="center"/>
              <w:rPr>
                <w:noProof/>
              </w:rPr>
            </w:pPr>
            <w:r w:rsidRPr="00B43213">
              <w:rPr>
                <w:noProof/>
              </w:rPr>
              <w:t>3 000</w:t>
            </w:r>
          </w:p>
        </w:tc>
      </w:tr>
      <w:tr w:rsidR="00737FB8" w:rsidRPr="00B43213"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737FB8" w:rsidRPr="00B43213" w:rsidRDefault="001B771C" w:rsidP="00737FB8">
            <w:pPr>
              <w:spacing w:before="60" w:after="60"/>
              <w:jc w:val="left"/>
              <w:rPr>
                <w:i/>
                <w:iCs/>
                <w:noProof/>
              </w:rPr>
            </w:pPr>
            <w:r w:rsidRPr="00B43213">
              <w:rPr>
                <w:noProof/>
                <w:color w:val="000000"/>
              </w:rPr>
              <w:t xml:space="preserve">Pregătirea lingvistică </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Pr="00B43213" w:rsidRDefault="00515D18" w:rsidP="00737FB8">
            <w:pPr>
              <w:spacing w:before="60" w:after="60"/>
              <w:jc w:val="center"/>
              <w:rPr>
                <w:noProof/>
              </w:rPr>
            </w:pPr>
            <w:r w:rsidRPr="00B43213">
              <w:rPr>
                <w:noProof/>
              </w:rPr>
              <w:t>40</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Pr="00B43213" w:rsidRDefault="00515D18" w:rsidP="00737FB8">
            <w:pPr>
              <w:spacing w:before="60" w:after="60"/>
              <w:jc w:val="center"/>
              <w:rPr>
                <w:noProof/>
              </w:rPr>
            </w:pPr>
            <w:r w:rsidRPr="00B43213">
              <w:rPr>
                <w:noProof/>
              </w:rPr>
              <w:t>750</w:t>
            </w:r>
          </w:p>
        </w:tc>
        <w:tc>
          <w:tcPr>
            <w:tcW w:w="1548" w:type="dxa"/>
            <w:tcBorders>
              <w:top w:val="single" w:sz="4" w:space="0" w:color="auto"/>
              <w:left w:val="single" w:sz="4" w:space="0" w:color="auto"/>
              <w:bottom w:val="single" w:sz="4" w:space="0" w:color="auto"/>
              <w:right w:val="nil"/>
            </w:tcBorders>
            <w:vAlign w:val="center"/>
            <w:hideMark/>
          </w:tcPr>
          <w:p w:rsidR="00737FB8" w:rsidRPr="00B43213" w:rsidRDefault="00515D18" w:rsidP="00737FB8">
            <w:pPr>
              <w:spacing w:before="60" w:after="60"/>
              <w:jc w:val="center"/>
              <w:rPr>
                <w:noProof/>
              </w:rPr>
            </w:pPr>
            <w:r w:rsidRPr="00B43213">
              <w:rPr>
                <w:noProof/>
              </w:rPr>
              <w:t>30 000</w:t>
            </w:r>
          </w:p>
        </w:tc>
      </w:tr>
      <w:tr w:rsidR="00A63547" w:rsidRPr="00B43213" w:rsidTr="001D5BFF">
        <w:trPr>
          <w:trHeight w:val="802"/>
        </w:trPr>
        <w:tc>
          <w:tcPr>
            <w:tcW w:w="4644" w:type="dxa"/>
            <w:tcBorders>
              <w:top w:val="single" w:sz="4" w:space="0" w:color="auto"/>
              <w:left w:val="nil"/>
              <w:bottom w:val="single" w:sz="4" w:space="0" w:color="auto"/>
              <w:right w:val="single" w:sz="4" w:space="0" w:color="auto"/>
            </w:tcBorders>
            <w:vAlign w:val="center"/>
          </w:tcPr>
          <w:p w:rsidR="00A63547" w:rsidRPr="00B43213" w:rsidRDefault="00A63547" w:rsidP="00A63547">
            <w:pPr>
              <w:spacing w:before="60" w:after="60"/>
              <w:jc w:val="left"/>
              <w:rPr>
                <w:noProof/>
                <w:color w:val="000000"/>
              </w:rPr>
            </w:pPr>
            <w:r w:rsidRPr="00B43213">
              <w:rPr>
                <w:noProof/>
                <w:color w:val="000000"/>
              </w:rPr>
              <w:t xml:space="preserve">Grant de start-up </w:t>
            </w:r>
          </w:p>
        </w:tc>
        <w:tc>
          <w:tcPr>
            <w:tcW w:w="1548" w:type="dxa"/>
            <w:tcBorders>
              <w:top w:val="single" w:sz="4" w:space="0" w:color="auto"/>
              <w:left w:val="single" w:sz="4" w:space="0" w:color="auto"/>
              <w:bottom w:val="single" w:sz="4" w:space="0" w:color="auto"/>
              <w:right w:val="single" w:sz="4" w:space="0" w:color="auto"/>
            </w:tcBorders>
            <w:vAlign w:val="center"/>
          </w:tcPr>
          <w:p w:rsidR="00A63547" w:rsidRPr="00B43213" w:rsidRDefault="00137920" w:rsidP="00A63547">
            <w:pPr>
              <w:spacing w:before="60" w:after="60"/>
              <w:jc w:val="center"/>
              <w:rPr>
                <w:noProof/>
              </w:rPr>
            </w:pPr>
            <w:r w:rsidRPr="00B43213">
              <w:rPr>
                <w:noProof/>
              </w:rPr>
              <w:t>5</w:t>
            </w:r>
          </w:p>
        </w:tc>
        <w:tc>
          <w:tcPr>
            <w:tcW w:w="1548" w:type="dxa"/>
            <w:tcBorders>
              <w:top w:val="single" w:sz="4" w:space="0" w:color="auto"/>
              <w:left w:val="single" w:sz="4" w:space="0" w:color="auto"/>
              <w:bottom w:val="single" w:sz="4" w:space="0" w:color="auto"/>
              <w:right w:val="single" w:sz="4" w:space="0" w:color="auto"/>
            </w:tcBorders>
            <w:vAlign w:val="center"/>
          </w:tcPr>
          <w:p w:rsidR="00A63547" w:rsidRPr="00B43213" w:rsidRDefault="00A63547" w:rsidP="00A63547">
            <w:pPr>
              <w:spacing w:before="60" w:after="60"/>
              <w:jc w:val="center"/>
              <w:rPr>
                <w:noProof/>
              </w:rPr>
            </w:pPr>
            <w:r w:rsidRPr="00B43213">
              <w:rPr>
                <w:noProof/>
              </w:rPr>
              <w:t>9 600</w:t>
            </w:r>
          </w:p>
        </w:tc>
        <w:tc>
          <w:tcPr>
            <w:tcW w:w="1548" w:type="dxa"/>
            <w:tcBorders>
              <w:top w:val="single" w:sz="4" w:space="0" w:color="auto"/>
              <w:left w:val="single" w:sz="4" w:space="0" w:color="auto"/>
              <w:bottom w:val="single" w:sz="4" w:space="0" w:color="auto"/>
              <w:right w:val="nil"/>
            </w:tcBorders>
            <w:vAlign w:val="center"/>
          </w:tcPr>
          <w:p w:rsidR="00A63547" w:rsidRPr="00B43213" w:rsidRDefault="00137920" w:rsidP="00A63547">
            <w:pPr>
              <w:spacing w:before="60" w:after="60"/>
              <w:jc w:val="center"/>
              <w:rPr>
                <w:noProof/>
              </w:rPr>
            </w:pPr>
            <w:r w:rsidRPr="00B43213">
              <w:rPr>
                <w:noProof/>
              </w:rPr>
              <w:t>48 000</w:t>
            </w:r>
          </w:p>
        </w:tc>
      </w:tr>
      <w:tr w:rsidR="00A63547" w:rsidRPr="00B43213" w:rsidTr="00CD50CD">
        <w:trPr>
          <w:trHeight w:val="802"/>
        </w:trPr>
        <w:tc>
          <w:tcPr>
            <w:tcW w:w="4644" w:type="dxa"/>
            <w:tcBorders>
              <w:top w:val="single" w:sz="4" w:space="0" w:color="auto"/>
              <w:left w:val="nil"/>
              <w:bottom w:val="single" w:sz="4" w:space="0" w:color="auto"/>
              <w:right w:val="single" w:sz="4" w:space="0" w:color="auto"/>
            </w:tcBorders>
            <w:vAlign w:val="center"/>
          </w:tcPr>
          <w:p w:rsidR="00A63547" w:rsidRPr="00B43213" w:rsidRDefault="00A63547" w:rsidP="00A63547">
            <w:pPr>
              <w:spacing w:before="60" w:after="60"/>
              <w:jc w:val="right"/>
              <w:rPr>
                <w:rFonts w:eastAsia="Times New Roman"/>
                <w:noProof/>
                <w:sz w:val="22"/>
              </w:rPr>
            </w:pPr>
            <w:r w:rsidRPr="00B43213">
              <w:rPr>
                <w:noProof/>
                <w:sz w:val="22"/>
              </w:rPr>
              <w:t>Subtotal (a):</w:t>
            </w:r>
          </w:p>
          <w:p w:rsidR="00A63547" w:rsidRPr="00B43213" w:rsidRDefault="00A63547" w:rsidP="00A63547">
            <w:pPr>
              <w:spacing w:before="60" w:after="60"/>
              <w:jc w:val="right"/>
              <w:rPr>
                <w:noProof/>
                <w:color w:val="000000"/>
              </w:rPr>
            </w:pPr>
            <w:r w:rsidRPr="00B43213">
              <w:rPr>
                <w:noProof/>
                <w:sz w:val="22"/>
              </w:rPr>
              <w:t>Procent din pachetul de servicii personalizate</w:t>
            </w:r>
          </w:p>
        </w:tc>
        <w:tc>
          <w:tcPr>
            <w:tcW w:w="309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63547" w:rsidRPr="00B43213" w:rsidRDefault="00A63547" w:rsidP="00A63547">
            <w:pPr>
              <w:spacing w:before="60" w:after="60"/>
              <w:jc w:val="center"/>
              <w:rPr>
                <w:noProof/>
                <w:highlight w:val="yellow"/>
              </w:rPr>
            </w:pPr>
            <w:r w:rsidRPr="00B43213">
              <w:rPr>
                <w:noProof/>
                <w:sz w:val="22"/>
              </w:rPr>
              <w:t xml:space="preserve">– </w:t>
            </w:r>
          </w:p>
        </w:tc>
        <w:tc>
          <w:tcPr>
            <w:tcW w:w="1548" w:type="dxa"/>
            <w:tcBorders>
              <w:top w:val="single" w:sz="4" w:space="0" w:color="auto"/>
              <w:left w:val="single" w:sz="4" w:space="0" w:color="auto"/>
              <w:bottom w:val="single" w:sz="4" w:space="0" w:color="auto"/>
              <w:right w:val="nil"/>
            </w:tcBorders>
            <w:vAlign w:val="center"/>
          </w:tcPr>
          <w:p w:rsidR="00A63547" w:rsidRPr="00B43213" w:rsidRDefault="00A63547" w:rsidP="00A63547">
            <w:pPr>
              <w:spacing w:before="60" w:after="60"/>
              <w:jc w:val="center"/>
              <w:rPr>
                <w:noProof/>
              </w:rPr>
            </w:pPr>
            <w:r w:rsidRPr="00B43213">
              <w:rPr>
                <w:noProof/>
              </w:rPr>
              <w:t>433 850</w:t>
            </w:r>
          </w:p>
          <w:p w:rsidR="00A63547" w:rsidRPr="00B43213" w:rsidRDefault="00A63547" w:rsidP="00A63547">
            <w:pPr>
              <w:spacing w:before="60" w:after="60"/>
              <w:jc w:val="center"/>
              <w:rPr>
                <w:noProof/>
                <w:highlight w:val="yellow"/>
              </w:rPr>
            </w:pPr>
            <w:r w:rsidRPr="00B43213">
              <w:rPr>
                <w:noProof/>
              </w:rPr>
              <w:t>(65,35 %)</w:t>
            </w:r>
          </w:p>
        </w:tc>
      </w:tr>
      <w:tr w:rsidR="00A63547" w:rsidRPr="00B43213" w:rsidTr="001D5BFF">
        <w:trPr>
          <w:trHeight w:val="802"/>
        </w:trPr>
        <w:tc>
          <w:tcPr>
            <w:tcW w:w="9288" w:type="dxa"/>
            <w:gridSpan w:val="4"/>
            <w:tcBorders>
              <w:top w:val="single" w:sz="4" w:space="0" w:color="auto"/>
              <w:left w:val="nil"/>
              <w:bottom w:val="single" w:sz="4" w:space="0" w:color="auto"/>
              <w:right w:val="nil"/>
            </w:tcBorders>
            <w:vAlign w:val="center"/>
          </w:tcPr>
          <w:p w:rsidR="00A63547" w:rsidRPr="00B43213" w:rsidRDefault="00A63547" w:rsidP="00A63547">
            <w:pPr>
              <w:spacing w:before="60" w:after="60"/>
              <w:jc w:val="left"/>
              <w:rPr>
                <w:noProof/>
                <w:highlight w:val="yellow"/>
              </w:rPr>
            </w:pPr>
            <w:r w:rsidRPr="00B43213">
              <w:rPr>
                <w:noProof/>
              </w:rPr>
              <w:t>Alocații și stimulente [măsuri în temeiul articolului 7 alineatul (2) al doilea paragraf litera (b) din Regulamentul (UE) 2021/691]</w:t>
            </w:r>
          </w:p>
        </w:tc>
      </w:tr>
      <w:tr w:rsidR="00A63547" w:rsidRPr="00B43213" w:rsidTr="001D5990">
        <w:trPr>
          <w:trHeight w:val="802"/>
        </w:trPr>
        <w:tc>
          <w:tcPr>
            <w:tcW w:w="4644" w:type="dxa"/>
            <w:tcBorders>
              <w:top w:val="single" w:sz="4" w:space="0" w:color="auto"/>
              <w:left w:val="nil"/>
              <w:bottom w:val="single" w:sz="4" w:space="0" w:color="auto"/>
              <w:right w:val="single" w:sz="4" w:space="0" w:color="auto"/>
            </w:tcBorders>
            <w:vAlign w:val="center"/>
          </w:tcPr>
          <w:p w:rsidR="00A63547" w:rsidRPr="00B43213" w:rsidRDefault="00A63547" w:rsidP="00A63547">
            <w:pPr>
              <w:spacing w:before="60" w:after="60"/>
              <w:jc w:val="left"/>
              <w:rPr>
                <w:noProof/>
                <w:color w:val="000000"/>
              </w:rPr>
            </w:pPr>
            <w:r w:rsidRPr="00B43213">
              <w:rPr>
                <w:noProof/>
                <w:color w:val="000000"/>
              </w:rPr>
              <w:t xml:space="preserve">Subvenții salariale </w:t>
            </w:r>
          </w:p>
        </w:tc>
        <w:tc>
          <w:tcPr>
            <w:tcW w:w="1548" w:type="dxa"/>
            <w:tcBorders>
              <w:top w:val="single" w:sz="4" w:space="0" w:color="auto"/>
              <w:left w:val="single" w:sz="4" w:space="0" w:color="auto"/>
              <w:bottom w:val="single" w:sz="4" w:space="0" w:color="auto"/>
              <w:right w:val="single" w:sz="4" w:space="0" w:color="auto"/>
            </w:tcBorders>
            <w:vAlign w:val="center"/>
          </w:tcPr>
          <w:p w:rsidR="00A63547" w:rsidRPr="00B43213" w:rsidRDefault="00A63547" w:rsidP="00A63547">
            <w:pPr>
              <w:spacing w:before="60" w:after="60"/>
              <w:jc w:val="center"/>
              <w:rPr>
                <w:noProof/>
              </w:rPr>
            </w:pPr>
            <w:r w:rsidRPr="00B43213">
              <w:rPr>
                <w:noProof/>
              </w:rPr>
              <w:t>23</w:t>
            </w:r>
          </w:p>
        </w:tc>
        <w:tc>
          <w:tcPr>
            <w:tcW w:w="1548" w:type="dxa"/>
            <w:tcBorders>
              <w:top w:val="single" w:sz="4" w:space="0" w:color="auto"/>
              <w:left w:val="single" w:sz="4" w:space="0" w:color="auto"/>
              <w:bottom w:val="single" w:sz="4" w:space="0" w:color="auto"/>
              <w:right w:val="single" w:sz="4" w:space="0" w:color="auto"/>
            </w:tcBorders>
            <w:vAlign w:val="center"/>
          </w:tcPr>
          <w:p w:rsidR="00A63547" w:rsidRPr="00B43213" w:rsidRDefault="00A63547" w:rsidP="00A63547">
            <w:pPr>
              <w:spacing w:before="60" w:after="60"/>
              <w:jc w:val="center"/>
              <w:rPr>
                <w:noProof/>
              </w:rPr>
            </w:pPr>
            <w:r w:rsidRPr="00B43213">
              <w:rPr>
                <w:noProof/>
              </w:rPr>
              <w:t>10 000</w:t>
            </w:r>
          </w:p>
        </w:tc>
        <w:tc>
          <w:tcPr>
            <w:tcW w:w="1548" w:type="dxa"/>
            <w:tcBorders>
              <w:top w:val="single" w:sz="4" w:space="0" w:color="auto"/>
              <w:left w:val="single" w:sz="4" w:space="0" w:color="auto"/>
              <w:bottom w:val="single" w:sz="4" w:space="0" w:color="auto"/>
              <w:right w:val="nil"/>
            </w:tcBorders>
            <w:vAlign w:val="center"/>
          </w:tcPr>
          <w:p w:rsidR="00A63547" w:rsidRPr="00B43213" w:rsidRDefault="00A63547" w:rsidP="00A63547">
            <w:pPr>
              <w:spacing w:before="60" w:after="60"/>
              <w:jc w:val="center"/>
              <w:rPr>
                <w:noProof/>
              </w:rPr>
            </w:pPr>
            <w:r w:rsidRPr="00B43213">
              <w:rPr>
                <w:noProof/>
              </w:rPr>
              <w:t>230 000</w:t>
            </w:r>
          </w:p>
        </w:tc>
      </w:tr>
      <w:tr w:rsidR="00A63547" w:rsidRPr="00B43213" w:rsidTr="001D5990">
        <w:trPr>
          <w:trHeight w:val="398"/>
        </w:trPr>
        <w:tc>
          <w:tcPr>
            <w:tcW w:w="4644" w:type="dxa"/>
            <w:vMerge w:val="restart"/>
            <w:shd w:val="clear" w:color="auto" w:fill="auto"/>
            <w:vAlign w:val="center"/>
          </w:tcPr>
          <w:p w:rsidR="00A63547" w:rsidRPr="00B43213" w:rsidRDefault="00A63547" w:rsidP="00A63547">
            <w:pPr>
              <w:spacing w:before="60" w:after="60"/>
              <w:jc w:val="right"/>
              <w:rPr>
                <w:rFonts w:eastAsia="Times New Roman"/>
                <w:noProof/>
                <w:sz w:val="22"/>
              </w:rPr>
            </w:pPr>
            <w:r w:rsidRPr="00B43213">
              <w:rPr>
                <w:noProof/>
                <w:sz w:val="22"/>
              </w:rPr>
              <w:t>Subtotal (b):</w:t>
            </w:r>
          </w:p>
          <w:p w:rsidR="00A63547" w:rsidRPr="00B43213" w:rsidRDefault="00A63547" w:rsidP="00A63547">
            <w:pPr>
              <w:spacing w:before="60" w:after="60"/>
              <w:jc w:val="right"/>
              <w:rPr>
                <w:rFonts w:eastAsia="Times New Roman"/>
                <w:noProof/>
                <w:sz w:val="22"/>
              </w:rPr>
            </w:pPr>
            <w:r w:rsidRPr="00B43213">
              <w:rPr>
                <w:noProof/>
                <w:sz w:val="22"/>
              </w:rPr>
              <w:t xml:space="preserve">Procent din pachetul de servicii personalizate </w:t>
            </w:r>
          </w:p>
        </w:tc>
        <w:tc>
          <w:tcPr>
            <w:tcW w:w="3096" w:type="dxa"/>
            <w:gridSpan w:val="2"/>
            <w:vMerge w:val="restart"/>
            <w:shd w:val="clear" w:color="auto" w:fill="D9D9D9"/>
            <w:vAlign w:val="center"/>
          </w:tcPr>
          <w:p w:rsidR="00A63547" w:rsidRPr="00B43213" w:rsidRDefault="00A63547" w:rsidP="00A63547">
            <w:pPr>
              <w:spacing w:before="60" w:after="60"/>
              <w:jc w:val="center"/>
              <w:rPr>
                <w:rFonts w:eastAsia="Times New Roman"/>
                <w:noProof/>
                <w:sz w:val="22"/>
              </w:rPr>
            </w:pPr>
            <w:r w:rsidRPr="00B43213">
              <w:rPr>
                <w:noProof/>
                <w:sz w:val="22"/>
              </w:rPr>
              <w:t>–</w:t>
            </w:r>
          </w:p>
        </w:tc>
        <w:tc>
          <w:tcPr>
            <w:tcW w:w="1548" w:type="dxa"/>
            <w:tcBorders>
              <w:bottom w:val="nil"/>
            </w:tcBorders>
            <w:shd w:val="clear" w:color="auto" w:fill="auto"/>
            <w:vAlign w:val="center"/>
          </w:tcPr>
          <w:p w:rsidR="00A63547" w:rsidRPr="00B43213" w:rsidRDefault="00A63547" w:rsidP="00A63547">
            <w:pPr>
              <w:spacing w:before="60" w:after="60"/>
              <w:jc w:val="center"/>
              <w:rPr>
                <w:rFonts w:eastAsia="Times New Roman"/>
                <w:noProof/>
                <w:sz w:val="22"/>
              </w:rPr>
            </w:pPr>
            <w:r w:rsidRPr="00B43213">
              <w:rPr>
                <w:noProof/>
              </w:rPr>
              <w:t>230 000</w:t>
            </w:r>
          </w:p>
        </w:tc>
      </w:tr>
      <w:tr w:rsidR="00A63547" w:rsidRPr="00B43213" w:rsidTr="002F254E">
        <w:trPr>
          <w:trHeight w:val="780"/>
        </w:trPr>
        <w:tc>
          <w:tcPr>
            <w:tcW w:w="4644" w:type="dxa"/>
            <w:vMerge/>
            <w:shd w:val="clear" w:color="auto" w:fill="auto"/>
            <w:vAlign w:val="center"/>
          </w:tcPr>
          <w:p w:rsidR="00A63547" w:rsidRPr="00B43213" w:rsidRDefault="00A63547" w:rsidP="00A63547">
            <w:pPr>
              <w:spacing w:before="60" w:after="60"/>
              <w:jc w:val="right"/>
              <w:rPr>
                <w:rFonts w:eastAsia="Times New Roman"/>
                <w:noProof/>
                <w:sz w:val="22"/>
              </w:rPr>
            </w:pPr>
          </w:p>
        </w:tc>
        <w:tc>
          <w:tcPr>
            <w:tcW w:w="3096" w:type="dxa"/>
            <w:gridSpan w:val="2"/>
            <w:vMerge/>
            <w:shd w:val="clear" w:color="auto" w:fill="D9D9D9"/>
            <w:vAlign w:val="center"/>
          </w:tcPr>
          <w:p w:rsidR="00A63547" w:rsidRPr="00B43213" w:rsidRDefault="00A63547" w:rsidP="00A63547">
            <w:pPr>
              <w:spacing w:before="60" w:after="60"/>
              <w:jc w:val="center"/>
              <w:rPr>
                <w:rFonts w:eastAsia="Times New Roman"/>
                <w:noProof/>
                <w:sz w:val="22"/>
              </w:rPr>
            </w:pPr>
          </w:p>
        </w:tc>
        <w:tc>
          <w:tcPr>
            <w:tcW w:w="1548" w:type="dxa"/>
            <w:tcBorders>
              <w:top w:val="nil"/>
            </w:tcBorders>
            <w:shd w:val="clear" w:color="auto" w:fill="auto"/>
            <w:vAlign w:val="center"/>
          </w:tcPr>
          <w:p w:rsidR="00A63547" w:rsidRPr="00B43213" w:rsidRDefault="00A63547" w:rsidP="00A63547">
            <w:pPr>
              <w:spacing w:before="60" w:after="60"/>
              <w:jc w:val="center"/>
              <w:rPr>
                <w:rFonts w:eastAsia="Times New Roman"/>
                <w:noProof/>
                <w:sz w:val="22"/>
              </w:rPr>
            </w:pPr>
            <w:r w:rsidRPr="00B43213">
              <w:rPr>
                <w:noProof/>
                <w:sz w:val="22"/>
              </w:rPr>
              <w:t>(34</w:t>
            </w:r>
            <w:r w:rsidRPr="00B43213">
              <w:rPr>
                <w:noProof/>
              </w:rPr>
              <w:t xml:space="preserve">,65 </w:t>
            </w:r>
            <w:r w:rsidRPr="00B43213">
              <w:rPr>
                <w:noProof/>
                <w:sz w:val="22"/>
              </w:rPr>
              <w:t>%)</w:t>
            </w:r>
          </w:p>
        </w:tc>
      </w:tr>
      <w:tr w:rsidR="00A63547" w:rsidRPr="00B43213" w:rsidTr="001D5990">
        <w:tc>
          <w:tcPr>
            <w:tcW w:w="9288" w:type="dxa"/>
            <w:gridSpan w:val="4"/>
            <w:shd w:val="clear" w:color="auto" w:fill="auto"/>
            <w:vAlign w:val="center"/>
          </w:tcPr>
          <w:p w:rsidR="00A63547" w:rsidRPr="00B43213" w:rsidRDefault="00A63547" w:rsidP="00A63547">
            <w:pPr>
              <w:spacing w:before="60" w:after="60"/>
              <w:jc w:val="left"/>
              <w:rPr>
                <w:rFonts w:eastAsia="Times New Roman"/>
                <w:noProof/>
                <w:sz w:val="22"/>
              </w:rPr>
            </w:pPr>
            <w:r w:rsidRPr="00B43213">
              <w:rPr>
                <w:noProof/>
                <w:sz w:val="22"/>
              </w:rPr>
              <w:t>Activități în temeiul articolului 7 alineatul (5) din Regulamentul (UE) 2021/691</w:t>
            </w:r>
          </w:p>
        </w:tc>
      </w:tr>
      <w:tr w:rsidR="00A63547" w:rsidRPr="00B43213" w:rsidTr="001D5990">
        <w:tc>
          <w:tcPr>
            <w:tcW w:w="4644" w:type="dxa"/>
            <w:shd w:val="clear" w:color="auto" w:fill="auto"/>
          </w:tcPr>
          <w:p w:rsidR="00A63547" w:rsidRPr="00B43213" w:rsidRDefault="00A63547" w:rsidP="00A63547">
            <w:pPr>
              <w:spacing w:before="60" w:after="60"/>
              <w:ind w:left="284"/>
              <w:jc w:val="left"/>
              <w:rPr>
                <w:rFonts w:eastAsia="Times New Roman"/>
                <w:noProof/>
                <w:sz w:val="22"/>
              </w:rPr>
            </w:pPr>
            <w:r w:rsidRPr="00B43213">
              <w:rPr>
                <w:noProof/>
                <w:sz w:val="22"/>
              </w:rPr>
              <w:t>(1) Activități de pregătire</w:t>
            </w:r>
          </w:p>
        </w:tc>
        <w:tc>
          <w:tcPr>
            <w:tcW w:w="3096" w:type="dxa"/>
            <w:gridSpan w:val="2"/>
            <w:shd w:val="clear" w:color="auto" w:fill="D9D9D9"/>
            <w:vAlign w:val="center"/>
          </w:tcPr>
          <w:p w:rsidR="00A63547" w:rsidRPr="00B43213" w:rsidRDefault="00A63547" w:rsidP="00A63547">
            <w:pPr>
              <w:spacing w:before="60" w:after="60"/>
              <w:jc w:val="center"/>
              <w:rPr>
                <w:rFonts w:eastAsia="Times New Roman"/>
                <w:noProof/>
                <w:sz w:val="22"/>
              </w:rPr>
            </w:pPr>
            <w:r w:rsidRPr="00B43213">
              <w:rPr>
                <w:noProof/>
                <w:sz w:val="22"/>
              </w:rPr>
              <w:t>–</w:t>
            </w:r>
          </w:p>
        </w:tc>
        <w:tc>
          <w:tcPr>
            <w:tcW w:w="1548" w:type="dxa"/>
            <w:shd w:val="clear" w:color="auto" w:fill="auto"/>
          </w:tcPr>
          <w:p w:rsidR="00A63547" w:rsidRPr="00B43213" w:rsidRDefault="00A63547" w:rsidP="00A63547">
            <w:pPr>
              <w:spacing w:before="60" w:after="60"/>
              <w:jc w:val="center"/>
              <w:rPr>
                <w:rFonts w:eastAsia="Times New Roman"/>
                <w:noProof/>
                <w:sz w:val="22"/>
              </w:rPr>
            </w:pPr>
            <w:r w:rsidRPr="00B43213">
              <w:rPr>
                <w:noProof/>
              </w:rPr>
              <w:t>2 000</w:t>
            </w:r>
          </w:p>
        </w:tc>
      </w:tr>
      <w:tr w:rsidR="00A63547" w:rsidRPr="00B43213" w:rsidTr="001D5990">
        <w:tc>
          <w:tcPr>
            <w:tcW w:w="4644" w:type="dxa"/>
            <w:shd w:val="clear" w:color="auto" w:fill="auto"/>
          </w:tcPr>
          <w:p w:rsidR="00A63547" w:rsidRPr="00B43213" w:rsidRDefault="00A63547" w:rsidP="00A63547">
            <w:pPr>
              <w:spacing w:before="60" w:after="60"/>
              <w:ind w:left="284"/>
              <w:jc w:val="left"/>
              <w:rPr>
                <w:rFonts w:eastAsia="Times New Roman"/>
                <w:noProof/>
                <w:sz w:val="22"/>
              </w:rPr>
            </w:pPr>
            <w:r w:rsidRPr="00B43213">
              <w:rPr>
                <w:noProof/>
                <w:sz w:val="22"/>
              </w:rPr>
              <w:t>(2) Gestionare</w:t>
            </w:r>
          </w:p>
        </w:tc>
        <w:tc>
          <w:tcPr>
            <w:tcW w:w="3096" w:type="dxa"/>
            <w:gridSpan w:val="2"/>
            <w:shd w:val="clear" w:color="auto" w:fill="D9D9D9"/>
            <w:vAlign w:val="center"/>
          </w:tcPr>
          <w:p w:rsidR="00A63547" w:rsidRPr="00B43213" w:rsidRDefault="00A63547" w:rsidP="00A63547">
            <w:pPr>
              <w:spacing w:before="60" w:after="60"/>
              <w:jc w:val="center"/>
              <w:rPr>
                <w:rFonts w:eastAsia="Times New Roman"/>
                <w:noProof/>
                <w:sz w:val="22"/>
              </w:rPr>
            </w:pPr>
            <w:r w:rsidRPr="00B43213">
              <w:rPr>
                <w:noProof/>
                <w:sz w:val="22"/>
              </w:rPr>
              <w:t>–</w:t>
            </w:r>
          </w:p>
        </w:tc>
        <w:tc>
          <w:tcPr>
            <w:tcW w:w="1548" w:type="dxa"/>
            <w:shd w:val="clear" w:color="auto" w:fill="auto"/>
          </w:tcPr>
          <w:p w:rsidR="00A63547" w:rsidRPr="00B43213" w:rsidRDefault="00A63547" w:rsidP="00A63547">
            <w:pPr>
              <w:spacing w:before="60" w:after="60"/>
              <w:jc w:val="center"/>
              <w:rPr>
                <w:rFonts w:eastAsia="Times New Roman"/>
                <w:noProof/>
                <w:sz w:val="22"/>
              </w:rPr>
            </w:pPr>
            <w:r w:rsidRPr="00B43213">
              <w:rPr>
                <w:noProof/>
              </w:rPr>
              <w:t>12 000</w:t>
            </w:r>
          </w:p>
        </w:tc>
      </w:tr>
      <w:tr w:rsidR="00A63547" w:rsidRPr="00B43213" w:rsidTr="001D5990">
        <w:tc>
          <w:tcPr>
            <w:tcW w:w="4644" w:type="dxa"/>
            <w:shd w:val="clear" w:color="auto" w:fill="auto"/>
          </w:tcPr>
          <w:p w:rsidR="00A63547" w:rsidRPr="00B43213" w:rsidRDefault="00A63547" w:rsidP="00A63547">
            <w:pPr>
              <w:spacing w:before="60" w:after="60"/>
              <w:ind w:left="284"/>
              <w:jc w:val="left"/>
              <w:rPr>
                <w:rFonts w:eastAsia="Times New Roman"/>
                <w:noProof/>
                <w:sz w:val="22"/>
              </w:rPr>
            </w:pPr>
            <w:r w:rsidRPr="00B43213">
              <w:rPr>
                <w:noProof/>
                <w:sz w:val="22"/>
              </w:rPr>
              <w:t>(3) Informare și publicitate</w:t>
            </w:r>
          </w:p>
        </w:tc>
        <w:tc>
          <w:tcPr>
            <w:tcW w:w="3096" w:type="dxa"/>
            <w:gridSpan w:val="2"/>
            <w:shd w:val="clear" w:color="auto" w:fill="D9D9D9"/>
            <w:vAlign w:val="center"/>
          </w:tcPr>
          <w:p w:rsidR="00A63547" w:rsidRPr="00B43213" w:rsidRDefault="00A63547" w:rsidP="00A63547">
            <w:pPr>
              <w:spacing w:before="60" w:after="60"/>
              <w:jc w:val="center"/>
              <w:rPr>
                <w:rFonts w:eastAsia="Times New Roman"/>
                <w:noProof/>
                <w:sz w:val="22"/>
              </w:rPr>
            </w:pPr>
            <w:r w:rsidRPr="00B43213">
              <w:rPr>
                <w:noProof/>
                <w:sz w:val="22"/>
              </w:rPr>
              <w:t>–</w:t>
            </w:r>
          </w:p>
        </w:tc>
        <w:tc>
          <w:tcPr>
            <w:tcW w:w="1548" w:type="dxa"/>
            <w:shd w:val="clear" w:color="auto" w:fill="auto"/>
          </w:tcPr>
          <w:p w:rsidR="00A63547" w:rsidRPr="00B43213" w:rsidRDefault="00A63547" w:rsidP="00A63547">
            <w:pPr>
              <w:spacing w:before="60" w:after="60"/>
              <w:jc w:val="center"/>
              <w:rPr>
                <w:rFonts w:eastAsia="Times New Roman"/>
                <w:noProof/>
                <w:sz w:val="22"/>
              </w:rPr>
            </w:pPr>
            <w:r w:rsidRPr="00B43213">
              <w:rPr>
                <w:noProof/>
              </w:rPr>
              <w:t>5 000</w:t>
            </w:r>
          </w:p>
        </w:tc>
      </w:tr>
      <w:tr w:rsidR="00A63547" w:rsidRPr="00B43213" w:rsidTr="001D5990">
        <w:tc>
          <w:tcPr>
            <w:tcW w:w="4644" w:type="dxa"/>
            <w:shd w:val="clear" w:color="auto" w:fill="auto"/>
          </w:tcPr>
          <w:p w:rsidR="00A63547" w:rsidRPr="00B43213" w:rsidRDefault="00A63547" w:rsidP="00A63547">
            <w:pPr>
              <w:spacing w:before="60" w:after="60"/>
              <w:ind w:left="284"/>
              <w:jc w:val="left"/>
              <w:rPr>
                <w:rFonts w:eastAsia="Times New Roman"/>
                <w:noProof/>
                <w:sz w:val="22"/>
              </w:rPr>
            </w:pPr>
            <w:r w:rsidRPr="00B43213">
              <w:rPr>
                <w:noProof/>
                <w:sz w:val="22"/>
              </w:rPr>
              <w:t>(4) Control și raportare</w:t>
            </w:r>
          </w:p>
        </w:tc>
        <w:tc>
          <w:tcPr>
            <w:tcW w:w="3096" w:type="dxa"/>
            <w:gridSpan w:val="2"/>
            <w:shd w:val="clear" w:color="auto" w:fill="D9D9D9"/>
            <w:vAlign w:val="center"/>
          </w:tcPr>
          <w:p w:rsidR="00A63547" w:rsidRPr="00B43213" w:rsidRDefault="00A63547" w:rsidP="00A63547">
            <w:pPr>
              <w:spacing w:before="60" w:after="60"/>
              <w:jc w:val="center"/>
              <w:rPr>
                <w:rFonts w:eastAsia="Times New Roman"/>
                <w:noProof/>
                <w:sz w:val="22"/>
              </w:rPr>
            </w:pPr>
            <w:r w:rsidRPr="00B43213">
              <w:rPr>
                <w:noProof/>
                <w:sz w:val="22"/>
              </w:rPr>
              <w:t>–</w:t>
            </w:r>
          </w:p>
        </w:tc>
        <w:tc>
          <w:tcPr>
            <w:tcW w:w="1548" w:type="dxa"/>
            <w:tcBorders>
              <w:bottom w:val="single" w:sz="4" w:space="0" w:color="auto"/>
            </w:tcBorders>
            <w:shd w:val="clear" w:color="auto" w:fill="auto"/>
          </w:tcPr>
          <w:p w:rsidR="00A63547" w:rsidRPr="00B43213" w:rsidRDefault="00A63547" w:rsidP="00A63547">
            <w:pPr>
              <w:spacing w:before="60" w:after="60"/>
              <w:jc w:val="center"/>
              <w:rPr>
                <w:rFonts w:eastAsia="Times New Roman"/>
                <w:noProof/>
                <w:sz w:val="22"/>
              </w:rPr>
            </w:pPr>
            <w:r w:rsidRPr="00B43213">
              <w:rPr>
                <w:noProof/>
              </w:rPr>
              <w:t>1 000</w:t>
            </w:r>
          </w:p>
        </w:tc>
      </w:tr>
      <w:tr w:rsidR="00A63547" w:rsidRPr="00B43213" w:rsidTr="001D5990">
        <w:trPr>
          <w:trHeight w:val="203"/>
        </w:trPr>
        <w:tc>
          <w:tcPr>
            <w:tcW w:w="4644" w:type="dxa"/>
            <w:vMerge w:val="restart"/>
            <w:shd w:val="clear" w:color="auto" w:fill="auto"/>
            <w:vAlign w:val="center"/>
          </w:tcPr>
          <w:p w:rsidR="00A63547" w:rsidRPr="00B43213" w:rsidRDefault="00A63547" w:rsidP="00A63547">
            <w:pPr>
              <w:spacing w:before="60" w:after="60"/>
              <w:jc w:val="right"/>
              <w:rPr>
                <w:rFonts w:eastAsia="Times New Roman"/>
                <w:noProof/>
                <w:sz w:val="22"/>
              </w:rPr>
            </w:pPr>
            <w:r w:rsidRPr="00B43213">
              <w:rPr>
                <w:noProof/>
                <w:sz w:val="22"/>
              </w:rPr>
              <w:t>Subtotal (c):</w:t>
            </w:r>
          </w:p>
          <w:p w:rsidR="00A63547" w:rsidRPr="00B43213" w:rsidRDefault="00A63547" w:rsidP="00A63547">
            <w:pPr>
              <w:spacing w:before="60" w:after="60"/>
              <w:jc w:val="right"/>
              <w:rPr>
                <w:rFonts w:eastAsia="Times New Roman"/>
                <w:noProof/>
                <w:sz w:val="22"/>
              </w:rPr>
            </w:pPr>
            <w:r w:rsidRPr="00B43213">
              <w:rPr>
                <w:noProof/>
                <w:sz w:val="22"/>
              </w:rPr>
              <w:t>Procent din costurile totale:</w:t>
            </w:r>
          </w:p>
        </w:tc>
        <w:tc>
          <w:tcPr>
            <w:tcW w:w="3096" w:type="dxa"/>
            <w:gridSpan w:val="2"/>
            <w:vMerge w:val="restart"/>
            <w:shd w:val="clear" w:color="auto" w:fill="D9D9D9"/>
            <w:vAlign w:val="center"/>
          </w:tcPr>
          <w:p w:rsidR="00A63547" w:rsidRPr="00B43213" w:rsidRDefault="00A63547" w:rsidP="00A63547">
            <w:pPr>
              <w:spacing w:before="0" w:after="0"/>
              <w:jc w:val="center"/>
              <w:rPr>
                <w:rFonts w:eastAsia="Times New Roman"/>
                <w:noProof/>
                <w:sz w:val="22"/>
              </w:rPr>
            </w:pPr>
            <w:r w:rsidRPr="00B43213">
              <w:rPr>
                <w:noProof/>
                <w:sz w:val="22"/>
              </w:rPr>
              <w:t>–</w:t>
            </w:r>
          </w:p>
        </w:tc>
        <w:tc>
          <w:tcPr>
            <w:tcW w:w="1548" w:type="dxa"/>
            <w:tcBorders>
              <w:bottom w:val="nil"/>
            </w:tcBorders>
            <w:shd w:val="clear" w:color="auto" w:fill="auto"/>
            <w:vAlign w:val="center"/>
          </w:tcPr>
          <w:p w:rsidR="00A63547" w:rsidRPr="00B43213" w:rsidRDefault="00A63547" w:rsidP="00A63547">
            <w:pPr>
              <w:spacing w:before="60" w:after="60"/>
              <w:jc w:val="center"/>
              <w:rPr>
                <w:rFonts w:eastAsia="Times New Roman"/>
                <w:noProof/>
                <w:sz w:val="22"/>
              </w:rPr>
            </w:pPr>
            <w:r w:rsidRPr="00B43213">
              <w:rPr>
                <w:noProof/>
              </w:rPr>
              <w:t>20 000</w:t>
            </w:r>
          </w:p>
        </w:tc>
      </w:tr>
      <w:tr w:rsidR="00A63547" w:rsidRPr="00B43213" w:rsidTr="001D5990">
        <w:trPr>
          <w:trHeight w:val="202"/>
        </w:trPr>
        <w:tc>
          <w:tcPr>
            <w:tcW w:w="4644" w:type="dxa"/>
            <w:vMerge/>
            <w:shd w:val="clear" w:color="auto" w:fill="auto"/>
          </w:tcPr>
          <w:p w:rsidR="00A63547" w:rsidRPr="00B43213" w:rsidRDefault="00A63547" w:rsidP="00A63547">
            <w:pPr>
              <w:spacing w:before="0" w:after="0"/>
              <w:jc w:val="right"/>
              <w:rPr>
                <w:rFonts w:eastAsia="Times New Roman"/>
                <w:noProof/>
                <w:sz w:val="22"/>
              </w:rPr>
            </w:pPr>
          </w:p>
        </w:tc>
        <w:tc>
          <w:tcPr>
            <w:tcW w:w="3096" w:type="dxa"/>
            <w:gridSpan w:val="2"/>
            <w:vMerge/>
            <w:shd w:val="clear" w:color="auto" w:fill="D9D9D9"/>
            <w:vAlign w:val="center"/>
          </w:tcPr>
          <w:p w:rsidR="00A63547" w:rsidRPr="00B43213" w:rsidRDefault="00A63547" w:rsidP="00A63547">
            <w:pPr>
              <w:spacing w:before="0" w:after="0"/>
              <w:jc w:val="center"/>
              <w:rPr>
                <w:rFonts w:eastAsia="Times New Roman"/>
                <w:noProof/>
                <w:sz w:val="22"/>
              </w:rPr>
            </w:pPr>
          </w:p>
        </w:tc>
        <w:tc>
          <w:tcPr>
            <w:tcW w:w="1548" w:type="dxa"/>
            <w:tcBorders>
              <w:top w:val="nil"/>
            </w:tcBorders>
            <w:shd w:val="clear" w:color="auto" w:fill="auto"/>
            <w:vAlign w:val="center"/>
          </w:tcPr>
          <w:p w:rsidR="00A63547" w:rsidRPr="00B43213" w:rsidRDefault="00A63547" w:rsidP="00A63547">
            <w:pPr>
              <w:spacing w:before="60" w:after="60"/>
              <w:jc w:val="center"/>
              <w:rPr>
                <w:rFonts w:eastAsia="Times New Roman"/>
                <w:noProof/>
                <w:sz w:val="22"/>
              </w:rPr>
            </w:pPr>
            <w:r w:rsidRPr="00B43213">
              <w:rPr>
                <w:noProof/>
                <w:sz w:val="22"/>
              </w:rPr>
              <w:t>(2</w:t>
            </w:r>
            <w:r w:rsidRPr="00B43213">
              <w:rPr>
                <w:noProof/>
              </w:rPr>
              <w:t xml:space="preserve">,92 </w:t>
            </w:r>
            <w:r w:rsidRPr="00B43213">
              <w:rPr>
                <w:noProof/>
                <w:sz w:val="22"/>
              </w:rPr>
              <w:t>%)</w:t>
            </w:r>
          </w:p>
        </w:tc>
      </w:tr>
      <w:tr w:rsidR="00A63547" w:rsidRPr="00B43213" w:rsidTr="001D5990">
        <w:tc>
          <w:tcPr>
            <w:tcW w:w="4644" w:type="dxa"/>
            <w:shd w:val="clear" w:color="auto" w:fill="auto"/>
          </w:tcPr>
          <w:p w:rsidR="00A63547" w:rsidRPr="00B43213" w:rsidRDefault="00A63547" w:rsidP="00A63547">
            <w:pPr>
              <w:spacing w:before="60" w:after="60"/>
              <w:jc w:val="left"/>
              <w:rPr>
                <w:rFonts w:eastAsia="Times New Roman"/>
                <w:noProof/>
                <w:sz w:val="22"/>
              </w:rPr>
            </w:pPr>
            <w:r w:rsidRPr="00B43213">
              <w:rPr>
                <w:noProof/>
                <w:sz w:val="22"/>
              </w:rPr>
              <w:t>Costuri totale (a + b + c):</w:t>
            </w:r>
          </w:p>
        </w:tc>
        <w:tc>
          <w:tcPr>
            <w:tcW w:w="3096" w:type="dxa"/>
            <w:gridSpan w:val="2"/>
            <w:shd w:val="clear" w:color="auto" w:fill="D9D9D9"/>
            <w:vAlign w:val="center"/>
          </w:tcPr>
          <w:p w:rsidR="00A63547" w:rsidRPr="00B43213" w:rsidRDefault="00A63547" w:rsidP="00A63547">
            <w:pPr>
              <w:spacing w:before="60" w:after="60"/>
              <w:jc w:val="center"/>
              <w:rPr>
                <w:rFonts w:eastAsia="Times New Roman"/>
                <w:noProof/>
                <w:sz w:val="22"/>
              </w:rPr>
            </w:pPr>
            <w:r w:rsidRPr="00B43213">
              <w:rPr>
                <w:noProof/>
                <w:sz w:val="22"/>
              </w:rPr>
              <w:t>–</w:t>
            </w:r>
          </w:p>
        </w:tc>
        <w:tc>
          <w:tcPr>
            <w:tcW w:w="1548" w:type="dxa"/>
            <w:shd w:val="clear" w:color="auto" w:fill="auto"/>
          </w:tcPr>
          <w:p w:rsidR="00A63547" w:rsidRPr="00B43213" w:rsidRDefault="00A63547" w:rsidP="00A63547">
            <w:pPr>
              <w:spacing w:before="60" w:after="60"/>
              <w:jc w:val="center"/>
              <w:rPr>
                <w:noProof/>
                <w:sz w:val="22"/>
              </w:rPr>
            </w:pPr>
            <w:r w:rsidRPr="00B43213">
              <w:rPr>
                <w:rFonts w:ascii="TimesNewRoman" w:hAnsi="TimesNewRoman"/>
                <w:noProof/>
                <w:color w:val="000000"/>
              </w:rPr>
              <w:t xml:space="preserve"> 683 850</w:t>
            </w:r>
          </w:p>
        </w:tc>
      </w:tr>
      <w:tr w:rsidR="00A63547" w:rsidRPr="00B43213" w:rsidTr="001D5990">
        <w:tc>
          <w:tcPr>
            <w:tcW w:w="4644" w:type="dxa"/>
            <w:shd w:val="clear" w:color="auto" w:fill="auto"/>
          </w:tcPr>
          <w:p w:rsidR="00A63547" w:rsidRPr="00B43213" w:rsidRDefault="00A63547" w:rsidP="00A63547">
            <w:pPr>
              <w:spacing w:before="60" w:after="60"/>
              <w:jc w:val="left"/>
              <w:rPr>
                <w:rFonts w:eastAsia="Times New Roman"/>
                <w:noProof/>
                <w:sz w:val="22"/>
              </w:rPr>
            </w:pPr>
            <w:r w:rsidRPr="00B43213">
              <w:rPr>
                <w:noProof/>
              </w:rPr>
              <w:t>Contribuția din partea FEG (60 % din costurile totale)</w:t>
            </w:r>
          </w:p>
        </w:tc>
        <w:tc>
          <w:tcPr>
            <w:tcW w:w="3096" w:type="dxa"/>
            <w:gridSpan w:val="2"/>
            <w:shd w:val="clear" w:color="auto" w:fill="D9D9D9"/>
            <w:vAlign w:val="center"/>
          </w:tcPr>
          <w:p w:rsidR="00A63547" w:rsidRPr="00B43213" w:rsidRDefault="00A63547" w:rsidP="00A63547">
            <w:pPr>
              <w:spacing w:before="60" w:after="60"/>
              <w:jc w:val="center"/>
              <w:rPr>
                <w:rFonts w:eastAsia="Times New Roman"/>
                <w:noProof/>
                <w:sz w:val="22"/>
              </w:rPr>
            </w:pPr>
            <w:r w:rsidRPr="00B43213">
              <w:rPr>
                <w:noProof/>
                <w:sz w:val="22"/>
              </w:rPr>
              <w:t>–</w:t>
            </w:r>
          </w:p>
        </w:tc>
        <w:tc>
          <w:tcPr>
            <w:tcW w:w="1548" w:type="dxa"/>
            <w:shd w:val="clear" w:color="auto" w:fill="auto"/>
          </w:tcPr>
          <w:p w:rsidR="00A63547" w:rsidRPr="00B43213" w:rsidRDefault="00A63547" w:rsidP="00A63547">
            <w:pPr>
              <w:spacing w:before="60" w:after="60"/>
              <w:jc w:val="center"/>
              <w:rPr>
                <w:rFonts w:eastAsia="Times New Roman"/>
                <w:noProof/>
                <w:sz w:val="22"/>
              </w:rPr>
            </w:pPr>
            <w:r w:rsidRPr="00B43213">
              <w:rPr>
                <w:rFonts w:ascii="TimesNewRoman" w:hAnsi="TimesNewRoman"/>
                <w:noProof/>
                <w:color w:val="000000"/>
              </w:rPr>
              <w:t>410 310</w:t>
            </w:r>
          </w:p>
        </w:tc>
      </w:tr>
    </w:tbl>
    <w:bookmarkEnd w:id="9"/>
    <w:p w:rsidR="00AA59F5" w:rsidRPr="00B43213" w:rsidRDefault="00AA59F5" w:rsidP="00AA59F5">
      <w:pPr>
        <w:pStyle w:val="ManualNumPar1"/>
        <w:rPr>
          <w:noProof/>
          <w:szCs w:val="20"/>
        </w:rPr>
      </w:pPr>
      <w:r>
        <w:rPr>
          <w:noProof/>
        </w:rPr>
        <w:t>33.</w:t>
      </w:r>
      <w:r>
        <w:rPr>
          <w:noProof/>
        </w:rPr>
        <w:tab/>
      </w:r>
      <w:r w:rsidRPr="00B43213">
        <w:rPr>
          <w:noProof/>
        </w:rPr>
        <w:t xml:space="preserve">Costurile măsurilor identificate în tabelul de mai sus ca măsuri adoptate în temeiul articolului 7 alineatul (2) al doilea paragraf litera (b) din Regulamentul (UE) 2021/691 nu depășesc 35 % din costurile totale ale pachetului coordonat de servicii </w:t>
      </w:r>
      <w:r w:rsidRPr="00B43213">
        <w:rPr>
          <w:noProof/>
        </w:rPr>
        <w:lastRenderedPageBreak/>
        <w:t>personalizate. Finlanda a confirmat că aceste măsuri sunt condiționate de participarea activă a beneficiarilor vizați la activități de căutare a unui loc de muncă sau de formare.</w:t>
      </w:r>
    </w:p>
    <w:p w:rsidR="00AA59F5" w:rsidRPr="00B43213" w:rsidRDefault="00AA59F5" w:rsidP="00AA59F5">
      <w:pPr>
        <w:pStyle w:val="ManualNumPar1"/>
        <w:rPr>
          <w:noProof/>
        </w:rPr>
      </w:pPr>
      <w:r>
        <w:rPr>
          <w:noProof/>
        </w:rPr>
        <w:t>34.</w:t>
      </w:r>
      <w:r>
        <w:rPr>
          <w:noProof/>
        </w:rPr>
        <w:tab/>
      </w:r>
      <w:r w:rsidRPr="00B43213">
        <w:rPr>
          <w:noProof/>
        </w:rPr>
        <w:t>În conformitate cu articolul 7 alineatul (2) al patrulea paragraf din Regulamentul (UE) 2021/691, Finlanda a confirmat că costurile investițiilor pentru desfășurarea de activități independente, înființarea de noi întreprinderi și preluarea întreprinderilor de către angajați nu vor depăși 22 000 EUR per beneficiar.</w:t>
      </w:r>
    </w:p>
    <w:p w:rsidR="001A62D7" w:rsidRPr="00B43213" w:rsidRDefault="001A62D7" w:rsidP="001A62D7">
      <w:pPr>
        <w:pStyle w:val="ManualHeading3"/>
        <w:rPr>
          <w:noProof/>
        </w:rPr>
      </w:pPr>
      <w:r w:rsidRPr="00B43213">
        <w:rPr>
          <w:noProof/>
        </w:rPr>
        <w:t>Perioada de eligibilitate a cheltuielilor</w:t>
      </w:r>
    </w:p>
    <w:p w:rsidR="007A26EC" w:rsidRPr="00B43213" w:rsidRDefault="007E3186" w:rsidP="009C50F6">
      <w:pPr>
        <w:pStyle w:val="ManualNumPar1"/>
        <w:rPr>
          <w:noProof/>
        </w:rPr>
      </w:pPr>
      <w:r>
        <w:rPr>
          <w:noProof/>
        </w:rPr>
        <w:t>35.</w:t>
      </w:r>
      <w:r>
        <w:rPr>
          <w:noProof/>
        </w:rPr>
        <w:tab/>
      </w:r>
      <w:r w:rsidRPr="00B43213">
        <w:rPr>
          <w:noProof/>
        </w:rPr>
        <w:t>Finlanda a început furnizarea serviciilor personalizate către beneficiarii vizați la 23 martie 2026. Prin urmare, cheltuielile aferente măsurilor vor fi eligibile pentru o contribuție financiară de la FEG începând cu 23 martie 2026, pentru o perioadă de 24 de luni de la data intrării în vigoare a deciziei de finanțare.</w:t>
      </w:r>
    </w:p>
    <w:p w:rsidR="007A26EC" w:rsidRPr="00B43213" w:rsidRDefault="007E3186" w:rsidP="009C50F6">
      <w:pPr>
        <w:pStyle w:val="ManualNumPar1"/>
        <w:rPr>
          <w:noProof/>
        </w:rPr>
      </w:pPr>
      <w:r>
        <w:rPr>
          <w:noProof/>
        </w:rPr>
        <w:t>36.</w:t>
      </w:r>
      <w:r>
        <w:rPr>
          <w:noProof/>
        </w:rPr>
        <w:tab/>
      </w:r>
      <w:r w:rsidRPr="00B43213">
        <w:rPr>
          <w:noProof/>
        </w:rPr>
        <w:t xml:space="preserve">Finlanda a început plata cheltuielilor administrative pentru punerea în aplicare a FEG la 23 martie 2026. Prin urmare, cheltuielile pentru activitățile de pregătire, gestionare, informare și publicitate și control și raportare sunt eligibile pentru o contribuție financiară de la FEG începând cu 23 martie 2026, pentru o perioadă de 31 de luni de la data intrării în vigoare a deciziei de finanțare.  </w:t>
      </w:r>
    </w:p>
    <w:p w:rsidR="001A62D7" w:rsidRPr="00B43213" w:rsidRDefault="001A62D7" w:rsidP="001A62D7">
      <w:pPr>
        <w:pStyle w:val="ManualHeading2"/>
        <w:rPr>
          <w:noProof/>
        </w:rPr>
      </w:pPr>
      <w:r w:rsidRPr="00B43213">
        <w:rPr>
          <w:noProof/>
        </w:rPr>
        <w:t>Sistemul de gestionare și control</w:t>
      </w:r>
    </w:p>
    <w:p w:rsidR="007A26EC" w:rsidRPr="00B43213" w:rsidRDefault="007A26EC" w:rsidP="009C50F6">
      <w:pPr>
        <w:pStyle w:val="ManualNumPar1"/>
        <w:rPr>
          <w:noProof/>
        </w:rPr>
      </w:pPr>
      <w:r>
        <w:rPr>
          <w:noProof/>
        </w:rPr>
        <w:t>37.</w:t>
      </w:r>
      <w:r>
        <w:rPr>
          <w:noProof/>
        </w:rPr>
        <w:tab/>
      </w:r>
      <w:r w:rsidRPr="00B43213">
        <w:rPr>
          <w:noProof/>
        </w:rPr>
        <w:t xml:space="preserve">Cererea conține o descriere a sistemului de gestionare și control prevăzut la articolul 23 din Regulamentul (UE) 2021/691, care precizează responsabilitățile organismelor implicate. Finlanda a notificat Comisiei faptul că, în statul membru respectiv, contribuția financiară va fi gestionată și controlată de Ministerul Economiei și Ocupării Forței de Muncă, de aceleași unități care acționează în calitate de autoritate de management și de certificare pentru FSE+. Auditul intern independent sub autoritatea Secretarului Permanent al Ministerului Economiei și Ocupării Forței de Muncă acționează în calitate de Autoritate de Audit pentru FEG. </w:t>
      </w:r>
    </w:p>
    <w:p w:rsidR="001A62D7" w:rsidRPr="00B43213" w:rsidRDefault="001A62D7" w:rsidP="001A62D7">
      <w:pPr>
        <w:pStyle w:val="ManualHeading2"/>
        <w:rPr>
          <w:noProof/>
        </w:rPr>
      </w:pPr>
      <w:r w:rsidRPr="00B43213">
        <w:rPr>
          <w:noProof/>
        </w:rPr>
        <w:t>Angajamentele asumate de statul membru în cauză</w:t>
      </w:r>
    </w:p>
    <w:p w:rsidR="001A62D7" w:rsidRPr="00B43213" w:rsidRDefault="007E3186" w:rsidP="009C50F6">
      <w:pPr>
        <w:pStyle w:val="ManualNumPar1"/>
        <w:rPr>
          <w:noProof/>
        </w:rPr>
      </w:pPr>
      <w:r>
        <w:rPr>
          <w:noProof/>
        </w:rPr>
        <w:t>38.</w:t>
      </w:r>
      <w:r>
        <w:rPr>
          <w:noProof/>
        </w:rPr>
        <w:tab/>
      </w:r>
      <w:r w:rsidRPr="00B43213">
        <w:rPr>
          <w:noProof/>
        </w:rPr>
        <w:t xml:space="preserve">Finlanda a oferit toate garanțiile necesare cu privire la următoarele: </w:t>
      </w:r>
    </w:p>
    <w:p w:rsidR="001A62D7" w:rsidRPr="00B43213" w:rsidRDefault="001A62D7" w:rsidP="001A62D7">
      <w:pPr>
        <w:pStyle w:val="Tiret1"/>
        <w:rPr>
          <w:noProof/>
        </w:rPr>
      </w:pPr>
      <w:r w:rsidRPr="00B43213">
        <w:rPr>
          <w:noProof/>
        </w:rPr>
        <w:t>în contextul accesului la măsurile propuse și al punerii în aplicare a acestora, vor fi respectate principiul egalității de tratament și principiul nediscriminării,</w:t>
      </w:r>
    </w:p>
    <w:p w:rsidR="001A62D7" w:rsidRPr="00B43213" w:rsidRDefault="001A62D7" w:rsidP="001A62D7">
      <w:pPr>
        <w:pStyle w:val="Tiret1"/>
        <w:rPr>
          <w:noProof/>
        </w:rPr>
      </w:pPr>
      <w:r w:rsidRPr="00B43213">
        <w:rPr>
          <w:noProof/>
        </w:rPr>
        <w:t>au fost îndeplinite cerințele prevăzute de legislația națională și de legislația UE în ceea ce privește concedierile colective,</w:t>
      </w:r>
    </w:p>
    <w:p w:rsidR="001A62D7" w:rsidRPr="00B43213" w:rsidRDefault="001A62D7" w:rsidP="001A62D7">
      <w:pPr>
        <w:pStyle w:val="Tiret1"/>
        <w:rPr>
          <w:noProof/>
        </w:rPr>
      </w:pPr>
      <w:r w:rsidRPr="00B43213">
        <w:rPr>
          <w:noProof/>
        </w:rPr>
        <w:t>se va evita orice fel de dublă finanțare,</w:t>
      </w:r>
    </w:p>
    <w:p w:rsidR="001A62D7" w:rsidRPr="00B43213" w:rsidRDefault="001A62D7" w:rsidP="001A62D7">
      <w:pPr>
        <w:pStyle w:val="Tiret1"/>
        <w:rPr>
          <w:noProof/>
        </w:rPr>
      </w:pPr>
      <w:r w:rsidRPr="00B43213">
        <w:rPr>
          <w:noProof/>
        </w:rPr>
        <w:t>contribuția financiară din partea FEG va respecta normele procedurale și de fond ale Uniunii privind ajutoarele de stat.</w:t>
      </w:r>
    </w:p>
    <w:p w:rsidR="001A62D7" w:rsidRPr="00B43213" w:rsidRDefault="001A62D7" w:rsidP="001A62D7">
      <w:pPr>
        <w:pStyle w:val="ManualHeading1"/>
        <w:rPr>
          <w:noProof/>
        </w:rPr>
      </w:pPr>
      <w:r w:rsidRPr="00B43213">
        <w:rPr>
          <w:noProof/>
        </w:rPr>
        <w:t>IMPLICAȚII BUGETARE</w:t>
      </w:r>
    </w:p>
    <w:p w:rsidR="001A62D7" w:rsidRPr="00B43213" w:rsidRDefault="001A62D7" w:rsidP="001A62D7">
      <w:pPr>
        <w:pStyle w:val="ManualHeading2"/>
        <w:rPr>
          <w:noProof/>
        </w:rPr>
      </w:pPr>
      <w:r w:rsidRPr="00B43213">
        <w:rPr>
          <w:noProof/>
        </w:rPr>
        <w:t>Propunerea bugetară</w:t>
      </w:r>
    </w:p>
    <w:p w:rsidR="001A62D7" w:rsidRPr="00B43213" w:rsidRDefault="001A62D7" w:rsidP="009C50F6">
      <w:pPr>
        <w:pStyle w:val="ManualNumPar1"/>
        <w:rPr>
          <w:noProof/>
        </w:rPr>
      </w:pPr>
      <w:r>
        <w:rPr>
          <w:noProof/>
        </w:rPr>
        <w:t>39.</w:t>
      </w:r>
      <w:r>
        <w:rPr>
          <w:noProof/>
        </w:rPr>
        <w:tab/>
      </w:r>
      <w:r w:rsidRPr="00B43213">
        <w:rPr>
          <w:noProof/>
        </w:rPr>
        <w:t>FEG nu trebuie să depășească un cuantum anual de maximum 30 de milioane EUR (la prețurile din 2018), astfel cum se prevede la articolul 8 din Regulamentul (UE, Euratom) 2020/2093 al Consiliului din 17 decembrie 2020 de stabilire a cadrului financiar multianual pentru perioada 2021-2027</w:t>
      </w:r>
      <w:r w:rsidRPr="00B43213">
        <w:rPr>
          <w:rStyle w:val="FootnoteReference"/>
          <w:noProof/>
        </w:rPr>
        <w:footnoteReference w:id="18"/>
      </w:r>
      <w:r w:rsidRPr="00B43213">
        <w:rPr>
          <w:noProof/>
        </w:rPr>
        <w:t>.</w:t>
      </w:r>
    </w:p>
    <w:p w:rsidR="001A62D7" w:rsidRPr="00B43213" w:rsidRDefault="001A62D7" w:rsidP="009C50F6">
      <w:pPr>
        <w:pStyle w:val="ManualNumPar1"/>
        <w:rPr>
          <w:rFonts w:eastAsia="Calibri"/>
          <w:noProof/>
        </w:rPr>
      </w:pPr>
      <w:r>
        <w:rPr>
          <w:noProof/>
        </w:rPr>
        <w:lastRenderedPageBreak/>
        <w:t>40.</w:t>
      </w:r>
      <w:r>
        <w:rPr>
          <w:noProof/>
        </w:rPr>
        <w:tab/>
      </w:r>
      <w:r w:rsidRPr="00B43213">
        <w:rPr>
          <w:noProof/>
        </w:rPr>
        <w:t>După examinarea cererii în conformitate cu condițiile stabilite la articolul 13 alineatele (1) și (2) din Regulamentul (UE) 2021/691 și luând în considerare numărul de beneficiari vizați, măsurile propuse și costurile estimate, Comisia propune mobilizarea FEG pentru suma de 410 310 EUR, reprezentând 60 % din costurile totale ale măsurilor propuse, cu scopul de a furniza o contribuție financiară ca răspuns la cererea menționată.</w:t>
      </w:r>
    </w:p>
    <w:p w:rsidR="001A62D7" w:rsidRPr="00B43213" w:rsidRDefault="001A62D7" w:rsidP="009C50F6">
      <w:pPr>
        <w:pStyle w:val="ManualNumPar1"/>
        <w:rPr>
          <w:rFonts w:eastAsia="Times New Roman"/>
          <w:noProof/>
        </w:rPr>
      </w:pPr>
      <w:r>
        <w:rPr>
          <w:noProof/>
        </w:rPr>
        <w:t>41.</w:t>
      </w:r>
      <w:r>
        <w:rPr>
          <w:noProof/>
        </w:rPr>
        <w:tab/>
      </w:r>
      <w:r w:rsidRPr="00B43213">
        <w:rPr>
          <w:noProof/>
        </w:rPr>
        <w:t>Decizia propusă privind mobilizarea FEG va fi adoptată în comun de Parlamentul European și de Consiliu, în conformitate cu articolul 15 alineatul (1) primul paragraf a doua teză din Regulamentul (UE) 2021/691 și astfel cum se prevede la punctul 9 din Acordul interinstituțional din 16 decembrie 2020 între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B43213">
        <w:rPr>
          <w:rStyle w:val="FootnoteReference"/>
          <w:noProof/>
        </w:rPr>
        <w:footnoteReference w:id="19"/>
      </w:r>
      <w:r w:rsidRPr="00B43213">
        <w:rPr>
          <w:noProof/>
        </w:rPr>
        <w:t>.</w:t>
      </w:r>
    </w:p>
    <w:p w:rsidR="001A62D7" w:rsidRPr="00B43213" w:rsidRDefault="001A62D7" w:rsidP="001A62D7">
      <w:pPr>
        <w:pStyle w:val="ManualHeading2"/>
        <w:rPr>
          <w:noProof/>
        </w:rPr>
      </w:pPr>
      <w:r w:rsidRPr="00B43213">
        <w:rPr>
          <w:noProof/>
        </w:rPr>
        <w:t>Acte conexe</w:t>
      </w:r>
    </w:p>
    <w:p w:rsidR="001A62D7" w:rsidRPr="00B43213" w:rsidRDefault="001A62D7" w:rsidP="009C50F6">
      <w:pPr>
        <w:pStyle w:val="ManualNumPar1"/>
        <w:rPr>
          <w:noProof/>
        </w:rPr>
      </w:pPr>
      <w:r>
        <w:rPr>
          <w:noProof/>
        </w:rPr>
        <w:t>42.</w:t>
      </w:r>
      <w:r>
        <w:rPr>
          <w:noProof/>
        </w:rPr>
        <w:tab/>
      </w:r>
      <w:r w:rsidRPr="00B43213">
        <w:rPr>
          <w:noProof/>
        </w:rPr>
        <w:t>În același timp cu prezentarea acestei propuneri de decizie privind mobilizarea FEG, Comisia va prezenta Parlamentului European și Consiliului o propunere privind transferul sumei de 410 310 EUR către linia bugetară relevantă.</w:t>
      </w:r>
    </w:p>
    <w:p w:rsidR="001A62D7" w:rsidRPr="00B43213" w:rsidRDefault="001A62D7" w:rsidP="009C50F6">
      <w:pPr>
        <w:pStyle w:val="ManualNumPar1"/>
        <w:rPr>
          <w:noProof/>
        </w:rPr>
      </w:pPr>
      <w:r>
        <w:rPr>
          <w:noProof/>
        </w:rPr>
        <w:t>43.</w:t>
      </w:r>
      <w:r>
        <w:rPr>
          <w:noProof/>
        </w:rPr>
        <w:tab/>
      </w:r>
      <w:r w:rsidRPr="00B43213">
        <w:rPr>
          <w:noProof/>
        </w:rPr>
        <w:t>Concomitent cu adoptarea prezentei propuneri de decizie privind mobilizarea FEG, Comisia a adoptat o decizie privind o contribuție financiară, care constituie o decizie de finanțare în sensul articolului 110 din Regulamentul (UE, Euratom) 2024/2509</w:t>
      </w:r>
      <w:r w:rsidRPr="00B43213">
        <w:rPr>
          <w:rStyle w:val="FootnoteReference"/>
          <w:noProof/>
        </w:rPr>
        <w:footnoteReference w:id="20"/>
      </w:r>
      <w:r w:rsidRPr="00B43213">
        <w:rPr>
          <w:noProof/>
        </w:rPr>
        <w:t>. Respectiva decizie de finanțare va intra în vigoare la data la care Comisiei i se notifică aprobarea transferului bugetar de către Parlamentul European și Consiliu în conformitate cu articolul 15 alineatul (2) primul paragraf din Regulamentul (UE) 2021/691.</w:t>
      </w:r>
    </w:p>
    <w:p w:rsidR="001A62D7" w:rsidRPr="00B43213" w:rsidRDefault="001A62D7" w:rsidP="001A62D7">
      <w:pPr>
        <w:rPr>
          <w:noProof/>
        </w:rPr>
        <w:sectPr w:rsidR="001A62D7" w:rsidRPr="00B43213" w:rsidSect="006733F2">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pgNumType w:start="1"/>
          <w:cols w:space="708"/>
          <w:docGrid w:linePitch="360"/>
        </w:sectPr>
      </w:pPr>
    </w:p>
    <w:p w:rsidR="00057812" w:rsidRDefault="001C17BD">
      <w:pPr>
        <w:pStyle w:val="Rfrenceinterinstitutionnelle"/>
        <w:rPr>
          <w:noProof/>
        </w:rPr>
      </w:pPr>
      <w:r>
        <w:rPr>
          <w:noProof/>
        </w:rPr>
        <w:lastRenderedPageBreak/>
        <w:t>2026/0220 (BUD)</w:t>
      </w:r>
    </w:p>
    <w:p w:rsidR="001A62D7" w:rsidRPr="00B43213" w:rsidRDefault="00B43213" w:rsidP="00B43213">
      <w:pPr>
        <w:pStyle w:val="Statut"/>
        <w:rPr>
          <w:noProof/>
        </w:rPr>
      </w:pPr>
      <w:r w:rsidRPr="00B43213">
        <w:rPr>
          <w:noProof/>
        </w:rPr>
        <w:t>Propunere de</w:t>
      </w:r>
    </w:p>
    <w:p w:rsidR="001A62D7" w:rsidRPr="00B43213" w:rsidRDefault="00B43213" w:rsidP="00B43213">
      <w:pPr>
        <w:pStyle w:val="Typedudocument"/>
        <w:rPr>
          <w:noProof/>
        </w:rPr>
      </w:pPr>
      <w:r w:rsidRPr="00B43213">
        <w:rPr>
          <w:noProof/>
        </w:rPr>
        <w:t>DECIZIE A PARLAMENTULUI EUROPEAN ȘI A CONSILIULUI</w:t>
      </w:r>
    </w:p>
    <w:p w:rsidR="001A62D7" w:rsidRPr="00B43213" w:rsidRDefault="00B43213" w:rsidP="00B43213">
      <w:pPr>
        <w:pStyle w:val="Titreobjet"/>
        <w:rPr>
          <w:noProof/>
        </w:rPr>
      </w:pPr>
      <w:r w:rsidRPr="00B43213">
        <w:rPr>
          <w:noProof/>
        </w:rPr>
        <w:t>privind mobilizarea Fondului european de ajustare la globalizare pentru lucrătorii disponibilizați în urma unei cereri din partea Finlandei – EGF/2026/003 FI/Valmet Automotive</w:t>
      </w:r>
    </w:p>
    <w:p w:rsidR="001A62D7" w:rsidRPr="00B43213" w:rsidRDefault="001A62D7" w:rsidP="001A62D7">
      <w:pPr>
        <w:pStyle w:val="Institutionquiagit"/>
        <w:rPr>
          <w:noProof/>
        </w:rPr>
      </w:pPr>
      <w:r w:rsidRPr="00B43213">
        <w:rPr>
          <w:noProof/>
        </w:rPr>
        <w:t>PARLAMENTUL EUROPEAN ȘI CONSILIUL UNIUNII EUROPENE,</w:t>
      </w:r>
    </w:p>
    <w:p w:rsidR="001A62D7" w:rsidRPr="00B43213" w:rsidRDefault="001A62D7" w:rsidP="001A62D7">
      <w:pPr>
        <w:rPr>
          <w:noProof/>
        </w:rPr>
      </w:pPr>
      <w:r w:rsidRPr="00B43213">
        <w:rPr>
          <w:noProof/>
        </w:rPr>
        <w:t>având în vedere Tratatul privind funcționarea Uniunii Europene,</w:t>
      </w:r>
    </w:p>
    <w:p w:rsidR="001A62D7" w:rsidRPr="00B43213" w:rsidRDefault="001A62D7" w:rsidP="001A62D7">
      <w:pPr>
        <w:rPr>
          <w:noProof/>
        </w:rPr>
      </w:pPr>
      <w:r w:rsidRPr="00B43213">
        <w:rPr>
          <w:noProof/>
        </w:rPr>
        <w:t>având în vedere Regulamentul (UE) 2021/691 al Parlamentului European și al Consiliului din 28 aprilie 2021 privind Fondul european de ajustare la globalizare pentru lucrătorii disponibilizați (FEG) și de abrogare a Regulamentului (UE) nr. 1309/2013</w:t>
      </w:r>
      <w:r w:rsidRPr="00B43213">
        <w:rPr>
          <w:rStyle w:val="FootnoteReference"/>
          <w:noProof/>
        </w:rPr>
        <w:footnoteReference w:id="21"/>
      </w:r>
      <w:r w:rsidRPr="00B43213">
        <w:rPr>
          <w:noProof/>
        </w:rPr>
        <w:t>, în special articolul 15 alineatul (1) primul paragraf,</w:t>
      </w:r>
    </w:p>
    <w:p w:rsidR="001A62D7" w:rsidRPr="00B43213" w:rsidRDefault="001A62D7" w:rsidP="001A62D7">
      <w:pPr>
        <w:rPr>
          <w:noProof/>
        </w:rPr>
      </w:pPr>
      <w:r w:rsidRPr="00B43213">
        <w:rPr>
          <w:noProof/>
        </w:rPr>
        <w:t>având în vedere Acordul interinstituțional din 16 decembrie 2020 între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B43213">
        <w:rPr>
          <w:rStyle w:val="FootnoteReference"/>
          <w:noProof/>
        </w:rPr>
        <w:footnoteReference w:id="22"/>
      </w:r>
      <w:r w:rsidRPr="00B43213">
        <w:rPr>
          <w:noProof/>
        </w:rPr>
        <w:t>, în special punctul 9,</w:t>
      </w:r>
    </w:p>
    <w:p w:rsidR="001A62D7" w:rsidRPr="00B43213" w:rsidRDefault="001A62D7" w:rsidP="001A62D7">
      <w:pPr>
        <w:rPr>
          <w:noProof/>
        </w:rPr>
      </w:pPr>
      <w:r w:rsidRPr="00B43213">
        <w:rPr>
          <w:noProof/>
        </w:rPr>
        <w:t>având în vedere propunerea Comisiei Europene,</w:t>
      </w:r>
    </w:p>
    <w:p w:rsidR="001A62D7" w:rsidRPr="00B43213" w:rsidRDefault="001A62D7" w:rsidP="001A62D7">
      <w:pPr>
        <w:rPr>
          <w:noProof/>
        </w:rPr>
      </w:pPr>
      <w:r w:rsidRPr="00B43213">
        <w:rPr>
          <w:noProof/>
        </w:rPr>
        <w:t>întrucât:</w:t>
      </w:r>
    </w:p>
    <w:p w:rsidR="001A62D7" w:rsidRPr="00B43213" w:rsidRDefault="001A62D7" w:rsidP="009C50F6">
      <w:pPr>
        <w:pStyle w:val="ManualConsidrant"/>
        <w:rPr>
          <w:noProof/>
        </w:rPr>
      </w:pPr>
      <w:r>
        <w:rPr>
          <w:noProof/>
        </w:rPr>
        <w:t>(1)</w:t>
      </w:r>
      <w:r>
        <w:rPr>
          <w:noProof/>
        </w:rPr>
        <w:tab/>
      </w:r>
      <w:r w:rsidRPr="00B43213">
        <w:rPr>
          <w:noProof/>
        </w:rPr>
        <w:t xml:space="preserve">Fondul european de ajustare la globalizare pentru lucrătorii disponibilizați (FEG) urmărește să demonstreze solidaritatea și să promoveze locuri de muncă decente și sustenabile în Uniune, oferind sprijin lucrătorilor concediați și lucrătorilor independenți a căror activitate a încetat în cazul unor evenimente majore de restructurare și ajutându-i să revină cât mai curând posibil la locuri de muncă decente și sustenabile. </w:t>
      </w:r>
    </w:p>
    <w:p w:rsidR="001A62D7" w:rsidRPr="00B43213" w:rsidRDefault="001A62D7" w:rsidP="009C50F6">
      <w:pPr>
        <w:pStyle w:val="ManualConsidrant"/>
        <w:rPr>
          <w:noProof/>
        </w:rPr>
      </w:pPr>
      <w:r>
        <w:rPr>
          <w:noProof/>
        </w:rPr>
        <w:t>(2)</w:t>
      </w:r>
      <w:r>
        <w:rPr>
          <w:noProof/>
        </w:rPr>
        <w:tab/>
      </w:r>
      <w:r w:rsidRPr="00B43213">
        <w:rPr>
          <w:noProof/>
        </w:rPr>
        <w:t>FEG nu trebuie să depășească un cuantum anual de maximum 30 de milioane EUR (la prețurile din 2018), astfel cum se prevede la articolul 8 din Regulamentul (UE, Euratom) 2020/2093 al Consiliului</w:t>
      </w:r>
      <w:r w:rsidRPr="00B43213">
        <w:rPr>
          <w:rStyle w:val="FootnoteReference"/>
          <w:noProof/>
        </w:rPr>
        <w:footnoteReference w:id="23"/>
      </w:r>
      <w:r w:rsidRPr="00B43213">
        <w:rPr>
          <w:noProof/>
        </w:rPr>
        <w:t xml:space="preserve"> și la articolul 16 din Regulamentul (UE) 2021/691.</w:t>
      </w:r>
    </w:p>
    <w:p w:rsidR="001A62D7" w:rsidRPr="00B43213" w:rsidRDefault="001A62D7" w:rsidP="009C50F6">
      <w:pPr>
        <w:pStyle w:val="ManualConsidrant"/>
        <w:rPr>
          <w:noProof/>
        </w:rPr>
      </w:pPr>
      <w:r>
        <w:rPr>
          <w:noProof/>
        </w:rPr>
        <w:t>(3)</w:t>
      </w:r>
      <w:r>
        <w:rPr>
          <w:noProof/>
        </w:rPr>
        <w:tab/>
      </w:r>
      <w:r w:rsidRPr="00B43213">
        <w:rPr>
          <w:noProof/>
        </w:rPr>
        <w:t xml:space="preserve">La 5 mai 2026, Finlanda a prezentat o cerere de mobilizare a FEG în conformitate cu articolul 8 alineatul (1) din Regulamentul (UE) 2021/691, în ceea ce privește lucrătorii disponibilizați la </w:t>
      </w:r>
      <w:r w:rsidRPr="00B43213">
        <w:rPr>
          <w:i/>
          <w:iCs/>
          <w:noProof/>
        </w:rPr>
        <w:t>Valmet Automotive</w:t>
      </w:r>
      <w:r w:rsidRPr="00B43213">
        <w:rPr>
          <w:noProof/>
        </w:rPr>
        <w:t xml:space="preserve"> și la un număr de 5 subcontractanți și furnizori din Finlanda. Cererea a fost completată cu informații suplimentare furnizate în conformitate cu articolul 8 alineatul (5) din Regulamentul (UE) 2021/691. Se consideră că cererea respectivă îndeplinește condițiile de acordare a unei contribuții financiare din FEG, astfel cum sunt prevăzute la articolul 13 din Regulamentul (UE) </w:t>
      </w:r>
      <w:r w:rsidRPr="00B43213">
        <w:rPr>
          <w:noProof/>
        </w:rPr>
        <w:lastRenderedPageBreak/>
        <w:t>2021/691, pe baza evaluării efectuate de Comisie în propunerea de decizie de mobilizare a Parlamentului European și a Consiliului</w:t>
      </w:r>
      <w:r w:rsidRPr="00B43213">
        <w:rPr>
          <w:rStyle w:val="FootnoteReference"/>
          <w:iCs/>
          <w:noProof/>
        </w:rPr>
        <w:footnoteReference w:id="24"/>
      </w:r>
      <w:r w:rsidRPr="00B43213">
        <w:rPr>
          <w:noProof/>
        </w:rPr>
        <w:t>.</w:t>
      </w:r>
    </w:p>
    <w:p w:rsidR="001A62D7" w:rsidRPr="00B43213" w:rsidRDefault="001A62D7" w:rsidP="009C50F6">
      <w:pPr>
        <w:pStyle w:val="ManualConsidrant"/>
        <w:rPr>
          <w:noProof/>
        </w:rPr>
      </w:pPr>
      <w:r>
        <w:rPr>
          <w:noProof/>
        </w:rPr>
        <w:t>(4)</w:t>
      </w:r>
      <w:r>
        <w:rPr>
          <w:noProof/>
        </w:rPr>
        <w:tab/>
      </w:r>
      <w:r w:rsidRPr="00B43213">
        <w:rPr>
          <w:noProof/>
        </w:rPr>
        <w:t>Prin urmare, este necesară mobilizarea FEG pentru a se furniza o contribuție financiară în valoare de 410 310 EUR ca urmare a cererii depuse de Finlanda.</w:t>
      </w:r>
    </w:p>
    <w:p w:rsidR="001A62D7" w:rsidRPr="00B43213" w:rsidRDefault="001A62D7" w:rsidP="009C50F6">
      <w:pPr>
        <w:pStyle w:val="ManualConsidrant"/>
        <w:rPr>
          <w:noProof/>
        </w:rPr>
      </w:pPr>
      <w:r>
        <w:rPr>
          <w:noProof/>
        </w:rPr>
        <w:t>(5)</w:t>
      </w:r>
      <w:r>
        <w:rPr>
          <w:noProof/>
        </w:rPr>
        <w:tab/>
      </w:r>
      <w:r w:rsidRPr="00B43213">
        <w:rPr>
          <w:noProof/>
        </w:rPr>
        <w:t>Pentru a se reduce la minimum timpul necesar pentru mobilizarea FEG, prezenta decizie trebuie să se aplice de la data adoptării,</w:t>
      </w:r>
    </w:p>
    <w:p w:rsidR="001A62D7" w:rsidRPr="00B43213" w:rsidRDefault="001A62D7" w:rsidP="001A62D7">
      <w:pPr>
        <w:pStyle w:val="Formuledadoption"/>
        <w:rPr>
          <w:noProof/>
        </w:rPr>
      </w:pPr>
      <w:r w:rsidRPr="00B43213">
        <w:rPr>
          <w:noProof/>
        </w:rPr>
        <w:t xml:space="preserve">ADOPTĂ PREZENTA DECIZIE: </w:t>
      </w:r>
    </w:p>
    <w:p w:rsidR="001A62D7" w:rsidRPr="00B43213" w:rsidRDefault="001A62D7" w:rsidP="001A62D7">
      <w:pPr>
        <w:pStyle w:val="Titrearticle"/>
        <w:rPr>
          <w:noProof/>
        </w:rPr>
      </w:pPr>
      <w:r w:rsidRPr="00B43213">
        <w:rPr>
          <w:noProof/>
        </w:rPr>
        <w:t>Articolul 1</w:t>
      </w:r>
    </w:p>
    <w:p w:rsidR="001A62D7" w:rsidRPr="00B43213" w:rsidRDefault="001A62D7" w:rsidP="001A62D7">
      <w:pPr>
        <w:rPr>
          <w:noProof/>
        </w:rPr>
      </w:pPr>
      <w:r w:rsidRPr="00B43213">
        <w:rPr>
          <w:noProof/>
        </w:rPr>
        <w:t>În cadrul bugetului general al Uniunii aferent exercițiului financiar 2026,  se mobilizează Fondul european de ajustare la globalizare pentru lucrătorii disponibilizați pentru a se furniza cuantumul de 410 310 EUR, sub formă de credite de angajament și credite de plată.</w:t>
      </w:r>
    </w:p>
    <w:p w:rsidR="001A62D7" w:rsidRPr="00B43213" w:rsidRDefault="001A62D7" w:rsidP="00EE0712">
      <w:pPr>
        <w:pStyle w:val="Titrearticle"/>
        <w:rPr>
          <w:noProof/>
        </w:rPr>
      </w:pPr>
      <w:r w:rsidRPr="00B43213">
        <w:rPr>
          <w:noProof/>
        </w:rPr>
        <w:t>Articolul 2</w:t>
      </w:r>
    </w:p>
    <w:p w:rsidR="001A62D7" w:rsidRPr="00B43213" w:rsidRDefault="001A62D7" w:rsidP="001A62D7">
      <w:pPr>
        <w:keepNext/>
        <w:keepLines/>
        <w:rPr>
          <w:noProof/>
        </w:rPr>
      </w:pPr>
      <w:r w:rsidRPr="00B43213">
        <w:rPr>
          <w:noProof/>
        </w:rPr>
        <w:t xml:space="preserve">Prezenta decizie intră în vigoare la data publicării în Jurnalul Oficial al Uniunii Europene. Prezenta decizie se aplică de la </w:t>
      </w:r>
      <w:r w:rsidRPr="00B43213">
        <w:rPr>
          <w:noProof/>
          <w:color w:val="FF0000"/>
        </w:rPr>
        <w:t>[</w:t>
      </w:r>
      <w:r w:rsidRPr="00B43213">
        <w:rPr>
          <w:i/>
          <w:noProof/>
          <w:color w:val="FF0000"/>
        </w:rPr>
        <w:t>data adoptării</w:t>
      </w:r>
      <w:r w:rsidRPr="00B43213">
        <w:rPr>
          <w:noProof/>
          <w:color w:val="FF0000"/>
        </w:rPr>
        <w:t>]</w:t>
      </w:r>
      <w:r w:rsidRPr="00B43213">
        <w:rPr>
          <w:rStyle w:val="FootnoteReference"/>
          <w:noProof/>
          <w:color w:val="FF0000"/>
        </w:rPr>
        <w:footnoteReference w:customMarkFollows="1" w:id="25"/>
        <w:t>*</w:t>
      </w:r>
      <w:r w:rsidRPr="00B43213">
        <w:rPr>
          <w:noProof/>
        </w:rPr>
        <w:t xml:space="preserve">. </w:t>
      </w:r>
    </w:p>
    <w:p w:rsidR="001A62D7" w:rsidRPr="00B43213" w:rsidRDefault="00B43213" w:rsidP="00EE0712">
      <w:pPr>
        <w:pStyle w:val="Fait"/>
        <w:rPr>
          <w:noProof/>
        </w:rPr>
      </w:pPr>
      <w:r>
        <w:rPr>
          <w:noProof/>
        </w:rPr>
        <w:t>Adoptată la Bruxelles,</w:t>
      </w:r>
    </w:p>
    <w:p w:rsidR="001A62D7" w:rsidRPr="00B43213" w:rsidRDefault="001A62D7" w:rsidP="00EE0712">
      <w:pPr>
        <w:pStyle w:val="Institutionquisigne"/>
        <w:rPr>
          <w:noProof/>
        </w:rPr>
      </w:pPr>
      <w:r w:rsidRPr="00B43213">
        <w:rPr>
          <w:noProof/>
        </w:rPr>
        <w:t>Pentru Parlamentul European</w:t>
      </w:r>
      <w:r w:rsidRPr="00B43213">
        <w:rPr>
          <w:noProof/>
        </w:rPr>
        <w:tab/>
        <w:t>Pentru Consiliu</w:t>
      </w:r>
    </w:p>
    <w:p w:rsidR="001A62D7" w:rsidRPr="00B43213" w:rsidRDefault="001A62D7" w:rsidP="001A62D7">
      <w:pPr>
        <w:pStyle w:val="Personnequisigne"/>
        <w:rPr>
          <w:noProof/>
        </w:rPr>
      </w:pPr>
      <w:r w:rsidRPr="00B43213">
        <w:rPr>
          <w:noProof/>
        </w:rPr>
        <w:t>Președinta</w:t>
      </w:r>
      <w:r w:rsidRPr="00B43213">
        <w:rPr>
          <w:noProof/>
        </w:rPr>
        <w:tab/>
        <w:t xml:space="preserve">Președinta </w:t>
      </w:r>
      <w:r w:rsidRPr="00B43213">
        <w:rPr>
          <w:noProof/>
        </w:rPr>
        <w:br/>
      </w:r>
    </w:p>
    <w:sectPr w:rsidR="001A62D7" w:rsidRPr="00B43213" w:rsidSect="006733F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63C3" w:rsidRDefault="00CE63C3" w:rsidP="001A62D7">
      <w:pPr>
        <w:spacing w:before="0" w:after="0"/>
      </w:pPr>
      <w:r>
        <w:separator/>
      </w:r>
    </w:p>
  </w:endnote>
  <w:endnote w:type="continuationSeparator" w:id="0">
    <w:p w:rsidR="00CE63C3" w:rsidRDefault="00CE63C3" w:rsidP="001A62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3F2" w:rsidRPr="006733F2" w:rsidRDefault="006733F2" w:rsidP="006733F2">
    <w:pPr>
      <w:pStyle w:val="Footer"/>
      <w:rPr>
        <w:rFonts w:ascii="Arial" w:hAnsi="Arial" w:cs="Arial"/>
        <w:b/>
        <w:sz w:val="48"/>
      </w:rPr>
    </w:pPr>
    <w:r w:rsidRPr="006733F2">
      <w:rPr>
        <w:rFonts w:ascii="Arial" w:hAnsi="Arial" w:cs="Arial"/>
        <w:b/>
        <w:sz w:val="48"/>
      </w:rPr>
      <w:t>RO</w:t>
    </w:r>
    <w:r w:rsidRPr="006733F2">
      <w:rPr>
        <w:rFonts w:ascii="Arial" w:hAnsi="Arial" w:cs="Arial"/>
        <w:b/>
        <w:sz w:val="48"/>
      </w:rPr>
      <w:tab/>
    </w:r>
    <w:r w:rsidRPr="006733F2">
      <w:rPr>
        <w:rFonts w:ascii="Arial" w:hAnsi="Arial" w:cs="Arial"/>
        <w:b/>
        <w:sz w:val="48"/>
      </w:rPr>
      <w:tab/>
    </w:r>
    <w:r w:rsidRPr="006733F2">
      <w:tab/>
    </w:r>
    <w:r w:rsidRPr="006733F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3F2" w:rsidRPr="006733F2" w:rsidRDefault="006733F2" w:rsidP="006733F2">
    <w:pPr>
      <w:pStyle w:val="Footer"/>
      <w:rPr>
        <w:rFonts w:ascii="Arial" w:hAnsi="Arial" w:cs="Arial"/>
        <w:b/>
        <w:sz w:val="48"/>
      </w:rPr>
    </w:pPr>
    <w:r w:rsidRPr="006733F2">
      <w:rPr>
        <w:rFonts w:ascii="Arial" w:hAnsi="Arial" w:cs="Arial"/>
        <w:b/>
        <w:sz w:val="48"/>
      </w:rPr>
      <w:t>RO</w:t>
    </w:r>
    <w:r w:rsidRPr="006733F2">
      <w:rPr>
        <w:rFonts w:ascii="Arial" w:hAnsi="Arial" w:cs="Arial"/>
        <w:b/>
        <w:sz w:val="48"/>
      </w:rPr>
      <w:tab/>
    </w:r>
    <w:r w:rsidRPr="006733F2">
      <w:rPr>
        <w:rFonts w:ascii="Arial" w:hAnsi="Arial" w:cs="Arial"/>
        <w:b/>
        <w:sz w:val="48"/>
      </w:rPr>
      <w:tab/>
    </w:r>
    <w:r w:rsidRPr="006733F2">
      <w:tab/>
    </w:r>
    <w:r w:rsidRPr="006733F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3F2" w:rsidRDefault="006733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3F2" w:rsidRPr="006733F2" w:rsidRDefault="006733F2" w:rsidP="006733F2">
    <w:pPr>
      <w:pStyle w:val="Footer"/>
      <w:rPr>
        <w:rFonts w:ascii="Arial" w:hAnsi="Arial" w:cs="Arial"/>
        <w:b/>
        <w:sz w:val="48"/>
      </w:rPr>
    </w:pPr>
    <w:r w:rsidRPr="006733F2">
      <w:rPr>
        <w:rFonts w:ascii="Arial" w:hAnsi="Arial" w:cs="Arial"/>
        <w:b/>
        <w:sz w:val="48"/>
      </w:rPr>
      <w:t>RO</w:t>
    </w:r>
    <w:r w:rsidRPr="006733F2">
      <w:rPr>
        <w:rFonts w:ascii="Arial" w:hAnsi="Arial" w:cs="Arial"/>
        <w:b/>
        <w:sz w:val="48"/>
      </w:rPr>
      <w:tab/>
    </w:r>
    <w:r>
      <w:fldChar w:fldCharType="begin"/>
    </w:r>
    <w:r>
      <w:instrText xml:space="preserve"> PAGE  \* MERGEFORMAT </w:instrText>
    </w:r>
    <w:r>
      <w:fldChar w:fldCharType="separate"/>
    </w:r>
    <w:r w:rsidR="00EE0712">
      <w:rPr>
        <w:noProof/>
      </w:rPr>
      <w:t>12</w:t>
    </w:r>
    <w:r>
      <w:fldChar w:fldCharType="end"/>
    </w:r>
    <w:r>
      <w:tab/>
    </w:r>
    <w:r w:rsidRPr="006733F2">
      <w:tab/>
    </w:r>
    <w:r w:rsidRPr="006733F2">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3F2" w:rsidRDefault="006733F2" w:rsidP="006733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63C3" w:rsidRDefault="00CE63C3" w:rsidP="001A62D7">
      <w:pPr>
        <w:spacing w:before="0" w:after="0"/>
      </w:pPr>
      <w:r>
        <w:separator/>
      </w:r>
    </w:p>
  </w:footnote>
  <w:footnote w:type="continuationSeparator" w:id="0">
    <w:p w:rsidR="00CE63C3" w:rsidRDefault="00CE63C3" w:rsidP="001A62D7">
      <w:pPr>
        <w:spacing w:before="0" w:after="0"/>
      </w:pPr>
      <w:r>
        <w:continuationSeparator/>
      </w:r>
    </w:p>
  </w:footnote>
  <w:footnote w:id="1">
    <w:p w:rsidR="00D04DD1" w:rsidRPr="00517E70" w:rsidRDefault="00D04DD1" w:rsidP="00517E70">
      <w:pPr>
        <w:pStyle w:val="FootnoteText"/>
        <w:tabs>
          <w:tab w:val="left" w:pos="720"/>
          <w:tab w:val="left" w:pos="1440"/>
          <w:tab w:val="left" w:pos="2160"/>
          <w:tab w:val="left" w:pos="2880"/>
        </w:tabs>
      </w:pPr>
      <w:r>
        <w:rPr>
          <w:rStyle w:val="FootnoteReference"/>
        </w:rPr>
        <w:footnoteRef/>
      </w:r>
      <w:r>
        <w:tab/>
        <w:t>JO L 153, 3.5.2021, p. 48, ,</w:t>
      </w:r>
      <w:r>
        <w:rPr>
          <w:sz w:val="24"/>
        </w:rPr>
        <w:t xml:space="preserve"> </w:t>
      </w:r>
      <w:r>
        <w:t xml:space="preserve">ELI: http://data.europa.eu/eli/reg/2021/691/oj. </w:t>
      </w:r>
    </w:p>
  </w:footnote>
  <w:footnote w:id="2">
    <w:p w:rsidR="00D04DD1" w:rsidRPr="002156AF" w:rsidRDefault="00D04DD1">
      <w:pPr>
        <w:pStyle w:val="FootnoteText"/>
      </w:pPr>
      <w:r>
        <w:rPr>
          <w:rStyle w:val="FootnoteReference"/>
        </w:rPr>
        <w:footnoteRef/>
      </w:r>
      <w:r>
        <w:tab/>
        <w:t>Regulamentul Delegat (UE) 2019/1755 al Comisiei din 8 august 2019 de modificare a anexelor la Regulamentul (CE) nr. 1059/2003 al Parlamentului European și al Consiliului privind instituirea unui nomenclator comun al unităților teritoriale de statistică (NUTS). JO L 270, 24.10.2019, p. 1-56.</w:t>
      </w:r>
    </w:p>
  </w:footnote>
  <w:footnote w:id="3">
    <w:p w:rsidR="003E37DE" w:rsidRPr="003E37DE" w:rsidRDefault="003E37DE" w:rsidP="003E37DE">
      <w:pPr>
        <w:pStyle w:val="FootnoteText"/>
      </w:pPr>
      <w:r>
        <w:rPr>
          <w:rStyle w:val="FootnoteReference"/>
        </w:rPr>
        <w:footnoteRef/>
      </w:r>
      <w:r>
        <w:tab/>
        <w:t>Disponibilizările au avut loc în cursul perioadei de referință la întreprinderea principală și la un furnizor, iar în afara perioadei de referință, la patru subcontractanți.</w:t>
      </w:r>
    </w:p>
  </w:footnote>
  <w:footnote w:id="4">
    <w:p w:rsidR="00D04DD1" w:rsidRPr="002156AF" w:rsidRDefault="00D04DD1">
      <w:pPr>
        <w:pStyle w:val="FootnoteText"/>
      </w:pPr>
      <w:r>
        <w:rPr>
          <w:rStyle w:val="FootnoteReference"/>
        </w:rPr>
        <w:footnoteRef/>
      </w:r>
      <w:r>
        <w:tab/>
        <w:t>JO L 393, 30.12.2006, p. 1.</w:t>
      </w:r>
    </w:p>
  </w:footnote>
  <w:footnote w:id="5">
    <w:p w:rsidR="00B45769" w:rsidRPr="00B45769" w:rsidRDefault="00B45769">
      <w:pPr>
        <w:pStyle w:val="FootnoteText"/>
      </w:pPr>
      <w:r>
        <w:rPr>
          <w:rStyle w:val="FootnoteReference"/>
        </w:rPr>
        <w:footnoteRef/>
      </w:r>
      <w:r>
        <w:tab/>
        <w:t>În conformitate cu articolul 7 alineatul (5) din Regulamentul (UE) 2021/691.</w:t>
      </w:r>
    </w:p>
  </w:footnote>
  <w:footnote w:id="6">
    <w:p w:rsidR="005E6A35" w:rsidRPr="00567057" w:rsidRDefault="005E6A35">
      <w:pPr>
        <w:pStyle w:val="FootnoteText"/>
      </w:pPr>
      <w:r>
        <w:rPr>
          <w:rStyle w:val="FootnoteReference"/>
        </w:rPr>
        <w:footnoteRef/>
      </w:r>
      <w:r>
        <w:tab/>
        <w:t xml:space="preserve">Ziarul </w:t>
      </w:r>
      <w:r>
        <w:rPr>
          <w:i/>
          <w:iCs/>
        </w:rPr>
        <w:t>Turun Sanomat</w:t>
      </w:r>
      <w:r>
        <w:t xml:space="preserve"> 12.11.2025.</w:t>
      </w:r>
    </w:p>
  </w:footnote>
  <w:footnote w:id="7">
    <w:p w:rsidR="00567057" w:rsidRPr="00567057" w:rsidRDefault="00567057" w:rsidP="00567057">
      <w:pPr>
        <w:pStyle w:val="FootnoteText"/>
        <w:jc w:val="left"/>
      </w:pPr>
      <w:r>
        <w:rPr>
          <w:rStyle w:val="FootnoteReference"/>
        </w:rPr>
        <w:footnoteRef/>
      </w:r>
      <w:r>
        <w:tab/>
        <w:t xml:space="preserve">Oficiul de Statistică al Finlandei: </w:t>
      </w:r>
      <w:hyperlink r:id="rId1" w:history="1">
        <w:r>
          <w:rPr>
            <w:rStyle w:val="Hyperlink"/>
          </w:rPr>
          <w:t xml:space="preserve">Työttömien työnhakijoiden osuus työvoimasta kk:n lopussa </w:t>
        </w:r>
      </w:hyperlink>
      <w:r>
        <w:t xml:space="preserve"> </w:t>
      </w:r>
    </w:p>
  </w:footnote>
  <w:footnote w:id="8">
    <w:p w:rsidR="00EC37C0" w:rsidRPr="000A75B9" w:rsidRDefault="00EC37C0" w:rsidP="00EC37C0">
      <w:pPr>
        <w:pStyle w:val="FootnoteText"/>
      </w:pPr>
      <w:r>
        <w:rPr>
          <w:rStyle w:val="FootnoteReference"/>
        </w:rPr>
        <w:footnoteRef/>
      </w:r>
      <w:r>
        <w:tab/>
        <w:t xml:space="preserve">Oficiul de Statistică al Finlandei: </w:t>
      </w:r>
      <w:hyperlink r:id="rId2" w:history="1">
        <w:r>
          <w:rPr>
            <w:rStyle w:val="Hyperlink"/>
          </w:rPr>
          <w:t>Alle 25-vuotiaiden työttömien työnhakijoiden osuus alle 25-vuotiaasta työvoimasta</w:t>
        </w:r>
      </w:hyperlink>
    </w:p>
  </w:footnote>
  <w:footnote w:id="9">
    <w:p w:rsidR="000D3622" w:rsidRPr="000D3622" w:rsidRDefault="000D3622">
      <w:pPr>
        <w:pStyle w:val="FootnoteText"/>
      </w:pPr>
      <w:r>
        <w:rPr>
          <w:rStyle w:val="FootnoteReference"/>
        </w:rPr>
        <w:footnoteRef/>
      </w:r>
      <w:r>
        <w:tab/>
        <w:t xml:space="preserve">Oficiul de Statistică al Finlandei: </w:t>
      </w:r>
      <w:hyperlink r:id="rId3" w:history="1">
        <w:r>
          <w:rPr>
            <w:rStyle w:val="Hyperlink"/>
          </w:rPr>
          <w:t>Työnvälitystilasto</w:t>
        </w:r>
      </w:hyperlink>
      <w:r>
        <w:t xml:space="preserve"> </w:t>
      </w:r>
    </w:p>
  </w:footnote>
  <w:footnote w:id="10">
    <w:p w:rsidR="00C52717" w:rsidRPr="00C52717" w:rsidRDefault="00C52717">
      <w:pPr>
        <w:pStyle w:val="FootnoteText"/>
      </w:pPr>
      <w:r>
        <w:rPr>
          <w:rStyle w:val="FootnoteReference"/>
        </w:rPr>
        <w:footnoteRef/>
      </w:r>
      <w:r>
        <w:tab/>
        <w:t xml:space="preserve">Oficiul de Statistică al Finlandei: </w:t>
      </w:r>
      <w:hyperlink r:id="rId4" w:history="1">
        <w:r>
          <w:rPr>
            <w:rStyle w:val="Hyperlink"/>
          </w:rPr>
          <w:t xml:space="preserve">Työnvälitystilasto </w:t>
        </w:r>
      </w:hyperlink>
    </w:p>
  </w:footnote>
  <w:footnote w:id="11">
    <w:p w:rsidR="00FA4425" w:rsidRPr="004434AB" w:rsidRDefault="00FA4425" w:rsidP="00FA4425">
      <w:pPr>
        <w:pStyle w:val="FootnoteText"/>
      </w:pPr>
      <w:r>
        <w:rPr>
          <w:rStyle w:val="FootnoteReference"/>
        </w:rPr>
        <w:footnoteRef/>
      </w:r>
      <w:r>
        <w:tab/>
        <w:t xml:space="preserve">Oficiul de Statistică al Finlandei: </w:t>
      </w:r>
      <w:hyperlink r:id="rId5" w:history="1">
        <w:r>
          <w:rPr>
            <w:rStyle w:val="Hyperlink"/>
          </w:rPr>
          <w:t>Työnvälitystilasto</w:t>
        </w:r>
      </w:hyperlink>
      <w:r>
        <w:t xml:space="preserve"> </w:t>
      </w:r>
    </w:p>
  </w:footnote>
  <w:footnote w:id="12">
    <w:p w:rsidR="00B45769" w:rsidRPr="004434AB" w:rsidRDefault="00B45769">
      <w:pPr>
        <w:pStyle w:val="FootnoteText"/>
      </w:pPr>
      <w:r>
        <w:rPr>
          <w:rStyle w:val="FootnoteReference"/>
        </w:rPr>
        <w:footnoteRef/>
      </w:r>
      <w:r>
        <w:tab/>
        <w:t>ISCED 0-2</w:t>
      </w:r>
    </w:p>
  </w:footnote>
  <w:footnote w:id="13">
    <w:p w:rsidR="00B45769" w:rsidRPr="00B45769" w:rsidRDefault="00B45769">
      <w:pPr>
        <w:pStyle w:val="FootnoteText"/>
      </w:pPr>
      <w:r>
        <w:rPr>
          <w:rStyle w:val="FootnoteReference"/>
        </w:rPr>
        <w:footnoteRef/>
      </w:r>
      <w:r>
        <w:tab/>
        <w:t>ISCED 3</w:t>
      </w:r>
    </w:p>
  </w:footnote>
  <w:footnote w:id="14">
    <w:p w:rsidR="00B45769" w:rsidRPr="00B45769" w:rsidRDefault="00B45769">
      <w:pPr>
        <w:pStyle w:val="FootnoteText"/>
      </w:pPr>
      <w:r>
        <w:rPr>
          <w:rStyle w:val="FootnoteReference"/>
        </w:rPr>
        <w:footnoteRef/>
      </w:r>
      <w:r>
        <w:tab/>
        <w:t>ISCED 4</w:t>
      </w:r>
    </w:p>
  </w:footnote>
  <w:footnote w:id="15">
    <w:p w:rsidR="00B45769" w:rsidRPr="00B45769" w:rsidRDefault="00B45769">
      <w:pPr>
        <w:pStyle w:val="FootnoteText"/>
      </w:pPr>
      <w:r>
        <w:rPr>
          <w:rStyle w:val="FootnoteReference"/>
        </w:rPr>
        <w:footnoteRef/>
      </w:r>
      <w:r>
        <w:tab/>
        <w:t>ISCED 5-8</w:t>
      </w:r>
    </w:p>
  </w:footnote>
  <w:footnote w:id="16">
    <w:p w:rsidR="001A62D7" w:rsidRPr="00A31F0E" w:rsidRDefault="001A62D7" w:rsidP="001A62D7">
      <w:pPr>
        <w:pStyle w:val="FootnoteText"/>
      </w:pPr>
      <w:r>
        <w:rPr>
          <w:rStyle w:val="FootnoteReference"/>
        </w:rPr>
        <w:footnoteRef/>
      </w:r>
      <w:r>
        <w:tab/>
        <w:t>Pentru a se evita zecimalele, costurile estimate per lucrător au fost rotunjite. Cu toate acestea, rotunjirile nu au niciun impact asupra costului total al fiecărei măsuri, care rămâne neschimbat față de cel indicat în cererea prezentată de Finlanda .</w:t>
      </w:r>
    </w:p>
  </w:footnote>
  <w:footnote w:id="17">
    <w:p w:rsidR="001A62D7" w:rsidRPr="00B92FDB" w:rsidRDefault="001A62D7" w:rsidP="001A62D7">
      <w:pPr>
        <w:pStyle w:val="FootnoteText"/>
      </w:pPr>
      <w:r>
        <w:rPr>
          <w:rStyle w:val="FootnoteReference"/>
        </w:rPr>
        <w:footnoteRef/>
      </w:r>
      <w:r>
        <w:tab/>
        <w:t>Totalurile nu corespund exact din cauza rotunjirilor.</w:t>
      </w:r>
    </w:p>
  </w:footnote>
  <w:footnote w:id="18">
    <w:p w:rsidR="001A62D7" w:rsidRDefault="001A62D7" w:rsidP="001A62D7">
      <w:pPr>
        <w:pStyle w:val="FootnoteText"/>
      </w:pPr>
      <w:r>
        <w:rPr>
          <w:rStyle w:val="FootnoteReference"/>
        </w:rPr>
        <w:footnoteRef/>
      </w:r>
      <w:r>
        <w:tab/>
        <w:t xml:space="preserve">JO L 433 I, 22.12.2020, p. 11, ELI: http://data.europa.eu/eli/reg/2020/2093/oj. </w:t>
      </w:r>
    </w:p>
  </w:footnote>
  <w:footnote w:id="19">
    <w:p w:rsidR="001A62D7" w:rsidRDefault="001A62D7" w:rsidP="001A62D7">
      <w:pPr>
        <w:pStyle w:val="FootnoteText"/>
      </w:pPr>
      <w:r>
        <w:rPr>
          <w:rStyle w:val="FootnoteReference"/>
        </w:rPr>
        <w:footnoteRef/>
      </w:r>
      <w:r>
        <w:tab/>
        <w:t xml:space="preserve">JO L 433 I, 22.12.2020, p. 28, ELI: http://data.europa.eu/eli/agree_interinstit/2020/1222/oj. </w:t>
      </w:r>
    </w:p>
  </w:footnote>
  <w:footnote w:id="20">
    <w:p w:rsidR="001A62D7" w:rsidRPr="00E76684" w:rsidRDefault="001A62D7" w:rsidP="001A62D7">
      <w:pPr>
        <w:pStyle w:val="FootnoteText"/>
      </w:pPr>
      <w:r>
        <w:rPr>
          <w:rStyle w:val="FootnoteReference"/>
        </w:rPr>
        <w:footnoteRef/>
      </w:r>
      <w:r>
        <w:tab/>
        <w:t xml:space="preserve">Regulamentul (UE, Euratom) 2024/2509 al Parlamentului European și al Consiliului din 23 septembrie 2024 privind normele financiare aplicabile bugetului general al Uniunii (reformare) JO L, 2024/2509, 26.9.2024, ELI: http://data.europa.eu/eli/reg/2024/2509/oj. </w:t>
      </w:r>
    </w:p>
  </w:footnote>
  <w:footnote w:id="21">
    <w:p w:rsidR="001A62D7" w:rsidRDefault="001A62D7" w:rsidP="001A62D7">
      <w:pPr>
        <w:pStyle w:val="FootnoteText"/>
      </w:pPr>
      <w:r>
        <w:rPr>
          <w:rStyle w:val="FootnoteReference"/>
        </w:rPr>
        <w:footnoteRef/>
      </w:r>
      <w:r>
        <w:tab/>
        <w:t xml:space="preserve">JO L 153, 3.5.2021, p. 48, ELI: http://data.europa.eu/eli/reg/2021/691/oj. </w:t>
      </w:r>
    </w:p>
  </w:footnote>
  <w:footnote w:id="22">
    <w:p w:rsidR="001A62D7" w:rsidRPr="00837D49" w:rsidRDefault="001A62D7" w:rsidP="001A62D7">
      <w:pPr>
        <w:pStyle w:val="FootnoteText"/>
      </w:pPr>
      <w:r>
        <w:rPr>
          <w:rStyle w:val="FootnoteReference"/>
        </w:rPr>
        <w:footnoteRef/>
      </w:r>
      <w:r>
        <w:tab/>
        <w:t xml:space="preserve">JO L 433 I, 22.12.2020, p. 28, ELI: http://data.europa.eu/eli/agree_interinstit/2020/1222/oj. </w:t>
      </w:r>
    </w:p>
  </w:footnote>
  <w:footnote w:id="23">
    <w:p w:rsidR="001A62D7" w:rsidRPr="009F7C73" w:rsidRDefault="001A62D7" w:rsidP="001A62D7">
      <w:pPr>
        <w:pStyle w:val="FootnoteText"/>
      </w:pPr>
      <w:r>
        <w:rPr>
          <w:rStyle w:val="FootnoteReference"/>
        </w:rPr>
        <w:footnoteRef/>
      </w:r>
      <w:r>
        <w:tab/>
        <w:t>Regulamentul (UE, Euratom) 2020/2093 al Consiliului din 17 decembrie 2020 de stabilire a cadrului financiar multianual pentru perioada 2021-2027 (JO L 433 I, 22.12.2020, p. 11, ELI: http://data.europa.eu/eli/reg/2020/2093/oj).</w:t>
      </w:r>
    </w:p>
  </w:footnote>
  <w:footnote w:id="24">
    <w:p w:rsidR="001A62D7" w:rsidRPr="009D6A18" w:rsidRDefault="001A62D7" w:rsidP="001A62D7">
      <w:pPr>
        <w:pStyle w:val="FootnoteText"/>
      </w:pPr>
      <w:r>
        <w:rPr>
          <w:rStyle w:val="FootnoteReference"/>
        </w:rPr>
        <w:footnoteRef/>
      </w:r>
      <w:r>
        <w:tab/>
        <w:t>COM (2026) 400</w:t>
      </w:r>
    </w:p>
  </w:footnote>
  <w:footnote w:id="25">
    <w:p w:rsidR="00EC0935" w:rsidRPr="0048027E" w:rsidRDefault="00EC0935" w:rsidP="00EC0935">
      <w:pPr>
        <w:pStyle w:val="FootnoteText"/>
      </w:pPr>
      <w:r>
        <w:rPr>
          <w:rStyle w:val="FootnoteReference"/>
        </w:rPr>
        <w:t>*</w:t>
      </w:r>
      <w:r>
        <w:tab/>
      </w:r>
      <w:r>
        <w:rPr>
          <w:color w:val="FF0000"/>
        </w:rPr>
        <w:t>Data urmează a fi introdusă de Parlament înainte de publicarea în JO.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3F2" w:rsidRDefault="006733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3F2" w:rsidRDefault="006733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12"/>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1 18:04:2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767765E-F5B3-48CF-A854-F8F50FBF4766"/>
    <w:docVar w:name="LW_COVERPAGE_TYPE" w:val="1"/>
    <w:docVar w:name="LW_CreatedUtc" w:val="2025-02-03T12:09:04.7855178Z"/>
    <w:docVar w:name="LW_CROSSREFERENCE" w:val="&lt;UNUSED&gt;"/>
    <w:docVar w:name="LW_DocType" w:val="COM"/>
    <w:docVar w:name="LW_EMISSION" w:val="24.7.2026"/>
    <w:docVar w:name="LW_EMISSION_ISODATE" w:val="2026-07-24"/>
    <w:docVar w:name="LW_EMISSION_LOCATION" w:val="BRX"/>
    <w:docVar w:name="LW_EMISSION_PREFIX" w:val="Bruxelle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BUD"/>
    <w:docVar w:name="LW_REF.II.NEW.CP_NUMBER" w:val="0220"/>
    <w:docVar w:name="LW_REF.II.NEW.CP_YEAR" w:val="2026"/>
    <w:docVar w:name="LW_REF.INST.NEW" w:val="COM"/>
    <w:docVar w:name="LW_REF.INST.NEW_ADOPTED" w:val="final"/>
    <w:docVar w:name="LW_REF.INST.NEW_TEXT" w:val="(2026) 40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mobilizarea Fondului european de ajustare la globalizare pentru lucr\u259?torii disponibiliza\u539?i în urma unei cereri din partea Finlandei \u8211? EGF/2026/003 FI/Valmet Automotive"/>
    <w:docVar w:name="LW_TYPE.DOC.CP" w:val="DECIZIE A PARLAMENTULUI EUROPEAN \u536?I A CONSILIULUI"/>
    <w:docVar w:name="LwApiVersions" w:val="LW4CoDe 1.24.5.0; LW 9.2, Build 20251112"/>
  </w:docVars>
  <w:rsids>
    <w:rsidRoot w:val="001A62D7"/>
    <w:rsid w:val="00004EB3"/>
    <w:rsid w:val="000125BE"/>
    <w:rsid w:val="00023F90"/>
    <w:rsid w:val="00024087"/>
    <w:rsid w:val="000269AE"/>
    <w:rsid w:val="00030AE7"/>
    <w:rsid w:val="00051AD2"/>
    <w:rsid w:val="00053DDE"/>
    <w:rsid w:val="00054608"/>
    <w:rsid w:val="00054BC8"/>
    <w:rsid w:val="00057812"/>
    <w:rsid w:val="000609C3"/>
    <w:rsid w:val="00061791"/>
    <w:rsid w:val="00067E6D"/>
    <w:rsid w:val="00070B81"/>
    <w:rsid w:val="00072208"/>
    <w:rsid w:val="00076604"/>
    <w:rsid w:val="000A20E1"/>
    <w:rsid w:val="000A75B9"/>
    <w:rsid w:val="000B1FE1"/>
    <w:rsid w:val="000B44A2"/>
    <w:rsid w:val="000B4824"/>
    <w:rsid w:val="000B7C62"/>
    <w:rsid w:val="000C7F45"/>
    <w:rsid w:val="000D1507"/>
    <w:rsid w:val="000D3622"/>
    <w:rsid w:val="000D734A"/>
    <w:rsid w:val="000E18E5"/>
    <w:rsid w:val="000E1A08"/>
    <w:rsid w:val="000E28CA"/>
    <w:rsid w:val="000E7A0D"/>
    <w:rsid w:val="000F2ECE"/>
    <w:rsid w:val="000F3FBB"/>
    <w:rsid w:val="000F601E"/>
    <w:rsid w:val="001065F5"/>
    <w:rsid w:val="00113B50"/>
    <w:rsid w:val="00121B5E"/>
    <w:rsid w:val="001238EF"/>
    <w:rsid w:val="00125A6E"/>
    <w:rsid w:val="00130162"/>
    <w:rsid w:val="00137920"/>
    <w:rsid w:val="001425E8"/>
    <w:rsid w:val="00147C69"/>
    <w:rsid w:val="001501F1"/>
    <w:rsid w:val="00160671"/>
    <w:rsid w:val="001635F4"/>
    <w:rsid w:val="0016531C"/>
    <w:rsid w:val="0016558E"/>
    <w:rsid w:val="0016637D"/>
    <w:rsid w:val="00173D49"/>
    <w:rsid w:val="00175BF1"/>
    <w:rsid w:val="001765F3"/>
    <w:rsid w:val="00181DB4"/>
    <w:rsid w:val="00184ABC"/>
    <w:rsid w:val="00192631"/>
    <w:rsid w:val="00194F20"/>
    <w:rsid w:val="0019602D"/>
    <w:rsid w:val="00197613"/>
    <w:rsid w:val="001A0466"/>
    <w:rsid w:val="001A35CA"/>
    <w:rsid w:val="001A62D7"/>
    <w:rsid w:val="001B1932"/>
    <w:rsid w:val="001B2E14"/>
    <w:rsid w:val="001B6735"/>
    <w:rsid w:val="001B771C"/>
    <w:rsid w:val="001C0746"/>
    <w:rsid w:val="001C5556"/>
    <w:rsid w:val="001C6959"/>
    <w:rsid w:val="001D2C71"/>
    <w:rsid w:val="001D5BFF"/>
    <w:rsid w:val="001E1AFF"/>
    <w:rsid w:val="001E1B79"/>
    <w:rsid w:val="00204907"/>
    <w:rsid w:val="00206E7F"/>
    <w:rsid w:val="00211138"/>
    <w:rsid w:val="002156AF"/>
    <w:rsid w:val="00225C7B"/>
    <w:rsid w:val="002322CE"/>
    <w:rsid w:val="00233DC7"/>
    <w:rsid w:val="002344E7"/>
    <w:rsid w:val="00241A60"/>
    <w:rsid w:val="00247779"/>
    <w:rsid w:val="00261F2A"/>
    <w:rsid w:val="00266CE5"/>
    <w:rsid w:val="00274D6E"/>
    <w:rsid w:val="002826E9"/>
    <w:rsid w:val="00285BEE"/>
    <w:rsid w:val="0029533F"/>
    <w:rsid w:val="00297D5D"/>
    <w:rsid w:val="002A057B"/>
    <w:rsid w:val="002A22AB"/>
    <w:rsid w:val="002B30AF"/>
    <w:rsid w:val="002C22A1"/>
    <w:rsid w:val="002C32FA"/>
    <w:rsid w:val="002C4437"/>
    <w:rsid w:val="002C4839"/>
    <w:rsid w:val="002C7E98"/>
    <w:rsid w:val="002D5A3B"/>
    <w:rsid w:val="002F24C0"/>
    <w:rsid w:val="002F3C4B"/>
    <w:rsid w:val="002F6AC0"/>
    <w:rsid w:val="002F6ED0"/>
    <w:rsid w:val="00300D14"/>
    <w:rsid w:val="003038E0"/>
    <w:rsid w:val="00314A5F"/>
    <w:rsid w:val="00324478"/>
    <w:rsid w:val="00330C89"/>
    <w:rsid w:val="00331700"/>
    <w:rsid w:val="0033344A"/>
    <w:rsid w:val="00337D9F"/>
    <w:rsid w:val="00343014"/>
    <w:rsid w:val="00344B82"/>
    <w:rsid w:val="00346CC8"/>
    <w:rsid w:val="00346FE2"/>
    <w:rsid w:val="00353D58"/>
    <w:rsid w:val="0036303C"/>
    <w:rsid w:val="0036684B"/>
    <w:rsid w:val="00370469"/>
    <w:rsid w:val="00373CEB"/>
    <w:rsid w:val="00391E94"/>
    <w:rsid w:val="003A0B2C"/>
    <w:rsid w:val="003A4EE2"/>
    <w:rsid w:val="003B342B"/>
    <w:rsid w:val="003B4A79"/>
    <w:rsid w:val="003D0A5F"/>
    <w:rsid w:val="003D19FA"/>
    <w:rsid w:val="003D261D"/>
    <w:rsid w:val="003D5C86"/>
    <w:rsid w:val="003E20C4"/>
    <w:rsid w:val="003E37DE"/>
    <w:rsid w:val="003E3B3A"/>
    <w:rsid w:val="003E6EDD"/>
    <w:rsid w:val="003F60EF"/>
    <w:rsid w:val="003F6FCC"/>
    <w:rsid w:val="0041603A"/>
    <w:rsid w:val="004223ED"/>
    <w:rsid w:val="00424C7A"/>
    <w:rsid w:val="0042648E"/>
    <w:rsid w:val="004302CE"/>
    <w:rsid w:val="0043146A"/>
    <w:rsid w:val="00432671"/>
    <w:rsid w:val="00434E5B"/>
    <w:rsid w:val="00437F72"/>
    <w:rsid w:val="004434AB"/>
    <w:rsid w:val="00443B2E"/>
    <w:rsid w:val="0044569F"/>
    <w:rsid w:val="00447FE9"/>
    <w:rsid w:val="00464552"/>
    <w:rsid w:val="00467D58"/>
    <w:rsid w:val="00472D66"/>
    <w:rsid w:val="00477AB6"/>
    <w:rsid w:val="00482025"/>
    <w:rsid w:val="00492DDE"/>
    <w:rsid w:val="004936D2"/>
    <w:rsid w:val="004A18A9"/>
    <w:rsid w:val="004A1FDA"/>
    <w:rsid w:val="004A22F7"/>
    <w:rsid w:val="004A7C1A"/>
    <w:rsid w:val="004B6215"/>
    <w:rsid w:val="004C3C5B"/>
    <w:rsid w:val="004C50D9"/>
    <w:rsid w:val="004C5DC2"/>
    <w:rsid w:val="004C7017"/>
    <w:rsid w:val="004D6C79"/>
    <w:rsid w:val="004D6C9E"/>
    <w:rsid w:val="004D7D3D"/>
    <w:rsid w:val="004E39EE"/>
    <w:rsid w:val="004F5528"/>
    <w:rsid w:val="005028D6"/>
    <w:rsid w:val="00515D18"/>
    <w:rsid w:val="00517E70"/>
    <w:rsid w:val="005277E4"/>
    <w:rsid w:val="00537A4D"/>
    <w:rsid w:val="00541A61"/>
    <w:rsid w:val="00541CE5"/>
    <w:rsid w:val="005434B0"/>
    <w:rsid w:val="00545AD1"/>
    <w:rsid w:val="00546FB3"/>
    <w:rsid w:val="005520A5"/>
    <w:rsid w:val="0055444B"/>
    <w:rsid w:val="00561E81"/>
    <w:rsid w:val="00564A03"/>
    <w:rsid w:val="00567057"/>
    <w:rsid w:val="00582F9D"/>
    <w:rsid w:val="005831B7"/>
    <w:rsid w:val="00586801"/>
    <w:rsid w:val="00594365"/>
    <w:rsid w:val="00597A6A"/>
    <w:rsid w:val="005A158F"/>
    <w:rsid w:val="005A356F"/>
    <w:rsid w:val="005A40BF"/>
    <w:rsid w:val="005A7F9F"/>
    <w:rsid w:val="005B1EB6"/>
    <w:rsid w:val="005B5D33"/>
    <w:rsid w:val="005E047F"/>
    <w:rsid w:val="005E07A3"/>
    <w:rsid w:val="005E6250"/>
    <w:rsid w:val="005E6A35"/>
    <w:rsid w:val="0060036F"/>
    <w:rsid w:val="00605A59"/>
    <w:rsid w:val="00613344"/>
    <w:rsid w:val="0064043B"/>
    <w:rsid w:val="006443EB"/>
    <w:rsid w:val="00653208"/>
    <w:rsid w:val="00655010"/>
    <w:rsid w:val="006733F2"/>
    <w:rsid w:val="006741F5"/>
    <w:rsid w:val="00684209"/>
    <w:rsid w:val="006864B5"/>
    <w:rsid w:val="006905BD"/>
    <w:rsid w:val="006A04E8"/>
    <w:rsid w:val="006B015D"/>
    <w:rsid w:val="006C28EC"/>
    <w:rsid w:val="006D046C"/>
    <w:rsid w:val="006D4198"/>
    <w:rsid w:val="006D7F70"/>
    <w:rsid w:val="006E53E9"/>
    <w:rsid w:val="006F170C"/>
    <w:rsid w:val="006F274D"/>
    <w:rsid w:val="006F3D6A"/>
    <w:rsid w:val="0070088B"/>
    <w:rsid w:val="00713BEE"/>
    <w:rsid w:val="007215B4"/>
    <w:rsid w:val="00731699"/>
    <w:rsid w:val="00731F25"/>
    <w:rsid w:val="00737F90"/>
    <w:rsid w:val="00737FB8"/>
    <w:rsid w:val="0074158B"/>
    <w:rsid w:val="007452BA"/>
    <w:rsid w:val="00745B3E"/>
    <w:rsid w:val="0075483B"/>
    <w:rsid w:val="00773331"/>
    <w:rsid w:val="00784BFE"/>
    <w:rsid w:val="00786548"/>
    <w:rsid w:val="00791943"/>
    <w:rsid w:val="007932EF"/>
    <w:rsid w:val="0079639E"/>
    <w:rsid w:val="00797902"/>
    <w:rsid w:val="007A1355"/>
    <w:rsid w:val="007A26EC"/>
    <w:rsid w:val="007A3244"/>
    <w:rsid w:val="007A3441"/>
    <w:rsid w:val="007B2437"/>
    <w:rsid w:val="007D02B4"/>
    <w:rsid w:val="007D6186"/>
    <w:rsid w:val="007E05B0"/>
    <w:rsid w:val="007E0D46"/>
    <w:rsid w:val="007E3186"/>
    <w:rsid w:val="007E3251"/>
    <w:rsid w:val="007F5F1C"/>
    <w:rsid w:val="00802C8A"/>
    <w:rsid w:val="0081439C"/>
    <w:rsid w:val="00816D3C"/>
    <w:rsid w:val="008179C7"/>
    <w:rsid w:val="00825362"/>
    <w:rsid w:val="008327B7"/>
    <w:rsid w:val="00837D49"/>
    <w:rsid w:val="00842DE2"/>
    <w:rsid w:val="00845D9D"/>
    <w:rsid w:val="00856DAE"/>
    <w:rsid w:val="00865240"/>
    <w:rsid w:val="00867418"/>
    <w:rsid w:val="0087281C"/>
    <w:rsid w:val="00874D22"/>
    <w:rsid w:val="00883341"/>
    <w:rsid w:val="00883BBD"/>
    <w:rsid w:val="00886CAA"/>
    <w:rsid w:val="008875E5"/>
    <w:rsid w:val="00891B7E"/>
    <w:rsid w:val="00892FFD"/>
    <w:rsid w:val="0089437D"/>
    <w:rsid w:val="0089565D"/>
    <w:rsid w:val="008A2914"/>
    <w:rsid w:val="008A443E"/>
    <w:rsid w:val="008A70ED"/>
    <w:rsid w:val="008A792E"/>
    <w:rsid w:val="008B19CB"/>
    <w:rsid w:val="008B2B26"/>
    <w:rsid w:val="008C164E"/>
    <w:rsid w:val="008D2433"/>
    <w:rsid w:val="008D3624"/>
    <w:rsid w:val="008E1BA8"/>
    <w:rsid w:val="008E4D8E"/>
    <w:rsid w:val="008E569A"/>
    <w:rsid w:val="008E6DE5"/>
    <w:rsid w:val="008F04F1"/>
    <w:rsid w:val="008F0EA0"/>
    <w:rsid w:val="008F3FFD"/>
    <w:rsid w:val="008F50D6"/>
    <w:rsid w:val="008F5FE1"/>
    <w:rsid w:val="00900D9C"/>
    <w:rsid w:val="009020F6"/>
    <w:rsid w:val="009027EB"/>
    <w:rsid w:val="00903FB0"/>
    <w:rsid w:val="00904CED"/>
    <w:rsid w:val="009102F0"/>
    <w:rsid w:val="00910A62"/>
    <w:rsid w:val="00912C2F"/>
    <w:rsid w:val="0091490B"/>
    <w:rsid w:val="00916973"/>
    <w:rsid w:val="00921A89"/>
    <w:rsid w:val="0092760C"/>
    <w:rsid w:val="0092772A"/>
    <w:rsid w:val="00931AD2"/>
    <w:rsid w:val="00935E3E"/>
    <w:rsid w:val="009432D6"/>
    <w:rsid w:val="009443AD"/>
    <w:rsid w:val="0095785B"/>
    <w:rsid w:val="00962972"/>
    <w:rsid w:val="00971957"/>
    <w:rsid w:val="009736AA"/>
    <w:rsid w:val="00974BC9"/>
    <w:rsid w:val="00984952"/>
    <w:rsid w:val="0098603A"/>
    <w:rsid w:val="0099392B"/>
    <w:rsid w:val="00997C74"/>
    <w:rsid w:val="009A476A"/>
    <w:rsid w:val="009A5BDA"/>
    <w:rsid w:val="009A5C2E"/>
    <w:rsid w:val="009B0829"/>
    <w:rsid w:val="009B2B57"/>
    <w:rsid w:val="009C2DEC"/>
    <w:rsid w:val="009C50F6"/>
    <w:rsid w:val="009D1AB4"/>
    <w:rsid w:val="009D6A18"/>
    <w:rsid w:val="009E7BED"/>
    <w:rsid w:val="009F458A"/>
    <w:rsid w:val="00A1041A"/>
    <w:rsid w:val="00A10D3E"/>
    <w:rsid w:val="00A22553"/>
    <w:rsid w:val="00A256BF"/>
    <w:rsid w:val="00A265D8"/>
    <w:rsid w:val="00A31E6D"/>
    <w:rsid w:val="00A33965"/>
    <w:rsid w:val="00A351FE"/>
    <w:rsid w:val="00A41192"/>
    <w:rsid w:val="00A417A1"/>
    <w:rsid w:val="00A50DD1"/>
    <w:rsid w:val="00A57B75"/>
    <w:rsid w:val="00A63547"/>
    <w:rsid w:val="00A66F09"/>
    <w:rsid w:val="00A72597"/>
    <w:rsid w:val="00A746AB"/>
    <w:rsid w:val="00A77172"/>
    <w:rsid w:val="00A879D3"/>
    <w:rsid w:val="00A901F8"/>
    <w:rsid w:val="00A91F9A"/>
    <w:rsid w:val="00AA088C"/>
    <w:rsid w:val="00AA4C67"/>
    <w:rsid w:val="00AA59F5"/>
    <w:rsid w:val="00AA6694"/>
    <w:rsid w:val="00AB01C3"/>
    <w:rsid w:val="00AC3AEF"/>
    <w:rsid w:val="00AC69F6"/>
    <w:rsid w:val="00AD62A8"/>
    <w:rsid w:val="00AE446F"/>
    <w:rsid w:val="00AF2836"/>
    <w:rsid w:val="00B04911"/>
    <w:rsid w:val="00B11428"/>
    <w:rsid w:val="00B126CD"/>
    <w:rsid w:val="00B16D40"/>
    <w:rsid w:val="00B2054F"/>
    <w:rsid w:val="00B229E2"/>
    <w:rsid w:val="00B24C2C"/>
    <w:rsid w:val="00B25EF1"/>
    <w:rsid w:val="00B33A23"/>
    <w:rsid w:val="00B401FA"/>
    <w:rsid w:val="00B43213"/>
    <w:rsid w:val="00B44AFA"/>
    <w:rsid w:val="00B45769"/>
    <w:rsid w:val="00B46720"/>
    <w:rsid w:val="00B53F62"/>
    <w:rsid w:val="00B53FAA"/>
    <w:rsid w:val="00B71ACA"/>
    <w:rsid w:val="00B72C22"/>
    <w:rsid w:val="00B75014"/>
    <w:rsid w:val="00B75419"/>
    <w:rsid w:val="00B761CB"/>
    <w:rsid w:val="00B76851"/>
    <w:rsid w:val="00B83D1B"/>
    <w:rsid w:val="00B92FDB"/>
    <w:rsid w:val="00B958F2"/>
    <w:rsid w:val="00BA2DF6"/>
    <w:rsid w:val="00BA76D1"/>
    <w:rsid w:val="00BB037F"/>
    <w:rsid w:val="00BC0F8C"/>
    <w:rsid w:val="00BC333F"/>
    <w:rsid w:val="00BD4AB4"/>
    <w:rsid w:val="00BD7438"/>
    <w:rsid w:val="00BE00B2"/>
    <w:rsid w:val="00BE4770"/>
    <w:rsid w:val="00BE58D3"/>
    <w:rsid w:val="00BF0DB9"/>
    <w:rsid w:val="00C06C7D"/>
    <w:rsid w:val="00C12301"/>
    <w:rsid w:val="00C129C8"/>
    <w:rsid w:val="00C13E42"/>
    <w:rsid w:val="00C159D0"/>
    <w:rsid w:val="00C17426"/>
    <w:rsid w:val="00C20148"/>
    <w:rsid w:val="00C20B57"/>
    <w:rsid w:val="00C220AF"/>
    <w:rsid w:val="00C22D01"/>
    <w:rsid w:val="00C262D6"/>
    <w:rsid w:val="00C267CB"/>
    <w:rsid w:val="00C26AE4"/>
    <w:rsid w:val="00C3424D"/>
    <w:rsid w:val="00C3491B"/>
    <w:rsid w:val="00C36DE7"/>
    <w:rsid w:val="00C440FE"/>
    <w:rsid w:val="00C52717"/>
    <w:rsid w:val="00C6699C"/>
    <w:rsid w:val="00C82F9F"/>
    <w:rsid w:val="00C8368A"/>
    <w:rsid w:val="00C84B39"/>
    <w:rsid w:val="00C84E77"/>
    <w:rsid w:val="00C9396A"/>
    <w:rsid w:val="00C973E2"/>
    <w:rsid w:val="00CB1E54"/>
    <w:rsid w:val="00CB6D22"/>
    <w:rsid w:val="00CC17D6"/>
    <w:rsid w:val="00CC1CB2"/>
    <w:rsid w:val="00CC2F27"/>
    <w:rsid w:val="00CC36CA"/>
    <w:rsid w:val="00CC41A9"/>
    <w:rsid w:val="00CC4703"/>
    <w:rsid w:val="00CC78E1"/>
    <w:rsid w:val="00CD38FE"/>
    <w:rsid w:val="00CD3DB7"/>
    <w:rsid w:val="00CD42B6"/>
    <w:rsid w:val="00CD50CD"/>
    <w:rsid w:val="00CE2FB0"/>
    <w:rsid w:val="00CE63C3"/>
    <w:rsid w:val="00CF73DD"/>
    <w:rsid w:val="00D04DD1"/>
    <w:rsid w:val="00D11095"/>
    <w:rsid w:val="00D20381"/>
    <w:rsid w:val="00D235E6"/>
    <w:rsid w:val="00D25904"/>
    <w:rsid w:val="00D32A53"/>
    <w:rsid w:val="00D54F1D"/>
    <w:rsid w:val="00D60158"/>
    <w:rsid w:val="00D66C9C"/>
    <w:rsid w:val="00D67714"/>
    <w:rsid w:val="00D82A16"/>
    <w:rsid w:val="00D935F5"/>
    <w:rsid w:val="00D93ACC"/>
    <w:rsid w:val="00DA2419"/>
    <w:rsid w:val="00DA31D6"/>
    <w:rsid w:val="00DA508D"/>
    <w:rsid w:val="00DA7337"/>
    <w:rsid w:val="00DB1DD2"/>
    <w:rsid w:val="00DB3FF9"/>
    <w:rsid w:val="00DD5180"/>
    <w:rsid w:val="00DE079D"/>
    <w:rsid w:val="00DF1166"/>
    <w:rsid w:val="00DF1A65"/>
    <w:rsid w:val="00DF4E7E"/>
    <w:rsid w:val="00DF797F"/>
    <w:rsid w:val="00E035DE"/>
    <w:rsid w:val="00E1163B"/>
    <w:rsid w:val="00E13727"/>
    <w:rsid w:val="00E13FA6"/>
    <w:rsid w:val="00E2169E"/>
    <w:rsid w:val="00E22EAF"/>
    <w:rsid w:val="00E346FB"/>
    <w:rsid w:val="00E355E4"/>
    <w:rsid w:val="00E36FCE"/>
    <w:rsid w:val="00E47030"/>
    <w:rsid w:val="00E47944"/>
    <w:rsid w:val="00E5301D"/>
    <w:rsid w:val="00E55FFC"/>
    <w:rsid w:val="00E67BF8"/>
    <w:rsid w:val="00E80EA5"/>
    <w:rsid w:val="00E83703"/>
    <w:rsid w:val="00E914FA"/>
    <w:rsid w:val="00EA127B"/>
    <w:rsid w:val="00EA2FDF"/>
    <w:rsid w:val="00EA4057"/>
    <w:rsid w:val="00EA5827"/>
    <w:rsid w:val="00EC0935"/>
    <w:rsid w:val="00EC0CDD"/>
    <w:rsid w:val="00EC30D5"/>
    <w:rsid w:val="00EC37C0"/>
    <w:rsid w:val="00EC6F00"/>
    <w:rsid w:val="00ED2F49"/>
    <w:rsid w:val="00ED6F0C"/>
    <w:rsid w:val="00EE0712"/>
    <w:rsid w:val="00EE2A20"/>
    <w:rsid w:val="00EE2D3F"/>
    <w:rsid w:val="00EE6613"/>
    <w:rsid w:val="00EE6FC7"/>
    <w:rsid w:val="00EF1BDE"/>
    <w:rsid w:val="00EF3483"/>
    <w:rsid w:val="00EF7072"/>
    <w:rsid w:val="00F01C2E"/>
    <w:rsid w:val="00F027DD"/>
    <w:rsid w:val="00F03387"/>
    <w:rsid w:val="00F07A76"/>
    <w:rsid w:val="00F15865"/>
    <w:rsid w:val="00F2491B"/>
    <w:rsid w:val="00F25749"/>
    <w:rsid w:val="00F25CC3"/>
    <w:rsid w:val="00F36E8F"/>
    <w:rsid w:val="00F40349"/>
    <w:rsid w:val="00F42380"/>
    <w:rsid w:val="00F45CF2"/>
    <w:rsid w:val="00F6213D"/>
    <w:rsid w:val="00F627F3"/>
    <w:rsid w:val="00F6649C"/>
    <w:rsid w:val="00F70735"/>
    <w:rsid w:val="00F71369"/>
    <w:rsid w:val="00F74C55"/>
    <w:rsid w:val="00F80C79"/>
    <w:rsid w:val="00FA1B23"/>
    <w:rsid w:val="00FA4425"/>
    <w:rsid w:val="00FB0363"/>
    <w:rsid w:val="00FB2121"/>
    <w:rsid w:val="00FB23E4"/>
    <w:rsid w:val="00FB3312"/>
    <w:rsid w:val="00FB4CE0"/>
    <w:rsid w:val="00FC38F8"/>
    <w:rsid w:val="00FC6C00"/>
    <w:rsid w:val="00FD2303"/>
    <w:rsid w:val="00FD42B2"/>
    <w:rsid w:val="00FE0A29"/>
    <w:rsid w:val="00FF5313"/>
    <w:rsid w:val="00FF7D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eastAsia="en-GB"/>
    </w:rPr>
  </w:style>
  <w:style w:type="paragraph" w:styleId="ListBullet2">
    <w:name w:val="List Bullet 2"/>
    <w:basedOn w:val="Normal"/>
    <w:uiPriority w:val="99"/>
    <w:rsid w:val="001A62D7"/>
    <w:pPr>
      <w:numPr>
        <w:numId w:val="8"/>
      </w:numPr>
    </w:pPr>
    <w:rPr>
      <w:rFonts w:eastAsia="Times New Roman"/>
      <w:lang w:eastAsia="en-GB"/>
    </w:rPr>
  </w:style>
  <w:style w:type="paragraph" w:styleId="ListBullet3">
    <w:name w:val="List Bullet 3"/>
    <w:basedOn w:val="Normal"/>
    <w:rsid w:val="001A62D7"/>
    <w:pPr>
      <w:numPr>
        <w:numId w:val="9"/>
      </w:numPr>
    </w:pPr>
    <w:rPr>
      <w:rFonts w:eastAsia="Times New Roman"/>
      <w:lang w:eastAsia="en-GB"/>
    </w:rPr>
  </w:style>
  <w:style w:type="paragraph" w:styleId="ListNumber2">
    <w:name w:val="List Number 2"/>
    <w:basedOn w:val="Normal"/>
    <w:uiPriority w:val="99"/>
    <w:rsid w:val="001A62D7"/>
    <w:pPr>
      <w:numPr>
        <w:numId w:val="13"/>
      </w:numPr>
    </w:pPr>
    <w:rPr>
      <w:rFonts w:eastAsia="Times New Roman"/>
      <w:lang w:eastAsia="en-GB"/>
    </w:rPr>
  </w:style>
  <w:style w:type="paragraph" w:styleId="ListNumber3">
    <w:name w:val="List Number 3"/>
    <w:basedOn w:val="Normal"/>
    <w:uiPriority w:val="99"/>
    <w:rsid w:val="001A62D7"/>
    <w:pPr>
      <w:numPr>
        <w:numId w:val="14"/>
      </w:numPr>
    </w:pPr>
    <w:rPr>
      <w:rFonts w:eastAsia="Times New Roman"/>
      <w:lang w:eastAsia="en-GB"/>
    </w:rPr>
  </w:style>
  <w:style w:type="paragraph" w:styleId="ListNumber4">
    <w:name w:val="List Number 4"/>
    <w:basedOn w:val="Normal"/>
    <w:uiPriority w:val="99"/>
    <w:rsid w:val="001A62D7"/>
    <w:pPr>
      <w:numPr>
        <w:numId w:val="15"/>
      </w:numPr>
    </w:pPr>
    <w:rPr>
      <w:rFonts w:eastAsia="Times New Roman"/>
      <w:lang w:eastAsia="en-GB"/>
    </w:rPr>
  </w:style>
  <w:style w:type="paragraph" w:customStyle="1" w:styleId="ListDash3">
    <w:name w:val="List Dash 3"/>
    <w:basedOn w:val="Normal"/>
    <w:rsid w:val="001A62D7"/>
    <w:pPr>
      <w:numPr>
        <w:numId w:val="10"/>
      </w:numPr>
    </w:pPr>
    <w:rPr>
      <w:rFonts w:eastAsia="Times New Roman"/>
      <w:lang w:eastAsia="en-GB"/>
    </w:rPr>
  </w:style>
  <w:style w:type="paragraph" w:customStyle="1" w:styleId="ListDash4">
    <w:name w:val="List Dash 4"/>
    <w:basedOn w:val="Normal"/>
    <w:rsid w:val="001A62D7"/>
    <w:pPr>
      <w:numPr>
        <w:numId w:val="11"/>
      </w:numPr>
    </w:pPr>
    <w:rPr>
      <w:rFonts w:eastAsia="Times New Roman"/>
      <w:lang w:eastAsia="en-GB"/>
    </w:rPr>
  </w:style>
  <w:style w:type="paragraph" w:customStyle="1" w:styleId="ListNumber1">
    <w:name w:val="List Number 1"/>
    <w:basedOn w:val="Text1"/>
    <w:rsid w:val="001A62D7"/>
    <w:pPr>
      <w:numPr>
        <w:numId w:val="12"/>
      </w:numPr>
    </w:pPr>
    <w:rPr>
      <w:rFonts w:eastAsia="Times New Roman"/>
      <w:lang w:eastAsia="en-GB"/>
    </w:rPr>
  </w:style>
  <w:style w:type="paragraph" w:customStyle="1" w:styleId="ListNumber1Level2">
    <w:name w:val="List Number 1 (Level 2)"/>
    <w:basedOn w:val="Text1"/>
    <w:rsid w:val="001A62D7"/>
    <w:pPr>
      <w:numPr>
        <w:ilvl w:val="1"/>
        <w:numId w:val="12"/>
      </w:numPr>
    </w:pPr>
    <w:rPr>
      <w:rFonts w:eastAsia="Times New Roman"/>
      <w:lang w:eastAsia="en-GB"/>
    </w:rPr>
  </w:style>
  <w:style w:type="paragraph" w:customStyle="1" w:styleId="ListNumber2Level2">
    <w:name w:val="List Number 2 (Level 2)"/>
    <w:basedOn w:val="Text2"/>
    <w:rsid w:val="001A62D7"/>
    <w:pPr>
      <w:numPr>
        <w:ilvl w:val="1"/>
        <w:numId w:val="13"/>
      </w:numPr>
    </w:pPr>
    <w:rPr>
      <w:rFonts w:eastAsia="Times New Roman"/>
      <w:lang w:eastAsia="en-GB"/>
    </w:rPr>
  </w:style>
  <w:style w:type="paragraph" w:customStyle="1" w:styleId="ListNumber3Level2">
    <w:name w:val="List Number 3 (Level 2)"/>
    <w:basedOn w:val="Text3"/>
    <w:rsid w:val="001A62D7"/>
    <w:pPr>
      <w:numPr>
        <w:ilvl w:val="1"/>
        <w:numId w:val="14"/>
      </w:numPr>
    </w:pPr>
    <w:rPr>
      <w:rFonts w:eastAsia="Times New Roman"/>
      <w:lang w:eastAsia="en-GB"/>
    </w:rPr>
  </w:style>
  <w:style w:type="paragraph" w:customStyle="1" w:styleId="ListNumber4Level2">
    <w:name w:val="List Number 4 (Level 2)"/>
    <w:basedOn w:val="Text4"/>
    <w:rsid w:val="001A62D7"/>
    <w:pPr>
      <w:numPr>
        <w:ilvl w:val="1"/>
        <w:numId w:val="15"/>
      </w:numPr>
    </w:pPr>
    <w:rPr>
      <w:rFonts w:eastAsia="Times New Roman"/>
      <w:lang w:eastAsia="en-GB"/>
    </w:rPr>
  </w:style>
  <w:style w:type="paragraph" w:customStyle="1" w:styleId="ListNumber1Level3">
    <w:name w:val="List Number 1 (Level 3)"/>
    <w:basedOn w:val="Text1"/>
    <w:rsid w:val="001A62D7"/>
    <w:pPr>
      <w:numPr>
        <w:ilvl w:val="2"/>
        <w:numId w:val="12"/>
      </w:numPr>
    </w:pPr>
    <w:rPr>
      <w:rFonts w:eastAsia="Times New Roman"/>
      <w:lang w:eastAsia="en-GB"/>
    </w:rPr>
  </w:style>
  <w:style w:type="paragraph" w:customStyle="1" w:styleId="ListNumber2Level3">
    <w:name w:val="List Number 2 (Level 3)"/>
    <w:basedOn w:val="Text2"/>
    <w:rsid w:val="001A62D7"/>
    <w:pPr>
      <w:numPr>
        <w:ilvl w:val="2"/>
        <w:numId w:val="13"/>
      </w:numPr>
    </w:pPr>
    <w:rPr>
      <w:rFonts w:eastAsia="Times New Roman"/>
      <w:lang w:eastAsia="en-GB"/>
    </w:rPr>
  </w:style>
  <w:style w:type="paragraph" w:customStyle="1" w:styleId="ListNumber3Level3">
    <w:name w:val="List Number 3 (Level 3)"/>
    <w:basedOn w:val="Text3"/>
    <w:rsid w:val="001A62D7"/>
    <w:pPr>
      <w:numPr>
        <w:ilvl w:val="2"/>
        <w:numId w:val="14"/>
      </w:numPr>
    </w:pPr>
    <w:rPr>
      <w:rFonts w:eastAsia="Times New Roman"/>
      <w:lang w:eastAsia="en-GB"/>
    </w:rPr>
  </w:style>
  <w:style w:type="paragraph" w:customStyle="1" w:styleId="ListNumber4Level3">
    <w:name w:val="List Number 4 (Level 3)"/>
    <w:basedOn w:val="Text4"/>
    <w:rsid w:val="001A62D7"/>
    <w:pPr>
      <w:numPr>
        <w:ilvl w:val="2"/>
        <w:numId w:val="15"/>
      </w:numPr>
    </w:pPr>
    <w:rPr>
      <w:rFonts w:eastAsia="Times New Roman"/>
      <w:lang w:eastAsia="en-GB"/>
    </w:rPr>
  </w:style>
  <w:style w:type="paragraph" w:customStyle="1" w:styleId="ListNumber1Level4">
    <w:name w:val="List Number 1 (Level 4)"/>
    <w:basedOn w:val="Text1"/>
    <w:rsid w:val="001A62D7"/>
    <w:pPr>
      <w:numPr>
        <w:ilvl w:val="3"/>
        <w:numId w:val="12"/>
      </w:numPr>
    </w:pPr>
    <w:rPr>
      <w:rFonts w:eastAsia="Times New Roman"/>
      <w:lang w:eastAsia="en-GB"/>
    </w:rPr>
  </w:style>
  <w:style w:type="paragraph" w:customStyle="1" w:styleId="ListNumber2Level4">
    <w:name w:val="List Number 2 (Level 4)"/>
    <w:basedOn w:val="Text2"/>
    <w:rsid w:val="001A62D7"/>
    <w:pPr>
      <w:numPr>
        <w:ilvl w:val="3"/>
        <w:numId w:val="13"/>
      </w:numPr>
    </w:pPr>
    <w:rPr>
      <w:rFonts w:eastAsia="Times New Roman"/>
      <w:lang w:eastAsia="en-GB"/>
    </w:rPr>
  </w:style>
  <w:style w:type="paragraph" w:customStyle="1" w:styleId="ListNumber3Level4">
    <w:name w:val="List Number 3 (Level 4)"/>
    <w:basedOn w:val="Text3"/>
    <w:rsid w:val="001A62D7"/>
    <w:pPr>
      <w:numPr>
        <w:ilvl w:val="3"/>
        <w:numId w:val="14"/>
      </w:numPr>
    </w:pPr>
    <w:rPr>
      <w:rFonts w:eastAsia="Times New Roman"/>
      <w:lang w:eastAsia="en-GB"/>
    </w:rPr>
  </w:style>
  <w:style w:type="paragraph" w:customStyle="1" w:styleId="ListNumber4Level4">
    <w:name w:val="List Number 4 (Level 4)"/>
    <w:basedOn w:val="Text4"/>
    <w:rsid w:val="001A62D7"/>
    <w:pPr>
      <w:numPr>
        <w:ilvl w:val="3"/>
        <w:numId w:val="15"/>
      </w:numPr>
    </w:pPr>
    <w:rPr>
      <w:rFonts w:eastAsia="Times New Roman"/>
      <w:lang w:eastAsia="en-GB"/>
    </w:rPr>
  </w:style>
  <w:style w:type="paragraph" w:customStyle="1" w:styleId="Annexetitreacte">
    <w:name w:val="Annexe titre (acte)"/>
    <w:basedOn w:val="Normal"/>
    <w:next w:val="Normal"/>
    <w:rsid w:val="001A62D7"/>
    <w:pPr>
      <w:jc w:val="center"/>
    </w:pPr>
    <w:rPr>
      <w:rFonts w:eastAsia="Times New Roman"/>
      <w:b/>
      <w:u w:val="single"/>
      <w:lang w:eastAsia="en-GB"/>
    </w:rPr>
  </w:style>
  <w:style w:type="paragraph" w:customStyle="1" w:styleId="Annexetitreexposglobal">
    <w:name w:val="Annexe titre (exposé global)"/>
    <w:basedOn w:val="Normal"/>
    <w:next w:val="Normal"/>
    <w:rsid w:val="001A62D7"/>
    <w:pPr>
      <w:jc w:val="center"/>
    </w:pPr>
    <w:rPr>
      <w:rFonts w:eastAsia="Times New Roman"/>
      <w:b/>
      <w:u w:val="single"/>
      <w:lang w:eastAsia="en-GB"/>
    </w:rPr>
  </w:style>
  <w:style w:type="paragraph" w:customStyle="1" w:styleId="Annexetitrefichefinacte">
    <w:name w:val="Annexe titre (fiche fin. acte)"/>
    <w:basedOn w:val="Normal"/>
    <w:next w:val="Normal"/>
    <w:rsid w:val="001A62D7"/>
    <w:pPr>
      <w:jc w:val="center"/>
    </w:pPr>
    <w:rPr>
      <w:rFonts w:eastAsia="Times New Roman"/>
      <w:b/>
      <w:u w:val="single"/>
      <w:lang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eastAsia="en-GB"/>
    </w:rPr>
  </w:style>
  <w:style w:type="paragraph" w:customStyle="1" w:styleId="Annexetitreglobale">
    <w:name w:val="Annexe titre (globale)"/>
    <w:basedOn w:val="Normal"/>
    <w:next w:val="Normal"/>
    <w:rsid w:val="001A62D7"/>
    <w:pPr>
      <w:jc w:val="center"/>
    </w:pPr>
    <w:rPr>
      <w:rFonts w:eastAsia="Times New Roman"/>
      <w:b/>
      <w:u w:val="single"/>
      <w:lang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eastAsia="en-GB"/>
    </w:rPr>
  </w:style>
  <w:style w:type="paragraph" w:customStyle="1" w:styleId="Langueoriginale">
    <w:name w:val="Langue originale"/>
    <w:basedOn w:val="Normal"/>
    <w:rsid w:val="001A62D7"/>
    <w:pPr>
      <w:spacing w:before="360"/>
      <w:jc w:val="center"/>
    </w:pPr>
    <w:rPr>
      <w:rFonts w:eastAsia="Times New Roman"/>
      <w:caps/>
      <w:lang w:eastAsia="en-GB"/>
    </w:rPr>
  </w:style>
  <w:style w:type="paragraph" w:customStyle="1" w:styleId="Phrasefinale">
    <w:name w:val="Phrase finale"/>
    <w:basedOn w:val="Normal"/>
    <w:next w:val="Normal"/>
    <w:rsid w:val="001A62D7"/>
    <w:pPr>
      <w:spacing w:before="360" w:after="0"/>
      <w:jc w:val="center"/>
    </w:pPr>
    <w:rPr>
      <w:rFonts w:eastAsia="Times New Roman"/>
      <w:lang w:eastAsia="en-GB"/>
    </w:rPr>
  </w:style>
  <w:style w:type="paragraph" w:customStyle="1" w:styleId="Prliminairetitre">
    <w:name w:val="Préliminaire titre"/>
    <w:basedOn w:val="Normal"/>
    <w:next w:val="Normal"/>
    <w:rsid w:val="001A62D7"/>
    <w:pPr>
      <w:spacing w:before="360" w:after="360"/>
      <w:jc w:val="center"/>
    </w:pPr>
    <w:rPr>
      <w:rFonts w:eastAsia="Times New Roman"/>
      <w:b/>
      <w:lang w:eastAsia="en-GB"/>
    </w:rPr>
  </w:style>
  <w:style w:type="paragraph" w:customStyle="1" w:styleId="Prliminairetype">
    <w:name w:val="Préliminaire type"/>
    <w:basedOn w:val="Normal"/>
    <w:next w:val="Normal"/>
    <w:rsid w:val="001A62D7"/>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eastAsia="en-GB"/>
    </w:rPr>
  </w:style>
  <w:style w:type="paragraph" w:customStyle="1" w:styleId="Sous-titreobjetprliminaire">
    <w:name w:val="Sous-titre objet (préliminaire)"/>
    <w:basedOn w:val="Normal"/>
    <w:rsid w:val="001A62D7"/>
    <w:pPr>
      <w:spacing w:before="0" w:after="0"/>
      <w:jc w:val="center"/>
    </w:pPr>
    <w:rPr>
      <w:rFonts w:eastAsia="Times New Roman"/>
      <w:b/>
      <w:lang w:eastAsia="en-GB"/>
    </w:rPr>
  </w:style>
  <w:style w:type="paragraph" w:customStyle="1" w:styleId="Statutprliminaire">
    <w:name w:val="Statut (préliminaire)"/>
    <w:basedOn w:val="Normal"/>
    <w:next w:val="Normal"/>
    <w:rsid w:val="001A62D7"/>
    <w:pPr>
      <w:spacing w:before="360" w:after="0"/>
      <w:jc w:val="center"/>
    </w:pPr>
    <w:rPr>
      <w:rFonts w:eastAsia="Times New Roman"/>
      <w:lang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eastAsia="en-GB"/>
    </w:rPr>
  </w:style>
  <w:style w:type="character" w:styleId="CommentReference">
    <w:name w:val="annotation reference"/>
    <w:rsid w:val="001A62D7"/>
    <w:rPr>
      <w:rFonts w:cs="Times New Roman"/>
      <w:sz w:val="16"/>
      <w:szCs w:val="16"/>
    </w:rPr>
  </w:style>
  <w:style w:type="paragraph" w:styleId="CommentText">
    <w:name w:val="annotation text"/>
    <w:basedOn w:val="Normal"/>
    <w:link w:val="CommentTextChar"/>
    <w:rsid w:val="001A62D7"/>
    <w:rPr>
      <w:rFonts w:eastAsia="Times New Roman"/>
      <w:sz w:val="20"/>
      <w:szCs w:val="20"/>
      <w:lang w:eastAsia="en-GB"/>
    </w:rPr>
  </w:style>
  <w:style w:type="character" w:customStyle="1" w:styleId="CommentTextChar">
    <w:name w:val="Comment Text Char"/>
    <w:basedOn w:val="DefaultParagraphFont"/>
    <w:link w:val="CommentText"/>
    <w:rsid w:val="001A62D7"/>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ro-RO" w:eastAsia="en-GB"/>
    </w:rPr>
  </w:style>
  <w:style w:type="paragraph" w:styleId="Caption">
    <w:name w:val="caption"/>
    <w:basedOn w:val="Normal"/>
    <w:next w:val="Normal"/>
    <w:uiPriority w:val="35"/>
    <w:qFormat/>
    <w:rsid w:val="001A62D7"/>
    <w:rPr>
      <w:rFonts w:eastAsia="Times New Roman"/>
      <w:b/>
      <w:bCs/>
      <w:sz w:val="20"/>
      <w:szCs w:val="20"/>
      <w:lang w:eastAsia="en-GB"/>
    </w:rPr>
  </w:style>
  <w:style w:type="paragraph" w:styleId="TableofFigures">
    <w:name w:val="table of figures"/>
    <w:basedOn w:val="Normal"/>
    <w:next w:val="Normal"/>
    <w:uiPriority w:val="99"/>
    <w:rsid w:val="001A62D7"/>
    <w:rPr>
      <w:rFonts w:eastAsia="Times New Roman"/>
      <w:lang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ro-RO"/>
    </w:rPr>
  </w:style>
  <w:style w:type="character" w:customStyle="1" w:styleId="FooterCoverPageChar">
    <w:name w:val="Footer Cover Page Char"/>
    <w:link w:val="FooterCoverPage"/>
    <w:rsid w:val="001A62D7"/>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ro-RO" w:eastAsia="en-GB"/>
    </w:rPr>
  </w:style>
  <w:style w:type="character" w:customStyle="1" w:styleId="FooterSensitivityChar">
    <w:name w:val="Footer Sensitivity Char"/>
    <w:rsid w:val="001A62D7"/>
    <w:rPr>
      <w:rFonts w:ascii="Times New Roman" w:hAnsi="Times New Roman" w:cs="Times New Roman"/>
      <w:b/>
      <w:sz w:val="32"/>
      <w:lang w:val="ro-RO"/>
    </w:rPr>
  </w:style>
  <w:style w:type="character" w:customStyle="1" w:styleId="HeaderSensitivityChar">
    <w:name w:val="Header Sensitivity Char"/>
    <w:rsid w:val="001A62D7"/>
    <w:rPr>
      <w:rFonts w:ascii="Times New Roman" w:hAnsi="Times New Roman" w:cs="Times New Roman"/>
      <w:b/>
      <w:sz w:val="32"/>
      <w:lang w:val="ro-RO"/>
    </w:rPr>
  </w:style>
  <w:style w:type="character" w:customStyle="1" w:styleId="HeaderSensitivityRightChar">
    <w:name w:val="Header Sensitivity Right Char"/>
    <w:rsid w:val="001A62D7"/>
    <w:rPr>
      <w:rFonts w:ascii="Times New Roman" w:hAnsi="Times New Roman" w:cs="Times New Roman"/>
      <w:sz w:val="28"/>
      <w:lang w:val="ro-RO"/>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rynqvb">
    <w:name w:val="rynqvb"/>
    <w:basedOn w:val="DefaultParagraphFont"/>
    <w:rsid w:val="008D3624"/>
  </w:style>
  <w:style w:type="paragraph" w:styleId="EndnoteText">
    <w:name w:val="endnote text"/>
    <w:basedOn w:val="Normal"/>
    <w:link w:val="EndnoteTextChar"/>
    <w:uiPriority w:val="99"/>
    <w:semiHidden/>
    <w:unhideWhenUsed/>
    <w:rsid w:val="000B7C62"/>
    <w:pPr>
      <w:spacing w:before="0" w:after="0"/>
    </w:pPr>
    <w:rPr>
      <w:sz w:val="20"/>
      <w:szCs w:val="20"/>
    </w:rPr>
  </w:style>
  <w:style w:type="character" w:customStyle="1" w:styleId="EndnoteTextChar">
    <w:name w:val="Endnote Text Char"/>
    <w:basedOn w:val="DefaultParagraphFont"/>
    <w:link w:val="EndnoteText"/>
    <w:uiPriority w:val="99"/>
    <w:semiHidden/>
    <w:rsid w:val="000B7C62"/>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0B7C62"/>
    <w:rPr>
      <w:vertAlign w:val="superscript"/>
    </w:rPr>
  </w:style>
  <w:style w:type="character" w:customStyle="1" w:styleId="HeaderChar">
    <w:name w:val="Header Char"/>
    <w:basedOn w:val="DefaultParagraphFont"/>
    <w:link w:val="Header"/>
    <w:uiPriority w:val="99"/>
    <w:rsid w:val="006733F2"/>
    <w:rPr>
      <w:rFonts w:ascii="Times New Roman" w:hAnsi="Times New Roman" w:cs="Times New Roman"/>
      <w:sz w:val="24"/>
      <w:lang w:val="ro-RO"/>
    </w:rPr>
  </w:style>
  <w:style w:type="character" w:customStyle="1" w:styleId="FooterChar">
    <w:name w:val="Footer Char"/>
    <w:basedOn w:val="DefaultParagraphFont"/>
    <w:link w:val="Footer"/>
    <w:uiPriority w:val="99"/>
    <w:rsid w:val="006733F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733F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733F2"/>
    <w:pPr>
      <w:spacing w:before="0"/>
      <w:jc w:val="right"/>
    </w:pPr>
    <w:rPr>
      <w:sz w:val="28"/>
    </w:rPr>
  </w:style>
  <w:style w:type="paragraph" w:customStyle="1" w:styleId="FooterSensitivity">
    <w:name w:val="Footer Sensitivity"/>
    <w:basedOn w:val="Normal"/>
    <w:rsid w:val="006733F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733F2"/>
    <w:pPr>
      <w:tabs>
        <w:tab w:val="center" w:pos="4535"/>
        <w:tab w:val="right" w:pos="9071"/>
      </w:tabs>
      <w:spacing w:before="0"/>
    </w:pPr>
  </w:style>
  <w:style w:type="paragraph" w:customStyle="1" w:styleId="HeaderLandscape">
    <w:name w:val="HeaderLandscape"/>
    <w:basedOn w:val="Normal"/>
    <w:rsid w:val="006733F2"/>
    <w:pPr>
      <w:tabs>
        <w:tab w:val="center" w:pos="7285"/>
        <w:tab w:val="right" w:pos="14003"/>
      </w:tabs>
      <w:spacing w:before="0"/>
    </w:pPr>
  </w:style>
  <w:style w:type="paragraph" w:styleId="Footer">
    <w:name w:val="footer"/>
    <w:basedOn w:val="Normal"/>
    <w:link w:val="FooterChar"/>
    <w:uiPriority w:val="99"/>
    <w:unhideWhenUsed/>
    <w:rsid w:val="006733F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733F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stat.fi/fi/tilasto/tyonv" TargetMode="External"/><Relationship Id="rId2" Type="http://schemas.openxmlformats.org/officeDocument/2006/relationships/hyperlink" Target="https://pxdata.stat.fi/PxWeb/pxweb/fi/StatFin/StatFin__tyonv/statfin_tyonv_pxt_12th.px/" TargetMode="External"/><Relationship Id="rId1" Type="http://schemas.openxmlformats.org/officeDocument/2006/relationships/hyperlink" Target="https://pxdata.stat.fi/PXWeb/pxweb/fi/StatFin/StatFin__tyonv/statfin_tyonv_pxt_12tf.px" TargetMode="External"/><Relationship Id="rId5" Type="http://schemas.openxmlformats.org/officeDocument/2006/relationships/hyperlink" Target="https://stat.fi/fi/tilasto/tyonv" TargetMode="External"/><Relationship Id="rId4" Type="http://schemas.openxmlformats.org/officeDocument/2006/relationships/hyperlink" Target="https://stat.fi/fi/tilasto/tyon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27199ac-8122-4f91-9e0c-0acc8ca412f4" xsi:nil="true"/>
    <lcf76f155ced4ddcb4097134ff3c332f xmlns="ffa05dec-e383-4a36-a526-3e801466923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12" ma:contentTypeDescription="Create a new document." ma:contentTypeScope="" ma:versionID="0cf3564fd553e4d9c70a333ce59bf57a">
  <xsd:schema xmlns:xsd="http://www.w3.org/2001/XMLSchema" xmlns:xs="http://www.w3.org/2001/XMLSchema" xmlns:p="http://schemas.microsoft.com/office/2006/metadata/properties" xmlns:ns2="ffa05dec-e383-4a36-a526-3e8014669239" xmlns:ns3="727199ac-8122-4f91-9e0c-0acc8ca412f4" targetNamespace="http://schemas.microsoft.com/office/2006/metadata/properties" ma:root="true" ma:fieldsID="a4146b1c3ada04d2241e8f424fb0b47f" ns2:_="" ns3:_="">
    <xsd:import namespace="ffa05dec-e383-4a36-a526-3e8014669239"/>
    <xsd:import namespace="727199ac-8122-4f91-9e0c-0acc8ca412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7199ac-8122-4f91-9e0c-0acc8ca412f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ddf2c2-eec8-4c19-bc55-0ffcb3d14a8c}" ma:internalName="TaxCatchAll" ma:showField="CatchAllData" ma:web="727199ac-8122-4f91-9e0c-0acc8ca412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72419-DC9D-4AEE-A23B-812EF74FCBE2}">
  <ds:schemaRefs>
    <ds:schemaRef ds:uri="http://schemas.microsoft.com/office/2006/metadata/properties"/>
    <ds:schemaRef ds:uri="http://schemas.microsoft.com/office/infopath/2007/PartnerControls"/>
    <ds:schemaRef ds:uri="727199ac-8122-4f91-9e0c-0acc8ca412f4"/>
    <ds:schemaRef ds:uri="ffa05dec-e383-4a36-a526-3e8014669239"/>
  </ds:schemaRefs>
</ds:datastoreItem>
</file>

<file path=customXml/itemProps2.xml><?xml version="1.0" encoding="utf-8"?>
<ds:datastoreItem xmlns:ds="http://schemas.openxmlformats.org/officeDocument/2006/customXml" ds:itemID="{BCBA0EE1-0C4B-4ED6-82CD-4B0727C384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727199ac-8122-4f91-9e0c-0acc8ca41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7D53B0-B5E2-47EA-B0A1-738745A01AB3}">
  <ds:schemaRefs>
    <ds:schemaRef ds:uri="http://schemas.microsoft.com/sharepoint/v3/contenttype/forms"/>
  </ds:schemaRefs>
</ds:datastoreItem>
</file>

<file path=customXml/itemProps4.xml><?xml version="1.0" encoding="utf-8"?>
<ds:datastoreItem xmlns:ds="http://schemas.openxmlformats.org/officeDocument/2006/customXml" ds:itemID="{FC633DFB-1D6C-4073-A37A-0CA9967FB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282</TotalTime>
  <Pages>10</Pages>
  <Words>4082</Words>
  <Characters>23268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30</cp:revision>
  <dcterms:created xsi:type="dcterms:W3CDTF">2026-06-10T13:36:00Z</dcterms:created>
  <dcterms:modified xsi:type="dcterms:W3CDTF">2026-07-21T16:04:00Z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ContentTypeId">
    <vt:lpwstr>0x010100CD92FCBF67B53A4EB1060DF04C43C986</vt:lpwstr>
  </property>
  <property fmtid="{D5CDD505-2E9C-101B-9397-08002B2CF9AE}" pid="18" name="DQCStatus">
    <vt:lpwstr>Green (DQC version 03)</vt:lpwstr>
  </property>
</Properties>
</file>