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DD3D72" w:rsidRDefault="006A5F70" w:rsidP="006A5F7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9538E284-0A32-4B80-A101-87E4AD8CAB23" style="width:455.25pt;height:453.75pt">
            <v:imagedata r:id="rId8" o:title=""/>
          </v:shape>
        </w:pict>
      </w:r>
    </w:p>
    <w:p w:rsidR="00112030" w:rsidRPr="00DD3D72" w:rsidRDefault="00112030" w:rsidP="00112030">
      <w:pPr>
        <w:rPr>
          <w:noProof/>
        </w:rPr>
        <w:sectPr w:rsidR="00112030" w:rsidRPr="00DD3D72" w:rsidSect="006A5F70">
          <w:footerReference w:type="even" r:id="rId9"/>
          <w:footerReference w:type="default" r:id="rId10"/>
          <w:pgSz w:w="11907" w:h="16839"/>
          <w:pgMar w:top="1134" w:right="1417" w:bottom="1134" w:left="1417" w:header="709" w:footer="709" w:gutter="0"/>
          <w:pgNumType w:start="0"/>
          <w:cols w:space="720"/>
          <w:docGrid w:linePitch="360"/>
        </w:sectPr>
      </w:pPr>
    </w:p>
    <w:p w:rsidR="00112030" w:rsidRPr="00DD3D72" w:rsidRDefault="00112030" w:rsidP="00BB6B30">
      <w:pPr>
        <w:pStyle w:val="Exposdesmotifstitre"/>
        <w:rPr>
          <w:noProof/>
        </w:rPr>
      </w:pPr>
      <w:bookmarkStart w:id="0" w:name="_GoBack"/>
      <w:bookmarkEnd w:id="0"/>
      <w:r w:rsidRPr="00DD3D72">
        <w:rPr>
          <w:noProof/>
        </w:rPr>
        <w:lastRenderedPageBreak/>
        <w:t>EXPUNERE DE MOTIVE</w:t>
      </w:r>
    </w:p>
    <w:p w:rsidR="00112030" w:rsidRPr="00DD3D72" w:rsidRDefault="00112030" w:rsidP="00BB7C00">
      <w:pPr>
        <w:pStyle w:val="Heading"/>
        <w:numPr>
          <w:ilvl w:val="0"/>
          <w:numId w:val="1"/>
        </w:numPr>
        <w:rPr>
          <w:noProof/>
        </w:rPr>
      </w:pPr>
      <w:r w:rsidRPr="00DD3D72">
        <w:rPr>
          <w:noProof/>
        </w:rPr>
        <w:t>Obiectul propunerii</w:t>
      </w:r>
    </w:p>
    <w:p w:rsidR="00112030" w:rsidRPr="00DD3D72" w:rsidRDefault="00112030" w:rsidP="00112030">
      <w:pPr>
        <w:pStyle w:val="Body"/>
        <w:rPr>
          <w:noProof/>
        </w:rPr>
      </w:pPr>
      <w:r w:rsidRPr="00DD3D72">
        <w:rPr>
          <w:noProof/>
        </w:rPr>
        <w:t>Prezenta propunere se referă la decizia de stabilire a poziției care urmează să fie luată în numele Uniunii în cadrul Comitetului mixt al SEE în legătură cu adoptarea preconizată a deciziei Comitetului mixt referitoare la o modificare a Protocolului 10 la Acordul privind SEE referitor la simplificarea controalelor și a formalităților pentru transportul de mărfuri și a Protocolului 31 la Acordul privind SEE referitor la cooperarea în domenii specifice în afara celor patru libertăți.</w:t>
      </w:r>
    </w:p>
    <w:p w:rsidR="00112030" w:rsidRPr="00DD3D72" w:rsidRDefault="00112030" w:rsidP="00BB7C00">
      <w:pPr>
        <w:pStyle w:val="Heading"/>
        <w:numPr>
          <w:ilvl w:val="0"/>
          <w:numId w:val="1"/>
        </w:numPr>
        <w:rPr>
          <w:noProof/>
        </w:rPr>
      </w:pPr>
      <w:r w:rsidRPr="00DD3D72">
        <w:rPr>
          <w:noProof/>
        </w:rPr>
        <w:t>Contextul propunerii</w:t>
      </w:r>
    </w:p>
    <w:p w:rsidR="00112030" w:rsidRPr="00DD3D72" w:rsidRDefault="00112030" w:rsidP="00BB7C00">
      <w:pPr>
        <w:pStyle w:val="ManualHeading2"/>
        <w:pBdr>
          <w:top w:val="nil"/>
          <w:left w:val="nil"/>
          <w:bottom w:val="nil"/>
          <w:right w:val="nil"/>
          <w:between w:val="nil"/>
          <w:bar w:val="nil"/>
        </w:pBdr>
        <w:rPr>
          <w:noProof/>
        </w:rPr>
      </w:pPr>
      <w:r>
        <w:rPr>
          <w:noProof/>
        </w:rPr>
        <w:t>1.1.</w:t>
      </w:r>
      <w:r>
        <w:rPr>
          <w:noProof/>
        </w:rPr>
        <w:tab/>
      </w:r>
      <w:r w:rsidRPr="00DD3D72">
        <w:rPr>
          <w:noProof/>
        </w:rPr>
        <w:t>Acordul privind SEE</w:t>
      </w:r>
    </w:p>
    <w:p w:rsidR="00112030" w:rsidRPr="00AC41D9" w:rsidRDefault="00112030" w:rsidP="00112030">
      <w:pPr>
        <w:pStyle w:val="Body"/>
        <w:rPr>
          <w:noProof/>
          <w:spacing w:val="-3"/>
          <w:lang w:val="fr-FR"/>
        </w:rPr>
      </w:pPr>
      <w:r w:rsidRPr="00AC41D9">
        <w:rPr>
          <w:noProof/>
          <w:spacing w:val="-3"/>
          <w:lang w:val="ro-RO"/>
        </w:rPr>
        <w:t>Acordul privind Spațiul Economic European („</w:t>
      </w:r>
      <w:r w:rsidRPr="00AC41D9">
        <w:rPr>
          <w:i/>
          <w:iCs/>
          <w:noProof/>
          <w:spacing w:val="-3"/>
          <w:lang w:val="ro-RO"/>
        </w:rPr>
        <w:t>Acordul privind SEE</w:t>
      </w:r>
      <w:r w:rsidRPr="00AC41D9">
        <w:rPr>
          <w:noProof/>
          <w:spacing w:val="-3"/>
          <w:lang w:val="ro-RO"/>
        </w:rPr>
        <w:t xml:space="preserve">”) garantează drepturi și obligații egale în cadrul pieței interne pentru cetățenii și operatorii economici din SEE. </w:t>
      </w:r>
      <w:r w:rsidRPr="008618BA">
        <w:rPr>
          <w:noProof/>
          <w:spacing w:val="-3"/>
        </w:rPr>
        <w:t>Acesta prevede includerea legislației UE din domeniul celor patru libertăți în toate cele 30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politici „</w:t>
      </w:r>
      <w:r w:rsidRPr="008618BA">
        <w:rPr>
          <w:i/>
          <w:noProof/>
          <w:spacing w:val="-3"/>
        </w:rPr>
        <w:t>de sprijin și orizontale</w:t>
      </w:r>
      <w:r w:rsidRPr="008618BA">
        <w:rPr>
          <w:noProof/>
          <w:spacing w:val="-3"/>
        </w:rPr>
        <w:t xml:space="preserve">”. </w:t>
      </w:r>
      <w:r w:rsidRPr="00AC41D9">
        <w:rPr>
          <w:noProof/>
          <w:spacing w:val="-3"/>
          <w:lang w:val="fr-FR"/>
        </w:rPr>
        <w:t>Acordul privind SEE a intrat în vigoare la 1 ianuarie 1994. Uniunea, împreună cu statele sale membre, este parte la Acordul privind SEE.</w:t>
      </w:r>
    </w:p>
    <w:p w:rsidR="00112030" w:rsidRPr="00DD3D72" w:rsidRDefault="00112030" w:rsidP="00BB7C00">
      <w:pPr>
        <w:pStyle w:val="ManualHeading2"/>
        <w:pBdr>
          <w:top w:val="nil"/>
          <w:left w:val="nil"/>
          <w:bottom w:val="nil"/>
          <w:right w:val="nil"/>
          <w:between w:val="nil"/>
          <w:bar w:val="nil"/>
        </w:pBdr>
        <w:rPr>
          <w:noProof/>
        </w:rPr>
      </w:pPr>
      <w:r>
        <w:rPr>
          <w:noProof/>
        </w:rPr>
        <w:t>1.2.</w:t>
      </w:r>
      <w:r>
        <w:rPr>
          <w:noProof/>
        </w:rPr>
        <w:tab/>
      </w:r>
      <w:r w:rsidRPr="00DD3D72">
        <w:rPr>
          <w:noProof/>
        </w:rPr>
        <w:t>Comitetul mixt al SEE</w:t>
      </w:r>
    </w:p>
    <w:p w:rsidR="00112030" w:rsidRPr="00AC41D9" w:rsidRDefault="00112030" w:rsidP="00112030">
      <w:pPr>
        <w:pStyle w:val="Body"/>
        <w:rPr>
          <w:noProof/>
          <w:lang w:val="ro-RO"/>
        </w:rPr>
      </w:pPr>
      <w:r w:rsidRPr="00AC41D9">
        <w:rPr>
          <w:noProof/>
          <w:lang w:val="ro-RO"/>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DD3D72" w:rsidRDefault="00112030" w:rsidP="00BB7C00">
      <w:pPr>
        <w:pStyle w:val="ManualHeading2"/>
        <w:pBdr>
          <w:top w:val="nil"/>
          <w:left w:val="nil"/>
          <w:bottom w:val="nil"/>
          <w:right w:val="nil"/>
          <w:between w:val="nil"/>
          <w:bar w:val="nil"/>
        </w:pBdr>
        <w:rPr>
          <w:noProof/>
        </w:rPr>
      </w:pPr>
      <w:r>
        <w:rPr>
          <w:noProof/>
        </w:rPr>
        <w:t>1.3.</w:t>
      </w:r>
      <w:r>
        <w:rPr>
          <w:noProof/>
        </w:rPr>
        <w:tab/>
      </w:r>
      <w:r w:rsidRPr="00DD3D72">
        <w:rPr>
          <w:noProof/>
        </w:rPr>
        <w:t>Actul avut în vedere spre adoptare de către Comitetul mixt al SEE</w:t>
      </w:r>
    </w:p>
    <w:p w:rsidR="00112030" w:rsidRPr="00AC41D9" w:rsidRDefault="00112030" w:rsidP="00112030">
      <w:pPr>
        <w:pStyle w:val="Body"/>
        <w:rPr>
          <w:noProof/>
          <w:spacing w:val="-3"/>
          <w:lang w:val="ro-RO"/>
        </w:rPr>
      </w:pPr>
      <w:r w:rsidRPr="00AC41D9">
        <w:rPr>
          <w:noProof/>
          <w:spacing w:val="-3"/>
          <w:lang w:val="ro-RO"/>
        </w:rPr>
        <w:t>Se preconizează că Comitetul mixt al SEE va adopta Decizia Comitetului mixt al SEE („</w:t>
      </w:r>
      <w:r w:rsidRPr="00AC41D9">
        <w:rPr>
          <w:i/>
          <w:noProof/>
          <w:spacing w:val="-3"/>
          <w:lang w:val="ro-RO"/>
        </w:rPr>
        <w:t>actul avut în vedere</w:t>
      </w:r>
      <w:r w:rsidRPr="00AC41D9">
        <w:rPr>
          <w:noProof/>
          <w:spacing w:val="-3"/>
          <w:lang w:val="ro-RO"/>
        </w:rPr>
        <w:t>”) privind modificarea Protocolului 10 la Acordul privind SEE referitor la simplificarea controalelor și a formalităților pentru transportul de mărfuri și a Protocolului 31 la Acordul privind SEE referitor la cooperarea în domenii specifice în afara celor patru libertăți.</w:t>
      </w:r>
    </w:p>
    <w:p w:rsidR="001E7713" w:rsidRPr="00AC41D9" w:rsidRDefault="00112030" w:rsidP="00112030">
      <w:pPr>
        <w:pStyle w:val="Body"/>
        <w:rPr>
          <w:rFonts w:eastAsia="Arial Unicode MS" w:cs="Arial Unicode MS"/>
          <w:noProof/>
          <w:lang w:val="ro-RO"/>
        </w:rPr>
      </w:pPr>
      <w:r w:rsidRPr="00AC41D9">
        <w:rPr>
          <w:noProof/>
          <w:lang w:val="ro-RO"/>
        </w:rPr>
        <w:t xml:space="preserve">Scopul actului avut în vedere este de a dispune de </w:t>
      </w:r>
      <w:bookmarkStart w:id="1" w:name="_Hlk229501823"/>
      <w:r w:rsidRPr="00AC41D9">
        <w:rPr>
          <w:noProof/>
          <w:lang w:val="ro-RO"/>
        </w:rPr>
        <w:t xml:space="preserve">o contribuție financiară din partea statelor AELS care fac parte din SEE la operarea sistemelor necesare pentru funcționarea CBAM în întregul SEE prin actualizarea Protocoalelor 10 și 31 la Acordul privind SEE, în paralel cu încorporarea </w:t>
      </w:r>
      <w:bookmarkEnd w:id="1"/>
      <w:r w:rsidRPr="00AC41D9">
        <w:rPr>
          <w:noProof/>
          <w:lang w:val="ro-RO"/>
        </w:rPr>
        <w:t xml:space="preserve">în Acordul privind SEE a </w:t>
      </w:r>
      <w:bookmarkStart w:id="2" w:name="_Hlk82077743"/>
      <w:r w:rsidRPr="00AC41D9">
        <w:rPr>
          <w:noProof/>
          <w:lang w:val="ro-RO"/>
        </w:rPr>
        <w:t>Regulamentului (UE) 2023/956 privind instituirea unui mecanism de ajustare a carbonului la frontieră („CBAM”)</w:t>
      </w:r>
      <w:r w:rsidRPr="00DD3D72">
        <w:rPr>
          <w:rStyle w:val="FootnoteReference"/>
          <w:noProof/>
          <w:color w:val="000000" w:themeColor="text1"/>
        </w:rPr>
        <w:footnoteReference w:id="1"/>
      </w:r>
      <w:bookmarkEnd w:id="2"/>
      <w:r w:rsidRPr="00AC41D9">
        <w:rPr>
          <w:noProof/>
          <w:lang w:val="ro-RO"/>
        </w:rPr>
        <w:t xml:space="preserve"> și a Regulamentului (UE) 2025/2083 de modificare a Regulamentului (UE) 2023/956 în ceea ce privește simplificarea și consolidarea CBAM</w:t>
      </w:r>
      <w:r w:rsidRPr="00DD3D72">
        <w:rPr>
          <w:rStyle w:val="FootnoteReference"/>
          <w:noProof/>
          <w:color w:val="000000" w:themeColor="text1"/>
        </w:rPr>
        <w:footnoteReference w:id="2"/>
      </w:r>
      <w:r w:rsidRPr="00AC41D9">
        <w:rPr>
          <w:noProof/>
          <w:lang w:val="ro-RO"/>
        </w:rPr>
        <w:t xml:space="preserve"> printr-o decizie separată a Comitetului mixt al SEE.</w:t>
      </w:r>
    </w:p>
    <w:p w:rsidR="00AB72F8" w:rsidRPr="00DD3D72" w:rsidRDefault="00AB72F8" w:rsidP="00AB72F8">
      <w:pPr>
        <w:pStyle w:val="Body"/>
        <w:rPr>
          <w:rFonts w:eastAsia="Arial Unicode MS" w:cs="Arial Unicode MS"/>
          <w:noProof/>
        </w:rPr>
      </w:pPr>
      <w:r w:rsidRPr="00DD3D72">
        <w:rPr>
          <w:noProof/>
        </w:rPr>
        <w:t xml:space="preserve">Actul avut în vedere va deveni obligatoriu pentru părți în conformitate cu articolele 103 și 104 din Acordul privind SEE. </w:t>
      </w:r>
    </w:p>
    <w:p w:rsidR="00AB72F8" w:rsidRPr="00DD3D72" w:rsidRDefault="00AB72F8" w:rsidP="00112030">
      <w:pPr>
        <w:pStyle w:val="Body"/>
        <w:rPr>
          <w:noProof/>
        </w:rPr>
      </w:pPr>
    </w:p>
    <w:p w:rsidR="00112030" w:rsidRPr="00DD3D72" w:rsidRDefault="00112030" w:rsidP="00BB7C00">
      <w:pPr>
        <w:pStyle w:val="Heading"/>
        <w:numPr>
          <w:ilvl w:val="0"/>
          <w:numId w:val="1"/>
        </w:numPr>
        <w:rPr>
          <w:noProof/>
        </w:rPr>
      </w:pPr>
      <w:r w:rsidRPr="00DD3D72">
        <w:rPr>
          <w:noProof/>
        </w:rPr>
        <w:t>Poziția care urmează să fie adoptată în numele Uniunii</w:t>
      </w:r>
    </w:p>
    <w:p w:rsidR="00112030" w:rsidRPr="00DD3D72" w:rsidRDefault="00112030" w:rsidP="00112030">
      <w:pPr>
        <w:pStyle w:val="Body"/>
        <w:rPr>
          <w:noProof/>
        </w:rPr>
      </w:pPr>
      <w:r w:rsidRPr="00DD3D72">
        <w:rPr>
          <w:noProof/>
        </w:rPr>
        <w:t>Comisia prezintă proiectul de decizie anexat a Comitetului mixt al SEE în vederea adoptării sale de către Consiliu ca poziție a Uniunii. Odată adoptată, poziția ar trebui să fie prezentată în cel mai scurt timp în cadrul Comitetului mixt al SEE.</w:t>
      </w:r>
    </w:p>
    <w:p w:rsidR="00112030" w:rsidRPr="00DD3D72" w:rsidRDefault="00112030" w:rsidP="00112030">
      <w:pPr>
        <w:pStyle w:val="Body"/>
        <w:rPr>
          <w:rFonts w:eastAsia="Arial Unicode MS" w:cs="Arial Unicode MS"/>
          <w:noProof/>
        </w:rPr>
      </w:pPr>
      <w:r w:rsidRPr="00DD3D72">
        <w:rPr>
          <w:noProof/>
        </w:rPr>
        <w:t>Proiectul de decizie a Comitetului mixt al SEE anexat prevede o contribuție financiară din partea statelor AELS care fac parte din SEE la operarea sistemelor necesare pentru funcționarea CBAM în întregul SEE prin actualizarea protocoalelor 10 și 31 la Acordul privind SEE, care depășește ceea ce se poate considera simple adaptări tehnice în sensul Regulamentului (CE) nr. 2894/94 al Consiliului</w:t>
      </w:r>
      <w:r w:rsidRPr="00DD3D72">
        <w:rPr>
          <w:rStyle w:val="FootnoteReference"/>
          <w:rFonts w:eastAsia="Arial Unicode MS" w:cs="Arial Unicode MS"/>
          <w:noProof/>
        </w:rPr>
        <w:footnoteReference w:id="3"/>
      </w:r>
      <w:r w:rsidRPr="00DD3D72">
        <w:rPr>
          <w:noProof/>
        </w:rPr>
        <w:t xml:space="preserve">. Prin urmare, poziția Uniunii trebuie stabilită de Consiliu. </w:t>
      </w:r>
    </w:p>
    <w:p w:rsidR="001E7713" w:rsidRPr="00DD3D72" w:rsidRDefault="001E7713" w:rsidP="00112030">
      <w:pPr>
        <w:pStyle w:val="Body"/>
        <w:rPr>
          <w:noProof/>
        </w:rPr>
      </w:pPr>
      <w:r w:rsidRPr="00DD3D72">
        <w:rPr>
          <w:noProof/>
        </w:rPr>
        <w:t>Prezenta decizie trebuie luată în paralel cu încorporarea în Acordul privind SEE a Regulamentului (UE) 2023/956 privind instituirea unui mecanism de ajustare a carbonului la frontieră („CBAM”)</w:t>
      </w:r>
      <w:r w:rsidRPr="00DD3D72">
        <w:rPr>
          <w:rStyle w:val="FootnoteReference"/>
          <w:noProof/>
          <w:color w:val="000000" w:themeColor="text1"/>
        </w:rPr>
        <w:footnoteReference w:id="4"/>
      </w:r>
      <w:r w:rsidRPr="00DD3D72">
        <w:rPr>
          <w:noProof/>
        </w:rPr>
        <w:t xml:space="preserve"> și a Regulamentului (UE) 2025/2083 de modificare a Regulamentului (UE) 2023/956 în ceea ce privește simplificarea și consolidarea CBAM</w:t>
      </w:r>
      <w:r w:rsidRPr="00DD3D72">
        <w:rPr>
          <w:rStyle w:val="FootnoteReference"/>
          <w:noProof/>
          <w:color w:val="000000" w:themeColor="text1"/>
        </w:rPr>
        <w:footnoteReference w:id="5"/>
      </w:r>
      <w:r w:rsidRPr="00DD3D72">
        <w:rPr>
          <w:noProof/>
        </w:rPr>
        <w:t xml:space="preserve"> printr-o decizie separată a Comitetului mixt al SEE.</w:t>
      </w:r>
    </w:p>
    <w:p w:rsidR="00112030" w:rsidRPr="00DD3D72" w:rsidRDefault="00112030" w:rsidP="00BB7C00">
      <w:pPr>
        <w:pStyle w:val="Heading"/>
        <w:numPr>
          <w:ilvl w:val="0"/>
          <w:numId w:val="1"/>
        </w:numPr>
        <w:rPr>
          <w:noProof/>
        </w:rPr>
      </w:pPr>
      <w:r w:rsidRPr="00DD3D72">
        <w:rPr>
          <w:noProof/>
        </w:rPr>
        <w:t>Temei juridic</w:t>
      </w:r>
    </w:p>
    <w:p w:rsidR="00112030" w:rsidRPr="00DD3D72" w:rsidRDefault="00112030" w:rsidP="00BB7C00">
      <w:pPr>
        <w:pStyle w:val="ManualHeading2"/>
        <w:pBdr>
          <w:top w:val="nil"/>
          <w:left w:val="nil"/>
          <w:bottom w:val="nil"/>
          <w:right w:val="nil"/>
          <w:between w:val="nil"/>
          <w:bar w:val="nil"/>
        </w:pBdr>
        <w:rPr>
          <w:noProof/>
        </w:rPr>
      </w:pPr>
      <w:r>
        <w:rPr>
          <w:noProof/>
        </w:rPr>
        <w:t>1.4.</w:t>
      </w:r>
      <w:r>
        <w:rPr>
          <w:noProof/>
        </w:rPr>
        <w:tab/>
      </w:r>
      <w:r w:rsidRPr="00DD3D72">
        <w:rPr>
          <w:noProof/>
        </w:rPr>
        <w:t>Temeiul juridic procedural</w:t>
      </w:r>
    </w:p>
    <w:p w:rsidR="00112030" w:rsidRPr="00DD3D72" w:rsidRDefault="00112030" w:rsidP="00BB7C00">
      <w:pPr>
        <w:pStyle w:val="ManualHeading3"/>
        <w:pBdr>
          <w:top w:val="nil"/>
          <w:left w:val="nil"/>
          <w:bottom w:val="nil"/>
          <w:right w:val="nil"/>
          <w:between w:val="nil"/>
          <w:bar w:val="nil"/>
        </w:pBdr>
        <w:rPr>
          <w:noProof/>
        </w:rPr>
      </w:pPr>
      <w:r>
        <w:rPr>
          <w:noProof/>
        </w:rPr>
        <w:t>1.4.1.</w:t>
      </w:r>
      <w:r>
        <w:rPr>
          <w:noProof/>
        </w:rPr>
        <w:tab/>
      </w:r>
      <w:r w:rsidRPr="00DD3D72">
        <w:rPr>
          <w:noProof/>
        </w:rPr>
        <w:t>Principii</w:t>
      </w:r>
    </w:p>
    <w:p w:rsidR="00112030" w:rsidRPr="00AC41D9" w:rsidRDefault="00112030" w:rsidP="00112030">
      <w:pPr>
        <w:pStyle w:val="Body"/>
        <w:rPr>
          <w:noProof/>
          <w:lang w:val="ro-RO"/>
        </w:rPr>
      </w:pPr>
      <w:r w:rsidRPr="00AC41D9">
        <w:rPr>
          <w:noProof/>
          <w:lang w:val="ro-RO"/>
        </w:rPr>
        <w:t>Articolul 218 alineatul (9) din Tratatul privind funcționarea Uniunii Europene (TFUE) prevede adoptarea unor decizii de stabilire „</w:t>
      </w:r>
      <w:r w:rsidRPr="00AC41D9">
        <w:rPr>
          <w:i/>
          <w:noProof/>
          <w:lang w:val="ro-RO"/>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AC41D9">
        <w:rPr>
          <w:noProof/>
          <w:lang w:val="ro-RO"/>
        </w:rPr>
        <w:t>”.</w:t>
      </w:r>
    </w:p>
    <w:p w:rsidR="00112030" w:rsidRPr="00AC41D9" w:rsidRDefault="00112030" w:rsidP="00112030">
      <w:pPr>
        <w:pStyle w:val="Body"/>
        <w:rPr>
          <w:noProof/>
          <w:lang w:val="fr-FR"/>
        </w:rPr>
      </w:pPr>
      <w:r w:rsidRPr="00AC41D9">
        <w:rPr>
          <w:noProof/>
          <w:lang w:val="fr-FR"/>
        </w:rPr>
        <w:t>Noțiunea de „</w:t>
      </w:r>
      <w:r w:rsidRPr="00AC41D9">
        <w:rPr>
          <w:i/>
          <w:noProof/>
          <w:lang w:val="fr-FR"/>
        </w:rPr>
        <w:t>acte cu efecte juridice</w:t>
      </w:r>
      <w:r w:rsidRPr="00AC41D9">
        <w:rPr>
          <w:noProof/>
          <w:lang w:val="fr-FR"/>
        </w:rPr>
        <w:t xml:space="preserve">” include actele care au efecte juridice în temeiul normelor de drept internațional aplicabile organismului în cauză. Aceasta include totodată instrumente care nu au un caracter obligatoriu în temeiul dreptului internațional, dar care </w:t>
      </w:r>
      <w:r w:rsidRPr="00AC41D9">
        <w:rPr>
          <w:i/>
          <w:noProof/>
          <w:lang w:val="fr-FR"/>
        </w:rPr>
        <w:t>„au vocația de a influența în mod decisiv conținutul reglementării adoptate de legiuitorul Uniunii”</w:t>
      </w:r>
      <w:r w:rsidRPr="00DD3D72">
        <w:rPr>
          <w:rStyle w:val="FootnoteReference"/>
          <w:noProof/>
        </w:rPr>
        <w:footnoteReference w:id="6"/>
      </w:r>
      <w:r w:rsidRPr="00AC41D9">
        <w:rPr>
          <w:noProof/>
          <w:lang w:val="fr-FR"/>
        </w:rPr>
        <w:t>.</w:t>
      </w:r>
    </w:p>
    <w:p w:rsidR="00112030" w:rsidRPr="00DD3D72" w:rsidRDefault="00112030" w:rsidP="00BB7C00">
      <w:pPr>
        <w:pStyle w:val="ManualHeading3"/>
        <w:pBdr>
          <w:top w:val="nil"/>
          <w:left w:val="nil"/>
          <w:bottom w:val="nil"/>
          <w:right w:val="nil"/>
          <w:between w:val="nil"/>
          <w:bar w:val="nil"/>
        </w:pBdr>
        <w:rPr>
          <w:noProof/>
        </w:rPr>
      </w:pPr>
      <w:r>
        <w:rPr>
          <w:noProof/>
        </w:rPr>
        <w:t>1.4.2.</w:t>
      </w:r>
      <w:r>
        <w:rPr>
          <w:noProof/>
        </w:rPr>
        <w:tab/>
      </w:r>
      <w:r w:rsidRPr="00DD3D72">
        <w:rPr>
          <w:noProof/>
        </w:rPr>
        <w:t>Aplicarea la cazul în speță</w:t>
      </w:r>
    </w:p>
    <w:p w:rsidR="00112030" w:rsidRPr="00DD3D72" w:rsidRDefault="00112030" w:rsidP="00112030">
      <w:pPr>
        <w:pStyle w:val="Body"/>
        <w:rPr>
          <w:noProof/>
        </w:rPr>
      </w:pPr>
      <w:r w:rsidRPr="00DD3D72">
        <w:rPr>
          <w:noProof/>
        </w:rPr>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103 și 104 din Acordul privind SEE. </w:t>
      </w:r>
    </w:p>
    <w:p w:rsidR="00112030" w:rsidRPr="00AC41D9" w:rsidRDefault="00112030" w:rsidP="00112030">
      <w:pPr>
        <w:pStyle w:val="Body"/>
        <w:rPr>
          <w:noProof/>
          <w:spacing w:val="-3"/>
          <w:lang w:val="fr-FR"/>
        </w:rPr>
      </w:pPr>
      <w:r w:rsidRPr="00AC41D9">
        <w:rPr>
          <w:noProof/>
          <w:spacing w:val="-3"/>
          <w:lang w:val="fr-FR"/>
        </w:rPr>
        <w:t>Actul avut în vedere nu completează și nu aduce modificări cadrului instituțional al acordului. Prin urmare, temeiul juridic procedural al deciziei propuse este articolul 218 alineatul (9) din TFUE, coroborat cu articolul 1 alineatul (3) din Regulamentul (CE) nr. 2894/94 al Consiliului.</w:t>
      </w:r>
    </w:p>
    <w:p w:rsidR="00112030" w:rsidRPr="00DD3D72" w:rsidRDefault="00112030" w:rsidP="00BB7C00">
      <w:pPr>
        <w:pStyle w:val="ManualHeading2"/>
        <w:pBdr>
          <w:top w:val="nil"/>
          <w:left w:val="nil"/>
          <w:bottom w:val="nil"/>
          <w:right w:val="nil"/>
          <w:between w:val="nil"/>
          <w:bar w:val="nil"/>
        </w:pBdr>
        <w:rPr>
          <w:noProof/>
        </w:rPr>
      </w:pPr>
      <w:r>
        <w:rPr>
          <w:noProof/>
        </w:rPr>
        <w:t>1.5.</w:t>
      </w:r>
      <w:r>
        <w:rPr>
          <w:noProof/>
        </w:rPr>
        <w:tab/>
      </w:r>
      <w:r w:rsidRPr="00DD3D72">
        <w:rPr>
          <w:noProof/>
        </w:rPr>
        <w:t>Temeiul juridic material</w:t>
      </w:r>
    </w:p>
    <w:p w:rsidR="00112030" w:rsidRPr="00DD3D72" w:rsidRDefault="00112030" w:rsidP="00BB7C00">
      <w:pPr>
        <w:pStyle w:val="ManualHeading3"/>
        <w:pBdr>
          <w:top w:val="nil"/>
          <w:left w:val="nil"/>
          <w:bottom w:val="nil"/>
          <w:right w:val="nil"/>
          <w:between w:val="nil"/>
          <w:bar w:val="nil"/>
        </w:pBdr>
        <w:rPr>
          <w:noProof/>
        </w:rPr>
      </w:pPr>
      <w:r>
        <w:rPr>
          <w:noProof/>
        </w:rPr>
        <w:t>1.5.1.</w:t>
      </w:r>
      <w:r>
        <w:rPr>
          <w:noProof/>
        </w:rPr>
        <w:tab/>
      </w:r>
      <w:r w:rsidRPr="00DD3D72">
        <w:rPr>
          <w:noProof/>
        </w:rPr>
        <w:t>Principii</w:t>
      </w:r>
    </w:p>
    <w:p w:rsidR="00112030" w:rsidRPr="00AC41D9" w:rsidRDefault="00112030" w:rsidP="00112030">
      <w:pPr>
        <w:pStyle w:val="Body"/>
        <w:rPr>
          <w:noProof/>
          <w:lang w:val="ro-RO"/>
        </w:rPr>
      </w:pPr>
      <w:r w:rsidRPr="00AC41D9">
        <w:rPr>
          <w:noProof/>
          <w:lang w:val="ro-RO"/>
        </w:rPr>
        <w:t xml:space="preserve">Temeiul juridic material al unei decizii adoptate în temeiul articolului 218 alineatul (9) din TFUE, coroborat cu articolul 1 alineatul (3) din Regulamentul (CE) nr. 2894/94 al Consiliului, depinde în primul rând de temeiul juridic material al actului juridic al UE care urmează să fie încorporat în Acordul privind SEE. </w:t>
      </w:r>
    </w:p>
    <w:p w:rsidR="00112030" w:rsidRPr="00AC41D9" w:rsidRDefault="00112030" w:rsidP="00112030">
      <w:pPr>
        <w:pStyle w:val="Body"/>
        <w:rPr>
          <w:noProof/>
          <w:lang w:val="ro-RO"/>
        </w:rPr>
      </w:pPr>
      <w:r w:rsidRPr="00AC41D9">
        <w:rPr>
          <w:noProof/>
          <w:lang w:val="ro-RO"/>
        </w:rPr>
        <w:t>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112030" w:rsidRPr="00DD3D72" w:rsidRDefault="00112030" w:rsidP="00BB7C00">
      <w:pPr>
        <w:pStyle w:val="ManualHeading3"/>
        <w:pBdr>
          <w:top w:val="nil"/>
          <w:left w:val="nil"/>
          <w:bottom w:val="nil"/>
          <w:right w:val="nil"/>
          <w:between w:val="nil"/>
          <w:bar w:val="nil"/>
        </w:pBdr>
        <w:rPr>
          <w:noProof/>
        </w:rPr>
      </w:pPr>
      <w:r>
        <w:rPr>
          <w:noProof/>
        </w:rPr>
        <w:t>1.5.2.</w:t>
      </w:r>
      <w:r>
        <w:rPr>
          <w:noProof/>
        </w:rPr>
        <w:tab/>
      </w:r>
      <w:r w:rsidRPr="00DD3D72">
        <w:rPr>
          <w:noProof/>
        </w:rPr>
        <w:t>Aplicarea la cazul în speță</w:t>
      </w:r>
    </w:p>
    <w:p w:rsidR="00112030" w:rsidRPr="00DD3D72" w:rsidRDefault="00112030" w:rsidP="00112030">
      <w:pPr>
        <w:pStyle w:val="Body"/>
        <w:rPr>
          <w:noProof/>
        </w:rPr>
      </w:pPr>
      <w:r w:rsidRPr="00AC41D9">
        <w:rPr>
          <w:noProof/>
          <w:lang w:val="ro-RO"/>
        </w:rPr>
        <w:t>Întrucât decizia Comitetului mixt prevede o contribuție financiară din partea statelor AELS care fac parte din SEE la operarea sistemelor necesare pentru funcționarea CBAM în întregul SEE prin actualizarea Protocoalelor 10 și 31 la Acordul privind SEE, în paralel cu încorporarea în Acordul privind SEE a Regulamentului (UE) 2023/956 privind instituirea unui mecanism de ajustare a carbonului la frontieră („CBAM”)</w:t>
      </w:r>
      <w:r w:rsidRPr="00DD3D72">
        <w:rPr>
          <w:rStyle w:val="FootnoteReference"/>
          <w:noProof/>
          <w:color w:val="000000" w:themeColor="text1"/>
        </w:rPr>
        <w:footnoteReference w:id="7"/>
      </w:r>
      <w:r w:rsidRPr="00AC41D9">
        <w:rPr>
          <w:noProof/>
          <w:lang w:val="ro-RO"/>
        </w:rPr>
        <w:t xml:space="preserve"> și a Regulamentului (UE) 2025/2083 de modificare a Regulamentului (UE) 2023/956 în ceea ce privește simplificarea și consolidarea CBAM</w:t>
      </w:r>
      <w:r w:rsidRPr="00DD3D72">
        <w:rPr>
          <w:rStyle w:val="FootnoteReference"/>
          <w:noProof/>
          <w:color w:val="000000" w:themeColor="text1"/>
        </w:rPr>
        <w:footnoteReference w:id="8"/>
      </w:r>
      <w:r w:rsidRPr="00AC41D9">
        <w:rPr>
          <w:noProof/>
          <w:lang w:val="ro-RO"/>
        </w:rPr>
        <w:t xml:space="preserve"> printr-o decizie separată a Comitetului mixt al SEE, este oportun ca prezenta decizie a Consiliului să se întemeieze pe același temei juridic material ca actul încorporat. </w:t>
      </w:r>
      <w:r w:rsidRPr="00DD3D72">
        <w:rPr>
          <w:noProof/>
        </w:rPr>
        <w:t>Prin urmare, temeiul juridic material al deciziei propuse este articolul 192 alineatul (1) din TFUE.</w:t>
      </w:r>
    </w:p>
    <w:p w:rsidR="00112030" w:rsidRPr="00DD3D72" w:rsidRDefault="00112030" w:rsidP="00BB7C00">
      <w:pPr>
        <w:pStyle w:val="ManualHeading2"/>
        <w:pBdr>
          <w:top w:val="nil"/>
          <w:left w:val="nil"/>
          <w:bottom w:val="nil"/>
          <w:right w:val="nil"/>
          <w:between w:val="nil"/>
          <w:bar w:val="nil"/>
        </w:pBdr>
        <w:rPr>
          <w:noProof/>
        </w:rPr>
      </w:pPr>
      <w:r>
        <w:rPr>
          <w:noProof/>
        </w:rPr>
        <w:t>1.6.</w:t>
      </w:r>
      <w:r>
        <w:rPr>
          <w:noProof/>
        </w:rPr>
        <w:tab/>
      </w:r>
      <w:r w:rsidRPr="00DD3D72">
        <w:rPr>
          <w:noProof/>
        </w:rPr>
        <w:t>Concluzie</w:t>
      </w:r>
    </w:p>
    <w:p w:rsidR="00112030" w:rsidRPr="00AC41D9" w:rsidRDefault="00112030" w:rsidP="00112030">
      <w:pPr>
        <w:pStyle w:val="Body"/>
        <w:rPr>
          <w:noProof/>
          <w:lang w:val="ro-RO"/>
        </w:rPr>
      </w:pPr>
      <w:r w:rsidRPr="00AC41D9">
        <w:rPr>
          <w:noProof/>
          <w:lang w:val="ro-RO"/>
        </w:rPr>
        <w:t>Temeiul juridic al deciziei propuse ar trebui să fie articolul 192 alineatul (1) din TFUE, coroborat cu articolul 218 alineatul (9) din TFUE și cu articolul 1 alineatul (3) din Regulamentul (CE) nr. 2894/94 al Consiliului.</w:t>
      </w:r>
    </w:p>
    <w:p w:rsidR="00112030" w:rsidRPr="00DD3D72" w:rsidRDefault="00112030" w:rsidP="00BB7C00">
      <w:pPr>
        <w:pStyle w:val="Heading"/>
        <w:numPr>
          <w:ilvl w:val="0"/>
          <w:numId w:val="1"/>
        </w:numPr>
        <w:rPr>
          <w:noProof/>
        </w:rPr>
      </w:pPr>
      <w:r w:rsidRPr="00DD3D72">
        <w:rPr>
          <w:noProof/>
        </w:rPr>
        <w:t>Publicarea actului avut în vedere</w:t>
      </w:r>
    </w:p>
    <w:p w:rsidR="00112030" w:rsidRPr="00DD3D72" w:rsidRDefault="00112030" w:rsidP="00112030">
      <w:pPr>
        <w:pStyle w:val="Body"/>
        <w:rPr>
          <w:noProof/>
        </w:rPr>
      </w:pPr>
      <w:r w:rsidRPr="00DD3D72">
        <w:rPr>
          <w:noProof/>
        </w:rPr>
        <w:t xml:space="preserve">Întrucât actul Comitetului mixt al SEE va modifica Protocolul 10 la Acordul privind SEE referitor la simplificarea controalelor și a formalităților pentru transportul de mărfuri și Protocolul 31 la Acordul privind SEE referitor la cooperarea în domenii specifice în afara celor patru libertăți, este oportună publicarea acestuia, după adoptare, în </w:t>
      </w:r>
      <w:r w:rsidRPr="00DD3D72">
        <w:rPr>
          <w:i/>
          <w:noProof/>
        </w:rPr>
        <w:t>Jurnalul Oficial al Uniunii Europene</w:t>
      </w:r>
      <w:r w:rsidRPr="00DD3D72">
        <w:rPr>
          <w:noProof/>
        </w:rPr>
        <w:t>.</w:t>
      </w:r>
    </w:p>
    <w:p w:rsidR="00112030" w:rsidRPr="00DD3D72" w:rsidRDefault="00112030" w:rsidP="00112030">
      <w:pPr>
        <w:pStyle w:val="ManualHeading1"/>
        <w:rPr>
          <w:i/>
          <w:iCs/>
          <w:noProof/>
        </w:rPr>
      </w:pPr>
    </w:p>
    <w:p w:rsidR="00112030" w:rsidRPr="00DD3D72" w:rsidRDefault="00112030" w:rsidP="00112030">
      <w:pPr>
        <w:pStyle w:val="BodyText2"/>
        <w:jc w:val="both"/>
        <w:rPr>
          <w:i w:val="0"/>
          <w:iCs w:val="0"/>
          <w:noProof/>
        </w:rPr>
      </w:pPr>
    </w:p>
    <w:p w:rsidR="00112030" w:rsidRPr="00DD3D72" w:rsidRDefault="00112030" w:rsidP="00112030">
      <w:pPr>
        <w:pStyle w:val="Body"/>
        <w:rPr>
          <w:noProof/>
        </w:rPr>
        <w:sectPr w:rsidR="00112030" w:rsidRPr="00DD3D72" w:rsidSect="006A5F70">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861DFF" w:rsidRDefault="003D6066">
      <w:pPr>
        <w:pStyle w:val="Rfrenceinterinstitutionnelle"/>
        <w:rPr>
          <w:noProof/>
        </w:rPr>
      </w:pPr>
      <w:r>
        <w:rPr>
          <w:noProof/>
        </w:rPr>
        <w:t>2026/0223 (NLE)</w:t>
      </w:r>
    </w:p>
    <w:p w:rsidR="00112030" w:rsidRPr="00DD3D72" w:rsidRDefault="00DD3D72" w:rsidP="00DD3D72">
      <w:pPr>
        <w:pStyle w:val="Statut"/>
        <w:rPr>
          <w:noProof/>
        </w:rPr>
      </w:pPr>
      <w:r w:rsidRPr="00DD3D72">
        <w:rPr>
          <w:noProof/>
        </w:rPr>
        <w:t>Propunere de</w:t>
      </w:r>
    </w:p>
    <w:p w:rsidR="00112030" w:rsidRPr="00DD3D72" w:rsidRDefault="00DD3D72" w:rsidP="00DD3D72">
      <w:pPr>
        <w:pStyle w:val="Typedudocument"/>
        <w:rPr>
          <w:noProof/>
        </w:rPr>
      </w:pPr>
      <w:r w:rsidRPr="00DD3D72">
        <w:rPr>
          <w:noProof/>
        </w:rPr>
        <w:t>DECIZIE A CONSILIULUI</w:t>
      </w:r>
    </w:p>
    <w:p w:rsidR="00112030" w:rsidRPr="00DD3D72" w:rsidRDefault="00DD3D72" w:rsidP="00DD3D72">
      <w:pPr>
        <w:pStyle w:val="Titreobjet"/>
        <w:rPr>
          <w:noProof/>
        </w:rPr>
      </w:pPr>
      <w:r w:rsidRPr="00DD3D72">
        <w:rPr>
          <w:noProof/>
        </w:rPr>
        <w:t xml:space="preserve">privind poziția care urmează să fie luată, în numele Uniunii Europene, în cadrul Comitetului mixt al SEE cu privire la o modificare a Protocolului 10 la Acordul privind SEE referitor la simplificarea controalelor și a formalităților pentru transportul de mărfuri și a Protocolului 31 la Acordul privind SEE referitor la cooperarea în domenii specifice în afara celor patru libertăți </w:t>
      </w:r>
      <w:r w:rsidRPr="00DD3D72">
        <w:rPr>
          <w:noProof/>
        </w:rPr>
        <w:br/>
        <w:t xml:space="preserve"> </w:t>
      </w:r>
      <w:r w:rsidRPr="00DD3D72">
        <w:rPr>
          <w:noProof/>
        </w:rPr>
        <w:br/>
        <w:t xml:space="preserve">(Contribuția financiară la CBAM) </w:t>
      </w:r>
      <w:r w:rsidRPr="00DD3D72">
        <w:rPr>
          <w:noProof/>
        </w:rPr>
        <w:br/>
        <w:t xml:space="preserve"> </w:t>
      </w:r>
      <w:r w:rsidRPr="00DD3D72">
        <w:rPr>
          <w:noProof/>
        </w:rPr>
        <w:br/>
      </w:r>
    </w:p>
    <w:p w:rsidR="00112030" w:rsidRPr="00DD3D72" w:rsidRDefault="00DD3D72" w:rsidP="00DD3D72">
      <w:pPr>
        <w:pStyle w:val="IntrtEEE"/>
        <w:rPr>
          <w:noProof/>
        </w:rPr>
      </w:pPr>
      <w:r w:rsidRPr="00DD3D72">
        <w:rPr>
          <w:noProof/>
        </w:rPr>
        <w:t>(Text cu relevanță pentru SEE)</w:t>
      </w:r>
    </w:p>
    <w:p w:rsidR="00112030" w:rsidRPr="00DD3D72" w:rsidRDefault="00112030" w:rsidP="00112030">
      <w:pPr>
        <w:pStyle w:val="Institutionquiagit"/>
        <w:rPr>
          <w:noProof/>
        </w:rPr>
      </w:pPr>
      <w:r w:rsidRPr="00DD3D72">
        <w:rPr>
          <w:noProof/>
        </w:rPr>
        <w:t>CONSILIUL UNIUNII EUROPENE,</w:t>
      </w:r>
    </w:p>
    <w:p w:rsidR="00112030" w:rsidRPr="00DD3D72" w:rsidRDefault="00112030" w:rsidP="00112030">
      <w:pPr>
        <w:rPr>
          <w:noProof/>
        </w:rPr>
      </w:pPr>
      <w:r w:rsidRPr="00DD3D72">
        <w:rPr>
          <w:noProof/>
        </w:rPr>
        <w:t>având în vedere Tratatul privind funcționarea Uniunii Europene, în special articolul 192 alineatul (1) din TFUE, coroborat cu articolul 218 alineatul (9),</w:t>
      </w:r>
    </w:p>
    <w:p w:rsidR="00112030" w:rsidRPr="00DD3D72" w:rsidRDefault="00112030" w:rsidP="00112030">
      <w:pPr>
        <w:rPr>
          <w:noProof/>
        </w:rPr>
      </w:pPr>
      <w:r w:rsidRPr="00DD3D72">
        <w:rPr>
          <w:noProof/>
        </w:rPr>
        <w:t>având în vedere Regulamentul (CE) nr. 2894/94 al Consiliului din 28 noiembrie 1994 privind normele de punere în aplicare a Acordului privind Spațiul Economic European</w:t>
      </w:r>
      <w:r w:rsidRPr="00DD3D72">
        <w:rPr>
          <w:rStyle w:val="FootnoteReference"/>
          <w:noProof/>
        </w:rPr>
        <w:footnoteReference w:id="9"/>
      </w:r>
      <w:r w:rsidRPr="00DD3D72">
        <w:rPr>
          <w:noProof/>
        </w:rPr>
        <w:t>, în special articolul 1 alineatul (3),</w:t>
      </w:r>
    </w:p>
    <w:p w:rsidR="00112030" w:rsidRPr="00DD3D72" w:rsidRDefault="00112030" w:rsidP="00112030">
      <w:pPr>
        <w:rPr>
          <w:noProof/>
        </w:rPr>
      </w:pPr>
      <w:r w:rsidRPr="00DD3D72">
        <w:rPr>
          <w:noProof/>
        </w:rPr>
        <w:t>având în vedere propunerea Comisiei Europene,</w:t>
      </w:r>
    </w:p>
    <w:p w:rsidR="00112030" w:rsidRPr="00DD3D72" w:rsidRDefault="00112030" w:rsidP="00112030">
      <w:pPr>
        <w:rPr>
          <w:noProof/>
        </w:rPr>
      </w:pPr>
      <w:r w:rsidRPr="00DD3D72">
        <w:rPr>
          <w:noProof/>
        </w:rPr>
        <w:t>întrucât:</w:t>
      </w:r>
    </w:p>
    <w:p w:rsidR="00112030" w:rsidRPr="00DD3D72"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DD3D72">
        <w:rPr>
          <w:noProof/>
        </w:rPr>
        <w:t>Acordul privind Spațiul Economic European („Acordul privind SEE”)</w:t>
      </w:r>
      <w:r w:rsidRPr="00DD3D72">
        <w:rPr>
          <w:rStyle w:val="FootnoteReference"/>
          <w:rFonts w:eastAsia="Times New Roman"/>
          <w:noProof/>
        </w:rPr>
        <w:footnoteReference w:id="10"/>
      </w:r>
      <w:r w:rsidRPr="00DD3D72">
        <w:rPr>
          <w:noProof/>
        </w:rPr>
        <w:t xml:space="preserve"> a intrat în vigoare la 1 ianuarie 1994.</w:t>
      </w:r>
    </w:p>
    <w:p w:rsidR="00112030" w:rsidRPr="00DD3D72"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DD3D72">
        <w:rPr>
          <w:noProof/>
        </w:rPr>
        <w:t>În temeiul articolului 98 din Acordul privind SEE, Comitetul mixt al SEE poate decide să modifice, printre altele, Protocolul 10 la Acordul privind SEE referitor la simplificarea controalelor și a formalităților pentru transportul de mărfuri și Protocolul 31 la Acordul privind SEE referitor la cooperarea în domenii specifice în afara celor patru libertăți.</w:t>
      </w:r>
    </w:p>
    <w:p w:rsidR="001E7713" w:rsidRPr="00DD3D72" w:rsidRDefault="00FD2436"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DD3D72">
        <w:rPr>
          <w:noProof/>
        </w:rPr>
        <w:t>Statele AELS care fac parte din SEE ar trebui să contribuie financiar la operarea sistemelor necesare pentru funcționarea CBAM în întregul SEE prin intermediul unui mecanism instituit în paralel printr-o decizie separată a Comitetului mixt al SEE, prin actualizarea Protocolului 10 la Acordul privind SEE referitor la simplificarea controalelor și a formalităților pentru transportul de mărfuri și a Protocolului 31 la Acordul privind SEE referitor la cooperarea în domenii specifice în afara celor patru libertăți.</w:t>
      </w:r>
    </w:p>
    <w:p w:rsidR="00112030" w:rsidRPr="00DD3D72" w:rsidRDefault="0018272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DD3D72">
        <w:rPr>
          <w:noProof/>
        </w:rPr>
        <w:t>Prin urmare, Protocolul 10 la Acordul privind SEE referitor la simplificarea controalelor și a formalităților pentru transportul de mărfuri și Protocolul 31 la Acordul privind SEE referitor la cooperarea în domenii specifice în afara celor patru libertăți ar trebui modificate în consecință.</w:t>
      </w:r>
    </w:p>
    <w:p w:rsidR="00112030" w:rsidRPr="00DD3D72"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DD3D72">
        <w:rPr>
          <w:noProof/>
        </w:rPr>
        <w:t>Prin urmare, poziția Uniunii în cadrul Comitetului mixt al SEE ar trebui să se bazeze pe proiectul de decizie atașat,</w:t>
      </w:r>
    </w:p>
    <w:p w:rsidR="00112030" w:rsidRPr="00DD3D72" w:rsidRDefault="00112030" w:rsidP="00112030">
      <w:pPr>
        <w:pStyle w:val="Formuledadoption"/>
        <w:rPr>
          <w:noProof/>
        </w:rPr>
      </w:pPr>
      <w:r w:rsidRPr="00DD3D72">
        <w:rPr>
          <w:noProof/>
        </w:rPr>
        <w:t xml:space="preserve">ADOPTĂ PREZENTA DECIZIE: </w:t>
      </w:r>
    </w:p>
    <w:p w:rsidR="00112030" w:rsidRPr="00DD3D72" w:rsidRDefault="00112030" w:rsidP="00112030">
      <w:pPr>
        <w:pStyle w:val="Titrearticle"/>
        <w:rPr>
          <w:noProof/>
        </w:rPr>
      </w:pPr>
      <w:r w:rsidRPr="00DD3D72">
        <w:rPr>
          <w:noProof/>
        </w:rPr>
        <w:t>Articolul 1</w:t>
      </w:r>
    </w:p>
    <w:p w:rsidR="00112030" w:rsidRPr="00AC41D9" w:rsidRDefault="00112030" w:rsidP="00112030">
      <w:pPr>
        <w:pStyle w:val="Body"/>
        <w:rPr>
          <w:noProof/>
          <w:lang w:val="ro-RO"/>
        </w:rPr>
      </w:pPr>
      <w:r w:rsidRPr="00AC41D9">
        <w:rPr>
          <w:noProof/>
          <w:lang w:val="ro-RO"/>
        </w:rPr>
        <w:t>Poziția care urmează să fie luată în numele Uniunii, în cadrul Comitetului mixt al SEE, cu privire la propunerea de modificare a Protocolului 10 la Acordul privind SEE referitor la simplificarea controalelor și a formalităților pentru transportul de mărfuri și a Protocolului 31 referitor la cooperarea în domenii specifice în afara celor patru libertăți, anexat la Acordul privind SEE se bazează pe proiectul de decizie a Comitetului mixt al SEE atașat la prezenta decizie.</w:t>
      </w:r>
    </w:p>
    <w:p w:rsidR="00112030" w:rsidRPr="00DD3D72" w:rsidRDefault="00112030" w:rsidP="00B13F52">
      <w:pPr>
        <w:pStyle w:val="Titrearticle"/>
        <w:rPr>
          <w:noProof/>
        </w:rPr>
      </w:pPr>
      <w:r w:rsidRPr="00DD3D72">
        <w:rPr>
          <w:noProof/>
        </w:rPr>
        <w:t>Articolul 2</w:t>
      </w:r>
    </w:p>
    <w:p w:rsidR="00112030" w:rsidRPr="00AC41D9" w:rsidRDefault="00112030" w:rsidP="00112030">
      <w:pPr>
        <w:pStyle w:val="Body"/>
        <w:keepLines/>
        <w:rPr>
          <w:noProof/>
          <w:lang w:val="fr-FR"/>
        </w:rPr>
      </w:pPr>
      <w:r w:rsidRPr="00AC41D9">
        <w:rPr>
          <w:noProof/>
          <w:lang w:val="fr-FR"/>
        </w:rPr>
        <w:t>Prezenta decizie întră în vigoare la data adoptării.</w:t>
      </w:r>
    </w:p>
    <w:p w:rsidR="00112030" w:rsidRPr="00DD3D72" w:rsidRDefault="00DD3D72" w:rsidP="00B13F52">
      <w:pPr>
        <w:pStyle w:val="Fait"/>
        <w:rPr>
          <w:noProof/>
        </w:rPr>
      </w:pPr>
      <w:r>
        <w:rPr>
          <w:noProof/>
        </w:rPr>
        <w:t>Adoptată la Bruxelles,</w:t>
      </w:r>
    </w:p>
    <w:p w:rsidR="00112030" w:rsidRPr="00DD3D72" w:rsidRDefault="00112030" w:rsidP="00B13F52">
      <w:pPr>
        <w:pStyle w:val="Institutionquisigne"/>
        <w:rPr>
          <w:noProof/>
        </w:rPr>
      </w:pPr>
      <w:r w:rsidRPr="00DD3D72">
        <w:rPr>
          <w:noProof/>
        </w:rPr>
        <w:tab/>
        <w:t>Pentru Consiliu</w:t>
      </w:r>
    </w:p>
    <w:p w:rsidR="00112030" w:rsidRPr="00DD3D72" w:rsidRDefault="00112030" w:rsidP="00112030">
      <w:pPr>
        <w:pStyle w:val="Personnequisigne"/>
        <w:rPr>
          <w:noProof/>
        </w:rPr>
      </w:pPr>
      <w:r w:rsidRPr="00DD3D72">
        <w:rPr>
          <w:noProof/>
        </w:rPr>
        <w:tab/>
        <w:t>Președintele</w:t>
      </w:r>
    </w:p>
    <w:sectPr w:rsidR="00112030" w:rsidRPr="00DD3D72" w:rsidSect="006A5F7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276" w:rsidRDefault="00082276" w:rsidP="00112030">
      <w:pPr>
        <w:spacing w:before="0" w:after="0"/>
      </w:pPr>
      <w:r>
        <w:separator/>
      </w:r>
    </w:p>
  </w:endnote>
  <w:endnote w:type="continuationSeparator" w:id="0">
    <w:p w:rsidR="00082276" w:rsidRDefault="00082276"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70" w:rsidRPr="006A5F70" w:rsidRDefault="006A5F70" w:rsidP="006A5F70">
    <w:pPr>
      <w:pStyle w:val="Footer"/>
      <w:rPr>
        <w:rFonts w:ascii="Arial" w:hAnsi="Arial" w:cs="Arial"/>
        <w:b/>
        <w:sz w:val="48"/>
      </w:rPr>
    </w:pPr>
    <w:r w:rsidRPr="006A5F70">
      <w:rPr>
        <w:rFonts w:ascii="Arial" w:hAnsi="Arial" w:cs="Arial"/>
        <w:b/>
        <w:sz w:val="48"/>
      </w:rPr>
      <w:t>RO</w:t>
    </w:r>
    <w:r w:rsidRPr="006A5F70">
      <w:rPr>
        <w:rFonts w:ascii="Arial" w:hAnsi="Arial" w:cs="Arial"/>
        <w:b/>
        <w:sz w:val="48"/>
      </w:rPr>
      <w:tab/>
    </w:r>
    <w:r w:rsidRPr="006A5F70">
      <w:rPr>
        <w:rFonts w:ascii="Arial" w:hAnsi="Arial" w:cs="Arial"/>
        <w:b/>
        <w:sz w:val="48"/>
      </w:rPr>
      <w:tab/>
    </w:r>
    <w:r w:rsidRPr="006A5F70">
      <w:tab/>
    </w:r>
    <w:r w:rsidRPr="006A5F7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70" w:rsidRPr="006A5F70" w:rsidRDefault="006A5F70" w:rsidP="006A5F70">
    <w:pPr>
      <w:pStyle w:val="Footer"/>
      <w:rPr>
        <w:rFonts w:ascii="Arial" w:hAnsi="Arial" w:cs="Arial"/>
        <w:b/>
        <w:sz w:val="48"/>
      </w:rPr>
    </w:pPr>
    <w:r w:rsidRPr="006A5F70">
      <w:rPr>
        <w:rFonts w:ascii="Arial" w:hAnsi="Arial" w:cs="Arial"/>
        <w:b/>
        <w:sz w:val="48"/>
      </w:rPr>
      <w:t>RO</w:t>
    </w:r>
    <w:r w:rsidRPr="006A5F70">
      <w:rPr>
        <w:rFonts w:ascii="Arial" w:hAnsi="Arial" w:cs="Arial"/>
        <w:b/>
        <w:sz w:val="48"/>
      </w:rPr>
      <w:tab/>
    </w:r>
    <w:r w:rsidRPr="006A5F70">
      <w:rPr>
        <w:rFonts w:ascii="Arial" w:hAnsi="Arial" w:cs="Arial"/>
        <w:b/>
        <w:sz w:val="48"/>
      </w:rPr>
      <w:tab/>
    </w:r>
    <w:r w:rsidRPr="006A5F70">
      <w:tab/>
    </w:r>
    <w:r w:rsidRPr="006A5F7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70" w:rsidRDefault="006A5F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70" w:rsidRPr="006A5F70" w:rsidRDefault="006A5F70" w:rsidP="006A5F70">
    <w:pPr>
      <w:pStyle w:val="Footer"/>
      <w:rPr>
        <w:rFonts w:ascii="Arial" w:hAnsi="Arial" w:cs="Arial"/>
        <w:b/>
        <w:sz w:val="48"/>
      </w:rPr>
    </w:pPr>
    <w:r w:rsidRPr="006A5F70">
      <w:rPr>
        <w:rFonts w:ascii="Arial" w:hAnsi="Arial" w:cs="Arial"/>
        <w:b/>
        <w:sz w:val="48"/>
      </w:rPr>
      <w:t>RO</w:t>
    </w:r>
    <w:r w:rsidRPr="006A5F70">
      <w:rPr>
        <w:rFonts w:ascii="Arial" w:hAnsi="Arial" w:cs="Arial"/>
        <w:b/>
        <w:sz w:val="48"/>
      </w:rPr>
      <w:tab/>
    </w:r>
    <w:r>
      <w:fldChar w:fldCharType="begin"/>
    </w:r>
    <w:r>
      <w:instrText xml:space="preserve"> PAGE  \* MERGEFORMAT </w:instrText>
    </w:r>
    <w:r>
      <w:fldChar w:fldCharType="separate"/>
    </w:r>
    <w:r w:rsidR="00B13F52">
      <w:rPr>
        <w:noProof/>
      </w:rPr>
      <w:t>5</w:t>
    </w:r>
    <w:r>
      <w:fldChar w:fldCharType="end"/>
    </w:r>
    <w:r>
      <w:tab/>
    </w:r>
    <w:r w:rsidRPr="006A5F70">
      <w:tab/>
    </w:r>
    <w:r w:rsidRPr="006A5F7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70" w:rsidRDefault="006A5F70" w:rsidP="006A5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276" w:rsidRDefault="00082276" w:rsidP="00112030">
      <w:pPr>
        <w:spacing w:before="0" w:after="0"/>
      </w:pPr>
      <w:r>
        <w:separator/>
      </w:r>
    </w:p>
  </w:footnote>
  <w:footnote w:type="continuationSeparator" w:id="0">
    <w:p w:rsidR="00082276" w:rsidRDefault="00082276" w:rsidP="00112030">
      <w:pPr>
        <w:spacing w:before="0" w:after="0"/>
      </w:pPr>
      <w:r>
        <w:continuationSeparator/>
      </w:r>
    </w:p>
  </w:footnote>
  <w:footnote w:id="1">
    <w:p w:rsidR="001E7713" w:rsidRPr="00765CB3" w:rsidRDefault="001E7713" w:rsidP="001E7713">
      <w:pPr>
        <w:pStyle w:val="FootnoteText"/>
        <w:rPr>
          <w:color w:val="0000FF"/>
        </w:rPr>
      </w:pPr>
      <w:r>
        <w:rPr>
          <w:rStyle w:val="FootnoteReference"/>
        </w:rPr>
        <w:footnoteRef/>
      </w:r>
      <w:r>
        <w:tab/>
        <w:t>Regulamentul (UE) 2023/956 al Parlamentului European și al Consiliului din 10 mai 2023 de instituire a unui mecanism de ajustare a carbonului la frontieră, JO L 130, 16.5.2023, p. 52.</w:t>
      </w:r>
    </w:p>
  </w:footnote>
  <w:footnote w:id="2">
    <w:p w:rsidR="001E7713" w:rsidRPr="00765CB3" w:rsidRDefault="001E7713" w:rsidP="001E7713">
      <w:pPr>
        <w:pStyle w:val="FootnoteText"/>
      </w:pPr>
      <w:r>
        <w:rPr>
          <w:rStyle w:val="FootnoteReference"/>
        </w:rPr>
        <w:footnoteRef/>
      </w:r>
      <w:r>
        <w:tab/>
        <w:t xml:space="preserve">Regulamentul (UE) 2025/2083 al Parlamentului European și al Consiliului din 8 octombrie 2025 de modificare a Regulamentului (UE) 2023/956 în ceea ce privește simplificarea și consolidarea mecanismului de ajustare a carbonului la frontieră, JO L, 2025/2083, 17.10.2025, ELI: </w:t>
      </w:r>
      <w:hyperlink r:id="rId1" w:history="1">
        <w:r>
          <w:rPr>
            <w:rStyle w:val="Hyperlink"/>
          </w:rPr>
          <w:t>http://data.europa.eu/eli/reg/2025/2083/oj</w:t>
        </w:r>
      </w:hyperlink>
      <w:r>
        <w:t xml:space="preserve">. </w:t>
      </w:r>
    </w:p>
  </w:footnote>
  <w:footnote w:id="3">
    <w:p w:rsidR="00977C02" w:rsidRPr="00977C02" w:rsidRDefault="00977C02">
      <w:pPr>
        <w:pStyle w:val="FootnoteText"/>
      </w:pPr>
      <w:r>
        <w:rPr>
          <w:rStyle w:val="FootnoteReference"/>
        </w:rPr>
        <w:footnoteRef/>
      </w:r>
      <w:r>
        <w:tab/>
        <w:t>Regulamentul (CE) nr. 2894/94 al Consiliului din 28 noiembrie 1994 privind normele de punere în aplicare a Acordului privind Spațiul Economic European, JO L 305, 30.11.1994, p. 6.</w:t>
      </w:r>
    </w:p>
  </w:footnote>
  <w:footnote w:id="4">
    <w:p w:rsidR="001E7713" w:rsidRPr="00765CB3" w:rsidRDefault="001E7713" w:rsidP="001E7713">
      <w:pPr>
        <w:pStyle w:val="FootnoteText"/>
        <w:rPr>
          <w:color w:val="0000FF"/>
        </w:rPr>
      </w:pPr>
      <w:r>
        <w:rPr>
          <w:rStyle w:val="FootnoteReference"/>
        </w:rPr>
        <w:footnoteRef/>
      </w:r>
      <w:r>
        <w:tab/>
        <w:t>Regulamentul (UE) 2023/956 al Parlamentului European și al Consiliului din 10 mai 2023 de instituire a unui mecanism de ajustare a carbonului la frontieră, JO L 130, 16.5.2023, p. 52.</w:t>
      </w:r>
    </w:p>
  </w:footnote>
  <w:footnote w:id="5">
    <w:p w:rsidR="001E7713" w:rsidRPr="00765CB3" w:rsidRDefault="001E7713" w:rsidP="001E7713">
      <w:pPr>
        <w:pStyle w:val="FootnoteText"/>
      </w:pPr>
      <w:r>
        <w:rPr>
          <w:rStyle w:val="FootnoteReference"/>
        </w:rPr>
        <w:footnoteRef/>
      </w:r>
      <w:r>
        <w:tab/>
        <w:t xml:space="preserve">Regulamentul (UE) 2025/2083 al Parlamentului European și al Consiliului din 8 octombrie 2025 de modificare a Regulamentului (UE) 2023/956 în ceea ce privește simplificarea și consolidarea mecanismului de ajustare a carbonului la frontieră, JO L, 2025/2083, 17.10.2025, ELI: </w:t>
      </w:r>
      <w:hyperlink r:id="rId2" w:history="1">
        <w:r>
          <w:rPr>
            <w:rStyle w:val="Hyperlink"/>
          </w:rPr>
          <w:t>http://data.europa.eu/eli/reg/2025/2083/oj</w:t>
        </w:r>
      </w:hyperlink>
      <w:r>
        <w:t xml:space="preserve">. </w:t>
      </w:r>
    </w:p>
  </w:footnote>
  <w:footnote w:id="6">
    <w:p w:rsidR="00112030" w:rsidRDefault="00112030" w:rsidP="00112030">
      <w:pPr>
        <w:pStyle w:val="FootnoteText"/>
      </w:pPr>
      <w:r>
        <w:rPr>
          <w:rStyle w:val="FootnoteReference"/>
        </w:rPr>
        <w:footnoteRef/>
      </w:r>
      <w:r>
        <w:tab/>
        <w:t xml:space="preserve">Hotărârea Curții de Justiție din 7 octombrie 2014, Germania/Consiliul, C-399/12, ECLI:EU:C:2014:2258, punctele 61-64. </w:t>
      </w:r>
    </w:p>
  </w:footnote>
  <w:footnote w:id="7">
    <w:p w:rsidR="001E7713" w:rsidRPr="00765CB3" w:rsidRDefault="001E7713" w:rsidP="001E7713">
      <w:pPr>
        <w:pStyle w:val="FootnoteText"/>
        <w:rPr>
          <w:color w:val="0000FF"/>
        </w:rPr>
      </w:pPr>
      <w:r>
        <w:rPr>
          <w:rStyle w:val="FootnoteReference"/>
        </w:rPr>
        <w:footnoteRef/>
      </w:r>
      <w:r>
        <w:tab/>
        <w:t>Regulamentul (UE) 2023/956 al Parlamentului European și al Consiliului din 10 mai 2023 de instituire a unui mecanism de ajustare a carbonului la frontieră, JO L 130, 16.5.2023, p. 52.</w:t>
      </w:r>
    </w:p>
  </w:footnote>
  <w:footnote w:id="8">
    <w:p w:rsidR="001E7713" w:rsidRPr="00765CB3" w:rsidRDefault="001E7713" w:rsidP="001E7713">
      <w:pPr>
        <w:pStyle w:val="FootnoteText"/>
      </w:pPr>
      <w:r>
        <w:rPr>
          <w:rStyle w:val="FootnoteReference"/>
        </w:rPr>
        <w:footnoteRef/>
      </w:r>
      <w:r>
        <w:tab/>
        <w:t xml:space="preserve">Regulamentul (UE) 2025/2083 al Parlamentului European și al Consiliului din 8 octombrie 2025 de modificare a Regulamentului (UE) 2023/956 în ceea ce privește simplificarea și consolidarea mecanismului de ajustare a carbonului la frontieră, JO L, 2025/2083, 17.10.2025, ELI: </w:t>
      </w:r>
      <w:hyperlink r:id="rId3" w:history="1">
        <w:r>
          <w:rPr>
            <w:rStyle w:val="Hyperlink"/>
          </w:rPr>
          <w:t>http://data.europa.eu/eli/reg/2025/2083/oj</w:t>
        </w:r>
      </w:hyperlink>
      <w:r>
        <w:t xml:space="preserve">. </w:t>
      </w:r>
    </w:p>
  </w:footnote>
  <w:footnote w:id="9">
    <w:p w:rsidR="00112030" w:rsidRDefault="00112030" w:rsidP="00112030">
      <w:pPr>
        <w:pStyle w:val="FootnoteText"/>
      </w:pPr>
      <w:r>
        <w:rPr>
          <w:rStyle w:val="FootnoteReference"/>
        </w:rPr>
        <w:footnoteRef/>
      </w:r>
      <w:r>
        <w:tab/>
        <w:t>JO L 305, 30.11.1994, p. 6.</w:t>
      </w:r>
    </w:p>
  </w:footnote>
  <w:footnote w:id="10">
    <w:p w:rsidR="00112030" w:rsidRDefault="00112030" w:rsidP="00112030">
      <w:pPr>
        <w:pStyle w:val="FootnoteText"/>
      </w:pPr>
      <w:r>
        <w:rPr>
          <w:rStyle w:val="FootnoteReference"/>
        </w:rPr>
        <w:footnoteRef/>
      </w:r>
      <w:r>
        <w:tab/>
        <w:t>JO L 1, 3.1.1994,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70" w:rsidRDefault="006A5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70" w:rsidRDefault="006A5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15:16: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538E284-0A32-4B80-A101-87E4AD8CAB23"/>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23"/>
    <w:docVar w:name="LW_REF.II.NEW.CP_YEAR" w:val="2026"/>
    <w:docVar w:name="LW_REF.INST.NEW" w:val="COM"/>
    <w:docVar w:name="LW_REF.INST.NEW_ADOPTED" w:val="final"/>
    <w:docVar w:name="LW_REF.INST.NEW_TEXT" w:val="(2026) 4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cu privire la o modificare a Protocolului 10 la Acordul privind SEE referitor la simplificarea controalelor \u537?i a formalit\u259?\u539?ilor pentru transportul de m\u259?rfuri \u537?i a Protocolului 31 la Acordul privind SEE referitor la cooperarea în domenii specifice în afara celor patru libert\u259?\u539?i _x000b_ _x000b_(Contribu\u539?ia financiar\u259? la CBAM) _x000b_ _x000b_"/>
    <w:docVar w:name="LW_TYPE.DOC.CP" w:val="DECIZIE A CONSILIULUI"/>
    <w:docVar w:name="LwApiVersions" w:val="LW4CoDe 1.24.5.0; LW 9.2, Build 20251112"/>
  </w:docVars>
  <w:rsids>
    <w:rsidRoot w:val="00112030"/>
    <w:rsid w:val="000517AB"/>
    <w:rsid w:val="0008108F"/>
    <w:rsid w:val="00082276"/>
    <w:rsid w:val="00090B2C"/>
    <w:rsid w:val="000B7A7D"/>
    <w:rsid w:val="00112030"/>
    <w:rsid w:val="00152894"/>
    <w:rsid w:val="00160597"/>
    <w:rsid w:val="00182720"/>
    <w:rsid w:val="001856C8"/>
    <w:rsid w:val="001D48F3"/>
    <w:rsid w:val="001E7713"/>
    <w:rsid w:val="002310B1"/>
    <w:rsid w:val="00263F0D"/>
    <w:rsid w:val="002A3F52"/>
    <w:rsid w:val="00320677"/>
    <w:rsid w:val="003417F1"/>
    <w:rsid w:val="00396ACD"/>
    <w:rsid w:val="003C1FA8"/>
    <w:rsid w:val="00437AA5"/>
    <w:rsid w:val="00454287"/>
    <w:rsid w:val="00455A9C"/>
    <w:rsid w:val="00492396"/>
    <w:rsid w:val="004947A5"/>
    <w:rsid w:val="004E19F9"/>
    <w:rsid w:val="00513350"/>
    <w:rsid w:val="005149D0"/>
    <w:rsid w:val="00517205"/>
    <w:rsid w:val="005214F6"/>
    <w:rsid w:val="005234B8"/>
    <w:rsid w:val="00542487"/>
    <w:rsid w:val="00582810"/>
    <w:rsid w:val="00595540"/>
    <w:rsid w:val="005A12AC"/>
    <w:rsid w:val="005B5FA6"/>
    <w:rsid w:val="00611FB6"/>
    <w:rsid w:val="00661BB7"/>
    <w:rsid w:val="006654AB"/>
    <w:rsid w:val="00697060"/>
    <w:rsid w:val="006A5F70"/>
    <w:rsid w:val="006E7835"/>
    <w:rsid w:val="006F01B4"/>
    <w:rsid w:val="006F078A"/>
    <w:rsid w:val="006F7EFE"/>
    <w:rsid w:val="0070711A"/>
    <w:rsid w:val="007339F2"/>
    <w:rsid w:val="00745EAD"/>
    <w:rsid w:val="0079095A"/>
    <w:rsid w:val="007C7F02"/>
    <w:rsid w:val="007D0861"/>
    <w:rsid w:val="007D4F06"/>
    <w:rsid w:val="007E010B"/>
    <w:rsid w:val="00802FC2"/>
    <w:rsid w:val="008618BA"/>
    <w:rsid w:val="00861DFF"/>
    <w:rsid w:val="0086232A"/>
    <w:rsid w:val="00876468"/>
    <w:rsid w:val="008C5D4F"/>
    <w:rsid w:val="008D2051"/>
    <w:rsid w:val="008E2694"/>
    <w:rsid w:val="008F5DDE"/>
    <w:rsid w:val="008F7189"/>
    <w:rsid w:val="00906DC3"/>
    <w:rsid w:val="009134FD"/>
    <w:rsid w:val="00940731"/>
    <w:rsid w:val="009639A2"/>
    <w:rsid w:val="00977C02"/>
    <w:rsid w:val="00984161"/>
    <w:rsid w:val="009957C5"/>
    <w:rsid w:val="009A436E"/>
    <w:rsid w:val="00A32D68"/>
    <w:rsid w:val="00A565C7"/>
    <w:rsid w:val="00A66EEB"/>
    <w:rsid w:val="00AB72F8"/>
    <w:rsid w:val="00AC19AB"/>
    <w:rsid w:val="00AC41D9"/>
    <w:rsid w:val="00AF5302"/>
    <w:rsid w:val="00B13F52"/>
    <w:rsid w:val="00B24E4B"/>
    <w:rsid w:val="00BB7C00"/>
    <w:rsid w:val="00C0447E"/>
    <w:rsid w:val="00C07FDD"/>
    <w:rsid w:val="00C23CF4"/>
    <w:rsid w:val="00C3731F"/>
    <w:rsid w:val="00C51F04"/>
    <w:rsid w:val="00D83F23"/>
    <w:rsid w:val="00D96B28"/>
    <w:rsid w:val="00DA4F00"/>
    <w:rsid w:val="00DB4B20"/>
    <w:rsid w:val="00DD3D72"/>
    <w:rsid w:val="00E044CD"/>
    <w:rsid w:val="00E07235"/>
    <w:rsid w:val="00E24717"/>
    <w:rsid w:val="00E33C9F"/>
    <w:rsid w:val="00E51D95"/>
    <w:rsid w:val="00E944A8"/>
    <w:rsid w:val="00E979AB"/>
    <w:rsid w:val="00EB1A04"/>
    <w:rsid w:val="00EC39BC"/>
    <w:rsid w:val="00EE0ACE"/>
    <w:rsid w:val="00EE140B"/>
    <w:rsid w:val="00EF2E47"/>
    <w:rsid w:val="00F044F0"/>
    <w:rsid w:val="00F7391F"/>
    <w:rsid w:val="00F77A72"/>
    <w:rsid w:val="00FC2396"/>
    <w:rsid w:val="00FD243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1E7713"/>
    <w:rPr>
      <w:color w:val="0000FF" w:themeColor="hyperlink"/>
      <w:u w:val="single"/>
    </w:rPr>
  </w:style>
  <w:style w:type="character" w:styleId="CommentReference">
    <w:name w:val="annotation reference"/>
    <w:basedOn w:val="DefaultParagraphFont"/>
    <w:uiPriority w:val="99"/>
    <w:semiHidden/>
    <w:unhideWhenUsed/>
    <w:rsid w:val="000517AB"/>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AC41D9"/>
    <w:rPr>
      <w:b/>
      <w:bCs/>
    </w:rPr>
  </w:style>
  <w:style w:type="character" w:customStyle="1" w:styleId="CommentSubjectChar">
    <w:name w:val="Comment Subject Char"/>
    <w:basedOn w:val="CommentTextChar"/>
    <w:link w:val="CommentSubject"/>
    <w:uiPriority w:val="99"/>
    <w:semiHidden/>
    <w:rsid w:val="00AC41D9"/>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AC41D9"/>
    <w:rPr>
      <w:color w:val="605E5C"/>
      <w:shd w:val="clear" w:color="auto" w:fill="E1DFDD"/>
    </w:rPr>
  </w:style>
  <w:style w:type="character" w:customStyle="1" w:styleId="HeaderChar">
    <w:name w:val="Header Char"/>
    <w:basedOn w:val="DefaultParagraphFont"/>
    <w:link w:val="Header"/>
    <w:uiPriority w:val="99"/>
    <w:rsid w:val="006A5F70"/>
    <w:rPr>
      <w:rFonts w:ascii="Times New Roman" w:hAnsi="Times New Roman" w:cs="Times New Roman"/>
      <w:sz w:val="24"/>
      <w:lang w:val="ro-RO"/>
    </w:rPr>
  </w:style>
  <w:style w:type="character" w:customStyle="1" w:styleId="FooterChar">
    <w:name w:val="Footer Char"/>
    <w:basedOn w:val="DefaultParagraphFont"/>
    <w:link w:val="Footer"/>
    <w:uiPriority w:val="99"/>
    <w:rsid w:val="006A5F7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A5F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A5F70"/>
    <w:pPr>
      <w:spacing w:before="0"/>
      <w:jc w:val="right"/>
    </w:pPr>
    <w:rPr>
      <w:sz w:val="28"/>
    </w:rPr>
  </w:style>
  <w:style w:type="paragraph" w:customStyle="1" w:styleId="FooterSensitivity">
    <w:name w:val="Footer Sensitivity"/>
    <w:basedOn w:val="Normal"/>
    <w:rsid w:val="006A5F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A5F70"/>
    <w:pPr>
      <w:tabs>
        <w:tab w:val="center" w:pos="4535"/>
        <w:tab w:val="right" w:pos="9071"/>
      </w:tabs>
      <w:spacing w:before="0"/>
    </w:pPr>
  </w:style>
  <w:style w:type="paragraph" w:customStyle="1" w:styleId="HeaderLandscape">
    <w:name w:val="HeaderLandscape"/>
    <w:basedOn w:val="Normal"/>
    <w:rsid w:val="006A5F70"/>
    <w:pPr>
      <w:tabs>
        <w:tab w:val="center" w:pos="7285"/>
        <w:tab w:val="right" w:pos="14003"/>
      </w:tabs>
      <w:spacing w:before="0"/>
    </w:pPr>
  </w:style>
  <w:style w:type="paragraph" w:styleId="Footer">
    <w:name w:val="footer"/>
    <w:basedOn w:val="Normal"/>
    <w:link w:val="FooterChar"/>
    <w:uiPriority w:val="99"/>
    <w:unhideWhenUsed/>
    <w:rsid w:val="006A5F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A5F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083/oj" TargetMode="External"/><Relationship Id="rId2" Type="http://schemas.openxmlformats.org/officeDocument/2006/relationships/hyperlink" Target="http://data.europa.eu/eli/reg/2025/2083/oj" TargetMode="External"/><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92FAE-0FC9-4A9E-91E7-9140B546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6</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2026-06-04T08:59:00Z</dcterms:created>
  <dcterms:modified xsi:type="dcterms:W3CDTF">2026-07-27T13:16:00Z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