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45DB" w:rsidRDefault="000C075B" w:rsidP="000C075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F194369-5042-4C5B-86E1-94A582FF8A07" style="width:455.25pt;height:385.5pt">
            <v:imagedata r:id="rId8" o:title=""/>
          </v:shape>
        </w:pict>
      </w:r>
    </w:p>
    <w:p w:rsidR="009F45DB" w:rsidRDefault="009F45DB" w:rsidP="00DE4D95">
      <w:pPr>
        <w:rPr>
          <w:noProof/>
        </w:rPr>
        <w:sectPr w:rsidR="009F45DB" w:rsidSect="000C075B">
          <w:footerReference w:type="even" r:id="rId9"/>
          <w:footerReference w:type="default" r:id="rId10"/>
          <w:pgSz w:w="11907" w:h="16839"/>
          <w:pgMar w:top="1134" w:right="1417" w:bottom="1134" w:left="1417" w:header="709" w:footer="709" w:gutter="0"/>
          <w:pgNumType w:start="0"/>
          <w:cols w:space="720"/>
          <w:docGrid w:linePitch="360"/>
        </w:sectPr>
      </w:pPr>
    </w:p>
    <w:p w:rsidR="006F06A4" w:rsidRDefault="006F06A4" w:rsidP="00BB6B30">
      <w:pPr>
        <w:pStyle w:val="Exposdesmotifstitre"/>
        <w:rPr>
          <w:noProof/>
        </w:rPr>
      </w:pPr>
      <w:bookmarkStart w:id="0" w:name="_GoBack"/>
      <w:bookmarkEnd w:id="0"/>
      <w:r w:rsidRPr="006F770D">
        <w:rPr>
          <w:noProof/>
        </w:rPr>
        <w:lastRenderedPageBreak/>
        <w:t>EXPLANATORY MEMORANDUM</w:t>
      </w:r>
    </w:p>
    <w:p w:rsidR="006F06A4" w:rsidRPr="00E34F04" w:rsidRDefault="006F06A4" w:rsidP="00244EA3">
      <w:pPr>
        <w:pStyle w:val="ManualHeading1"/>
        <w:rPr>
          <w:rFonts w:eastAsia="Arial Unicode MS"/>
          <w:noProof/>
        </w:rPr>
      </w:pPr>
      <w:r>
        <w:rPr>
          <w:noProof/>
        </w:rPr>
        <w:t>1.</w:t>
      </w:r>
      <w:r>
        <w:rPr>
          <w:noProof/>
        </w:rPr>
        <w:tab/>
      </w:r>
      <w:r w:rsidRPr="00E34F04">
        <w:rPr>
          <w:rFonts w:eastAsia="Arial Unicode MS"/>
          <w:noProof/>
        </w:rPr>
        <w:t>Subject matter of the proposal</w:t>
      </w:r>
    </w:p>
    <w:p w:rsidR="006F06A4" w:rsidRPr="005D5930" w:rsidRDefault="006F06A4" w:rsidP="00736AA9">
      <w:pPr>
        <w:rPr>
          <w:rFonts w:eastAsia="Arial Unicode MS"/>
          <w:noProof/>
        </w:rPr>
      </w:pPr>
      <w:r w:rsidRPr="00E34F04">
        <w:rPr>
          <w:rFonts w:eastAsia="Arial Unicode MS"/>
          <w:noProof/>
        </w:rPr>
        <w:t>This proposal concerns the decision establishing the position to be taken on the Union</w:t>
      </w:r>
      <w:r w:rsidR="007127BF">
        <w:rPr>
          <w:rFonts w:eastAsia="Arial Unicode MS"/>
          <w:noProof/>
        </w:rPr>
        <w:t>’</w:t>
      </w:r>
      <w:r w:rsidRPr="00E34F04">
        <w:rPr>
          <w:rFonts w:eastAsia="Arial Unicode MS"/>
          <w:noProof/>
        </w:rPr>
        <w:t>s behalf in the</w:t>
      </w:r>
      <w:r w:rsidR="002A4AF2">
        <w:rPr>
          <w:rFonts w:eastAsia="Arial Unicode MS"/>
          <w:noProof/>
        </w:rPr>
        <w:t xml:space="preserve"> </w:t>
      </w:r>
      <w:r w:rsidR="002A4AF2" w:rsidRPr="002A4AF2">
        <w:rPr>
          <w:rFonts w:eastAsia="Arial Unicode MS"/>
          <w:noProof/>
        </w:rPr>
        <w:t>Joint Committee established by the Agreement on the withdrawal of the United Kingdom of Great Britain and Northern Ireland from the European Union and the European Atomic Energy Community</w:t>
      </w:r>
      <w:r w:rsidR="00836F3C">
        <w:rPr>
          <w:rStyle w:val="FootnoteReference"/>
          <w:rFonts w:eastAsia="Arial Unicode MS"/>
          <w:noProof/>
        </w:rPr>
        <w:footnoteReference w:id="1"/>
      </w:r>
      <w:r w:rsidR="002A4AF2" w:rsidRPr="002A4AF2">
        <w:rPr>
          <w:rFonts w:eastAsia="Arial Unicode MS"/>
          <w:noProof/>
        </w:rPr>
        <w:t xml:space="preserve"> (‘the Withdrawal </w:t>
      </w:r>
      <w:r w:rsidR="002A4AF2" w:rsidRPr="005D5930">
        <w:rPr>
          <w:rFonts w:eastAsia="Arial Unicode MS"/>
          <w:noProof/>
        </w:rPr>
        <w:t>Agreement’)</w:t>
      </w:r>
      <w:r w:rsidRPr="005D5930">
        <w:rPr>
          <w:rFonts w:eastAsia="Arial Unicode MS"/>
          <w:noProof/>
        </w:rPr>
        <w:t xml:space="preserve"> </w:t>
      </w:r>
      <w:r w:rsidR="00A61444" w:rsidRPr="0004046B">
        <w:rPr>
          <w:noProof/>
        </w:rPr>
        <w:t>as regards a</w:t>
      </w:r>
      <w:r w:rsidRPr="00887CCD">
        <w:rPr>
          <w:rFonts w:eastAsia="Arial Unicode MS"/>
          <w:noProof/>
        </w:rPr>
        <w:t xml:space="preserve"> </w:t>
      </w:r>
      <w:r w:rsidR="00593D7E">
        <w:rPr>
          <w:rFonts w:eastAsia="Arial Unicode MS"/>
          <w:noProof/>
        </w:rPr>
        <w:t xml:space="preserve">joint declaration of the Union and the United Kingdom within the Joint Committee on </w:t>
      </w:r>
      <w:r w:rsidR="000712DF">
        <w:rPr>
          <w:rFonts w:eastAsia="Arial Unicode MS"/>
          <w:noProof/>
        </w:rPr>
        <w:t xml:space="preserve">the application of </w:t>
      </w:r>
      <w:r w:rsidR="00593D7E">
        <w:rPr>
          <w:rFonts w:eastAsia="Arial Unicode MS"/>
          <w:noProof/>
        </w:rPr>
        <w:t>Article 5 of</w:t>
      </w:r>
      <w:r w:rsidR="007127BF" w:rsidRPr="005D5930">
        <w:rPr>
          <w:rFonts w:eastAsia="Arial Unicode MS"/>
          <w:noProof/>
        </w:rPr>
        <w:t xml:space="preserve"> the Windsor Framework</w:t>
      </w:r>
      <w:r w:rsidR="000A5A07" w:rsidRPr="005D5930">
        <w:rPr>
          <w:rStyle w:val="FootnoteReference"/>
          <w:rFonts w:eastAsia="Arial Unicode MS"/>
          <w:noProof/>
        </w:rPr>
        <w:footnoteReference w:id="2"/>
      </w:r>
      <w:r w:rsidR="000D0CD4" w:rsidRPr="005D5930">
        <w:rPr>
          <w:rFonts w:eastAsia="Arial Unicode MS"/>
          <w:noProof/>
        </w:rPr>
        <w:t>,</w:t>
      </w:r>
      <w:r w:rsidR="00DA52FF" w:rsidRPr="005D5930">
        <w:rPr>
          <w:rFonts w:eastAsia="Arial Unicode MS"/>
          <w:noProof/>
        </w:rPr>
        <w:t xml:space="preserve"> which forms an integral part of the Withdrawal Agreement.</w:t>
      </w:r>
    </w:p>
    <w:p w:rsidR="006F06A4" w:rsidRPr="005D5930" w:rsidRDefault="006F06A4" w:rsidP="00244EA3">
      <w:pPr>
        <w:pStyle w:val="ManualHeading1"/>
        <w:rPr>
          <w:noProof/>
        </w:rPr>
      </w:pPr>
      <w:r>
        <w:rPr>
          <w:noProof/>
        </w:rPr>
        <w:t>2.</w:t>
      </w:r>
      <w:r>
        <w:rPr>
          <w:noProof/>
        </w:rPr>
        <w:tab/>
      </w:r>
      <w:r w:rsidRPr="005D5930">
        <w:rPr>
          <w:noProof/>
        </w:rPr>
        <w:t>Context of the proposal</w:t>
      </w:r>
    </w:p>
    <w:p w:rsidR="006F06A4" w:rsidRPr="005D5930" w:rsidRDefault="006F06A4" w:rsidP="00244EA3">
      <w:pPr>
        <w:pStyle w:val="ManualHeading2"/>
        <w:rPr>
          <w:noProof/>
        </w:rPr>
      </w:pPr>
      <w:r>
        <w:rPr>
          <w:noProof/>
        </w:rPr>
        <w:t>2.1.</w:t>
      </w:r>
      <w:r>
        <w:rPr>
          <w:noProof/>
        </w:rPr>
        <w:tab/>
      </w:r>
      <w:r w:rsidRPr="005D5930">
        <w:rPr>
          <w:noProof/>
        </w:rPr>
        <w:t>The</w:t>
      </w:r>
      <w:r w:rsidR="00D40B40" w:rsidRPr="005D5930">
        <w:rPr>
          <w:noProof/>
        </w:rPr>
        <w:t xml:space="preserve"> Agreement on the withdrawal of the United Kingdom of Great Britain and Northern Ireland from the European Union and the European Atomic Energy Community</w:t>
      </w:r>
      <w:r w:rsidRPr="005D5930">
        <w:rPr>
          <w:noProof/>
        </w:rPr>
        <w:t xml:space="preserve"> </w:t>
      </w:r>
      <w:r w:rsidR="00BD274F" w:rsidRPr="005D5930">
        <w:rPr>
          <w:noProof/>
        </w:rPr>
        <w:t>and the Windsor Framework</w:t>
      </w:r>
    </w:p>
    <w:p w:rsidR="00BD274F" w:rsidRPr="005D5930" w:rsidRDefault="006F06A4" w:rsidP="00BD274F">
      <w:pPr>
        <w:rPr>
          <w:noProof/>
          <w:lang w:val="en-IE"/>
        </w:rPr>
      </w:pPr>
      <w:r w:rsidRPr="005D5930">
        <w:rPr>
          <w:rFonts w:eastAsia="Arial Unicode MS"/>
          <w:noProof/>
        </w:rPr>
        <w:t>The</w:t>
      </w:r>
      <w:r w:rsidR="00D40B40" w:rsidRPr="005D5930">
        <w:rPr>
          <w:rFonts w:eastAsia="Arial Unicode MS"/>
          <w:noProof/>
        </w:rPr>
        <w:t xml:space="preserve"> Withdrawal</w:t>
      </w:r>
      <w:r w:rsidRPr="005D5930">
        <w:rPr>
          <w:rFonts w:eastAsia="Arial Unicode MS"/>
          <w:noProof/>
        </w:rPr>
        <w:t xml:space="preserve"> Agreement </w:t>
      </w:r>
      <w:r w:rsidR="00D40B40" w:rsidRPr="005D5930">
        <w:rPr>
          <w:rFonts w:eastAsia="Arial Unicode MS"/>
          <w:noProof/>
        </w:rPr>
        <w:t>sets out the arrangements for the orderly withdrawal of the United Kingdom from the Union and Euratom. The Withdrawal Agreement entered into force on 1 February 2020.</w:t>
      </w:r>
      <w:r w:rsidR="00D40B40" w:rsidRPr="005D5930">
        <w:rPr>
          <w:noProof/>
        </w:rPr>
        <w:t xml:space="preserve"> </w:t>
      </w:r>
      <w:r w:rsidR="00836F3C" w:rsidRPr="005D5930">
        <w:rPr>
          <w:noProof/>
        </w:rPr>
        <w:t xml:space="preserve">On 27 February 2023, the European Commission and the Government of the United Kingdom reached a political agreement in principle on the Windsor Framework. </w:t>
      </w:r>
      <w:bookmarkStart w:id="1" w:name="_Hlk134460027"/>
      <w:r w:rsidR="00836F3C">
        <w:rPr>
          <w:noProof/>
        </w:rPr>
        <w:t>On 24 March 2023, t</w:t>
      </w:r>
      <w:r w:rsidR="00836F3C" w:rsidRPr="005D5930">
        <w:rPr>
          <w:noProof/>
        </w:rPr>
        <w:t>he Joint Committee established by the Withdrawal Agreement adopted the new arrangements relating to the Windsor Framework</w:t>
      </w:r>
      <w:r w:rsidR="003D4F45">
        <w:rPr>
          <w:noProof/>
        </w:rPr>
        <w:t>.</w:t>
      </w:r>
      <w:r w:rsidR="00836F3C" w:rsidRPr="005D5930">
        <w:rPr>
          <w:noProof/>
        </w:rPr>
        <w:t xml:space="preserve"> </w:t>
      </w:r>
      <w:r w:rsidR="003D4F45">
        <w:rPr>
          <w:noProof/>
        </w:rPr>
        <w:t>T</w:t>
      </w:r>
      <w:r w:rsidR="00836F3C" w:rsidRPr="005D5930">
        <w:rPr>
          <w:noProof/>
        </w:rPr>
        <w:t xml:space="preserve">he two Parties agreed to </w:t>
      </w:r>
      <w:r w:rsidR="003D4F45" w:rsidRPr="003D4F45">
        <w:rPr>
          <w:noProof/>
        </w:rPr>
        <w:t xml:space="preserve">fully, timely </w:t>
      </w:r>
      <w:r w:rsidR="00836F3C" w:rsidRPr="005D5930">
        <w:rPr>
          <w:noProof/>
        </w:rPr>
        <w:t>and faithfully implement the Windsor Framework</w:t>
      </w:r>
      <w:bookmarkEnd w:id="1"/>
      <w:r w:rsidR="00BD274F" w:rsidRPr="005D5930">
        <w:rPr>
          <w:noProof/>
        </w:rPr>
        <w:t xml:space="preserve">. </w:t>
      </w:r>
    </w:p>
    <w:p w:rsidR="006F06A4" w:rsidRPr="005D5930" w:rsidRDefault="006F06A4" w:rsidP="00244EA3">
      <w:pPr>
        <w:pStyle w:val="ManualHeading2"/>
        <w:rPr>
          <w:noProof/>
        </w:rPr>
      </w:pPr>
      <w:r>
        <w:rPr>
          <w:noProof/>
        </w:rPr>
        <w:t>2.2.</w:t>
      </w:r>
      <w:r>
        <w:rPr>
          <w:noProof/>
        </w:rPr>
        <w:tab/>
      </w:r>
      <w:r w:rsidRPr="005D5930">
        <w:rPr>
          <w:noProof/>
        </w:rPr>
        <w:t>The</w:t>
      </w:r>
      <w:r w:rsidR="00FA094C" w:rsidRPr="005D5930">
        <w:rPr>
          <w:noProof/>
        </w:rPr>
        <w:t xml:space="preserve"> Joint Committee</w:t>
      </w:r>
    </w:p>
    <w:p w:rsidR="00FA094C" w:rsidRPr="005D5930" w:rsidRDefault="00FA094C" w:rsidP="00FA094C">
      <w:pPr>
        <w:rPr>
          <w:rFonts w:eastAsia="Arial Unicode MS"/>
          <w:noProof/>
          <w:lang w:val="en-IE"/>
        </w:rPr>
      </w:pPr>
      <w:r w:rsidRPr="005D5930">
        <w:rPr>
          <w:rFonts w:eastAsia="Arial Unicode MS"/>
          <w:noProof/>
          <w:lang w:val="en-IE"/>
        </w:rPr>
        <w:t>The Joint Committee established under Article 164(1) of the Withdrawal Agreement comprises representatives of the Union and of the United Kingdom. It is co-chaired by the Union and the United Kingdom. Annex VIII to the Withdrawal Agreement lays down the rules of procedure of the Joint Committee. The Joint Committee meets at least once a year or at the request of the Union or the United Kingdom and it sets its meeting schedule and agenda by mutual consent.</w:t>
      </w:r>
      <w:r w:rsidR="00210EBA">
        <w:rPr>
          <w:rFonts w:eastAsia="Arial Unicode MS"/>
          <w:noProof/>
          <w:lang w:val="en-IE"/>
        </w:rPr>
        <w:t xml:space="preserve"> </w:t>
      </w:r>
      <w:r w:rsidR="00210EBA" w:rsidRPr="00210EBA">
        <w:rPr>
          <w:rFonts w:eastAsia="Arial Unicode MS"/>
          <w:noProof/>
          <w:lang w:val="en-IE"/>
        </w:rPr>
        <w:t>In accordance with Article 166(3) of the Withdrawal Agreement, the Joint Committee adopts its decisions by mutual consent.</w:t>
      </w:r>
    </w:p>
    <w:p w:rsidR="00FA094C" w:rsidRPr="005D5930" w:rsidRDefault="00FA094C" w:rsidP="00FA094C">
      <w:pPr>
        <w:rPr>
          <w:rFonts w:eastAsia="Arial Unicode MS"/>
          <w:noProof/>
          <w:lang w:val="en-IE"/>
        </w:rPr>
      </w:pPr>
      <w:r w:rsidRPr="005D5930">
        <w:rPr>
          <w:rFonts w:eastAsia="Arial Unicode MS"/>
          <w:noProof/>
          <w:lang w:val="en-IE"/>
        </w:rPr>
        <w:t>The tasks of the Joint Committee are laid down in Article 164 of the Withdrawal Agreement and consist principally of:</w:t>
      </w:r>
    </w:p>
    <w:p w:rsidR="00FA094C" w:rsidRPr="005D5930" w:rsidRDefault="00FA094C" w:rsidP="00BA172B">
      <w:pPr>
        <w:pStyle w:val="Bullet0"/>
        <w:numPr>
          <w:ilvl w:val="0"/>
          <w:numId w:val="7"/>
        </w:numPr>
        <w:rPr>
          <w:noProof/>
          <w:lang w:val="en-IE"/>
        </w:rPr>
      </w:pPr>
      <w:r w:rsidRPr="005D5930">
        <w:rPr>
          <w:noProof/>
          <w:lang w:val="en-IE"/>
        </w:rPr>
        <w:t>overseeing the implementation and application of the Agreement directly or through the work of the specialised committees reporting to it;</w:t>
      </w:r>
    </w:p>
    <w:p w:rsidR="00FA094C" w:rsidRPr="005D5930" w:rsidRDefault="00FA094C" w:rsidP="00244EA3">
      <w:pPr>
        <w:pStyle w:val="Bullet0"/>
        <w:rPr>
          <w:noProof/>
          <w:lang w:val="en-IE"/>
        </w:rPr>
      </w:pPr>
      <w:r w:rsidRPr="005D5930">
        <w:rPr>
          <w:noProof/>
          <w:lang w:val="en-IE"/>
        </w:rPr>
        <w:t>adopting decisions and recommendations, including amendments to the Agreement in the cases provided therein;</w:t>
      </w:r>
    </w:p>
    <w:p w:rsidR="00FA094C" w:rsidRPr="005D5930" w:rsidRDefault="00FA094C" w:rsidP="00244EA3">
      <w:pPr>
        <w:pStyle w:val="Bullet0"/>
        <w:rPr>
          <w:noProof/>
          <w:lang w:val="en-IE"/>
        </w:rPr>
      </w:pPr>
      <w:r w:rsidRPr="005D5930">
        <w:rPr>
          <w:noProof/>
          <w:lang w:val="en-IE"/>
        </w:rPr>
        <w:t>preventing problems and resolving disputes that may arise regarding the interpretation and application of the Agreement.</w:t>
      </w:r>
    </w:p>
    <w:p w:rsidR="006F06A4" w:rsidRPr="005D5930" w:rsidRDefault="006F06A4" w:rsidP="00244EA3">
      <w:pPr>
        <w:pStyle w:val="ManualHeading2"/>
        <w:rPr>
          <w:noProof/>
        </w:rPr>
      </w:pPr>
      <w:r>
        <w:rPr>
          <w:noProof/>
        </w:rPr>
        <w:t>2.3.</w:t>
      </w:r>
      <w:r>
        <w:rPr>
          <w:noProof/>
        </w:rPr>
        <w:tab/>
      </w:r>
      <w:r w:rsidRPr="005D5930">
        <w:rPr>
          <w:noProof/>
        </w:rPr>
        <w:t xml:space="preserve">The envisaged </w:t>
      </w:r>
      <w:r w:rsidR="002C0980" w:rsidRPr="005D5930">
        <w:rPr>
          <w:noProof/>
        </w:rPr>
        <w:t>a</w:t>
      </w:r>
      <w:r w:rsidR="00EE691D" w:rsidRPr="005D5930">
        <w:rPr>
          <w:noProof/>
        </w:rPr>
        <w:t>ct</w:t>
      </w:r>
      <w:r w:rsidRPr="005D5930">
        <w:rPr>
          <w:noProof/>
        </w:rPr>
        <w:t xml:space="preserve"> of the</w:t>
      </w:r>
      <w:r w:rsidR="002C0980" w:rsidRPr="005D5930">
        <w:rPr>
          <w:noProof/>
        </w:rPr>
        <w:t xml:space="preserve"> Joint Committee</w:t>
      </w:r>
      <w:r w:rsidRPr="005D5930">
        <w:rPr>
          <w:noProof/>
        </w:rPr>
        <w:t xml:space="preserve"> </w:t>
      </w:r>
    </w:p>
    <w:p w:rsidR="00EE691D" w:rsidRDefault="00210EBA" w:rsidP="00EE691D">
      <w:pPr>
        <w:rPr>
          <w:noProof/>
        </w:rPr>
      </w:pPr>
      <w:r>
        <w:rPr>
          <w:noProof/>
        </w:rPr>
        <w:t>During</w:t>
      </w:r>
      <w:r w:rsidR="00EE691D" w:rsidRPr="005D5930">
        <w:rPr>
          <w:noProof/>
        </w:rPr>
        <w:t xml:space="preserve"> its next meeting, the </w:t>
      </w:r>
      <w:r w:rsidR="00593D7E">
        <w:rPr>
          <w:noProof/>
        </w:rPr>
        <w:t xml:space="preserve">Union and the United Kingdom are to make a joint declaration on </w:t>
      </w:r>
      <w:r w:rsidR="000712DF">
        <w:rPr>
          <w:noProof/>
        </w:rPr>
        <w:t xml:space="preserve">the application of </w:t>
      </w:r>
      <w:r w:rsidR="00593D7E">
        <w:rPr>
          <w:noProof/>
        </w:rPr>
        <w:t xml:space="preserve">Article 5 of the Windsor Framework </w:t>
      </w:r>
      <w:r w:rsidR="00EE691D" w:rsidRPr="005D5930">
        <w:rPr>
          <w:rFonts w:eastAsia="Arial Unicode MS"/>
          <w:noProof/>
        </w:rPr>
        <w:t>(‘the envisaged act’)</w:t>
      </w:r>
      <w:r w:rsidR="00BD274F" w:rsidRPr="005D5930">
        <w:rPr>
          <w:noProof/>
        </w:rPr>
        <w:t>.</w:t>
      </w:r>
    </w:p>
    <w:p w:rsidR="006F06A4" w:rsidRPr="003836C7" w:rsidRDefault="006A05E5" w:rsidP="00313717">
      <w:pPr>
        <w:rPr>
          <w:noProof/>
        </w:rPr>
      </w:pPr>
      <w:r w:rsidRPr="006A05E5">
        <w:rPr>
          <w:noProof/>
        </w:rPr>
        <w:lastRenderedPageBreak/>
        <w:t xml:space="preserve">The purpose of the envisaged </w:t>
      </w:r>
      <w:r w:rsidR="00613A6E">
        <w:rPr>
          <w:noProof/>
        </w:rPr>
        <w:t>act</w:t>
      </w:r>
      <w:r w:rsidR="000712DF" w:rsidRPr="006A05E5">
        <w:rPr>
          <w:noProof/>
        </w:rPr>
        <w:t xml:space="preserve"> </w:t>
      </w:r>
      <w:r w:rsidRPr="006A05E5">
        <w:rPr>
          <w:noProof/>
        </w:rPr>
        <w:t xml:space="preserve">is to </w:t>
      </w:r>
      <w:r w:rsidR="00E91939">
        <w:rPr>
          <w:noProof/>
        </w:rPr>
        <w:t xml:space="preserve">clarify that the provisions of Article 5 of the Windsor Framework which are related to the payment, collection and remittance of customs duties for goods which are </w:t>
      </w:r>
      <w:r w:rsidR="00E91939" w:rsidRPr="00E91939">
        <w:rPr>
          <w:noProof/>
        </w:rPr>
        <w:t>brought by direct transport into Northern Ireland from another part of the United Kingdom</w:t>
      </w:r>
      <w:r w:rsidR="00F83348">
        <w:rPr>
          <w:noProof/>
        </w:rPr>
        <w:t xml:space="preserve"> or from a territory other than</w:t>
      </w:r>
      <w:r w:rsidR="00E91939" w:rsidRPr="00E91939">
        <w:rPr>
          <w:noProof/>
        </w:rPr>
        <w:t xml:space="preserve"> </w:t>
      </w:r>
      <w:r w:rsidR="00F83348">
        <w:rPr>
          <w:noProof/>
        </w:rPr>
        <w:t xml:space="preserve">the Union or </w:t>
      </w:r>
      <w:r w:rsidR="00F83348" w:rsidRPr="00E91939">
        <w:rPr>
          <w:noProof/>
        </w:rPr>
        <w:t>another part of the United Kingdom</w:t>
      </w:r>
      <w:r w:rsidR="00F83348">
        <w:rPr>
          <w:noProof/>
        </w:rPr>
        <w:t xml:space="preserve"> </w:t>
      </w:r>
      <w:r w:rsidR="00E91939" w:rsidRPr="00E91939">
        <w:rPr>
          <w:noProof/>
        </w:rPr>
        <w:t xml:space="preserve">and which </w:t>
      </w:r>
      <w:r w:rsidR="00E91939">
        <w:rPr>
          <w:noProof/>
        </w:rPr>
        <w:t>are, respectively, at risk or</w:t>
      </w:r>
      <w:r w:rsidR="00E91939" w:rsidRPr="00E91939">
        <w:rPr>
          <w:noProof/>
        </w:rPr>
        <w:t xml:space="preserve"> not at risk of subsequently being moved to the Union</w:t>
      </w:r>
      <w:r w:rsidR="00E91939">
        <w:rPr>
          <w:noProof/>
        </w:rPr>
        <w:t>, are</w:t>
      </w:r>
      <w:r w:rsidR="00E91939" w:rsidRPr="00E91939">
        <w:rPr>
          <w:noProof/>
        </w:rPr>
        <w:t xml:space="preserve"> </w:t>
      </w:r>
      <w:r w:rsidR="00E91939">
        <w:rPr>
          <w:noProof/>
        </w:rPr>
        <w:t>also applicable</w:t>
      </w:r>
      <w:r w:rsidR="00E91939" w:rsidRPr="00E91939">
        <w:rPr>
          <w:noProof/>
        </w:rPr>
        <w:t xml:space="preserve"> to a handling fee established by Union </w:t>
      </w:r>
      <w:r w:rsidR="00A763E0">
        <w:rPr>
          <w:noProof/>
        </w:rPr>
        <w:t xml:space="preserve">law </w:t>
      </w:r>
      <w:r w:rsidR="00E91939" w:rsidRPr="00E91939">
        <w:rPr>
          <w:noProof/>
        </w:rPr>
        <w:t>to cover the costs of the services provided for handling a request for release of goods sold in a distance sale for free circulation</w:t>
      </w:r>
      <w:r w:rsidRPr="006A05E5">
        <w:rPr>
          <w:noProof/>
        </w:rPr>
        <w:t>.</w:t>
      </w:r>
    </w:p>
    <w:p w:rsidR="006F06A4" w:rsidRPr="005D5930" w:rsidRDefault="006F06A4" w:rsidP="00244EA3">
      <w:pPr>
        <w:pStyle w:val="ManualHeading1"/>
        <w:rPr>
          <w:rFonts w:eastAsia="Arial Unicode MS"/>
          <w:noProof/>
        </w:rPr>
      </w:pPr>
      <w:r>
        <w:rPr>
          <w:noProof/>
        </w:rPr>
        <w:t>3.</w:t>
      </w:r>
      <w:r>
        <w:rPr>
          <w:noProof/>
        </w:rPr>
        <w:tab/>
      </w:r>
      <w:r w:rsidRPr="005D5930">
        <w:rPr>
          <w:rFonts w:eastAsia="Arial Unicode MS"/>
          <w:noProof/>
        </w:rPr>
        <w:t>Position to be taken on the Union's behalf</w:t>
      </w:r>
    </w:p>
    <w:p w:rsidR="00C60C07" w:rsidRPr="00C929D3" w:rsidRDefault="00C60C07" w:rsidP="000D0CD4">
      <w:pPr>
        <w:tabs>
          <w:tab w:val="left" w:pos="851"/>
        </w:tabs>
        <w:ind w:left="851" w:hanging="851"/>
        <w:rPr>
          <w:b/>
          <w:bCs/>
          <w:noProof/>
        </w:rPr>
      </w:pPr>
      <w:r w:rsidRPr="00C929D3">
        <w:rPr>
          <w:b/>
          <w:bCs/>
          <w:noProof/>
        </w:rPr>
        <w:t>3.1</w:t>
      </w:r>
      <w:r w:rsidR="00243501" w:rsidRPr="00C929D3">
        <w:rPr>
          <w:b/>
          <w:bCs/>
          <w:noProof/>
        </w:rPr>
        <w:t>.</w:t>
      </w:r>
      <w:r w:rsidRPr="00C929D3">
        <w:rPr>
          <w:b/>
          <w:bCs/>
          <w:noProof/>
        </w:rPr>
        <w:t xml:space="preserve"> </w:t>
      </w:r>
      <w:r w:rsidR="000D0CD4" w:rsidRPr="00C929D3">
        <w:rPr>
          <w:b/>
          <w:bCs/>
          <w:noProof/>
        </w:rPr>
        <w:tab/>
      </w:r>
      <w:r w:rsidR="001D358B" w:rsidRPr="00C929D3">
        <w:rPr>
          <w:b/>
          <w:bCs/>
          <w:noProof/>
        </w:rPr>
        <w:t>A</w:t>
      </w:r>
      <w:r w:rsidR="00593D7E">
        <w:rPr>
          <w:b/>
          <w:bCs/>
          <w:noProof/>
        </w:rPr>
        <w:t>rticle 5 of</w:t>
      </w:r>
      <w:r w:rsidR="001D358B" w:rsidRPr="00C929D3">
        <w:rPr>
          <w:b/>
          <w:bCs/>
          <w:noProof/>
        </w:rPr>
        <w:t xml:space="preserve"> the Windsor Framework </w:t>
      </w:r>
    </w:p>
    <w:p w:rsidR="00F83348" w:rsidRDefault="00F83348" w:rsidP="00F83348">
      <w:pPr>
        <w:rPr>
          <w:noProof/>
        </w:rPr>
      </w:pPr>
      <w:r>
        <w:rPr>
          <w:noProof/>
        </w:rPr>
        <w:t>Article 5(1) of the Windsor Framework provides that no customs duties shall be payable for a good brought by direct transport into Northern Ireland from another part of the United Kingdom and which is not at risk of subsequently being moved to the Union, whether by itself or forming part of another good following processing. It also provides that the customs duties in respect of a good brought by direct transport into Northern Ireland other than from the Union or from another part of the United Kingdom and which is not at risk of subsequently being moved to the Union, whether by itself or forming part of another good following processing, shall be the duties applicable in the United Kingdom.</w:t>
      </w:r>
    </w:p>
    <w:p w:rsidR="00F83348" w:rsidRDefault="00F83348" w:rsidP="00F83348">
      <w:pPr>
        <w:rPr>
          <w:noProof/>
        </w:rPr>
      </w:pPr>
      <w:r>
        <w:rPr>
          <w:noProof/>
        </w:rPr>
        <w:t>The purpose of this provision is to ensure that no good which is brought by direct transport into Northern Ireland and which is not at risk of subsequently being moved to the Union, whether by itself or forming part of another good following processing, should be subject to any financial charges laid down by Union customs law that are directly related to the release for free circulation of such good in Northern Ireland.</w:t>
      </w:r>
    </w:p>
    <w:p w:rsidR="00D6680C" w:rsidRPr="005151A0" w:rsidRDefault="00D6680C" w:rsidP="00F83348">
      <w:pPr>
        <w:rPr>
          <w:noProof/>
        </w:rPr>
      </w:pPr>
      <w:r w:rsidRPr="005151A0">
        <w:rPr>
          <w:noProof/>
        </w:rPr>
        <w:t xml:space="preserve">In this context, it is </w:t>
      </w:r>
      <w:r w:rsidR="007C393A" w:rsidRPr="005151A0">
        <w:rPr>
          <w:noProof/>
        </w:rPr>
        <w:t>necessary</w:t>
      </w:r>
      <w:r w:rsidRPr="005151A0">
        <w:rPr>
          <w:noProof/>
        </w:rPr>
        <w:t xml:space="preserve"> to clarify by way of a joint declaration to be issued by the Union and by the United Kingdom in the framework of the Joint Committee that Article 5(1) of the Windsor Framework should be understood as also applying to a handling fee established by Union law to cover the costs of the services provided for handling a request for release of goods sold in a distance sale for free circulation, in particular by checking the data provided, carrying out risk analysis, performing documentary and physical controls when needed.</w:t>
      </w:r>
    </w:p>
    <w:p w:rsidR="00E91939" w:rsidRPr="00E91939" w:rsidRDefault="00D34EFE" w:rsidP="00F83348">
      <w:pPr>
        <w:rPr>
          <w:noProof/>
        </w:rPr>
      </w:pPr>
      <w:r>
        <w:rPr>
          <w:noProof/>
        </w:rPr>
        <w:t xml:space="preserve">In addition, </w:t>
      </w:r>
      <w:r w:rsidR="00F83348">
        <w:rPr>
          <w:noProof/>
        </w:rPr>
        <w:t xml:space="preserve">Article 5(6) of the Windsor Framework provides that where customs duties are levied by the United Kingdom in accordance with the relevant Union customs legislation, these duties are not remitted to the Union. That provision thus pursues the objective of ensuring that the proceeds of any financial charges laid down by Union customs law that are directly related to the release for free circulation of goods in Northern Ireland remain with the United Kingdom. In this context, </w:t>
      </w:r>
      <w:r>
        <w:rPr>
          <w:noProof/>
        </w:rPr>
        <w:t xml:space="preserve">the envisaged joint declaration clarifies that </w:t>
      </w:r>
      <w:r w:rsidR="00F83348">
        <w:rPr>
          <w:noProof/>
        </w:rPr>
        <w:t>Article 5(6) of the Windsor Framework should be understood as also applying in its entirety to the proceeds of</w:t>
      </w:r>
      <w:r w:rsidR="005151A0">
        <w:rPr>
          <w:noProof/>
        </w:rPr>
        <w:t xml:space="preserve"> </w:t>
      </w:r>
      <w:r w:rsidR="007C393A" w:rsidRPr="005151A0">
        <w:rPr>
          <w:noProof/>
        </w:rPr>
        <w:t>a handling fee of the nature referred to in the previous paragraph</w:t>
      </w:r>
      <w:r w:rsidR="00F83348" w:rsidRPr="005151A0">
        <w:rPr>
          <w:noProof/>
        </w:rPr>
        <w:t>.</w:t>
      </w:r>
      <w:r w:rsidR="007C393A" w:rsidRPr="007C393A">
        <w:rPr>
          <w:noProof/>
        </w:rPr>
        <w:t xml:space="preserve"> </w:t>
      </w:r>
    </w:p>
    <w:p w:rsidR="00250368" w:rsidRDefault="00250368" w:rsidP="00F06CFF">
      <w:pPr>
        <w:pStyle w:val="ManualHeading1"/>
        <w:rPr>
          <w:noProof/>
        </w:rPr>
      </w:pPr>
      <w:r>
        <w:rPr>
          <w:noProof/>
        </w:rPr>
        <w:t>4.</w:t>
      </w:r>
      <w:r>
        <w:rPr>
          <w:noProof/>
        </w:rPr>
        <w:tab/>
        <w:t>Legal basis</w:t>
      </w:r>
    </w:p>
    <w:p w:rsidR="006F06A4" w:rsidRPr="005D5930" w:rsidRDefault="006F06A4" w:rsidP="00250368">
      <w:pPr>
        <w:pStyle w:val="ManualHeading2"/>
        <w:rPr>
          <w:noProof/>
        </w:rPr>
      </w:pPr>
      <w:r>
        <w:rPr>
          <w:noProof/>
        </w:rPr>
        <w:t>4.1.</w:t>
      </w:r>
      <w:r>
        <w:rPr>
          <w:noProof/>
        </w:rPr>
        <w:tab/>
      </w:r>
      <w:r w:rsidRPr="005D5930">
        <w:rPr>
          <w:noProof/>
        </w:rPr>
        <w:t>Procedural legal basis</w:t>
      </w:r>
    </w:p>
    <w:p w:rsidR="006F06A4" w:rsidRPr="005D5930" w:rsidRDefault="006F06A4" w:rsidP="00736AA9">
      <w:pPr>
        <w:rPr>
          <w:noProof/>
        </w:rPr>
      </w:pPr>
      <w:r w:rsidRPr="005D5930">
        <w:rPr>
          <w:noProof/>
        </w:rPr>
        <w:t>The</w:t>
      </w:r>
      <w:r w:rsidR="00E44252" w:rsidRPr="005D5930">
        <w:rPr>
          <w:noProof/>
        </w:rPr>
        <w:t xml:space="preserve"> Joint Committee</w:t>
      </w:r>
      <w:r w:rsidRPr="005D5930">
        <w:rPr>
          <w:noProof/>
        </w:rPr>
        <w:t xml:space="preserve"> is a body set up by an agreement, namely the</w:t>
      </w:r>
      <w:r w:rsidR="00E44252" w:rsidRPr="005D5930">
        <w:rPr>
          <w:noProof/>
        </w:rPr>
        <w:t xml:space="preserve"> Withdrawal Agreement.</w:t>
      </w:r>
    </w:p>
    <w:p w:rsidR="006F06A4" w:rsidRPr="005D5930" w:rsidRDefault="001C5804" w:rsidP="00736AA9">
      <w:pPr>
        <w:rPr>
          <w:noProof/>
        </w:rPr>
      </w:pPr>
      <w:r w:rsidRPr="001C5804">
        <w:rPr>
          <w:noProof/>
        </w:rPr>
        <w:t>The envisaged act constitutes an act having legal effects, within the meaning of Article 218(9) TFEU</w:t>
      </w:r>
      <w:r w:rsidR="006F06A4" w:rsidRPr="003836C7">
        <w:rPr>
          <w:noProof/>
        </w:rPr>
        <w:t>.</w:t>
      </w:r>
      <w:r w:rsidR="006F06A4" w:rsidRPr="005D5930">
        <w:rPr>
          <w:noProof/>
        </w:rPr>
        <w:t xml:space="preserve"> </w:t>
      </w:r>
    </w:p>
    <w:p w:rsidR="006F06A4" w:rsidRPr="005D5930" w:rsidRDefault="006F06A4" w:rsidP="00736AA9">
      <w:pPr>
        <w:rPr>
          <w:noProof/>
        </w:rPr>
      </w:pPr>
      <w:r w:rsidRPr="005D5930">
        <w:rPr>
          <w:noProof/>
        </w:rPr>
        <w:lastRenderedPageBreak/>
        <w:t xml:space="preserve">The envisaged act does not supplement or amend the institutional framework of the </w:t>
      </w:r>
      <w:r w:rsidR="000544ED" w:rsidRPr="005D5930">
        <w:rPr>
          <w:noProof/>
        </w:rPr>
        <w:t xml:space="preserve">Withdrawal </w:t>
      </w:r>
      <w:r w:rsidRPr="005D5930">
        <w:rPr>
          <w:noProof/>
        </w:rPr>
        <w:t>Agreement.</w:t>
      </w:r>
    </w:p>
    <w:p w:rsidR="006F06A4" w:rsidRPr="005D5930" w:rsidRDefault="006F06A4" w:rsidP="00736AA9">
      <w:pPr>
        <w:rPr>
          <w:noProof/>
        </w:rPr>
      </w:pPr>
      <w:r w:rsidRPr="005D5930">
        <w:rPr>
          <w:noProof/>
        </w:rPr>
        <w:t>Therefore, the procedural legal basis for the proposed decision is Article 218(9) TFEU.</w:t>
      </w:r>
    </w:p>
    <w:p w:rsidR="006F06A4" w:rsidRPr="005D5930" w:rsidRDefault="006F06A4" w:rsidP="00244EA3">
      <w:pPr>
        <w:pStyle w:val="ManualHeading2"/>
        <w:rPr>
          <w:noProof/>
        </w:rPr>
      </w:pPr>
      <w:r>
        <w:rPr>
          <w:noProof/>
        </w:rPr>
        <w:t>4.2.</w:t>
      </w:r>
      <w:r>
        <w:rPr>
          <w:noProof/>
        </w:rPr>
        <w:tab/>
      </w:r>
      <w:r w:rsidRPr="005D5930">
        <w:rPr>
          <w:noProof/>
        </w:rPr>
        <w:t>Substantive legal basis</w:t>
      </w:r>
    </w:p>
    <w:p w:rsidR="00DE05BB" w:rsidRPr="005D5930" w:rsidRDefault="00DE05BB" w:rsidP="00DE05BB">
      <w:pPr>
        <w:rPr>
          <w:iCs/>
          <w:noProof/>
          <w:lang w:val="en-IE"/>
        </w:rPr>
      </w:pPr>
      <w:r w:rsidRPr="003836C7">
        <w:rPr>
          <w:iCs/>
          <w:noProof/>
          <w:lang w:val="en-IE"/>
        </w:rPr>
        <w:t xml:space="preserve">The </w:t>
      </w:r>
      <w:r w:rsidR="00C901F7" w:rsidRPr="003836C7">
        <w:rPr>
          <w:iCs/>
          <w:noProof/>
          <w:lang w:val="en-IE"/>
        </w:rPr>
        <w:t>main</w:t>
      </w:r>
      <w:r w:rsidRPr="003836C7">
        <w:rPr>
          <w:iCs/>
          <w:noProof/>
          <w:lang w:val="en-IE"/>
        </w:rPr>
        <w:t xml:space="preserve"> objective and content of the envisaged act </w:t>
      </w:r>
      <w:r w:rsidR="00C901F7" w:rsidRPr="003836C7">
        <w:rPr>
          <w:iCs/>
          <w:noProof/>
          <w:lang w:val="en-IE"/>
        </w:rPr>
        <w:t xml:space="preserve">relate </w:t>
      </w:r>
      <w:r w:rsidR="00826868" w:rsidRPr="003836C7">
        <w:rPr>
          <w:iCs/>
          <w:noProof/>
          <w:lang w:val="en-IE"/>
        </w:rPr>
        <w:t>to</w:t>
      </w:r>
      <w:r w:rsidR="00826868" w:rsidRPr="003836C7">
        <w:rPr>
          <w:noProof/>
        </w:rPr>
        <w:t xml:space="preserve"> </w:t>
      </w:r>
      <w:r w:rsidR="0044582A" w:rsidRPr="003836C7">
        <w:rPr>
          <w:noProof/>
        </w:rPr>
        <w:t xml:space="preserve">clarifying the joint interpretation by the Union and by the United Kingdom </w:t>
      </w:r>
      <w:r w:rsidR="007C393A">
        <w:rPr>
          <w:noProof/>
        </w:rPr>
        <w:t>regarding</w:t>
      </w:r>
      <w:r w:rsidR="0044582A" w:rsidRPr="003836C7">
        <w:rPr>
          <w:noProof/>
        </w:rPr>
        <w:t xml:space="preserve"> the application of Article 5 of</w:t>
      </w:r>
      <w:r w:rsidR="00293AAF" w:rsidRPr="003836C7">
        <w:rPr>
          <w:noProof/>
        </w:rPr>
        <w:t xml:space="preserve"> the Windsor Framework</w:t>
      </w:r>
      <w:r w:rsidR="0044582A" w:rsidRPr="003836C7">
        <w:rPr>
          <w:noProof/>
        </w:rPr>
        <w:t xml:space="preserve">, </w:t>
      </w:r>
      <w:r w:rsidR="0044582A" w:rsidRPr="003836C7">
        <w:rPr>
          <w:rFonts w:eastAsia="Arial Unicode MS"/>
          <w:noProof/>
        </w:rPr>
        <w:t>which forms an integral part of the Withdrawal Agreement</w:t>
      </w:r>
      <w:r w:rsidRPr="003836C7">
        <w:rPr>
          <w:iCs/>
          <w:noProof/>
          <w:lang w:val="en-IE"/>
        </w:rPr>
        <w:t>.</w:t>
      </w:r>
    </w:p>
    <w:p w:rsidR="00DE05BB" w:rsidRPr="005D5930" w:rsidRDefault="00DE05BB" w:rsidP="00DE05BB">
      <w:pPr>
        <w:rPr>
          <w:iCs/>
          <w:noProof/>
          <w:lang w:val="en-IE"/>
        </w:rPr>
      </w:pPr>
      <w:r w:rsidRPr="005D5930">
        <w:rPr>
          <w:iCs/>
          <w:noProof/>
          <w:lang w:val="en-IE"/>
        </w:rPr>
        <w:t>The conclusion of the Withdrawal Agreement was based on Article 50(2) TEU.</w:t>
      </w:r>
    </w:p>
    <w:p w:rsidR="00DE05BB" w:rsidRPr="005D5930" w:rsidRDefault="00DE05BB" w:rsidP="00DE05BB">
      <w:pPr>
        <w:rPr>
          <w:iCs/>
          <w:noProof/>
          <w:lang w:val="en-IE"/>
        </w:rPr>
      </w:pPr>
      <w:r w:rsidRPr="005D5930">
        <w:rPr>
          <w:iCs/>
          <w:noProof/>
          <w:lang w:val="en-IE"/>
        </w:rPr>
        <w:t>Therefore, the substantive legal basis of the proposed decision is Article 50(2) TEU.</w:t>
      </w:r>
    </w:p>
    <w:p w:rsidR="006F06A4" w:rsidRPr="005D5930" w:rsidRDefault="006F06A4" w:rsidP="00244EA3">
      <w:pPr>
        <w:pStyle w:val="ManualHeading2"/>
        <w:rPr>
          <w:noProof/>
        </w:rPr>
      </w:pPr>
      <w:r>
        <w:rPr>
          <w:noProof/>
        </w:rPr>
        <w:t>4.3.</w:t>
      </w:r>
      <w:r>
        <w:rPr>
          <w:noProof/>
        </w:rPr>
        <w:tab/>
      </w:r>
      <w:r w:rsidRPr="005D5930">
        <w:rPr>
          <w:noProof/>
        </w:rPr>
        <w:t>Conclusion</w:t>
      </w:r>
    </w:p>
    <w:p w:rsidR="006F06A4" w:rsidRPr="005D5930" w:rsidRDefault="006F06A4" w:rsidP="00736AA9">
      <w:pPr>
        <w:rPr>
          <w:noProof/>
        </w:rPr>
      </w:pPr>
      <w:r w:rsidRPr="005D5930">
        <w:rPr>
          <w:noProof/>
        </w:rPr>
        <w:t>The legal basis of the proposed decision should be</w:t>
      </w:r>
      <w:r w:rsidR="006A43E6" w:rsidRPr="005D5930">
        <w:rPr>
          <w:noProof/>
        </w:rPr>
        <w:t xml:space="preserve"> Article 50(2) TEU,</w:t>
      </w:r>
      <w:r w:rsidRPr="005D5930">
        <w:rPr>
          <w:noProof/>
        </w:rPr>
        <w:t xml:space="preserve"> in conjunction with Article 218(9) TFEU.</w:t>
      </w:r>
    </w:p>
    <w:p w:rsidR="006F06A4" w:rsidRPr="005D5930" w:rsidRDefault="006F06A4" w:rsidP="00244EA3">
      <w:pPr>
        <w:pStyle w:val="ManualHeading1"/>
        <w:rPr>
          <w:noProof/>
        </w:rPr>
      </w:pPr>
      <w:r>
        <w:rPr>
          <w:noProof/>
        </w:rPr>
        <w:t>5.</w:t>
      </w:r>
      <w:r>
        <w:rPr>
          <w:noProof/>
        </w:rPr>
        <w:tab/>
      </w:r>
      <w:r w:rsidRPr="005D5930">
        <w:rPr>
          <w:noProof/>
        </w:rPr>
        <w:t>Publication of the envisaged act</w:t>
      </w:r>
    </w:p>
    <w:p w:rsidR="006F06A4" w:rsidRPr="005D5930" w:rsidRDefault="001C5804" w:rsidP="001C5804">
      <w:pPr>
        <w:rPr>
          <w:noProof/>
        </w:rPr>
      </w:pPr>
      <w:r>
        <w:rPr>
          <w:noProof/>
        </w:rPr>
        <w:t>In the interest of legal certainty and transparency,</w:t>
      </w:r>
      <w:r w:rsidR="00526DFB" w:rsidRPr="001C5804">
        <w:rPr>
          <w:noProof/>
        </w:rPr>
        <w:t xml:space="preserve"> </w:t>
      </w:r>
      <w:r w:rsidR="006F06A4" w:rsidRPr="001C5804">
        <w:rPr>
          <w:noProof/>
        </w:rPr>
        <w:t>it is appropri</w:t>
      </w:r>
      <w:r w:rsidR="006F06A4" w:rsidRPr="005D5930">
        <w:rPr>
          <w:noProof/>
        </w:rPr>
        <w:t>ate to publish</w:t>
      </w:r>
      <w:r>
        <w:rPr>
          <w:noProof/>
        </w:rPr>
        <w:t xml:space="preserve"> the joint declaration of the Union and the United Kingdom</w:t>
      </w:r>
      <w:r w:rsidR="006F06A4" w:rsidRPr="005D5930">
        <w:rPr>
          <w:noProof/>
        </w:rPr>
        <w:t xml:space="preserve"> in the </w:t>
      </w:r>
      <w:r w:rsidR="006F06A4" w:rsidRPr="005D5930">
        <w:rPr>
          <w:i/>
          <w:noProof/>
        </w:rPr>
        <w:t xml:space="preserve">Official Journal of the European Union </w:t>
      </w:r>
      <w:r w:rsidR="006F06A4" w:rsidRPr="005D5930">
        <w:rPr>
          <w:noProof/>
        </w:rPr>
        <w:t>after</w:t>
      </w:r>
      <w:r>
        <w:rPr>
          <w:noProof/>
        </w:rPr>
        <w:t xml:space="preserve"> it has been made within the Joint Committee</w:t>
      </w:r>
      <w:r w:rsidR="006F06A4" w:rsidRPr="005D5930">
        <w:rPr>
          <w:noProof/>
        </w:rPr>
        <w:t>.</w:t>
      </w:r>
    </w:p>
    <w:p w:rsidR="006F06A4" w:rsidRPr="005D5930" w:rsidRDefault="006F06A4" w:rsidP="00FD40BA">
      <w:pPr>
        <w:rPr>
          <w:noProof/>
        </w:rPr>
        <w:sectPr w:rsidR="006F06A4" w:rsidRPr="005D5930" w:rsidSect="000C075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8F3AB5" w:rsidRDefault="00D818CF">
      <w:pPr>
        <w:pStyle w:val="Rfrenceinterinstitutionnelle"/>
        <w:rPr>
          <w:noProof/>
        </w:rPr>
      </w:pPr>
      <w:r>
        <w:rPr>
          <w:noProof/>
        </w:rPr>
        <w:lastRenderedPageBreak/>
        <w:t>2026/0224 (NLE)</w:t>
      </w:r>
    </w:p>
    <w:p w:rsidR="006F06A4" w:rsidRPr="005D5930" w:rsidRDefault="009B24A6" w:rsidP="009B24A6">
      <w:pPr>
        <w:pStyle w:val="Statut"/>
        <w:rPr>
          <w:noProof/>
        </w:rPr>
      </w:pPr>
      <w:r w:rsidRPr="009B24A6">
        <w:rPr>
          <w:noProof/>
        </w:rPr>
        <w:t>Proposal for a</w:t>
      </w:r>
    </w:p>
    <w:p w:rsidR="006F06A4" w:rsidRPr="005D5930" w:rsidRDefault="009B24A6" w:rsidP="009B24A6">
      <w:pPr>
        <w:pStyle w:val="Typedudocument"/>
        <w:rPr>
          <w:noProof/>
        </w:rPr>
      </w:pPr>
      <w:r w:rsidRPr="009B24A6">
        <w:rPr>
          <w:noProof/>
        </w:rPr>
        <w:t>COUNCIL DECISION</w:t>
      </w:r>
    </w:p>
    <w:p w:rsidR="006F06A4" w:rsidRPr="005D5930" w:rsidRDefault="009B24A6" w:rsidP="009B24A6">
      <w:pPr>
        <w:pStyle w:val="Titreobjet"/>
        <w:rPr>
          <w:noProof/>
        </w:rPr>
      </w:pPr>
      <w:r w:rsidRPr="009B24A6">
        <w:rPr>
          <w:noProof/>
        </w:rPr>
        <w:t>establishing the position to be taken on behalf of the European Union within the Joint Committee established by the Agreement on the withdrawal of the United Kingdom of Great Britain and Northern Ireland from the European Union and the European Atomic Energy Community as regards a joint declaration on the application of Article 5 of the Windsor Framework</w:t>
      </w:r>
    </w:p>
    <w:p w:rsidR="006F06A4" w:rsidRPr="005D5930" w:rsidRDefault="006F06A4" w:rsidP="00BE7CB9">
      <w:pPr>
        <w:pStyle w:val="Institutionquiagit"/>
        <w:rPr>
          <w:noProof/>
        </w:rPr>
      </w:pPr>
      <w:r w:rsidRPr="005D5930">
        <w:rPr>
          <w:noProof/>
        </w:rPr>
        <w:t>THE COUNCIL OF THE EUROPEAN UNION,</w:t>
      </w:r>
    </w:p>
    <w:p w:rsidR="006F06A4" w:rsidRPr="005D5930" w:rsidRDefault="006F06A4" w:rsidP="00E76BEE">
      <w:pPr>
        <w:rPr>
          <w:noProof/>
          <w:lang w:val="en-IE"/>
        </w:rPr>
      </w:pPr>
      <w:r w:rsidRPr="005D5930">
        <w:rPr>
          <w:noProof/>
        </w:rPr>
        <w:t>Having regard to the Treaty on European Union, and in particular Article</w:t>
      </w:r>
      <w:r w:rsidR="009D4A1A" w:rsidRPr="005D5930">
        <w:rPr>
          <w:noProof/>
        </w:rPr>
        <w:t xml:space="preserve"> 50(2) thereof,</w:t>
      </w:r>
      <w:r w:rsidR="00E76BEE">
        <w:rPr>
          <w:noProof/>
        </w:rPr>
        <w:t xml:space="preserve"> </w:t>
      </w:r>
      <w:r w:rsidR="00E76BEE" w:rsidRPr="00E76BEE">
        <w:rPr>
          <w:noProof/>
        </w:rPr>
        <w:t>in conjunction with Article 218(9) of the Treaty on the Functioning of the European Unio</w:t>
      </w:r>
      <w:r w:rsidR="00E76BEE">
        <w:rPr>
          <w:noProof/>
        </w:rPr>
        <w:t>n</w:t>
      </w:r>
      <w:r w:rsidR="003E28AB" w:rsidRPr="005D5930">
        <w:rPr>
          <w:noProof/>
        </w:rPr>
        <w:t>,</w:t>
      </w:r>
    </w:p>
    <w:p w:rsidR="006F06A4" w:rsidRPr="005D5930" w:rsidRDefault="006F06A4" w:rsidP="00BE7CB9">
      <w:pPr>
        <w:rPr>
          <w:noProof/>
        </w:rPr>
      </w:pPr>
      <w:r w:rsidRPr="005D5930">
        <w:rPr>
          <w:noProof/>
        </w:rPr>
        <w:t>Having regard to the proposal from the European Commission,</w:t>
      </w:r>
    </w:p>
    <w:p w:rsidR="006F06A4" w:rsidRPr="005D5930" w:rsidRDefault="006F06A4" w:rsidP="00BE7CB9">
      <w:pPr>
        <w:rPr>
          <w:noProof/>
        </w:rPr>
      </w:pPr>
      <w:r w:rsidRPr="005D5930">
        <w:rPr>
          <w:noProof/>
        </w:rPr>
        <w:t>Whereas:</w:t>
      </w:r>
    </w:p>
    <w:p w:rsidR="006F06A4" w:rsidRPr="005D5930" w:rsidRDefault="00884CF2" w:rsidP="00244EA3">
      <w:pPr>
        <w:pStyle w:val="ManualConsidrant"/>
        <w:rPr>
          <w:noProof/>
        </w:rPr>
      </w:pPr>
      <w:r>
        <w:rPr>
          <w:noProof/>
        </w:rPr>
        <w:t>(1)</w:t>
      </w:r>
      <w:r>
        <w:rPr>
          <w:noProof/>
        </w:rPr>
        <w:tab/>
      </w:r>
      <w:r w:rsidRPr="005D5930">
        <w:rPr>
          <w:noProof/>
        </w:rPr>
        <w:t>The Agreement on the withdrawal of the United Kingdom of Great Britain and Northern Ireland from the European Union and the European Atomic Energy Community</w:t>
      </w:r>
      <w:r w:rsidR="009E151C">
        <w:rPr>
          <w:rStyle w:val="FootnoteReference"/>
          <w:noProof/>
        </w:rPr>
        <w:footnoteReference w:id="3"/>
      </w:r>
      <w:r w:rsidRPr="005D5930">
        <w:rPr>
          <w:noProof/>
        </w:rPr>
        <w:t xml:space="preserve"> (the </w:t>
      </w:r>
      <w:r w:rsidR="009E151C">
        <w:rPr>
          <w:noProof/>
        </w:rPr>
        <w:t>‘</w:t>
      </w:r>
      <w:r w:rsidRPr="005D5930">
        <w:rPr>
          <w:noProof/>
        </w:rPr>
        <w:t xml:space="preserve">Withdrawal Agreement’) was concluded by the Union by </w:t>
      </w:r>
      <w:r w:rsidR="00B57CEE">
        <w:rPr>
          <w:noProof/>
        </w:rPr>
        <w:t xml:space="preserve">means of </w:t>
      </w:r>
      <w:r w:rsidRPr="005D5930">
        <w:rPr>
          <w:noProof/>
        </w:rPr>
        <w:t>Council Decision (EU) 2020/135</w:t>
      </w:r>
      <w:r w:rsidR="006F06A4" w:rsidRPr="005D5930">
        <w:rPr>
          <w:rStyle w:val="FootnoteReference"/>
          <w:noProof/>
        </w:rPr>
        <w:footnoteReference w:id="4"/>
      </w:r>
      <w:r w:rsidRPr="005D5930">
        <w:rPr>
          <w:noProof/>
        </w:rPr>
        <w:t>.</w:t>
      </w:r>
    </w:p>
    <w:p w:rsidR="006F06A4" w:rsidRPr="003836C7" w:rsidRDefault="0044582A" w:rsidP="00244EA3">
      <w:pPr>
        <w:pStyle w:val="ManualConsidrant"/>
        <w:rPr>
          <w:noProof/>
        </w:rPr>
      </w:pPr>
      <w:r>
        <w:rPr>
          <w:noProof/>
        </w:rPr>
        <w:t>(2)</w:t>
      </w:r>
      <w:r>
        <w:rPr>
          <w:noProof/>
        </w:rPr>
        <w:tab/>
      </w:r>
      <w:r w:rsidRPr="003836C7">
        <w:rPr>
          <w:noProof/>
        </w:rPr>
        <w:t>In accordance with Article 182 of the Withdrawal Agreement,</w:t>
      </w:r>
      <w:r w:rsidRPr="003836C7" w:rsidDel="0044582A">
        <w:rPr>
          <w:noProof/>
        </w:rPr>
        <w:t xml:space="preserve"> </w:t>
      </w:r>
      <w:r w:rsidR="006F06A4" w:rsidRPr="003836C7">
        <w:rPr>
          <w:noProof/>
        </w:rPr>
        <w:t>the</w:t>
      </w:r>
      <w:r w:rsidR="00DE5336" w:rsidRPr="003836C7">
        <w:rPr>
          <w:noProof/>
        </w:rPr>
        <w:t xml:space="preserve"> Windsor Framework</w:t>
      </w:r>
      <w:r w:rsidR="00DE5336" w:rsidRPr="003836C7">
        <w:rPr>
          <w:rStyle w:val="FootnoteReference"/>
          <w:noProof/>
        </w:rPr>
        <w:footnoteReference w:id="5"/>
      </w:r>
      <w:r w:rsidR="00DB02BA" w:rsidRPr="003836C7">
        <w:rPr>
          <w:noProof/>
        </w:rPr>
        <w:t xml:space="preserve"> </w:t>
      </w:r>
      <w:r w:rsidR="00D914B6" w:rsidRPr="003836C7">
        <w:rPr>
          <w:noProof/>
        </w:rPr>
        <w:t>forms</w:t>
      </w:r>
      <w:r w:rsidR="00DB02BA" w:rsidRPr="003836C7">
        <w:rPr>
          <w:noProof/>
        </w:rPr>
        <w:t xml:space="preserve"> an integral part of th</w:t>
      </w:r>
      <w:r w:rsidRPr="003836C7">
        <w:rPr>
          <w:noProof/>
        </w:rPr>
        <w:t>at</w:t>
      </w:r>
      <w:r w:rsidR="00DB02BA" w:rsidRPr="003836C7">
        <w:rPr>
          <w:noProof/>
        </w:rPr>
        <w:t xml:space="preserve"> Agreement</w:t>
      </w:r>
      <w:r w:rsidR="00F21E98" w:rsidRPr="003836C7">
        <w:rPr>
          <w:noProof/>
        </w:rPr>
        <w:t>.</w:t>
      </w:r>
      <w:r w:rsidR="006F06A4" w:rsidRPr="003836C7">
        <w:rPr>
          <w:noProof/>
        </w:rPr>
        <w:t xml:space="preserve"> </w:t>
      </w:r>
    </w:p>
    <w:p w:rsidR="00E471C4" w:rsidRDefault="00E471C4" w:rsidP="00E471C4">
      <w:pPr>
        <w:pStyle w:val="ManualConsidrant"/>
        <w:rPr>
          <w:noProof/>
        </w:rPr>
      </w:pPr>
      <w:r>
        <w:rPr>
          <w:noProof/>
        </w:rPr>
        <w:t>(3)</w:t>
      </w:r>
      <w:r>
        <w:rPr>
          <w:noProof/>
        </w:rPr>
        <w:tab/>
      </w:r>
      <w:r w:rsidRPr="00E471C4">
        <w:rPr>
          <w:noProof/>
        </w:rPr>
        <w:t xml:space="preserve">The </w:t>
      </w:r>
      <w:r w:rsidR="00593D7E">
        <w:rPr>
          <w:noProof/>
        </w:rPr>
        <w:t>Union and the United Kingdom</w:t>
      </w:r>
      <w:r w:rsidRPr="00E471C4">
        <w:rPr>
          <w:noProof/>
        </w:rPr>
        <w:t xml:space="preserve">, </w:t>
      </w:r>
      <w:r>
        <w:rPr>
          <w:noProof/>
        </w:rPr>
        <w:t>during</w:t>
      </w:r>
      <w:r w:rsidRPr="00E471C4">
        <w:rPr>
          <w:noProof/>
        </w:rPr>
        <w:t xml:space="preserve"> </w:t>
      </w:r>
      <w:r w:rsidR="00593D7E">
        <w:rPr>
          <w:noProof/>
        </w:rPr>
        <w:t>the</w:t>
      </w:r>
      <w:r w:rsidRPr="00E471C4">
        <w:rPr>
          <w:noProof/>
        </w:rPr>
        <w:t xml:space="preserve"> next meeting</w:t>
      </w:r>
      <w:r w:rsidR="00593D7E">
        <w:rPr>
          <w:noProof/>
        </w:rPr>
        <w:t xml:space="preserve"> of the Joint Committee</w:t>
      </w:r>
      <w:r w:rsidRPr="00E471C4">
        <w:rPr>
          <w:noProof/>
        </w:rPr>
        <w:t xml:space="preserve">, </w:t>
      </w:r>
      <w:r w:rsidR="00593D7E">
        <w:rPr>
          <w:noProof/>
        </w:rPr>
        <w:t>are</w:t>
      </w:r>
      <w:r w:rsidRPr="00E471C4">
        <w:rPr>
          <w:noProof/>
        </w:rPr>
        <w:t xml:space="preserve"> to </w:t>
      </w:r>
      <w:r w:rsidR="00593D7E">
        <w:rPr>
          <w:noProof/>
        </w:rPr>
        <w:t xml:space="preserve">make a joint declaration on </w:t>
      </w:r>
      <w:r w:rsidR="0044582A">
        <w:rPr>
          <w:noProof/>
        </w:rPr>
        <w:t xml:space="preserve">the application of </w:t>
      </w:r>
      <w:r w:rsidR="00593D7E">
        <w:rPr>
          <w:noProof/>
        </w:rPr>
        <w:t xml:space="preserve">Article 5 of the </w:t>
      </w:r>
      <w:r>
        <w:rPr>
          <w:noProof/>
        </w:rPr>
        <w:t>Windsor Framework</w:t>
      </w:r>
      <w:r w:rsidRPr="00E471C4">
        <w:rPr>
          <w:noProof/>
        </w:rPr>
        <w:t xml:space="preserve">. </w:t>
      </w:r>
    </w:p>
    <w:p w:rsidR="00A763E0" w:rsidRPr="008863CB" w:rsidRDefault="00A763E0" w:rsidP="00E471C4">
      <w:pPr>
        <w:pStyle w:val="ManualConsidrant"/>
        <w:rPr>
          <w:noProof/>
        </w:rPr>
      </w:pPr>
      <w:r>
        <w:rPr>
          <w:noProof/>
        </w:rPr>
        <w:t>(4)</w:t>
      </w:r>
      <w:r>
        <w:rPr>
          <w:noProof/>
        </w:rPr>
        <w:tab/>
      </w:r>
      <w:r w:rsidRPr="008863CB">
        <w:rPr>
          <w:noProof/>
        </w:rPr>
        <w:t>The purpose of the joint declaration  is to clarify that the provisions of Article 5 of the Windsor Framework which are related to the payment, collection and remittance of customs duties for goods which are brought by direct transport into Northern Ireland from another part of the United Kingdom or from a territory other than the Union or another part of the United Kingdom and which are, respectively, at risk or not at risk of subsequently being moved to the Union, are also applicable to a handling fee established by Union law to cover the costs of the services provided for handling a request for release of goods sold in a distance sale for free circulation.</w:t>
      </w:r>
    </w:p>
    <w:p w:rsidR="00616300" w:rsidRPr="00706751" w:rsidRDefault="00616300" w:rsidP="00244EA3">
      <w:pPr>
        <w:pStyle w:val="ManualConsidrant"/>
        <w:rPr>
          <w:noProof/>
        </w:rPr>
      </w:pPr>
      <w:r>
        <w:rPr>
          <w:noProof/>
        </w:rPr>
        <w:lastRenderedPageBreak/>
        <w:t>(5)</w:t>
      </w:r>
      <w:r>
        <w:rPr>
          <w:noProof/>
        </w:rPr>
        <w:tab/>
      </w:r>
      <w:r w:rsidRPr="003836C7">
        <w:rPr>
          <w:noProof/>
        </w:rPr>
        <w:t xml:space="preserve">The envisaged </w:t>
      </w:r>
      <w:r w:rsidR="00706751" w:rsidRPr="003836C7">
        <w:rPr>
          <w:noProof/>
        </w:rPr>
        <w:t>joint declaration of the Union and the United Kingdom</w:t>
      </w:r>
      <w:r w:rsidRPr="003836C7">
        <w:rPr>
          <w:noProof/>
        </w:rPr>
        <w:t xml:space="preserve"> will, if </w:t>
      </w:r>
      <w:r w:rsidR="00706751" w:rsidRPr="003836C7">
        <w:rPr>
          <w:noProof/>
        </w:rPr>
        <w:t>made within the Joint Committee</w:t>
      </w:r>
      <w:r w:rsidRPr="003836C7">
        <w:rPr>
          <w:noProof/>
        </w:rPr>
        <w:t xml:space="preserve">, </w:t>
      </w:r>
      <w:r w:rsidR="00232473" w:rsidRPr="00232473">
        <w:rPr>
          <w:noProof/>
        </w:rPr>
        <w:t>constitute an act having legal effects, within the meaning of Article 218(9) TFEU</w:t>
      </w:r>
      <w:r w:rsidR="00582CCB" w:rsidRPr="00706751">
        <w:rPr>
          <w:noProof/>
        </w:rPr>
        <w:t xml:space="preserve">. </w:t>
      </w:r>
      <w:r w:rsidRPr="00706751">
        <w:rPr>
          <w:noProof/>
        </w:rPr>
        <w:t xml:space="preserve"> </w:t>
      </w:r>
    </w:p>
    <w:p w:rsidR="006F06A4" w:rsidRPr="00706751" w:rsidRDefault="006F06A4" w:rsidP="00244EA3">
      <w:pPr>
        <w:pStyle w:val="ManualConsidrant"/>
        <w:rPr>
          <w:noProof/>
        </w:rPr>
      </w:pPr>
      <w:r>
        <w:rPr>
          <w:noProof/>
        </w:rPr>
        <w:t>(6)</w:t>
      </w:r>
      <w:r>
        <w:rPr>
          <w:noProof/>
        </w:rPr>
        <w:tab/>
      </w:r>
      <w:r w:rsidRPr="005D5930">
        <w:rPr>
          <w:noProof/>
        </w:rPr>
        <w:t xml:space="preserve">It is </w:t>
      </w:r>
      <w:r w:rsidR="00616300" w:rsidRPr="00616300">
        <w:rPr>
          <w:noProof/>
        </w:rPr>
        <w:t xml:space="preserve">therefore </w:t>
      </w:r>
      <w:r w:rsidR="00616300">
        <w:rPr>
          <w:noProof/>
        </w:rPr>
        <w:t>necessary</w:t>
      </w:r>
      <w:r w:rsidRPr="005D5930">
        <w:rPr>
          <w:noProof/>
        </w:rPr>
        <w:t xml:space="preserve"> to establish the position to be taken </w:t>
      </w:r>
      <w:r w:rsidR="009E151C">
        <w:rPr>
          <w:noProof/>
        </w:rPr>
        <w:t>with</w:t>
      </w:r>
      <w:r w:rsidRPr="005D5930">
        <w:rPr>
          <w:noProof/>
        </w:rPr>
        <w:t>in the</w:t>
      </w:r>
      <w:r w:rsidR="005406C4" w:rsidRPr="005D5930">
        <w:rPr>
          <w:noProof/>
        </w:rPr>
        <w:t xml:space="preserve"> Joint Committee</w:t>
      </w:r>
      <w:r w:rsidR="00113646">
        <w:rPr>
          <w:noProof/>
        </w:rPr>
        <w:t xml:space="preserve"> </w:t>
      </w:r>
      <w:r w:rsidR="00616300" w:rsidRPr="003836C7">
        <w:rPr>
          <w:noProof/>
        </w:rPr>
        <w:t xml:space="preserve">with regard to </w:t>
      </w:r>
      <w:r w:rsidR="00593D7E" w:rsidRPr="003836C7">
        <w:rPr>
          <w:noProof/>
        </w:rPr>
        <w:t xml:space="preserve">the joint declaration of the Union and the United Kingdom within the Joint Committee on </w:t>
      </w:r>
      <w:r w:rsidR="00706751" w:rsidRPr="003836C7">
        <w:rPr>
          <w:noProof/>
        </w:rPr>
        <w:t xml:space="preserve">the application of </w:t>
      </w:r>
      <w:r w:rsidR="00593D7E" w:rsidRPr="003836C7">
        <w:rPr>
          <w:noProof/>
        </w:rPr>
        <w:t>Article 5 of the Windsor Framework</w:t>
      </w:r>
      <w:r w:rsidR="009E151C" w:rsidRPr="00706751">
        <w:rPr>
          <w:noProof/>
        </w:rPr>
        <w:t>,</w:t>
      </w:r>
    </w:p>
    <w:p w:rsidR="005406C4" w:rsidRPr="005D5930" w:rsidRDefault="005406C4" w:rsidP="009A3D7B">
      <w:pPr>
        <w:rPr>
          <w:noProof/>
        </w:rPr>
      </w:pPr>
    </w:p>
    <w:p w:rsidR="006F06A4" w:rsidRPr="005D5930" w:rsidRDefault="006F06A4" w:rsidP="00BE7CB9">
      <w:pPr>
        <w:pStyle w:val="Formuledadoption"/>
        <w:rPr>
          <w:noProof/>
        </w:rPr>
      </w:pPr>
      <w:r w:rsidRPr="005D5930">
        <w:rPr>
          <w:noProof/>
        </w:rPr>
        <w:t>HAS ADOPTED THIS DECISION:</w:t>
      </w:r>
    </w:p>
    <w:p w:rsidR="006F06A4" w:rsidRPr="005D5930" w:rsidRDefault="006F06A4" w:rsidP="00BE7CB9">
      <w:pPr>
        <w:pStyle w:val="Titrearticle"/>
        <w:rPr>
          <w:noProof/>
        </w:rPr>
      </w:pPr>
      <w:r w:rsidRPr="005D5930">
        <w:rPr>
          <w:noProof/>
        </w:rPr>
        <w:t>Article 1</w:t>
      </w:r>
    </w:p>
    <w:p w:rsidR="0085166A" w:rsidRPr="00706751" w:rsidRDefault="0085166A" w:rsidP="0085166A">
      <w:pPr>
        <w:rPr>
          <w:iCs/>
          <w:noProof/>
        </w:rPr>
      </w:pPr>
      <w:r w:rsidRPr="005D5930">
        <w:rPr>
          <w:iCs/>
          <w:noProof/>
        </w:rPr>
        <w:t xml:space="preserve">The </w:t>
      </w:r>
      <w:r w:rsidR="00113646" w:rsidRPr="00113646">
        <w:rPr>
          <w:iCs/>
          <w:noProof/>
        </w:rPr>
        <w:t xml:space="preserve">position to be taken </w:t>
      </w:r>
      <w:r w:rsidR="007675D2" w:rsidRPr="007675D2">
        <w:rPr>
          <w:iCs/>
          <w:noProof/>
        </w:rPr>
        <w:t xml:space="preserve">on the Union's behalf </w:t>
      </w:r>
      <w:r w:rsidR="00113646" w:rsidRPr="00113646">
        <w:rPr>
          <w:iCs/>
          <w:noProof/>
        </w:rPr>
        <w:t>within the Joint Committee</w:t>
      </w:r>
      <w:r w:rsidR="0057636C">
        <w:rPr>
          <w:iCs/>
          <w:noProof/>
        </w:rPr>
        <w:t xml:space="preserve"> </w:t>
      </w:r>
      <w:r w:rsidR="0057636C" w:rsidRPr="0057636C">
        <w:rPr>
          <w:iCs/>
          <w:noProof/>
        </w:rPr>
        <w:t>established under Article 164(1) of the Agreement on the withdrawal of the United Kingdom of Great Britain and Northern Ireland from the European Union and the European Atomic Energy Community (the ‘Joint Committee’)</w:t>
      </w:r>
      <w:r w:rsidR="00113646" w:rsidRPr="00113646">
        <w:rPr>
          <w:iCs/>
          <w:noProof/>
        </w:rPr>
        <w:t xml:space="preserve"> </w:t>
      </w:r>
      <w:r w:rsidR="00E04FCF">
        <w:rPr>
          <w:iCs/>
          <w:noProof/>
        </w:rPr>
        <w:t>shall be based on</w:t>
      </w:r>
      <w:r w:rsidR="004E1E97">
        <w:rPr>
          <w:iCs/>
          <w:noProof/>
        </w:rPr>
        <w:t xml:space="preserve"> the </w:t>
      </w:r>
      <w:r w:rsidRPr="00706751">
        <w:rPr>
          <w:iCs/>
          <w:noProof/>
        </w:rPr>
        <w:t xml:space="preserve">draft </w:t>
      </w:r>
      <w:r w:rsidR="000415F4" w:rsidRPr="003836C7">
        <w:rPr>
          <w:noProof/>
        </w:rPr>
        <w:t xml:space="preserve">joint declaration of the Union and the United Kingdom </w:t>
      </w:r>
      <w:r w:rsidRPr="00706751">
        <w:rPr>
          <w:iCs/>
          <w:noProof/>
        </w:rPr>
        <w:t>attached to this Decision.</w:t>
      </w:r>
      <w:r w:rsidR="00836F3C" w:rsidRPr="00706751">
        <w:rPr>
          <w:iCs/>
          <w:noProof/>
        </w:rPr>
        <w:t xml:space="preserve"> </w:t>
      </w:r>
    </w:p>
    <w:p w:rsidR="007675D2" w:rsidRPr="00706751" w:rsidRDefault="007675D2" w:rsidP="0085166A">
      <w:pPr>
        <w:rPr>
          <w:iCs/>
          <w:noProof/>
        </w:rPr>
      </w:pPr>
    </w:p>
    <w:p w:rsidR="007675D2" w:rsidRPr="00706751" w:rsidRDefault="007675D2" w:rsidP="00DE4D95">
      <w:pPr>
        <w:jc w:val="center"/>
        <w:rPr>
          <w:i/>
          <w:noProof/>
        </w:rPr>
      </w:pPr>
      <w:r w:rsidRPr="00706751">
        <w:rPr>
          <w:i/>
          <w:noProof/>
        </w:rPr>
        <w:t>Article 2</w:t>
      </w:r>
    </w:p>
    <w:p w:rsidR="007675D2" w:rsidRPr="005D5930" w:rsidRDefault="007675D2" w:rsidP="0085166A">
      <w:pPr>
        <w:rPr>
          <w:iCs/>
          <w:noProof/>
        </w:rPr>
      </w:pPr>
      <w:r w:rsidRPr="00706751">
        <w:rPr>
          <w:iCs/>
          <w:noProof/>
        </w:rPr>
        <w:t xml:space="preserve">Minor technical changes to the position set out in the draft </w:t>
      </w:r>
      <w:r w:rsidR="000415F4" w:rsidRPr="003836C7">
        <w:rPr>
          <w:noProof/>
        </w:rPr>
        <w:t>joint declaration of the Union and the United Kingdom</w:t>
      </w:r>
      <w:r w:rsidR="000415F4" w:rsidRPr="00706751">
        <w:rPr>
          <w:iCs/>
          <w:noProof/>
        </w:rPr>
        <w:t xml:space="preserve"> </w:t>
      </w:r>
      <w:r w:rsidRPr="00706751">
        <w:rPr>
          <w:iCs/>
          <w:noProof/>
        </w:rPr>
        <w:t>attached to this Decision may be agreed upon without a further decision of the Council.</w:t>
      </w:r>
    </w:p>
    <w:p w:rsidR="006F06A4" w:rsidRPr="005D5930" w:rsidRDefault="006F06A4" w:rsidP="0096307F">
      <w:pPr>
        <w:pStyle w:val="Titrearticle"/>
        <w:rPr>
          <w:noProof/>
        </w:rPr>
      </w:pPr>
      <w:r w:rsidRPr="005D5930">
        <w:rPr>
          <w:noProof/>
        </w:rPr>
        <w:t xml:space="preserve">Article </w:t>
      </w:r>
      <w:r w:rsidR="007675D2">
        <w:rPr>
          <w:noProof/>
        </w:rPr>
        <w:t>3</w:t>
      </w:r>
    </w:p>
    <w:p w:rsidR="006F06A4" w:rsidRPr="005D5930" w:rsidRDefault="006F06A4" w:rsidP="00BE7CB9">
      <w:pPr>
        <w:rPr>
          <w:noProof/>
        </w:rPr>
      </w:pPr>
      <w:r w:rsidRPr="005D5930">
        <w:rPr>
          <w:noProof/>
        </w:rPr>
        <w:t xml:space="preserve">This Decision </w:t>
      </w:r>
      <w:r w:rsidR="00C14FD4">
        <w:rPr>
          <w:noProof/>
        </w:rPr>
        <w:t>shall enter into force on the date of its adoption</w:t>
      </w:r>
      <w:r w:rsidRPr="005D5930">
        <w:rPr>
          <w:noProof/>
        </w:rPr>
        <w:t>.</w:t>
      </w:r>
    </w:p>
    <w:p w:rsidR="006F06A4" w:rsidRPr="005D5930" w:rsidRDefault="00884C81" w:rsidP="0096307F">
      <w:pPr>
        <w:pStyle w:val="Fait"/>
        <w:rPr>
          <w:noProof/>
        </w:rPr>
      </w:pPr>
      <w:r>
        <w:rPr>
          <w:noProof/>
        </w:rPr>
        <w:t>Done at Brussels,</w:t>
      </w:r>
    </w:p>
    <w:p w:rsidR="006F06A4" w:rsidRDefault="006F06A4" w:rsidP="0096307F">
      <w:pPr>
        <w:pStyle w:val="Institutionquisigne"/>
        <w:rPr>
          <w:noProof/>
        </w:rPr>
      </w:pPr>
      <w:r w:rsidRPr="005D5930">
        <w:rPr>
          <w:noProof/>
        </w:rPr>
        <w:tab/>
        <w:t>For the Council</w:t>
      </w:r>
    </w:p>
    <w:p w:rsidR="006F06A4" w:rsidRPr="006F06A4" w:rsidRDefault="006F06A4" w:rsidP="006F06A4">
      <w:pPr>
        <w:pStyle w:val="Personnequisigne"/>
        <w:rPr>
          <w:noProof/>
        </w:rPr>
      </w:pPr>
      <w:r w:rsidRPr="006F06A4">
        <w:rPr>
          <w:noProof/>
        </w:rPr>
        <w:tab/>
        <w:t>The President</w:t>
      </w:r>
    </w:p>
    <w:sectPr w:rsidR="006F06A4" w:rsidRPr="006F06A4" w:rsidSect="000C075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AF4" w:rsidRDefault="004D0AF4" w:rsidP="006F06A4">
      <w:pPr>
        <w:spacing w:before="0" w:after="0"/>
      </w:pPr>
      <w:r>
        <w:separator/>
      </w:r>
    </w:p>
  </w:endnote>
  <w:endnote w:type="continuationSeparator" w:id="0">
    <w:p w:rsidR="004D0AF4" w:rsidRDefault="004D0AF4" w:rsidP="006F06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5B" w:rsidRPr="000C075B" w:rsidRDefault="000C075B" w:rsidP="000C075B">
    <w:pPr>
      <w:pStyle w:val="Footer"/>
      <w:rPr>
        <w:rFonts w:ascii="Arial" w:hAnsi="Arial" w:cs="Arial"/>
        <w:b/>
        <w:sz w:val="48"/>
      </w:rPr>
    </w:pPr>
    <w:r w:rsidRPr="000C075B">
      <w:rPr>
        <w:rFonts w:ascii="Arial" w:hAnsi="Arial" w:cs="Arial"/>
        <w:b/>
        <w:sz w:val="48"/>
      </w:rPr>
      <w:t>EN</w:t>
    </w:r>
    <w:r w:rsidRPr="000C075B">
      <w:rPr>
        <w:rFonts w:ascii="Arial" w:hAnsi="Arial" w:cs="Arial"/>
        <w:b/>
        <w:sz w:val="48"/>
      </w:rPr>
      <w:tab/>
    </w:r>
    <w:r w:rsidRPr="000C075B">
      <w:rPr>
        <w:rFonts w:ascii="Arial" w:hAnsi="Arial" w:cs="Arial"/>
        <w:b/>
        <w:sz w:val="48"/>
      </w:rPr>
      <w:tab/>
    </w:r>
    <w:r w:rsidRPr="000C075B">
      <w:tab/>
    </w:r>
    <w:r w:rsidRPr="000C075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5B" w:rsidRPr="000C075B" w:rsidRDefault="000C075B" w:rsidP="000C075B">
    <w:pPr>
      <w:pStyle w:val="Footer"/>
      <w:rPr>
        <w:rFonts w:ascii="Arial" w:hAnsi="Arial" w:cs="Arial"/>
        <w:b/>
        <w:sz w:val="48"/>
      </w:rPr>
    </w:pPr>
    <w:r w:rsidRPr="000C075B">
      <w:rPr>
        <w:rFonts w:ascii="Arial" w:hAnsi="Arial" w:cs="Arial"/>
        <w:b/>
        <w:sz w:val="48"/>
      </w:rPr>
      <w:t>EN</w:t>
    </w:r>
    <w:r w:rsidRPr="000C075B">
      <w:rPr>
        <w:rFonts w:ascii="Arial" w:hAnsi="Arial" w:cs="Arial"/>
        <w:b/>
        <w:sz w:val="48"/>
      </w:rPr>
      <w:tab/>
    </w:r>
    <w:r w:rsidRPr="000C075B">
      <w:rPr>
        <w:rFonts w:ascii="Arial" w:hAnsi="Arial" w:cs="Arial"/>
        <w:b/>
        <w:sz w:val="48"/>
      </w:rPr>
      <w:tab/>
    </w:r>
    <w:r w:rsidRPr="000C075B">
      <w:tab/>
    </w:r>
    <w:r w:rsidRPr="000C075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5B" w:rsidRDefault="000C07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5B" w:rsidRPr="000C075B" w:rsidRDefault="000C075B" w:rsidP="000C075B">
    <w:pPr>
      <w:pStyle w:val="Footer"/>
      <w:rPr>
        <w:rFonts w:ascii="Arial" w:hAnsi="Arial" w:cs="Arial"/>
        <w:b/>
        <w:sz w:val="48"/>
      </w:rPr>
    </w:pPr>
    <w:r w:rsidRPr="000C075B">
      <w:rPr>
        <w:rFonts w:ascii="Arial" w:hAnsi="Arial" w:cs="Arial"/>
        <w:b/>
        <w:sz w:val="48"/>
      </w:rPr>
      <w:t>EN</w:t>
    </w:r>
    <w:r w:rsidRPr="000C075B">
      <w:rPr>
        <w:rFonts w:ascii="Arial" w:hAnsi="Arial" w:cs="Arial"/>
        <w:b/>
        <w:sz w:val="48"/>
      </w:rPr>
      <w:tab/>
    </w:r>
    <w:r>
      <w:fldChar w:fldCharType="begin"/>
    </w:r>
    <w:r>
      <w:instrText xml:space="preserve"> PAGE  \* MERGEFORMAT </w:instrText>
    </w:r>
    <w:r>
      <w:fldChar w:fldCharType="separate"/>
    </w:r>
    <w:r w:rsidR="0096307F">
      <w:rPr>
        <w:noProof/>
      </w:rPr>
      <w:t>5</w:t>
    </w:r>
    <w:r>
      <w:fldChar w:fldCharType="end"/>
    </w:r>
    <w:r>
      <w:tab/>
    </w:r>
    <w:r w:rsidRPr="000C075B">
      <w:tab/>
    </w:r>
    <w:r w:rsidRPr="000C075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5B" w:rsidRDefault="000C075B" w:rsidP="000C0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AF4" w:rsidRDefault="004D0AF4" w:rsidP="006F06A4">
      <w:pPr>
        <w:spacing w:before="0" w:after="0"/>
      </w:pPr>
      <w:r>
        <w:separator/>
      </w:r>
    </w:p>
  </w:footnote>
  <w:footnote w:type="continuationSeparator" w:id="0">
    <w:p w:rsidR="004D0AF4" w:rsidRDefault="004D0AF4" w:rsidP="006F06A4">
      <w:pPr>
        <w:spacing w:before="0" w:after="0"/>
      </w:pPr>
      <w:r>
        <w:continuationSeparator/>
      </w:r>
    </w:p>
  </w:footnote>
  <w:footnote w:id="1">
    <w:p w:rsidR="00836F3C" w:rsidRPr="00836F3C" w:rsidRDefault="00836F3C">
      <w:pPr>
        <w:pStyle w:val="FootnoteText"/>
        <w:rPr>
          <w:lang w:val="da-DK"/>
        </w:rPr>
      </w:pPr>
      <w:r w:rsidRPr="0004046B">
        <w:rPr>
          <w:rStyle w:val="FootnoteReference"/>
        </w:rPr>
        <w:footnoteRef/>
      </w:r>
      <w:r w:rsidR="0004046B">
        <w:rPr>
          <w:lang w:val="da-DK"/>
        </w:rPr>
        <w:tab/>
      </w:r>
      <w:r w:rsidRPr="006B10F8">
        <w:rPr>
          <w:lang w:val="nl-NL"/>
        </w:rPr>
        <w:t>OJ L 29, 31.1.2020,</w:t>
      </w:r>
      <w:r w:rsidR="00D424DF">
        <w:rPr>
          <w:lang w:val="nl-NL"/>
        </w:rPr>
        <w:t xml:space="preserve"> p.</w:t>
      </w:r>
      <w:r w:rsidR="00C255E1">
        <w:rPr>
          <w:lang w:val="nl-NL"/>
        </w:rPr>
        <w:t xml:space="preserve"> </w:t>
      </w:r>
      <w:r w:rsidR="00D424DF">
        <w:rPr>
          <w:lang w:val="nl-NL"/>
        </w:rPr>
        <w:t>7,</w:t>
      </w:r>
      <w:r w:rsidRPr="006B10F8">
        <w:rPr>
          <w:lang w:val="nl-NL"/>
        </w:rPr>
        <w:t xml:space="preserve"> ELI: </w:t>
      </w:r>
      <w:hyperlink r:id="rId1" w:tooltip="Gives access to this document through its ELI URI." w:history="1">
        <w:r w:rsidRPr="006B10F8">
          <w:rPr>
            <w:rStyle w:val="Hyperlink"/>
            <w:lang w:val="nl-NL"/>
          </w:rPr>
          <w:t>http://data.europa.eu/eli/treaty/withd_2020/sign</w:t>
        </w:r>
      </w:hyperlink>
      <w:r w:rsidRPr="006B10F8">
        <w:rPr>
          <w:lang w:val="nl-NL"/>
        </w:rPr>
        <w:t>.</w:t>
      </w:r>
    </w:p>
  </w:footnote>
  <w:footnote w:id="2">
    <w:p w:rsidR="000A5A07" w:rsidRDefault="000A5A07" w:rsidP="002B1624">
      <w:pPr>
        <w:pStyle w:val="FootnoteText"/>
      </w:pPr>
      <w:r w:rsidRPr="00E87E9D">
        <w:rPr>
          <w:rStyle w:val="FootnoteReference"/>
        </w:rPr>
        <w:footnoteRef/>
      </w:r>
      <w:r w:rsidR="00E87E9D">
        <w:tab/>
      </w:r>
      <w:r w:rsidR="00210EBA" w:rsidRPr="00210EBA">
        <w:t>Joint Declaration No 1/2023 of the Union and the United Kingdom in the Joint Committee established by the Agreement on the withdrawal of the United Kingdom of Great Britain and Northern Ireland from the European Union and the European Atomic Energy Community of 24 March 2023</w:t>
      </w:r>
      <w:r w:rsidR="00210EBA">
        <w:t xml:space="preserve"> </w:t>
      </w:r>
      <w:r w:rsidR="00FF19D4">
        <w:t>(</w:t>
      </w:r>
      <w:hyperlink r:id="rId2" w:history="1">
        <w:r w:rsidRPr="00333701">
          <w:rPr>
            <w:rStyle w:val="Hyperlink"/>
            <w:lang w:val="en-IE"/>
          </w:rPr>
          <w:t>OJ L 102, 17.4.2023, p. 87</w:t>
        </w:r>
      </w:hyperlink>
      <w:r w:rsidR="00FF19D4">
        <w:t>)</w:t>
      </w:r>
      <w:r>
        <w:rPr>
          <w:lang w:val="en-IE"/>
        </w:rPr>
        <w:t>.</w:t>
      </w:r>
    </w:p>
  </w:footnote>
  <w:footnote w:id="3">
    <w:p w:rsidR="009E151C" w:rsidRPr="009E151C" w:rsidRDefault="009E151C">
      <w:pPr>
        <w:pStyle w:val="FootnoteText"/>
        <w:rPr>
          <w:lang w:val="da-DK"/>
        </w:rPr>
      </w:pPr>
      <w:r w:rsidRPr="0004046B">
        <w:rPr>
          <w:rStyle w:val="FootnoteReference"/>
        </w:rPr>
        <w:footnoteRef/>
      </w:r>
      <w:r w:rsidR="0004046B">
        <w:rPr>
          <w:lang w:val="da-DK"/>
        </w:rPr>
        <w:tab/>
      </w:r>
      <w:r w:rsidRPr="00ED31B9">
        <w:rPr>
          <w:lang w:val="da-DK"/>
        </w:rPr>
        <w:t>OJ L 29, 31.1.2020, p. 7, ELI: </w:t>
      </w:r>
      <w:hyperlink r:id="rId3" w:history="1">
        <w:r w:rsidR="0065318F" w:rsidRPr="00340C9B">
          <w:rPr>
            <w:rStyle w:val="Hyperlink"/>
            <w:lang w:val="da-DK"/>
          </w:rPr>
          <w:t>http://data.europa.eu/eli/treaty/withd_2020/sign</w:t>
        </w:r>
      </w:hyperlink>
      <w:r w:rsidRPr="00ED31B9">
        <w:rPr>
          <w:lang w:val="da-DK"/>
        </w:rPr>
        <w:t>.</w:t>
      </w:r>
    </w:p>
  </w:footnote>
  <w:footnote w:id="4">
    <w:p w:rsidR="006F06A4" w:rsidRPr="001A0B21" w:rsidRDefault="006F06A4" w:rsidP="00BE7CB9">
      <w:pPr>
        <w:pStyle w:val="FootnoteText"/>
        <w:rPr>
          <w:lang w:val="en-IE"/>
        </w:rPr>
      </w:pPr>
      <w:r w:rsidRPr="00B035F8">
        <w:rPr>
          <w:rStyle w:val="FootnoteReference"/>
        </w:rPr>
        <w:footnoteRef/>
      </w:r>
      <w:r w:rsidRPr="00B035F8">
        <w:tab/>
      </w:r>
      <w:r w:rsidR="000F0084" w:rsidRPr="000F0084">
        <w:t>Council Decision (EU) 2020/135 of 30 January 2020 on the conclusion of the Agreement on the withdrawal of the United Kingdom of Great Britain and Northern Ireland from the European Union and the</w:t>
      </w:r>
      <w:r w:rsidR="00157300">
        <w:t> </w:t>
      </w:r>
      <w:r w:rsidR="000F0084" w:rsidRPr="000F0084">
        <w:t>European</w:t>
      </w:r>
      <w:r w:rsidR="00157300">
        <w:t> </w:t>
      </w:r>
      <w:r w:rsidR="000F0084" w:rsidRPr="000F0084">
        <w:t>Atomic</w:t>
      </w:r>
      <w:r w:rsidR="00157300">
        <w:t> </w:t>
      </w:r>
      <w:r w:rsidR="000F0084" w:rsidRPr="000F0084">
        <w:t>Energy</w:t>
      </w:r>
      <w:r w:rsidR="00157300">
        <w:t> </w:t>
      </w:r>
      <w:r w:rsidR="000F0084" w:rsidRPr="000F0084">
        <w:t>Community</w:t>
      </w:r>
      <w:r w:rsidR="00157300">
        <w:t> </w:t>
      </w:r>
      <w:r w:rsidR="009E151C">
        <w:t>(</w:t>
      </w:r>
      <w:r w:rsidR="00D424DF">
        <w:t>OJ</w:t>
      </w:r>
      <w:r w:rsidR="00157300">
        <w:t> </w:t>
      </w:r>
      <w:r w:rsidR="00D424DF">
        <w:t>L</w:t>
      </w:r>
      <w:r w:rsidR="00157300">
        <w:t> </w:t>
      </w:r>
      <w:r w:rsidR="00D424DF">
        <w:t>29,</w:t>
      </w:r>
      <w:r w:rsidR="00157300">
        <w:t> </w:t>
      </w:r>
      <w:r w:rsidR="00D424DF">
        <w:t>31.1.2020,</w:t>
      </w:r>
      <w:r w:rsidR="00157300">
        <w:t> </w:t>
      </w:r>
      <w:r w:rsidR="00D424DF">
        <w:t>p.</w:t>
      </w:r>
      <w:r w:rsidR="00157300">
        <w:t> </w:t>
      </w:r>
      <w:r w:rsidR="00D424DF">
        <w:t>1,</w:t>
      </w:r>
      <w:r w:rsidR="00157300">
        <w:t> </w:t>
      </w:r>
      <w:r w:rsidR="00836F3C" w:rsidRPr="00014A69">
        <w:t>ELI: </w:t>
      </w:r>
      <w:hyperlink r:id="rId4" w:tooltip="Gives access to this document through its ELI URI." w:history="1">
        <w:r w:rsidR="00D424DF" w:rsidRPr="00D424DF">
          <w:rPr>
            <w:rStyle w:val="Hyperlink"/>
          </w:rPr>
          <w:t>http://data.europa.eu/eli/dec/2020/135/oj</w:t>
        </w:r>
      </w:hyperlink>
      <w:r w:rsidR="009E151C">
        <w:t>).</w:t>
      </w:r>
      <w:r w:rsidR="00884CF2">
        <w:t xml:space="preserve"> </w:t>
      </w:r>
    </w:p>
  </w:footnote>
  <w:footnote w:id="5">
    <w:p w:rsidR="00DE5336" w:rsidRPr="00DE5336" w:rsidRDefault="00DE5336" w:rsidP="002B1624">
      <w:pPr>
        <w:pStyle w:val="FootnoteText"/>
        <w:rPr>
          <w:lang w:val="en-IE"/>
        </w:rPr>
      </w:pPr>
      <w:r w:rsidRPr="00E87E9D">
        <w:rPr>
          <w:rStyle w:val="FootnoteReference"/>
        </w:rPr>
        <w:footnoteRef/>
      </w:r>
      <w:r w:rsidR="00E87E9D">
        <w:tab/>
      </w:r>
      <w:r w:rsidR="00012258" w:rsidRPr="00012258">
        <w:t xml:space="preserve">Joint Declaration No 1/2023 of the Union and the United Kingdom in the Joint Committee established by the Agreement on the withdrawal of the United Kingdom of Great Britain and Northern Ireland from the European Union and the European Atomic Energy Community of 24 March 2023 </w:t>
      </w:r>
      <w:r w:rsidR="00012258">
        <w:t>(</w:t>
      </w:r>
      <w:hyperlink r:id="rId5" w:history="1">
        <w:r w:rsidRPr="00870A33">
          <w:rPr>
            <w:rStyle w:val="Hyperlink"/>
            <w:lang w:val="en-IE"/>
          </w:rPr>
          <w:t>OJ L 102, 17.4.2023, p. 87</w:t>
        </w:r>
      </w:hyperlink>
      <w:r w:rsidR="00012258">
        <w:t>)</w:t>
      </w:r>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5B" w:rsidRDefault="000C07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75B" w:rsidRDefault="000C07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1"/>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4 18:27: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F194369-5042-4C5B-86E1-94A582FF8A07"/>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24"/>
    <w:docVar w:name="LW_REF.II.NEW.CP_YEAR" w:val="2026"/>
    <w:docVar w:name="LW_REF.INST.NEW" w:val="COM"/>
    <w:docVar w:name="LW_REF.INST.NEW_ADOPTED" w:val="final"/>
    <w:docVar w:name="LW_REF.INST.NEW_TEXT" w:val="(2026) 4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the position to be taken on behalf of the European Union within the Joint Committee established by the Agreement on the withdrawal of the United Kingdom of Great Britain and Northern Ireland from the European Union and the European Atomic Energy Community as regards a joint declaration on the application of Article 5 of the Windsor Framework"/>
    <w:docVar w:name="LW_TYPE.DOC.CP" w:val="COUNCIL DECISION"/>
    <w:docVar w:name="LwApiVersions" w:val="LW4CoDe 1.24.5.0; LW 9.2, Build 20251112"/>
  </w:docVars>
  <w:rsids>
    <w:rsidRoot w:val="006F06A4"/>
    <w:rsid w:val="00010B5A"/>
    <w:rsid w:val="00012258"/>
    <w:rsid w:val="000162AF"/>
    <w:rsid w:val="000235AD"/>
    <w:rsid w:val="00026C2E"/>
    <w:rsid w:val="00030390"/>
    <w:rsid w:val="0004046B"/>
    <w:rsid w:val="000415F4"/>
    <w:rsid w:val="000418C3"/>
    <w:rsid w:val="000451D8"/>
    <w:rsid w:val="00047903"/>
    <w:rsid w:val="000544ED"/>
    <w:rsid w:val="00066552"/>
    <w:rsid w:val="00070A10"/>
    <w:rsid w:val="00070C76"/>
    <w:rsid w:val="000712DF"/>
    <w:rsid w:val="00083C5E"/>
    <w:rsid w:val="000A59B2"/>
    <w:rsid w:val="000A5A07"/>
    <w:rsid w:val="000C075B"/>
    <w:rsid w:val="000D0CD4"/>
    <w:rsid w:val="000D2926"/>
    <w:rsid w:val="000D6301"/>
    <w:rsid w:val="000D7807"/>
    <w:rsid w:val="000E0567"/>
    <w:rsid w:val="000E0938"/>
    <w:rsid w:val="000E31CD"/>
    <w:rsid w:val="000F0084"/>
    <w:rsid w:val="001065F5"/>
    <w:rsid w:val="00112CCC"/>
    <w:rsid w:val="00113646"/>
    <w:rsid w:val="001238EF"/>
    <w:rsid w:val="00137CCC"/>
    <w:rsid w:val="0014412B"/>
    <w:rsid w:val="001452A4"/>
    <w:rsid w:val="00157300"/>
    <w:rsid w:val="00183C38"/>
    <w:rsid w:val="00184CD1"/>
    <w:rsid w:val="001854A3"/>
    <w:rsid w:val="00186494"/>
    <w:rsid w:val="00197613"/>
    <w:rsid w:val="001A0B21"/>
    <w:rsid w:val="001A0CB4"/>
    <w:rsid w:val="001A6D2A"/>
    <w:rsid w:val="001C062F"/>
    <w:rsid w:val="001C3A23"/>
    <w:rsid w:val="001C5804"/>
    <w:rsid w:val="001D1C98"/>
    <w:rsid w:val="001D358B"/>
    <w:rsid w:val="001E0B65"/>
    <w:rsid w:val="001E4B45"/>
    <w:rsid w:val="001F22AE"/>
    <w:rsid w:val="00204F1B"/>
    <w:rsid w:val="00210EBA"/>
    <w:rsid w:val="00224E5F"/>
    <w:rsid w:val="00226A7D"/>
    <w:rsid w:val="00232473"/>
    <w:rsid w:val="00233DC7"/>
    <w:rsid w:val="00237B00"/>
    <w:rsid w:val="0024018F"/>
    <w:rsid w:val="00243501"/>
    <w:rsid w:val="00244C82"/>
    <w:rsid w:val="00244EA3"/>
    <w:rsid w:val="00247779"/>
    <w:rsid w:val="00250368"/>
    <w:rsid w:val="00251512"/>
    <w:rsid w:val="002520C1"/>
    <w:rsid w:val="0025745A"/>
    <w:rsid w:val="0026016F"/>
    <w:rsid w:val="002754AD"/>
    <w:rsid w:val="00280D66"/>
    <w:rsid w:val="00282A19"/>
    <w:rsid w:val="00283420"/>
    <w:rsid w:val="00285BEE"/>
    <w:rsid w:val="002910B3"/>
    <w:rsid w:val="00293AAF"/>
    <w:rsid w:val="0029533F"/>
    <w:rsid w:val="002956AB"/>
    <w:rsid w:val="002A4AF2"/>
    <w:rsid w:val="002B1624"/>
    <w:rsid w:val="002B30AF"/>
    <w:rsid w:val="002B34DB"/>
    <w:rsid w:val="002C0980"/>
    <w:rsid w:val="002C4104"/>
    <w:rsid w:val="002C4610"/>
    <w:rsid w:val="002E0446"/>
    <w:rsid w:val="002E3B7B"/>
    <w:rsid w:val="002E40DD"/>
    <w:rsid w:val="002F1B72"/>
    <w:rsid w:val="003033CC"/>
    <w:rsid w:val="00304D00"/>
    <w:rsid w:val="00311F3C"/>
    <w:rsid w:val="00313717"/>
    <w:rsid w:val="00313FAA"/>
    <w:rsid w:val="00320279"/>
    <w:rsid w:val="003331A3"/>
    <w:rsid w:val="0033344A"/>
    <w:rsid w:val="00333701"/>
    <w:rsid w:val="00334B49"/>
    <w:rsid w:val="00335F77"/>
    <w:rsid w:val="00357B33"/>
    <w:rsid w:val="003634A1"/>
    <w:rsid w:val="00364288"/>
    <w:rsid w:val="003672D7"/>
    <w:rsid w:val="00372A07"/>
    <w:rsid w:val="003742A6"/>
    <w:rsid w:val="003836C7"/>
    <w:rsid w:val="0038457B"/>
    <w:rsid w:val="00386C75"/>
    <w:rsid w:val="003A31CD"/>
    <w:rsid w:val="003A4FC2"/>
    <w:rsid w:val="003B4844"/>
    <w:rsid w:val="003C7074"/>
    <w:rsid w:val="003D4F45"/>
    <w:rsid w:val="003D5D54"/>
    <w:rsid w:val="003E19A7"/>
    <w:rsid w:val="003E28AB"/>
    <w:rsid w:val="00411B6D"/>
    <w:rsid w:val="0041219D"/>
    <w:rsid w:val="00412E14"/>
    <w:rsid w:val="0042648E"/>
    <w:rsid w:val="0044582A"/>
    <w:rsid w:val="00451FBB"/>
    <w:rsid w:val="00462226"/>
    <w:rsid w:val="00472907"/>
    <w:rsid w:val="00484CA1"/>
    <w:rsid w:val="00492CCC"/>
    <w:rsid w:val="004936D2"/>
    <w:rsid w:val="00497860"/>
    <w:rsid w:val="004A06F8"/>
    <w:rsid w:val="004A0791"/>
    <w:rsid w:val="004B69D0"/>
    <w:rsid w:val="004D0AF4"/>
    <w:rsid w:val="004D7906"/>
    <w:rsid w:val="004D7E6C"/>
    <w:rsid w:val="004E1E97"/>
    <w:rsid w:val="004E4B14"/>
    <w:rsid w:val="004F7FC0"/>
    <w:rsid w:val="00507DC2"/>
    <w:rsid w:val="0051063E"/>
    <w:rsid w:val="005151A0"/>
    <w:rsid w:val="0051591E"/>
    <w:rsid w:val="00517F1D"/>
    <w:rsid w:val="0052108B"/>
    <w:rsid w:val="00524277"/>
    <w:rsid w:val="00526DFB"/>
    <w:rsid w:val="005406C4"/>
    <w:rsid w:val="00543943"/>
    <w:rsid w:val="00550092"/>
    <w:rsid w:val="005500F3"/>
    <w:rsid w:val="0055397A"/>
    <w:rsid w:val="005604F2"/>
    <w:rsid w:val="00564F58"/>
    <w:rsid w:val="00575529"/>
    <w:rsid w:val="0057636C"/>
    <w:rsid w:val="00577AB0"/>
    <w:rsid w:val="00582CCB"/>
    <w:rsid w:val="00584D10"/>
    <w:rsid w:val="00586E8D"/>
    <w:rsid w:val="00593D7E"/>
    <w:rsid w:val="00597AC8"/>
    <w:rsid w:val="005A0F98"/>
    <w:rsid w:val="005B1EB6"/>
    <w:rsid w:val="005B63EF"/>
    <w:rsid w:val="005C2CC8"/>
    <w:rsid w:val="005D5930"/>
    <w:rsid w:val="00601F1F"/>
    <w:rsid w:val="006030DB"/>
    <w:rsid w:val="00603367"/>
    <w:rsid w:val="00605C6A"/>
    <w:rsid w:val="00613A6E"/>
    <w:rsid w:val="00616300"/>
    <w:rsid w:val="006352DE"/>
    <w:rsid w:val="006403C8"/>
    <w:rsid w:val="0064450C"/>
    <w:rsid w:val="0065318F"/>
    <w:rsid w:val="006578B0"/>
    <w:rsid w:val="00657F5D"/>
    <w:rsid w:val="00667496"/>
    <w:rsid w:val="00675DDD"/>
    <w:rsid w:val="006A05E5"/>
    <w:rsid w:val="006A43E6"/>
    <w:rsid w:val="006A61E7"/>
    <w:rsid w:val="006B2479"/>
    <w:rsid w:val="006C05EB"/>
    <w:rsid w:val="006C3BC3"/>
    <w:rsid w:val="006E3446"/>
    <w:rsid w:val="006F04CC"/>
    <w:rsid w:val="006F06A4"/>
    <w:rsid w:val="00704139"/>
    <w:rsid w:val="00706751"/>
    <w:rsid w:val="00706DA0"/>
    <w:rsid w:val="007127BF"/>
    <w:rsid w:val="007132FF"/>
    <w:rsid w:val="00720551"/>
    <w:rsid w:val="00722A8A"/>
    <w:rsid w:val="007234E2"/>
    <w:rsid w:val="00723EFC"/>
    <w:rsid w:val="007251CF"/>
    <w:rsid w:val="007315A4"/>
    <w:rsid w:val="00740C25"/>
    <w:rsid w:val="0074273B"/>
    <w:rsid w:val="00753BDD"/>
    <w:rsid w:val="00757BF1"/>
    <w:rsid w:val="007675D2"/>
    <w:rsid w:val="00773331"/>
    <w:rsid w:val="00781A0D"/>
    <w:rsid w:val="007904A1"/>
    <w:rsid w:val="007927DA"/>
    <w:rsid w:val="007932EF"/>
    <w:rsid w:val="007958E5"/>
    <w:rsid w:val="007A0A35"/>
    <w:rsid w:val="007A3268"/>
    <w:rsid w:val="007B19FA"/>
    <w:rsid w:val="007B5544"/>
    <w:rsid w:val="007C0D77"/>
    <w:rsid w:val="007C393A"/>
    <w:rsid w:val="007D483E"/>
    <w:rsid w:val="007E05B0"/>
    <w:rsid w:val="007E1055"/>
    <w:rsid w:val="007E73DE"/>
    <w:rsid w:val="007F5D75"/>
    <w:rsid w:val="00804320"/>
    <w:rsid w:val="00812B26"/>
    <w:rsid w:val="0081624A"/>
    <w:rsid w:val="00823EC8"/>
    <w:rsid w:val="00824219"/>
    <w:rsid w:val="00826868"/>
    <w:rsid w:val="0083559E"/>
    <w:rsid w:val="00836F3C"/>
    <w:rsid w:val="0084401D"/>
    <w:rsid w:val="00844966"/>
    <w:rsid w:val="0085166A"/>
    <w:rsid w:val="008619B7"/>
    <w:rsid w:val="00874D22"/>
    <w:rsid w:val="00884C81"/>
    <w:rsid w:val="00884CF2"/>
    <w:rsid w:val="008863CB"/>
    <w:rsid w:val="008863E1"/>
    <w:rsid w:val="00887CCD"/>
    <w:rsid w:val="0089425D"/>
    <w:rsid w:val="008A2914"/>
    <w:rsid w:val="008C4659"/>
    <w:rsid w:val="008C5AE1"/>
    <w:rsid w:val="008D3157"/>
    <w:rsid w:val="008D3262"/>
    <w:rsid w:val="008D7881"/>
    <w:rsid w:val="008D7E68"/>
    <w:rsid w:val="008E4D8E"/>
    <w:rsid w:val="008F1089"/>
    <w:rsid w:val="008F3AB5"/>
    <w:rsid w:val="00901996"/>
    <w:rsid w:val="00904B9A"/>
    <w:rsid w:val="0090660C"/>
    <w:rsid w:val="009074DE"/>
    <w:rsid w:val="00921AE3"/>
    <w:rsid w:val="00925C1C"/>
    <w:rsid w:val="00927B46"/>
    <w:rsid w:val="00933AB7"/>
    <w:rsid w:val="0093477E"/>
    <w:rsid w:val="00942E71"/>
    <w:rsid w:val="009448DE"/>
    <w:rsid w:val="0096307F"/>
    <w:rsid w:val="009664DA"/>
    <w:rsid w:val="009705C1"/>
    <w:rsid w:val="00976168"/>
    <w:rsid w:val="0099347F"/>
    <w:rsid w:val="0099492A"/>
    <w:rsid w:val="009A0CD2"/>
    <w:rsid w:val="009A3D7B"/>
    <w:rsid w:val="009A5AB1"/>
    <w:rsid w:val="009A7E13"/>
    <w:rsid w:val="009B24A6"/>
    <w:rsid w:val="009B66F5"/>
    <w:rsid w:val="009C6147"/>
    <w:rsid w:val="009D1C81"/>
    <w:rsid w:val="009D27EF"/>
    <w:rsid w:val="009D4A1A"/>
    <w:rsid w:val="009D6C15"/>
    <w:rsid w:val="009E151C"/>
    <w:rsid w:val="009E47FE"/>
    <w:rsid w:val="009E506A"/>
    <w:rsid w:val="009E70F5"/>
    <w:rsid w:val="009F45DB"/>
    <w:rsid w:val="00A0350F"/>
    <w:rsid w:val="00A044B5"/>
    <w:rsid w:val="00A07DE0"/>
    <w:rsid w:val="00A07DF2"/>
    <w:rsid w:val="00A1576E"/>
    <w:rsid w:val="00A2368C"/>
    <w:rsid w:val="00A255FE"/>
    <w:rsid w:val="00A27464"/>
    <w:rsid w:val="00A32737"/>
    <w:rsid w:val="00A61444"/>
    <w:rsid w:val="00A622AC"/>
    <w:rsid w:val="00A64B14"/>
    <w:rsid w:val="00A66912"/>
    <w:rsid w:val="00A67316"/>
    <w:rsid w:val="00A72835"/>
    <w:rsid w:val="00A748F1"/>
    <w:rsid w:val="00A763E0"/>
    <w:rsid w:val="00A8083A"/>
    <w:rsid w:val="00A91699"/>
    <w:rsid w:val="00A97602"/>
    <w:rsid w:val="00AA0FC3"/>
    <w:rsid w:val="00AA539A"/>
    <w:rsid w:val="00AB759D"/>
    <w:rsid w:val="00AC119B"/>
    <w:rsid w:val="00AC1836"/>
    <w:rsid w:val="00AD0271"/>
    <w:rsid w:val="00AE379E"/>
    <w:rsid w:val="00AE4A76"/>
    <w:rsid w:val="00B0098E"/>
    <w:rsid w:val="00B11E75"/>
    <w:rsid w:val="00B124D1"/>
    <w:rsid w:val="00B20A41"/>
    <w:rsid w:val="00B3296E"/>
    <w:rsid w:val="00B35364"/>
    <w:rsid w:val="00B44536"/>
    <w:rsid w:val="00B559D7"/>
    <w:rsid w:val="00B55CEB"/>
    <w:rsid w:val="00B579CE"/>
    <w:rsid w:val="00B57CEE"/>
    <w:rsid w:val="00B63BF8"/>
    <w:rsid w:val="00B8157D"/>
    <w:rsid w:val="00B82652"/>
    <w:rsid w:val="00B833D4"/>
    <w:rsid w:val="00B86680"/>
    <w:rsid w:val="00B91AB1"/>
    <w:rsid w:val="00BA172B"/>
    <w:rsid w:val="00BA574C"/>
    <w:rsid w:val="00BB360D"/>
    <w:rsid w:val="00BC2926"/>
    <w:rsid w:val="00BD060F"/>
    <w:rsid w:val="00BD274F"/>
    <w:rsid w:val="00BD45CA"/>
    <w:rsid w:val="00BD4F89"/>
    <w:rsid w:val="00BE1002"/>
    <w:rsid w:val="00BF395C"/>
    <w:rsid w:val="00C00A44"/>
    <w:rsid w:val="00C01F6E"/>
    <w:rsid w:val="00C0242B"/>
    <w:rsid w:val="00C12301"/>
    <w:rsid w:val="00C14FD4"/>
    <w:rsid w:val="00C17EA4"/>
    <w:rsid w:val="00C240EE"/>
    <w:rsid w:val="00C255E1"/>
    <w:rsid w:val="00C42258"/>
    <w:rsid w:val="00C519F3"/>
    <w:rsid w:val="00C60C07"/>
    <w:rsid w:val="00C6555A"/>
    <w:rsid w:val="00C86829"/>
    <w:rsid w:val="00C901F7"/>
    <w:rsid w:val="00C929D3"/>
    <w:rsid w:val="00C9435A"/>
    <w:rsid w:val="00CA4171"/>
    <w:rsid w:val="00CB76F2"/>
    <w:rsid w:val="00CC5AD0"/>
    <w:rsid w:val="00CD0101"/>
    <w:rsid w:val="00CD1A87"/>
    <w:rsid w:val="00CD1FA9"/>
    <w:rsid w:val="00CD4500"/>
    <w:rsid w:val="00CE1BB0"/>
    <w:rsid w:val="00CE2BD8"/>
    <w:rsid w:val="00CE2E96"/>
    <w:rsid w:val="00CE5895"/>
    <w:rsid w:val="00CF41B6"/>
    <w:rsid w:val="00D1537C"/>
    <w:rsid w:val="00D20381"/>
    <w:rsid w:val="00D24CC0"/>
    <w:rsid w:val="00D306F9"/>
    <w:rsid w:val="00D31BE3"/>
    <w:rsid w:val="00D34EFE"/>
    <w:rsid w:val="00D3759A"/>
    <w:rsid w:val="00D40B40"/>
    <w:rsid w:val="00D424DF"/>
    <w:rsid w:val="00D42809"/>
    <w:rsid w:val="00D43C82"/>
    <w:rsid w:val="00D46B0E"/>
    <w:rsid w:val="00D63110"/>
    <w:rsid w:val="00D6680C"/>
    <w:rsid w:val="00D7038B"/>
    <w:rsid w:val="00D72822"/>
    <w:rsid w:val="00D8635E"/>
    <w:rsid w:val="00D900B0"/>
    <w:rsid w:val="00D914B6"/>
    <w:rsid w:val="00D93B2E"/>
    <w:rsid w:val="00DA0707"/>
    <w:rsid w:val="00DA52FF"/>
    <w:rsid w:val="00DB02BA"/>
    <w:rsid w:val="00DB2655"/>
    <w:rsid w:val="00DB40A1"/>
    <w:rsid w:val="00DC0628"/>
    <w:rsid w:val="00DE05BB"/>
    <w:rsid w:val="00DE15E4"/>
    <w:rsid w:val="00DE4D95"/>
    <w:rsid w:val="00DE5336"/>
    <w:rsid w:val="00DF2154"/>
    <w:rsid w:val="00E03177"/>
    <w:rsid w:val="00E04FCF"/>
    <w:rsid w:val="00E055FC"/>
    <w:rsid w:val="00E07FF8"/>
    <w:rsid w:val="00E11319"/>
    <w:rsid w:val="00E13E59"/>
    <w:rsid w:val="00E168A0"/>
    <w:rsid w:val="00E22616"/>
    <w:rsid w:val="00E25477"/>
    <w:rsid w:val="00E33081"/>
    <w:rsid w:val="00E37BB8"/>
    <w:rsid w:val="00E42454"/>
    <w:rsid w:val="00E44252"/>
    <w:rsid w:val="00E45C2A"/>
    <w:rsid w:val="00E471C4"/>
    <w:rsid w:val="00E63615"/>
    <w:rsid w:val="00E6645B"/>
    <w:rsid w:val="00E66939"/>
    <w:rsid w:val="00E752E3"/>
    <w:rsid w:val="00E76BEE"/>
    <w:rsid w:val="00E87E9D"/>
    <w:rsid w:val="00E91939"/>
    <w:rsid w:val="00E95CCB"/>
    <w:rsid w:val="00EA3226"/>
    <w:rsid w:val="00EA49F9"/>
    <w:rsid w:val="00EB3F93"/>
    <w:rsid w:val="00EB76B1"/>
    <w:rsid w:val="00EC3CF1"/>
    <w:rsid w:val="00EC5105"/>
    <w:rsid w:val="00EC57BE"/>
    <w:rsid w:val="00EC59D9"/>
    <w:rsid w:val="00ED4A6E"/>
    <w:rsid w:val="00EE691D"/>
    <w:rsid w:val="00EF18A6"/>
    <w:rsid w:val="00EF2294"/>
    <w:rsid w:val="00EF5AD2"/>
    <w:rsid w:val="00EF7CBE"/>
    <w:rsid w:val="00F06CFF"/>
    <w:rsid w:val="00F101AA"/>
    <w:rsid w:val="00F1055C"/>
    <w:rsid w:val="00F14C2F"/>
    <w:rsid w:val="00F1700C"/>
    <w:rsid w:val="00F21E98"/>
    <w:rsid w:val="00F235B7"/>
    <w:rsid w:val="00F27E28"/>
    <w:rsid w:val="00F375BB"/>
    <w:rsid w:val="00F45F8F"/>
    <w:rsid w:val="00F47C85"/>
    <w:rsid w:val="00F51071"/>
    <w:rsid w:val="00F81B01"/>
    <w:rsid w:val="00F82CBA"/>
    <w:rsid w:val="00F83348"/>
    <w:rsid w:val="00F853E8"/>
    <w:rsid w:val="00F90410"/>
    <w:rsid w:val="00F93BB8"/>
    <w:rsid w:val="00F9794D"/>
    <w:rsid w:val="00FA034D"/>
    <w:rsid w:val="00FA094C"/>
    <w:rsid w:val="00FA2994"/>
    <w:rsid w:val="00FA3007"/>
    <w:rsid w:val="00FC38F8"/>
    <w:rsid w:val="00FF19D4"/>
    <w:rsid w:val="00FF3D76"/>
    <w:rsid w:val="00FF3DB2"/>
    <w:rsid w:val="00FF635C"/>
    <w:rsid w:val="00FF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2A4AF2"/>
    <w:pPr>
      <w:numPr>
        <w:numId w:val="1"/>
      </w:numPr>
      <w:contextualSpacing/>
    </w:pPr>
  </w:style>
  <w:style w:type="paragraph" w:styleId="ListBullet2">
    <w:name w:val="List Bullet 2"/>
    <w:basedOn w:val="Normal"/>
    <w:uiPriority w:val="99"/>
    <w:semiHidden/>
    <w:unhideWhenUsed/>
    <w:rsid w:val="002A4AF2"/>
    <w:pPr>
      <w:numPr>
        <w:numId w:val="2"/>
      </w:numPr>
      <w:contextualSpacing/>
    </w:pPr>
  </w:style>
  <w:style w:type="paragraph" w:styleId="ListBullet3">
    <w:name w:val="List Bullet 3"/>
    <w:basedOn w:val="Normal"/>
    <w:uiPriority w:val="99"/>
    <w:semiHidden/>
    <w:unhideWhenUsed/>
    <w:rsid w:val="002A4AF2"/>
    <w:pPr>
      <w:numPr>
        <w:numId w:val="3"/>
      </w:numPr>
      <w:contextualSpacing/>
    </w:pPr>
  </w:style>
  <w:style w:type="paragraph" w:styleId="ListBullet4">
    <w:name w:val="List Bullet 4"/>
    <w:basedOn w:val="Normal"/>
    <w:uiPriority w:val="99"/>
    <w:semiHidden/>
    <w:unhideWhenUsed/>
    <w:rsid w:val="002A4AF2"/>
    <w:pPr>
      <w:numPr>
        <w:numId w:val="4"/>
      </w:numPr>
      <w:contextualSpacing/>
    </w:pPr>
  </w:style>
  <w:style w:type="paragraph" w:styleId="ListParagraph">
    <w:name w:val="List Paragraph"/>
    <w:basedOn w:val="Normal"/>
    <w:uiPriority w:val="34"/>
    <w:qFormat/>
    <w:rsid w:val="00FA094C"/>
    <w:pPr>
      <w:ind w:left="720"/>
      <w:contextualSpacing/>
    </w:pPr>
  </w:style>
  <w:style w:type="character" w:styleId="Hyperlink">
    <w:name w:val="Hyperlink"/>
    <w:basedOn w:val="DefaultParagraphFont"/>
    <w:uiPriority w:val="99"/>
    <w:unhideWhenUsed/>
    <w:rsid w:val="00B0098E"/>
    <w:rPr>
      <w:color w:val="0000FF" w:themeColor="hyperlink"/>
      <w:u w:val="single"/>
    </w:rPr>
  </w:style>
  <w:style w:type="character" w:customStyle="1" w:styleId="UnresolvedMention1">
    <w:name w:val="Unresolved Mention1"/>
    <w:basedOn w:val="DefaultParagraphFont"/>
    <w:uiPriority w:val="99"/>
    <w:semiHidden/>
    <w:unhideWhenUsed/>
    <w:rsid w:val="00B0098E"/>
    <w:rPr>
      <w:color w:val="605E5C"/>
      <w:shd w:val="clear" w:color="auto" w:fill="E1DFDD"/>
    </w:rPr>
  </w:style>
  <w:style w:type="character" w:styleId="FollowedHyperlink">
    <w:name w:val="FollowedHyperlink"/>
    <w:basedOn w:val="DefaultParagraphFont"/>
    <w:uiPriority w:val="99"/>
    <w:semiHidden/>
    <w:unhideWhenUsed/>
    <w:rsid w:val="00826868"/>
    <w:rPr>
      <w:color w:val="800080" w:themeColor="followedHyperlink"/>
      <w:u w:val="single"/>
    </w:rPr>
  </w:style>
  <w:style w:type="paragraph" w:styleId="Revision">
    <w:name w:val="Revision"/>
    <w:hidden/>
    <w:uiPriority w:val="99"/>
    <w:semiHidden/>
    <w:rsid w:val="00492CCC"/>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FF635C"/>
    <w:rPr>
      <w:sz w:val="16"/>
      <w:szCs w:val="16"/>
    </w:rPr>
  </w:style>
  <w:style w:type="paragraph" w:styleId="CommentText">
    <w:name w:val="annotation text"/>
    <w:basedOn w:val="Normal"/>
    <w:link w:val="CommentTextChar"/>
    <w:uiPriority w:val="99"/>
    <w:unhideWhenUsed/>
    <w:rsid w:val="00FF635C"/>
    <w:rPr>
      <w:sz w:val="20"/>
      <w:szCs w:val="20"/>
    </w:rPr>
  </w:style>
  <w:style w:type="character" w:customStyle="1" w:styleId="CommentTextChar">
    <w:name w:val="Comment Text Char"/>
    <w:basedOn w:val="DefaultParagraphFont"/>
    <w:link w:val="CommentText"/>
    <w:uiPriority w:val="99"/>
    <w:rsid w:val="00FF635C"/>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F635C"/>
    <w:rPr>
      <w:b/>
      <w:bCs/>
    </w:rPr>
  </w:style>
  <w:style w:type="character" w:customStyle="1" w:styleId="CommentSubjectChar">
    <w:name w:val="Comment Subject Char"/>
    <w:basedOn w:val="CommentTextChar"/>
    <w:link w:val="CommentSubject"/>
    <w:uiPriority w:val="99"/>
    <w:semiHidden/>
    <w:rsid w:val="00FF635C"/>
    <w:rPr>
      <w:rFonts w:ascii="Times New Roman" w:hAnsi="Times New Roman" w:cs="Times New Roman"/>
      <w:b/>
      <w:bCs/>
      <w:sz w:val="20"/>
      <w:szCs w:val="20"/>
      <w:lang w:val="en-GB"/>
    </w:rPr>
  </w:style>
  <w:style w:type="character" w:customStyle="1" w:styleId="Text1Char">
    <w:name w:val="Text 1 Char"/>
    <w:rsid w:val="00EA3226"/>
    <w:rPr>
      <w:rFonts w:ascii="Times New Roman" w:hAnsi="Times New Roman" w:cs="Times New Roman"/>
      <w:sz w:val="24"/>
      <w:lang w:val="en-GB"/>
    </w:rPr>
  </w:style>
  <w:style w:type="paragraph" w:styleId="BalloonText">
    <w:name w:val="Balloon Text"/>
    <w:basedOn w:val="Normal"/>
    <w:link w:val="BalloonTextChar"/>
    <w:uiPriority w:val="99"/>
    <w:semiHidden/>
    <w:unhideWhenUsed/>
    <w:rsid w:val="00204F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F1B"/>
    <w:rPr>
      <w:rFonts w:ascii="Segoe UI" w:hAnsi="Segoe UI" w:cs="Segoe UI"/>
      <w:sz w:val="18"/>
      <w:szCs w:val="18"/>
      <w:lang w:val="en-GB"/>
    </w:rPr>
  </w:style>
  <w:style w:type="character" w:customStyle="1" w:styleId="UnresolvedMention">
    <w:name w:val="Unresolved Mention"/>
    <w:basedOn w:val="DefaultParagraphFont"/>
    <w:uiPriority w:val="99"/>
    <w:semiHidden/>
    <w:unhideWhenUsed/>
    <w:rsid w:val="00757BF1"/>
    <w:rPr>
      <w:color w:val="605E5C"/>
      <w:shd w:val="clear" w:color="auto" w:fill="E1DFDD"/>
    </w:rPr>
  </w:style>
  <w:style w:type="character" w:customStyle="1" w:styleId="HeaderChar">
    <w:name w:val="Header Char"/>
    <w:basedOn w:val="DefaultParagraphFont"/>
    <w:link w:val="Header"/>
    <w:uiPriority w:val="99"/>
    <w:rsid w:val="000C075B"/>
    <w:rPr>
      <w:rFonts w:ascii="Times New Roman" w:hAnsi="Times New Roman" w:cs="Times New Roman"/>
      <w:sz w:val="24"/>
      <w:lang w:val="en-GB"/>
    </w:rPr>
  </w:style>
  <w:style w:type="character" w:customStyle="1" w:styleId="FooterChar">
    <w:name w:val="Footer Char"/>
    <w:basedOn w:val="DefaultParagraphFont"/>
    <w:link w:val="Footer"/>
    <w:uiPriority w:val="99"/>
    <w:rsid w:val="000C075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C07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C075B"/>
    <w:pPr>
      <w:spacing w:before="0"/>
      <w:jc w:val="right"/>
    </w:pPr>
    <w:rPr>
      <w:sz w:val="28"/>
    </w:rPr>
  </w:style>
  <w:style w:type="paragraph" w:customStyle="1" w:styleId="FooterSensitivity">
    <w:name w:val="Footer Sensitivity"/>
    <w:basedOn w:val="Normal"/>
    <w:rsid w:val="000C07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C075B"/>
    <w:pPr>
      <w:tabs>
        <w:tab w:val="center" w:pos="4535"/>
        <w:tab w:val="right" w:pos="9071"/>
      </w:tabs>
      <w:spacing w:before="0"/>
    </w:pPr>
  </w:style>
  <w:style w:type="paragraph" w:customStyle="1" w:styleId="HeaderLandscape">
    <w:name w:val="HeaderLandscape"/>
    <w:basedOn w:val="Normal"/>
    <w:rsid w:val="000C075B"/>
    <w:pPr>
      <w:tabs>
        <w:tab w:val="center" w:pos="7285"/>
        <w:tab w:val="right" w:pos="14003"/>
      </w:tabs>
      <w:spacing w:before="0"/>
    </w:pPr>
  </w:style>
  <w:style w:type="paragraph" w:styleId="Footer">
    <w:name w:val="footer"/>
    <w:basedOn w:val="Normal"/>
    <w:link w:val="FooterChar"/>
    <w:uiPriority w:val="99"/>
    <w:unhideWhenUsed/>
    <w:rsid w:val="000C07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C07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treaty/withd_2020/sign" TargetMode="External"/><Relationship Id="rId2" Type="http://schemas.openxmlformats.org/officeDocument/2006/relationships/hyperlink" Target="https://eur-lex.europa.eu/legal-content/EN/TXT/?uri=celex%3A22023X0417%2801%29" TargetMode="External"/><Relationship Id="rId1" Type="http://schemas.openxmlformats.org/officeDocument/2006/relationships/hyperlink" Target="http://data.europa.eu/eli/treaty/withd_2020/sign" TargetMode="External"/><Relationship Id="rId5" Type="http://schemas.openxmlformats.org/officeDocument/2006/relationships/hyperlink" Target="https://eur-lex.europa.eu/legal-content/EN/TXT/?uri=uriserv%3AOJ.L_.2023.102.01.0087.01.ENG&amp;toc=OJ%3AL%3A2023%3A102%3ATOC" TargetMode="External"/><Relationship Id="rId4" Type="http://schemas.openxmlformats.org/officeDocument/2006/relationships/hyperlink" Target="http://data.europa.eu/eli/dec/2020/13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0358D-7E63-4A67-93A4-9AE3C0E0D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6</Pages>
  <Words>1534</Words>
  <Characters>8748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cp:lastPrinted>2023-05-17T15:33:00Z</cp:lastPrinted>
  <dcterms:created xsi:type="dcterms:W3CDTF">2026-07-09T08:20:00Z</dcterms:created>
  <dcterms:modified xsi:type="dcterms:W3CDTF">2026-07-24T16:27:00Z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