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FBD6BF" w14:textId="154A8F83" w:rsidR="00FF79F0" w:rsidRDefault="00515FD1" w:rsidP="00515FD1">
      <w:pPr>
        <w:pStyle w:val="Pagedecouverture"/>
        <w:rPr>
          <w:noProof/>
        </w:rPr>
      </w:pPr>
      <w:bookmarkStart w:id="0" w:name="LW_BM_COVERPAGE"/>
      <w:r>
        <w:rPr>
          <w:noProof/>
        </w:rPr>
        <w:pict w14:anchorId="3B939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BB8A3C9-ABA8-4B0E-8E4F-71D9F9EAD281" style="width:455.25pt;height:400.5pt">
            <v:imagedata r:id="rId6" o:title=""/>
          </v:shape>
        </w:pict>
      </w:r>
    </w:p>
    <w:bookmarkEnd w:id="0"/>
    <w:p w14:paraId="469543AB" w14:textId="77777777" w:rsidR="00FF79F0" w:rsidRDefault="00FF79F0" w:rsidP="00FF79F0">
      <w:pPr>
        <w:rPr>
          <w:noProof/>
        </w:rPr>
        <w:sectPr w:rsidR="00FF79F0" w:rsidSect="00515FD1">
          <w:headerReference w:type="even" r:id="rId7"/>
          <w:headerReference w:type="default" r:id="rId8"/>
          <w:footerReference w:type="even" r:id="rId9"/>
          <w:footerReference w:type="default" r:id="rId10"/>
          <w:headerReference w:type="first" r:id="rId11"/>
          <w:footerReference w:type="first" r:id="rId12"/>
          <w:pgSz w:w="11907" w:h="16839"/>
          <w:pgMar w:top="1134" w:right="1417" w:bottom="1134" w:left="1417" w:header="709" w:footer="709" w:gutter="0"/>
          <w:pgNumType w:start="0"/>
          <w:cols w:space="720"/>
          <w:docGrid w:linePitch="360"/>
        </w:sectPr>
      </w:pPr>
    </w:p>
    <w:p w14:paraId="1BEC72C7" w14:textId="20B16EFE" w:rsidR="00FF79F0" w:rsidRDefault="00FF79F0" w:rsidP="00FF79F0">
      <w:pPr>
        <w:pStyle w:val="Annexetitre"/>
        <w:rPr>
          <w:noProof/>
        </w:rPr>
      </w:pPr>
      <w:bookmarkStart w:id="1" w:name="_GoBack"/>
      <w:bookmarkEnd w:id="1"/>
      <w:r>
        <w:rPr>
          <w:noProof/>
        </w:rPr>
        <w:lastRenderedPageBreak/>
        <w:t xml:space="preserve">PROJET </w:t>
      </w:r>
    </w:p>
    <w:p w14:paraId="58FBEA86" w14:textId="77777777" w:rsidR="00FF79F0" w:rsidRDefault="00FF79F0" w:rsidP="00FF79F0">
      <w:pPr>
        <w:pBdr>
          <w:top w:val="nil"/>
          <w:left w:val="nil"/>
          <w:bottom w:val="nil"/>
          <w:right w:val="nil"/>
          <w:between w:val="nil"/>
        </w:pBdr>
        <w:rPr>
          <w:noProof/>
          <w:color w:val="000000"/>
        </w:rPr>
      </w:pPr>
    </w:p>
    <w:p w14:paraId="5360F34A" w14:textId="77777777" w:rsidR="00FF79F0" w:rsidRDefault="00FF79F0" w:rsidP="00FF79F0">
      <w:pPr>
        <w:pBdr>
          <w:top w:val="nil"/>
          <w:left w:val="nil"/>
          <w:bottom w:val="nil"/>
          <w:right w:val="nil"/>
          <w:between w:val="nil"/>
        </w:pBdr>
        <w:jc w:val="center"/>
        <w:rPr>
          <w:noProof/>
          <w:color w:val="000000"/>
        </w:rPr>
      </w:pPr>
      <w:r>
        <w:rPr>
          <w:noProof/>
          <w:color w:val="000000"/>
        </w:rPr>
        <w:t xml:space="preserve">DÉCLARATION COMMUNE </w:t>
      </w:r>
      <w:r>
        <w:rPr>
          <w:noProof/>
          <w:color w:val="000000"/>
        </w:rPr>
        <w:br/>
        <w:t xml:space="preserve">DE L’UNION ET DU ROYAUME-UNI </w:t>
      </w:r>
      <w:r>
        <w:rPr>
          <w:noProof/>
          <w:color w:val="000000"/>
        </w:rPr>
        <w:br/>
        <w:t xml:space="preserve">AU SEIN DU COMITÉ MIXTE INSTITUÉ PAR L’ACCORD </w:t>
      </w:r>
      <w:r>
        <w:rPr>
          <w:noProof/>
          <w:color w:val="000000"/>
        </w:rPr>
        <w:br/>
        <w:t xml:space="preserve">SUR LE RETRAIT DU ROYAUME-UNI DE GRANDE-BRETAGNE </w:t>
      </w:r>
      <w:r>
        <w:rPr>
          <w:noProof/>
          <w:color w:val="000000"/>
        </w:rPr>
        <w:br/>
        <w:t xml:space="preserve">ET D’IRLANDE DU NORD DE L’UNION EUROPÉENNE </w:t>
      </w:r>
      <w:r>
        <w:rPr>
          <w:noProof/>
          <w:color w:val="000000"/>
        </w:rPr>
        <w:br/>
        <w:t>ET DE LA COMMUNAUTÉ EUROPÉENNE DE L’ÉNERGIE ATOMIQUE</w:t>
      </w:r>
    </w:p>
    <w:p w14:paraId="49624B34" w14:textId="77777777" w:rsidR="00FF79F0" w:rsidRDefault="00FF79F0" w:rsidP="00FF79F0">
      <w:pPr>
        <w:pBdr>
          <w:top w:val="nil"/>
          <w:left w:val="nil"/>
          <w:bottom w:val="nil"/>
          <w:right w:val="nil"/>
          <w:between w:val="nil"/>
        </w:pBdr>
        <w:jc w:val="center"/>
        <w:rPr>
          <w:noProof/>
          <w:color w:val="000000"/>
        </w:rPr>
      </w:pPr>
      <w:r>
        <w:rPr>
          <w:noProof/>
          <w:color w:val="000000"/>
        </w:rPr>
        <w:t>du … 2026</w:t>
      </w:r>
    </w:p>
    <w:p w14:paraId="5AEBE441" w14:textId="77777777" w:rsidR="00FF79F0" w:rsidRDefault="00FF79F0" w:rsidP="00FF79F0">
      <w:pPr>
        <w:pBdr>
          <w:top w:val="nil"/>
          <w:left w:val="nil"/>
          <w:bottom w:val="nil"/>
          <w:right w:val="nil"/>
          <w:between w:val="nil"/>
        </w:pBdr>
        <w:jc w:val="center"/>
        <w:rPr>
          <w:noProof/>
          <w:color w:val="000000"/>
        </w:rPr>
      </w:pPr>
      <w:r>
        <w:rPr>
          <w:noProof/>
          <w:color w:val="000000"/>
        </w:rPr>
        <w:t>sur l’application de l’article 5 du cadre de Windsor</w:t>
      </w:r>
      <w:r w:rsidRPr="00B4628F">
        <w:rPr>
          <w:noProof/>
          <w:color w:val="000000"/>
          <w:vertAlign w:val="superscript"/>
        </w:rPr>
        <w:footnoteReference w:id="1"/>
      </w:r>
    </w:p>
    <w:p w14:paraId="26A06DB4" w14:textId="77777777" w:rsidR="00FF79F0" w:rsidRDefault="00FF79F0" w:rsidP="00FF79F0">
      <w:pPr>
        <w:rPr>
          <w:noProof/>
        </w:rPr>
      </w:pPr>
      <w:r>
        <w:rPr>
          <w:noProof/>
        </w:rPr>
        <w:t>L’article 5, paragraphe 1, du cadre de Windsor prévoit, d’une part, qu’aucun droit de douane n’est dû pour une marchandise qui est introduite en Irlande du Nord à partir d’une autre partie du Royaume-Uni par transport direct et qui ne risque pas d’être ensuite introduite dans l’Union, que ce soit en tant que telle ou comme partie d’une autre marchandise à la suite d’un traitement, et, d’autre part, que les droits de douane concernant une marchandise qui est introduite par transport direct en Irlande du Nord et ne provient pas de l’Union ou d’une autre partie du Royaume-Uni et qui ne risque pas d’être ensuite introduite dans l’Union, que ce soit en tant que telle ou comme partie d’une autre marchandise à la suite d’un traitement, sont les droits applicables au Royaume-Uni.</w:t>
      </w:r>
    </w:p>
    <w:p w14:paraId="739D4EEE" w14:textId="77777777" w:rsidR="00FF79F0" w:rsidRDefault="00FF79F0" w:rsidP="00FF79F0">
      <w:pPr>
        <w:rPr>
          <w:noProof/>
        </w:rPr>
      </w:pPr>
      <w:r>
        <w:rPr>
          <w:noProof/>
        </w:rPr>
        <w:t>Cette disposition poursuit ainsi l’objectif de garantir qu’aucune marchandise qui est introduite en Irlande du Nord par transport direct et qui ne risque pas d’être ensuite introduite dans l’Union, que ce soit en tant que telle ou comme partie d’une autre marchandise à la suite d’un traitement, n’est soumise à des charges financières prévues par le droit douanier de l’Union qui sont directement liées à la mise en libre pratique de cette marchandise en Irlande du Nord.</w:t>
      </w:r>
    </w:p>
    <w:p w14:paraId="74E9F7AB" w14:textId="77777777" w:rsidR="00FF79F0" w:rsidRDefault="00FF79F0" w:rsidP="00FF79F0">
      <w:pPr>
        <w:rPr>
          <w:noProof/>
          <w:color w:val="000000"/>
        </w:rPr>
      </w:pPr>
      <w:r>
        <w:rPr>
          <w:noProof/>
        </w:rPr>
        <w:t xml:space="preserve">Dans ce contexte, et conformément aux obligations incombant aux parties dans le cadre de l’OMC, l’article 5, paragraphe 1, du cadre de Windsor devrait s’entendre comme s’appliquant également à une taxe de traitement établie par le droit de l’Union pour couvrir les coûts des services fournis pour traiter une demande de mise en libre pratique de marchandises vendues à distance, notamment la vérification des données fournies, la réalisation d’une analyse des risques et l’exécution de contrôles documentaires et physiques si nécessaire. </w:t>
      </w:r>
    </w:p>
    <w:p w14:paraId="4ECF5B06" w14:textId="77777777" w:rsidR="00FF79F0" w:rsidRDefault="00FF79F0" w:rsidP="00FF79F0">
      <w:pPr>
        <w:rPr>
          <w:noProof/>
        </w:rPr>
      </w:pPr>
      <w:r>
        <w:rPr>
          <w:noProof/>
        </w:rPr>
        <w:t>L’article 5, paragraphe 6, du cadre de Windsor prévoit que lorsque des droits de douane sont perçus par le Royaume-Uni conformément à la législation douanière applicable de l’Union, ces droits ne sont pas transférés à l’Union.</w:t>
      </w:r>
      <w:r>
        <w:rPr>
          <w:noProof/>
          <w:color w:val="000000"/>
        </w:rPr>
        <w:t xml:space="preserve"> </w:t>
      </w:r>
      <w:r>
        <w:rPr>
          <w:noProof/>
        </w:rPr>
        <w:t>Cette disposition poursuit ainsi l’objectif de garantir que les produits de charges financières prévues par le droit douanier de l’Union qui sont directement liées à la mise en libre pratique de marchandises en Irlande du Nord restent au Royaume-Uni. Dans ce contexte, l’article 5, paragraphe 6, du cadre de Windsor devrait s’entendre comme s’appliquant également dans son intégralité aux produits d’une taxe de traitement du type visé au paragraphe précédent.</w:t>
      </w:r>
    </w:p>
    <w:p w14:paraId="03E3D16C" w14:textId="77777777" w:rsidR="00FF79F0" w:rsidRDefault="00FF79F0" w:rsidP="00FF79F0">
      <w:pPr>
        <w:rPr>
          <w:noProof/>
        </w:rPr>
      </w:pPr>
    </w:p>
    <w:p w14:paraId="55E5C059" w14:textId="77777777" w:rsidR="00FF79F0" w:rsidRDefault="00FF79F0" w:rsidP="00FF79F0">
      <w:pPr>
        <w:rPr>
          <w:noProof/>
        </w:rPr>
      </w:pPr>
    </w:p>
    <w:p w14:paraId="6A11054C" w14:textId="77777777" w:rsidR="00FF79F0" w:rsidRDefault="00FF79F0" w:rsidP="00FF79F0">
      <w:pPr>
        <w:rPr>
          <w:noProof/>
        </w:rPr>
      </w:pPr>
    </w:p>
    <w:p w14:paraId="6D6BFEAD" w14:textId="77777777" w:rsidR="00D26C5D" w:rsidRDefault="00D26C5D">
      <w:pPr>
        <w:rPr>
          <w:noProof/>
        </w:rPr>
      </w:pPr>
    </w:p>
    <w:sectPr w:rsidR="00D26C5D" w:rsidSect="00FF79F0">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7F143D" w14:textId="77777777" w:rsidR="00FF79F0" w:rsidRDefault="00FF79F0" w:rsidP="00FF79F0">
      <w:pPr>
        <w:spacing w:before="0" w:after="0"/>
      </w:pPr>
      <w:r>
        <w:separator/>
      </w:r>
    </w:p>
  </w:endnote>
  <w:endnote w:type="continuationSeparator" w:id="0">
    <w:p w14:paraId="65A5A9F7" w14:textId="77777777" w:rsidR="00FF79F0" w:rsidRDefault="00FF79F0" w:rsidP="00FF79F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044FE" w14:textId="5A3ADABF" w:rsidR="00515FD1" w:rsidRPr="00515FD1" w:rsidRDefault="00515FD1" w:rsidP="00515FD1">
    <w:pPr>
      <w:pStyle w:val="FooterCoverPage"/>
      <w:rPr>
        <w:rFonts w:ascii="Arial" w:hAnsi="Arial" w:cs="Arial"/>
        <w:b/>
        <w:sz w:val="48"/>
      </w:rPr>
    </w:pPr>
    <w:r w:rsidRPr="00515FD1">
      <w:rPr>
        <w:rFonts w:ascii="Arial" w:hAnsi="Arial" w:cs="Arial"/>
        <w:b/>
        <w:sz w:val="48"/>
      </w:rPr>
      <w:t>FR</w:t>
    </w:r>
    <w:r w:rsidRPr="00515FD1">
      <w:rPr>
        <w:rFonts w:ascii="Arial" w:hAnsi="Arial" w:cs="Arial"/>
        <w:b/>
        <w:sz w:val="48"/>
      </w:rPr>
      <w:tab/>
    </w:r>
    <w:r w:rsidRPr="00515FD1">
      <w:rPr>
        <w:rFonts w:ascii="Arial" w:hAnsi="Arial" w:cs="Arial"/>
        <w:b/>
        <w:sz w:val="48"/>
      </w:rPr>
      <w:tab/>
    </w:r>
    <w:r w:rsidRPr="00515FD1">
      <w:tab/>
    </w:r>
    <w:r w:rsidRPr="00515FD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235A" w14:textId="149F6547" w:rsidR="00515FD1" w:rsidRPr="00515FD1" w:rsidRDefault="00515FD1" w:rsidP="00515FD1">
    <w:pPr>
      <w:pStyle w:val="FooterCoverPage"/>
      <w:rPr>
        <w:rFonts w:ascii="Arial" w:hAnsi="Arial" w:cs="Arial"/>
        <w:b/>
        <w:sz w:val="48"/>
      </w:rPr>
    </w:pPr>
    <w:r w:rsidRPr="00515FD1">
      <w:rPr>
        <w:rFonts w:ascii="Arial" w:hAnsi="Arial" w:cs="Arial"/>
        <w:b/>
        <w:sz w:val="48"/>
      </w:rPr>
      <w:t>FR</w:t>
    </w:r>
    <w:r w:rsidRPr="00515FD1">
      <w:rPr>
        <w:rFonts w:ascii="Arial" w:hAnsi="Arial" w:cs="Arial"/>
        <w:b/>
        <w:sz w:val="48"/>
      </w:rPr>
      <w:tab/>
    </w:r>
    <w:r w:rsidRPr="00515FD1">
      <w:rPr>
        <w:rFonts w:ascii="Arial" w:hAnsi="Arial" w:cs="Arial"/>
        <w:b/>
        <w:sz w:val="48"/>
      </w:rPr>
      <w:tab/>
    </w:r>
    <w:r w:rsidRPr="00515FD1">
      <w:tab/>
    </w:r>
    <w:r w:rsidRPr="00515FD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32941B" w14:textId="77777777" w:rsidR="00515FD1" w:rsidRPr="00515FD1" w:rsidRDefault="00515FD1" w:rsidP="00515FD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E6D16" w14:textId="77777777" w:rsidR="00FF79F0" w:rsidRDefault="00FF79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7CAFB" w14:textId="10FFE453" w:rsidR="00FF79F0" w:rsidRPr="00476CE2" w:rsidRDefault="00FF79F0" w:rsidP="00476CE2">
    <w:pPr>
      <w:pStyle w:val="Footer"/>
      <w:rPr>
        <w:rFonts w:ascii="Arial" w:hAnsi="Arial" w:cs="Arial"/>
        <w:b/>
        <w:sz w:val="48"/>
      </w:rPr>
    </w:pPr>
    <w:r>
      <w:rPr>
        <w:rFonts w:ascii="Arial" w:hAnsi="Arial"/>
        <w:b/>
        <w:sz w:val="48"/>
      </w:rPr>
      <w:t>FR</w:t>
    </w:r>
    <w:r>
      <w:rPr>
        <w:rFonts w:ascii="Arial" w:hAnsi="Arial"/>
        <w:b/>
        <w:sz w:val="48"/>
      </w:rPr>
      <w:tab/>
    </w:r>
    <w:r>
      <w:fldChar w:fldCharType="begin"/>
    </w:r>
    <w:r>
      <w:instrText xml:space="preserve"> PAGE  \* MERGEFORMAT </w:instrText>
    </w:r>
    <w:r>
      <w:fldChar w:fldCharType="separate"/>
    </w:r>
    <w:r w:rsidR="00515FD1">
      <w:rPr>
        <w:noProof/>
      </w:rPr>
      <w:t>1</w:t>
    </w:r>
    <w:r>
      <w:fldChar w:fldCharType="end"/>
    </w:r>
    <w:r>
      <w:tab/>
    </w:r>
    <w:r>
      <w:tab/>
    </w:r>
    <w:r>
      <w:rPr>
        <w:rFonts w:ascii="Arial" w:hAnsi="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E7B2B" w14:textId="77777777" w:rsidR="00FF79F0" w:rsidRDefault="00FF7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728F7" w14:textId="77777777" w:rsidR="00FF79F0" w:rsidRDefault="00FF79F0" w:rsidP="00FF79F0">
      <w:pPr>
        <w:spacing w:before="0" w:after="0"/>
      </w:pPr>
      <w:r>
        <w:separator/>
      </w:r>
    </w:p>
  </w:footnote>
  <w:footnote w:type="continuationSeparator" w:id="0">
    <w:p w14:paraId="41EF419A" w14:textId="77777777" w:rsidR="00FF79F0" w:rsidRDefault="00FF79F0" w:rsidP="00FF79F0">
      <w:pPr>
        <w:spacing w:before="0" w:after="0"/>
      </w:pPr>
      <w:r>
        <w:continuationSeparator/>
      </w:r>
    </w:p>
  </w:footnote>
  <w:footnote w:id="1">
    <w:p w14:paraId="117754AE" w14:textId="77777777" w:rsidR="00FF79F0" w:rsidRPr="00B4628F" w:rsidRDefault="00FF79F0" w:rsidP="00FF79F0">
      <w:pPr>
        <w:pBdr>
          <w:top w:val="nil"/>
          <w:left w:val="nil"/>
          <w:bottom w:val="nil"/>
          <w:right w:val="nil"/>
          <w:between w:val="nil"/>
        </w:pBdr>
        <w:spacing w:before="0" w:after="0"/>
        <w:ind w:left="720" w:hanging="720"/>
        <w:rPr>
          <w:color w:val="000000"/>
          <w:sz w:val="20"/>
          <w:szCs w:val="20"/>
        </w:rPr>
      </w:pPr>
      <w:r>
        <w:rPr>
          <w:sz w:val="20"/>
          <w:szCs w:val="20"/>
          <w:vertAlign w:val="superscript"/>
        </w:rPr>
        <w:footnoteRef/>
      </w:r>
      <w:r>
        <w:rPr>
          <w:color w:val="000000"/>
          <w:sz w:val="20"/>
        </w:rPr>
        <w:tab/>
        <w:t>Voir la déclaration commune n° 1/2023.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B9CB9" w14:textId="77777777" w:rsidR="00515FD1" w:rsidRPr="00515FD1" w:rsidRDefault="00515FD1" w:rsidP="00515FD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A8C69" w14:textId="77777777" w:rsidR="00515FD1" w:rsidRPr="00515FD1" w:rsidRDefault="00515FD1" w:rsidP="00515FD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45BE6" w14:textId="77777777" w:rsidR="00515FD1" w:rsidRPr="00515FD1" w:rsidRDefault="00515FD1" w:rsidP="00515FD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74E3E" w14:textId="77777777" w:rsidR="00FF79F0" w:rsidRDefault="00FF79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6484C" w14:textId="77777777" w:rsidR="00FF79F0" w:rsidRDefault="00FF79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B5949" w14:textId="77777777" w:rsidR="00FF79F0" w:rsidRDefault="00FF79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de la"/>
    <w:docVar w:name="LW_ANNEX_NBR_FIRST" w:val="1"/>
    <w:docVar w:name="LW_ANNEX_NBR_LAST" w:val="1"/>
    <w:docVar w:name="LW_ANNEX_UNIQUE" w:val="1"/>
    <w:docVar w:name="LW_CORRIGENDUM" w:val="&lt;UNUSED&gt;"/>
    <w:docVar w:name="LW_COVERPAGE_EXISTS" w:val="True"/>
    <w:docVar w:name="LW_COVERPAGE_GUID" w:val="3BB8A3C9-ABA8-4B0E-8E4F-71D9F9EAD281"/>
    <w:docVar w:name="LW_COVERPAGE_TYPE" w:val="1"/>
    <w:docVar w:name="LW_CROSSREFERENCE" w:val="&lt;UNUSED&gt;"/>
    <w:docVar w:name="LW_DocType" w:val="NORMAL"/>
    <w:docVar w:name="LW_EMISSION" w:val="27.7.2026"/>
    <w:docVar w:name="LW_EMISSION_ISODATE" w:val="2026-07-2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lt;FMT:Bold&gt;établissant la position à prendre, au nom de l\u8217?Union européenne, au sein du comité mixte institué par l\u8217?accord sur le retrait du Royaume-Uni de Grande-Bretagne et d\u8217?Irlande du Nord de l\u8217?Union européenne et de la Communauté européenne de l\u8217?énergie atomique en ce qui concerne une déclaration commune sur l\u8217?application de l\u8217?article 5 du cadre de Windsor&lt;/FMT&gt;"/>
    <w:docVar w:name="LW_PART_NBR" w:val="1"/>
    <w:docVar w:name="LW_PART_NBR_TOTAL" w:val="1"/>
    <w:docVar w:name="LW_REF.INST.NEW" w:val="COM"/>
    <w:docVar w:name="LW_REF.INST.NEW_ADOPTED" w:val="final"/>
    <w:docVar w:name="LW_REF.INST.NEW_TEXT" w:val="(2026) 40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4.5.0; LW 9.2, Build 20251112"/>
  </w:docVars>
  <w:rsids>
    <w:rsidRoot w:val="00FF79F0"/>
    <w:rsid w:val="001072CF"/>
    <w:rsid w:val="00110295"/>
    <w:rsid w:val="00112253"/>
    <w:rsid w:val="00257AF6"/>
    <w:rsid w:val="00334482"/>
    <w:rsid w:val="004711C2"/>
    <w:rsid w:val="00476EEA"/>
    <w:rsid w:val="00515FD1"/>
    <w:rsid w:val="0062555F"/>
    <w:rsid w:val="007019A5"/>
    <w:rsid w:val="00724F0B"/>
    <w:rsid w:val="00734958"/>
    <w:rsid w:val="007A4295"/>
    <w:rsid w:val="0081694C"/>
    <w:rsid w:val="00832CA9"/>
    <w:rsid w:val="0086652F"/>
    <w:rsid w:val="009A4636"/>
    <w:rsid w:val="00A9429C"/>
    <w:rsid w:val="00AA2831"/>
    <w:rsid w:val="00B31E7A"/>
    <w:rsid w:val="00CB0DDE"/>
    <w:rsid w:val="00CF41B6"/>
    <w:rsid w:val="00D26C5D"/>
    <w:rsid w:val="00DF1942"/>
    <w:rsid w:val="00E31DFF"/>
    <w:rsid w:val="00E33FCA"/>
    <w:rsid w:val="00E42454"/>
    <w:rsid w:val="00FF79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918A57"/>
  <w15:chartTrackingRefBased/>
  <w15:docId w15:val="{F33A2AEE-B0B5-46E1-A8D9-14933F8F6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9F0"/>
    <w:pPr>
      <w:spacing w:before="120" w:after="120" w:line="240" w:lineRule="auto"/>
      <w:jc w:val="both"/>
    </w:pPr>
    <w:rPr>
      <w:rFonts w:ascii="Times New Roman" w:hAnsi="Times New Roman" w:cs="Times New Roman"/>
      <w:kern w:val="0"/>
      <w:sz w:val="24"/>
      <w14:ligatures w14:val="none"/>
    </w:rPr>
  </w:style>
  <w:style w:type="paragraph" w:styleId="Heading1">
    <w:name w:val="heading 1"/>
    <w:basedOn w:val="Normal"/>
    <w:next w:val="Normal"/>
    <w:link w:val="Heading1Char"/>
    <w:uiPriority w:val="9"/>
    <w:qFormat/>
    <w:rsid w:val="00FF79F0"/>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F79F0"/>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F79F0"/>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F79F0"/>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rsid w:val="00FF79F0"/>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rsid w:val="00FF79F0"/>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rsid w:val="00FF79F0"/>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rsid w:val="00FF79F0"/>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rsid w:val="00FF79F0"/>
    <w:pPr>
      <w:keepNext/>
      <w:keepLines/>
      <w:spacing w:before="0"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9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9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9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9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9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9F0"/>
    <w:rPr>
      <w:rFonts w:eastAsiaTheme="majorEastAsia" w:cstheme="majorBidi"/>
      <w:color w:val="272727" w:themeColor="text1" w:themeTint="D8"/>
    </w:rPr>
  </w:style>
  <w:style w:type="paragraph" w:styleId="Title">
    <w:name w:val="Title"/>
    <w:basedOn w:val="Normal"/>
    <w:next w:val="Normal"/>
    <w:link w:val="TitleChar"/>
    <w:uiPriority w:val="10"/>
    <w:qFormat/>
    <w:rsid w:val="00FF79F0"/>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F79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9F0"/>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F79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9F0"/>
    <w:pPr>
      <w:spacing w:before="160" w:after="160" w:line="259"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sid w:val="00FF79F0"/>
    <w:rPr>
      <w:i/>
      <w:iCs/>
      <w:color w:val="404040" w:themeColor="text1" w:themeTint="BF"/>
    </w:rPr>
  </w:style>
  <w:style w:type="paragraph" w:styleId="ListParagraph">
    <w:name w:val="List Paragraph"/>
    <w:basedOn w:val="Normal"/>
    <w:uiPriority w:val="34"/>
    <w:qFormat/>
    <w:rsid w:val="00FF79F0"/>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IntenseEmphasis">
    <w:name w:val="Intense Emphasis"/>
    <w:basedOn w:val="DefaultParagraphFont"/>
    <w:uiPriority w:val="21"/>
    <w:qFormat/>
    <w:rsid w:val="00FF79F0"/>
    <w:rPr>
      <w:i/>
      <w:iCs/>
      <w:color w:val="0F4761" w:themeColor="accent1" w:themeShade="BF"/>
    </w:rPr>
  </w:style>
  <w:style w:type="paragraph" w:styleId="IntenseQuote">
    <w:name w:val="Intense Quote"/>
    <w:basedOn w:val="Normal"/>
    <w:next w:val="Normal"/>
    <w:link w:val="IntenseQuoteChar"/>
    <w:uiPriority w:val="30"/>
    <w:qFormat/>
    <w:rsid w:val="00FF79F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sid w:val="00FF79F0"/>
    <w:rPr>
      <w:i/>
      <w:iCs/>
      <w:color w:val="0F4761" w:themeColor="accent1" w:themeShade="BF"/>
    </w:rPr>
  </w:style>
  <w:style w:type="character" w:styleId="IntenseReference">
    <w:name w:val="Intense Reference"/>
    <w:basedOn w:val="DefaultParagraphFont"/>
    <w:uiPriority w:val="32"/>
    <w:qFormat/>
    <w:rsid w:val="00FF79F0"/>
    <w:rPr>
      <w:b/>
      <w:bCs/>
      <w:smallCaps/>
      <w:color w:val="0F4761" w:themeColor="accent1" w:themeShade="BF"/>
      <w:spacing w:val="5"/>
    </w:rPr>
  </w:style>
  <w:style w:type="paragraph" w:styleId="Header">
    <w:name w:val="header"/>
    <w:basedOn w:val="Normal"/>
    <w:link w:val="HeaderChar"/>
    <w:uiPriority w:val="99"/>
    <w:unhideWhenUsed/>
    <w:rsid w:val="00FF79F0"/>
    <w:pPr>
      <w:tabs>
        <w:tab w:val="center" w:pos="4535"/>
        <w:tab w:val="right" w:pos="9071"/>
      </w:tabs>
      <w:spacing w:before="0"/>
    </w:pPr>
  </w:style>
  <w:style w:type="character" w:customStyle="1" w:styleId="HeaderChar">
    <w:name w:val="Header Char"/>
    <w:basedOn w:val="DefaultParagraphFont"/>
    <w:link w:val="Header"/>
    <w:uiPriority w:val="99"/>
    <w:rsid w:val="00FF79F0"/>
    <w:rPr>
      <w:rFonts w:ascii="Times New Roman" w:hAnsi="Times New Roman" w:cs="Times New Roman"/>
      <w:kern w:val="0"/>
      <w:sz w:val="24"/>
      <w:lang w:val="fr-FR"/>
      <w14:ligatures w14:val="none"/>
    </w:rPr>
  </w:style>
  <w:style w:type="paragraph" w:styleId="Footer">
    <w:name w:val="footer"/>
    <w:basedOn w:val="Normal"/>
    <w:link w:val="FooterChar"/>
    <w:uiPriority w:val="99"/>
    <w:unhideWhenUsed/>
    <w:rsid w:val="00FF79F0"/>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F79F0"/>
    <w:rPr>
      <w:rFonts w:ascii="Times New Roman" w:hAnsi="Times New Roman" w:cs="Times New Roman"/>
      <w:kern w:val="0"/>
      <w:sz w:val="24"/>
      <w:lang w:val="fr-FR"/>
      <w14:ligatures w14:val="none"/>
    </w:rPr>
  </w:style>
  <w:style w:type="paragraph" w:customStyle="1" w:styleId="Annexetitre">
    <w:name w:val="Annexe titre"/>
    <w:basedOn w:val="Normal"/>
    <w:next w:val="Normal"/>
    <w:rsid w:val="00FF79F0"/>
    <w:pPr>
      <w:jc w:val="center"/>
    </w:pPr>
    <w:rPr>
      <w:b/>
      <w:u w:val="single"/>
    </w:rPr>
  </w:style>
  <w:style w:type="character" w:customStyle="1" w:styleId="Marker">
    <w:name w:val="Marker"/>
    <w:basedOn w:val="DefaultParagraphFont"/>
    <w:rsid w:val="00FF79F0"/>
    <w:rPr>
      <w:color w:val="0000FF"/>
      <w:shd w:val="clear" w:color="auto" w:fill="auto"/>
    </w:rPr>
  </w:style>
  <w:style w:type="paragraph" w:customStyle="1" w:styleId="Pagedecouverture">
    <w:name w:val="Page de couverture"/>
    <w:basedOn w:val="Normal"/>
    <w:next w:val="Normal"/>
    <w:link w:val="PagedecouvertureChar"/>
    <w:rsid w:val="00FF79F0"/>
    <w:pPr>
      <w:spacing w:before="0" w:after="0"/>
    </w:pPr>
  </w:style>
  <w:style w:type="paragraph" w:customStyle="1" w:styleId="FooterCoverPage">
    <w:name w:val="Footer Cover Page"/>
    <w:basedOn w:val="Normal"/>
    <w:link w:val="FooterCoverPageChar"/>
    <w:rsid w:val="00FF79F0"/>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F79F0"/>
    <w:rPr>
      <w:rFonts w:ascii="Times New Roman" w:hAnsi="Times New Roman" w:cs="Times New Roman"/>
      <w:kern w:val="0"/>
      <w:sz w:val="24"/>
      <w:lang w:val="fr-FR"/>
      <w14:ligatures w14:val="none"/>
    </w:rPr>
  </w:style>
  <w:style w:type="character" w:customStyle="1" w:styleId="FooterCoverPageChar">
    <w:name w:val="Footer Cover Page Char"/>
    <w:basedOn w:val="PagedecouvertureChar"/>
    <w:link w:val="FooterCoverPage"/>
    <w:rsid w:val="00FF79F0"/>
    <w:rPr>
      <w:rFonts w:ascii="Times New Roman" w:hAnsi="Times New Roman" w:cs="Times New Roman"/>
      <w:kern w:val="0"/>
      <w:sz w:val="24"/>
      <w:lang w:val="fr-FR"/>
      <w14:ligatures w14:val="none"/>
    </w:rPr>
  </w:style>
  <w:style w:type="paragraph" w:customStyle="1" w:styleId="FooterSensitivity">
    <w:name w:val="Footer Sensitivity"/>
    <w:basedOn w:val="Normal"/>
    <w:link w:val="FooterSensitivityChar"/>
    <w:rsid w:val="00FF79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F79F0"/>
    <w:rPr>
      <w:rFonts w:ascii="Times New Roman" w:hAnsi="Times New Roman" w:cs="Times New Roman"/>
      <w:b/>
      <w:kern w:val="0"/>
      <w:sz w:val="32"/>
      <w:lang w:val="fr-FR"/>
      <w14:ligatures w14:val="none"/>
    </w:rPr>
  </w:style>
  <w:style w:type="paragraph" w:customStyle="1" w:styleId="HeaderCoverPage">
    <w:name w:val="Header Cover Page"/>
    <w:basedOn w:val="Normal"/>
    <w:link w:val="HeaderCoverPageChar"/>
    <w:rsid w:val="00FF79F0"/>
    <w:pPr>
      <w:tabs>
        <w:tab w:val="center" w:pos="4535"/>
        <w:tab w:val="right" w:pos="9071"/>
      </w:tabs>
      <w:spacing w:before="0"/>
    </w:pPr>
  </w:style>
  <w:style w:type="character" w:customStyle="1" w:styleId="HeaderCoverPageChar">
    <w:name w:val="Header Cover Page Char"/>
    <w:basedOn w:val="PagedecouvertureChar"/>
    <w:link w:val="HeaderCoverPage"/>
    <w:rsid w:val="00FF79F0"/>
    <w:rPr>
      <w:rFonts w:ascii="Times New Roman" w:hAnsi="Times New Roman" w:cs="Times New Roman"/>
      <w:kern w:val="0"/>
      <w:sz w:val="24"/>
      <w:lang w:val="fr-FR"/>
      <w14:ligatures w14:val="none"/>
    </w:rPr>
  </w:style>
  <w:style w:type="paragraph" w:customStyle="1" w:styleId="HeaderSensitivity">
    <w:name w:val="Header Sensitivity"/>
    <w:basedOn w:val="Normal"/>
    <w:link w:val="HeaderSensitivityChar"/>
    <w:rsid w:val="00FF79F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PagedecouvertureChar"/>
    <w:link w:val="HeaderSensitivity"/>
    <w:rsid w:val="00FF79F0"/>
    <w:rPr>
      <w:rFonts w:ascii="Times New Roman" w:hAnsi="Times New Roman" w:cs="Times New Roman"/>
      <w:b/>
      <w:kern w:val="0"/>
      <w:sz w:val="32"/>
      <w:lang w:val="fr-FR"/>
      <w14:ligatures w14:val="none"/>
    </w:rPr>
  </w:style>
  <w:style w:type="paragraph" w:customStyle="1" w:styleId="HeaderSensitivityRight">
    <w:name w:val="Header Sensitivity Right"/>
    <w:basedOn w:val="Normal"/>
    <w:link w:val="HeaderSensitivityRightChar"/>
    <w:rsid w:val="00FF79F0"/>
    <w:pPr>
      <w:spacing w:before="0"/>
      <w:jc w:val="right"/>
    </w:pPr>
    <w:rPr>
      <w:sz w:val="28"/>
    </w:rPr>
  </w:style>
  <w:style w:type="character" w:customStyle="1" w:styleId="HeaderSensitivityRightChar">
    <w:name w:val="Header Sensitivity Right Char"/>
    <w:basedOn w:val="PagedecouvertureChar"/>
    <w:link w:val="HeaderSensitivityRight"/>
    <w:rsid w:val="00FF79F0"/>
    <w:rPr>
      <w:rFonts w:ascii="Times New Roman" w:hAnsi="Times New Roman" w:cs="Times New Roman"/>
      <w:kern w:val="0"/>
      <w:sz w:val="28"/>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419</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2026-07-09T08:31:00Z</dcterms:created>
  <dcterms:modified xsi:type="dcterms:W3CDTF">2026-07-24T16:24:00Z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2026-07-09T08:33:46Z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7426b67d-78b5-46fa-aaca-75069a1a7dc8</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