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5DB" w:rsidRPr="008B00CD" w:rsidRDefault="00026EA1" w:rsidP="00026EA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FACBCC-9E03-419C-9BE4-430F24282CB1" style="width:455.25pt;height:385.5pt">
            <v:imagedata r:id="rId8" o:title=""/>
          </v:shape>
        </w:pict>
      </w:r>
    </w:p>
    <w:p w:rsidR="009F45DB" w:rsidRPr="008B00CD" w:rsidRDefault="009F45DB" w:rsidP="00DE4D95">
      <w:pPr>
        <w:rPr>
          <w:noProof/>
        </w:rPr>
        <w:sectPr w:rsidR="009F45DB" w:rsidRPr="008B00CD" w:rsidSect="00026EA1">
          <w:footerReference w:type="even" r:id="rId9"/>
          <w:footerReference w:type="default" r:id="rId10"/>
          <w:pgSz w:w="11907" w:h="16839"/>
          <w:pgMar w:top="1134" w:right="1417" w:bottom="1134" w:left="1417" w:header="709" w:footer="709" w:gutter="0"/>
          <w:pgNumType w:start="0"/>
          <w:cols w:space="720"/>
          <w:docGrid w:linePitch="360"/>
        </w:sectPr>
      </w:pPr>
    </w:p>
    <w:p w:rsidR="006F06A4" w:rsidRPr="008B00CD" w:rsidRDefault="006F06A4" w:rsidP="00BB6B30">
      <w:pPr>
        <w:pStyle w:val="Exposdesmotifstitre"/>
        <w:rPr>
          <w:noProof/>
        </w:rPr>
      </w:pPr>
      <w:bookmarkStart w:id="0" w:name="_GoBack"/>
      <w:bookmarkEnd w:id="0"/>
      <w:r w:rsidRPr="008B00CD">
        <w:rPr>
          <w:noProof/>
        </w:rPr>
        <w:lastRenderedPageBreak/>
        <w:t>EXPUNERE DE MOTIVE</w:t>
      </w:r>
    </w:p>
    <w:p w:rsidR="006F06A4" w:rsidRPr="008B00CD" w:rsidRDefault="006F06A4" w:rsidP="00244EA3">
      <w:pPr>
        <w:pStyle w:val="ManualHeading1"/>
        <w:rPr>
          <w:rFonts w:eastAsia="Arial Unicode MS"/>
          <w:noProof/>
        </w:rPr>
      </w:pPr>
      <w:r>
        <w:rPr>
          <w:noProof/>
        </w:rPr>
        <w:t>1.</w:t>
      </w:r>
      <w:r>
        <w:rPr>
          <w:noProof/>
        </w:rPr>
        <w:tab/>
      </w:r>
      <w:r w:rsidRPr="008B00CD">
        <w:rPr>
          <w:noProof/>
        </w:rPr>
        <w:t>Obiectul propunerii</w:t>
      </w:r>
    </w:p>
    <w:p w:rsidR="006F06A4" w:rsidRPr="008B00CD" w:rsidRDefault="006F06A4" w:rsidP="00736AA9">
      <w:pPr>
        <w:rPr>
          <w:rFonts w:eastAsia="Arial Unicode MS"/>
          <w:noProof/>
        </w:rPr>
      </w:pPr>
      <w:r w:rsidRPr="008B00CD">
        <w:rPr>
          <w:noProof/>
        </w:rPr>
        <w:t>Prezenta propunere se referă la decizia de stabilire a poziției care urmează să fie luată în numele Uniunii în cadrul Comitetului mixt înființat prin Acordul privind retragerea Regatului Unit al Marii Britanii și Irlandei de Nord din Uniunea Europeană și din Comunitatea Europeană a Energiei Atomice</w:t>
      </w:r>
      <w:r w:rsidRPr="008B00CD">
        <w:rPr>
          <w:rStyle w:val="FootnoteReference"/>
          <w:rFonts w:eastAsia="Arial Unicode MS"/>
          <w:noProof/>
        </w:rPr>
        <w:footnoteReference w:id="1"/>
      </w:r>
      <w:r w:rsidRPr="008B00CD">
        <w:rPr>
          <w:noProof/>
        </w:rPr>
        <w:t xml:space="preserve"> („Acordul de retragere”) în ceea ce privește o declarație comună a Uniunii și a Regatului Unit în cadrul Comitetului mixt referitoare la aplicarea articolului 5 din Cadrul Windsor</w:t>
      </w:r>
      <w:r w:rsidRPr="008B00CD">
        <w:rPr>
          <w:rStyle w:val="FootnoteReference"/>
          <w:rFonts w:eastAsia="Arial Unicode MS"/>
          <w:noProof/>
        </w:rPr>
        <w:footnoteReference w:id="2"/>
      </w:r>
      <w:r w:rsidRPr="008B00CD">
        <w:rPr>
          <w:noProof/>
        </w:rPr>
        <w:t>, care face parte integrantă din Acordul de retragere.</w:t>
      </w:r>
    </w:p>
    <w:p w:rsidR="006F06A4" w:rsidRPr="008B00CD" w:rsidRDefault="006F06A4" w:rsidP="00244EA3">
      <w:pPr>
        <w:pStyle w:val="ManualHeading1"/>
        <w:rPr>
          <w:noProof/>
        </w:rPr>
      </w:pPr>
      <w:r>
        <w:rPr>
          <w:noProof/>
        </w:rPr>
        <w:t>2.</w:t>
      </w:r>
      <w:r>
        <w:rPr>
          <w:noProof/>
        </w:rPr>
        <w:tab/>
      </w:r>
      <w:r w:rsidRPr="008B00CD">
        <w:rPr>
          <w:noProof/>
        </w:rPr>
        <w:t>Contextul propunerii</w:t>
      </w:r>
    </w:p>
    <w:p w:rsidR="006F06A4" w:rsidRPr="008B00CD" w:rsidRDefault="006F06A4" w:rsidP="00244EA3">
      <w:pPr>
        <w:pStyle w:val="ManualHeading2"/>
        <w:rPr>
          <w:noProof/>
        </w:rPr>
      </w:pPr>
      <w:r>
        <w:rPr>
          <w:noProof/>
        </w:rPr>
        <w:t>2.1.</w:t>
      </w:r>
      <w:r>
        <w:rPr>
          <w:noProof/>
        </w:rPr>
        <w:tab/>
      </w:r>
      <w:r w:rsidRPr="008B00CD">
        <w:rPr>
          <w:noProof/>
        </w:rPr>
        <w:t>Acordul privind retragerea Regatului Unit al Marii Britanii și Irlandei de Nord din Uniunea Europeană și din Comunitatea Europeană a Energiei Atomice și Cadrul Windsor</w:t>
      </w:r>
    </w:p>
    <w:p w:rsidR="00BD274F" w:rsidRPr="008B00CD" w:rsidRDefault="006F06A4" w:rsidP="00BD274F">
      <w:pPr>
        <w:rPr>
          <w:noProof/>
        </w:rPr>
      </w:pPr>
      <w:r w:rsidRPr="008B00CD">
        <w:rPr>
          <w:noProof/>
        </w:rPr>
        <w:t xml:space="preserve">Acordul de retragere prevede condițiile pentru retragerea ordonată a Regatului Unit din Uniune și din Euratom. Acordul de retragere a intrat în vigoare la 1 februarie 2020. La 27 februarie 2023, Comisia Europeană și guvernul Regatului Unit au ajuns la un acord politic de principiu cu privire la Cadrul Windsor. </w:t>
      </w:r>
      <w:bookmarkStart w:id="1" w:name="_Hlk134460027"/>
      <w:r w:rsidRPr="008B00CD">
        <w:rPr>
          <w:noProof/>
        </w:rPr>
        <w:t>La 24 martie 2023, Comitetul mixt instituit prin Acordul de retragere a adoptat noile dispoziții referitoare la Cadrul Windsor. Cele două părți au convenit să pună în aplicare pe deplin, în timp util și cu fidelitate Cadrul Windsor</w:t>
      </w:r>
      <w:bookmarkEnd w:id="1"/>
      <w:r w:rsidRPr="008B00CD">
        <w:rPr>
          <w:noProof/>
        </w:rPr>
        <w:t xml:space="preserve">. </w:t>
      </w:r>
    </w:p>
    <w:p w:rsidR="006F06A4" w:rsidRPr="008B00CD" w:rsidRDefault="006F06A4" w:rsidP="00244EA3">
      <w:pPr>
        <w:pStyle w:val="ManualHeading2"/>
        <w:rPr>
          <w:noProof/>
        </w:rPr>
      </w:pPr>
      <w:r>
        <w:rPr>
          <w:noProof/>
        </w:rPr>
        <w:t>2.2.</w:t>
      </w:r>
      <w:r>
        <w:rPr>
          <w:noProof/>
        </w:rPr>
        <w:tab/>
      </w:r>
      <w:r w:rsidRPr="008B00CD">
        <w:rPr>
          <w:noProof/>
        </w:rPr>
        <w:t>Comitetul mixt</w:t>
      </w:r>
    </w:p>
    <w:p w:rsidR="00FA094C" w:rsidRPr="008B00CD" w:rsidRDefault="00FA094C" w:rsidP="00FA094C">
      <w:pPr>
        <w:rPr>
          <w:rFonts w:eastAsia="Arial Unicode MS"/>
          <w:noProof/>
        </w:rPr>
      </w:pPr>
      <w:r w:rsidRPr="008B00CD">
        <w:rPr>
          <w:noProof/>
        </w:rPr>
        <w:t>În componența Comitetului mixt instituit în temeiul articolului 164 alineatul (1) din Acordul de retragere intră reprezentanți ai Uniunii și ai Regatului Unit. El este coprezidat de Uniune și de Regatul Unit. Anexa VIII la Acordul de retragere stabilește regulamentul de procedură al Comitetului mixt. Comitetul mixt se reunește cel puțin o dată pe an sau la cererea Uniunii ori a Regatului Unit și își stabilește calendarul și ordinea de zi a reuniunilor prin consens. În conformitate cu articolul 166 alineatul (3) din Acordul de retragere, Comitetul mixt își adoptă deciziile de comun acord.</w:t>
      </w:r>
    </w:p>
    <w:p w:rsidR="00FA094C" w:rsidRPr="008B00CD" w:rsidRDefault="00FA094C" w:rsidP="00FA094C">
      <w:pPr>
        <w:rPr>
          <w:rFonts w:eastAsia="Arial Unicode MS"/>
          <w:noProof/>
        </w:rPr>
      </w:pPr>
      <w:r w:rsidRPr="008B00CD">
        <w:rPr>
          <w:noProof/>
        </w:rPr>
        <w:t>Sarcinile Comitetului mixt sunt prevăzute la articolul 164 din Acordul de retragere și constau în principal în:</w:t>
      </w:r>
    </w:p>
    <w:p w:rsidR="00FA094C" w:rsidRPr="008B00CD" w:rsidRDefault="00FA094C" w:rsidP="00BA172B">
      <w:pPr>
        <w:pStyle w:val="Bullet0"/>
        <w:numPr>
          <w:ilvl w:val="0"/>
          <w:numId w:val="7"/>
        </w:numPr>
        <w:rPr>
          <w:noProof/>
        </w:rPr>
      </w:pPr>
      <w:r w:rsidRPr="008B00CD">
        <w:rPr>
          <w:noProof/>
        </w:rPr>
        <w:t>supravegherea punerii în aplicare și a executării acordului în mod direct sau prin intermediul lucrărilor comitetelor specializate care transmit rapoarte Comitetului mixt;</w:t>
      </w:r>
    </w:p>
    <w:p w:rsidR="00FA094C" w:rsidRPr="008B00CD" w:rsidRDefault="00FA094C" w:rsidP="00244EA3">
      <w:pPr>
        <w:pStyle w:val="Bullet0"/>
        <w:rPr>
          <w:noProof/>
        </w:rPr>
      </w:pPr>
      <w:r w:rsidRPr="008B00CD">
        <w:rPr>
          <w:noProof/>
        </w:rPr>
        <w:t>adoptarea de decizii și recomandări, inclusiv de modificări care să fie aduse acordului, în cazurile prevăzute în acesta;</w:t>
      </w:r>
    </w:p>
    <w:p w:rsidR="00FA094C" w:rsidRPr="008B00CD" w:rsidRDefault="00FA094C" w:rsidP="00244EA3">
      <w:pPr>
        <w:pStyle w:val="Bullet0"/>
        <w:rPr>
          <w:noProof/>
        </w:rPr>
      </w:pPr>
      <w:r w:rsidRPr="008B00CD">
        <w:rPr>
          <w:noProof/>
        </w:rPr>
        <w:t>prevenirea problemelor și soluționarea litigiilor care pot apărea cu privire la interpretarea și executarea acordului.</w:t>
      </w:r>
    </w:p>
    <w:p w:rsidR="006F06A4" w:rsidRPr="008B00CD" w:rsidRDefault="006F06A4" w:rsidP="00244EA3">
      <w:pPr>
        <w:pStyle w:val="ManualHeading2"/>
        <w:rPr>
          <w:noProof/>
        </w:rPr>
      </w:pPr>
      <w:r>
        <w:rPr>
          <w:noProof/>
        </w:rPr>
        <w:t>2.3.</w:t>
      </w:r>
      <w:r>
        <w:rPr>
          <w:noProof/>
        </w:rPr>
        <w:tab/>
      </w:r>
      <w:r w:rsidRPr="008B00CD">
        <w:rPr>
          <w:noProof/>
        </w:rPr>
        <w:t xml:space="preserve">Actul avut în vedere de Comitetul mixt </w:t>
      </w:r>
    </w:p>
    <w:p w:rsidR="00EE691D" w:rsidRPr="008B00CD" w:rsidRDefault="00210EBA" w:rsidP="00EE691D">
      <w:pPr>
        <w:rPr>
          <w:noProof/>
        </w:rPr>
      </w:pPr>
      <w:r w:rsidRPr="008B00CD">
        <w:rPr>
          <w:noProof/>
        </w:rPr>
        <w:t>Pe parcursul următoarei sale reuniuni, Uniunea și Regatul Unit urmează să facă o declarație comună referitoare la aplicarea articolului 5 din Cadrul Windsor („actul avut în vedere”).</w:t>
      </w:r>
    </w:p>
    <w:p w:rsidR="006F06A4" w:rsidRPr="008B00CD" w:rsidRDefault="006A05E5" w:rsidP="00313717">
      <w:pPr>
        <w:rPr>
          <w:noProof/>
        </w:rPr>
      </w:pPr>
      <w:r w:rsidRPr="008B00CD">
        <w:rPr>
          <w:noProof/>
        </w:rPr>
        <w:lastRenderedPageBreak/>
        <w:t>Scopul actului avut în vedere este să clarifice faptul că dispozițiile articolului 5 din Cadrul Windsor care sunt legate de plata, colectarea și remiterea taxelor vamale pentru mărfurile care sunt aduse prin transport direct în Irlanda de Nord din altă parte a Regatului Unit sau dintr-un teritoriu altul decât Uniunea sau o altă parte a Regatului Unit și care, respectiv, riscă sau nu riscă să fie transportate ulterior în Uniune, se aplică, de asemenea, unei taxe de procesare stabilite de dreptul Uniunii pentru a acoperi costurile serviciilor furnizate pentru tratarea unei cereri de punere în liberă circulație a mărfurilor comercializate în cadrul unei vânzări la distanță.</w:t>
      </w:r>
    </w:p>
    <w:p w:rsidR="006F06A4" w:rsidRPr="008B00CD" w:rsidRDefault="006F06A4" w:rsidP="00244EA3">
      <w:pPr>
        <w:pStyle w:val="ManualHeading1"/>
        <w:rPr>
          <w:rFonts w:eastAsia="Arial Unicode MS"/>
          <w:noProof/>
        </w:rPr>
      </w:pPr>
      <w:r>
        <w:rPr>
          <w:noProof/>
        </w:rPr>
        <w:t>3.</w:t>
      </w:r>
      <w:r>
        <w:rPr>
          <w:noProof/>
        </w:rPr>
        <w:tab/>
      </w:r>
      <w:r w:rsidRPr="008B00CD">
        <w:rPr>
          <w:noProof/>
        </w:rPr>
        <w:t>Poziția care urmează să fie adoptată în numele Uniunii</w:t>
      </w:r>
    </w:p>
    <w:p w:rsidR="00C60C07" w:rsidRPr="008B00CD" w:rsidRDefault="00C60C07" w:rsidP="000D0CD4">
      <w:pPr>
        <w:tabs>
          <w:tab w:val="left" w:pos="851"/>
        </w:tabs>
        <w:ind w:left="851" w:hanging="851"/>
        <w:rPr>
          <w:b/>
          <w:bCs/>
          <w:noProof/>
        </w:rPr>
      </w:pPr>
      <w:r w:rsidRPr="008B00CD">
        <w:rPr>
          <w:b/>
          <w:noProof/>
        </w:rPr>
        <w:t xml:space="preserve">3.1. </w:t>
      </w:r>
      <w:r w:rsidRPr="008B00CD">
        <w:rPr>
          <w:noProof/>
        </w:rPr>
        <w:tab/>
      </w:r>
      <w:r w:rsidRPr="008B00CD">
        <w:rPr>
          <w:b/>
          <w:noProof/>
        </w:rPr>
        <w:t xml:space="preserve">Articolul 5 din Cadrul Windsor </w:t>
      </w:r>
    </w:p>
    <w:p w:rsidR="00F83348" w:rsidRPr="008B00CD" w:rsidRDefault="00F83348" w:rsidP="00F83348">
      <w:pPr>
        <w:rPr>
          <w:noProof/>
        </w:rPr>
      </w:pPr>
      <w:r w:rsidRPr="008B00CD">
        <w:rPr>
          <w:noProof/>
        </w:rPr>
        <w:t>Articolul 5 alineatul (1) din Cadrul Windsor prevede că nu se plătesc taxe vamale pentru o marfă care este adusă prin transport direct în Irlanda de Nord din altă parte a Regatului Unit și care nu este expusă riscului de a fi transportată ulterior în Uniune, fie ca atare, fie înglobată în altă marfă în urma prelucrării. Acesta prevede, de asemenea, că taxele vamale pentru o marfă care este adusă prin transport direct în Irlanda de Nord din alt teritoriu decât din Uniune sau din altă parte a Regatului Unit și care nu este expusă riscului de a fi transportată ulterior în Uniune, fie ca atare, fie înglobată în altă marfă în urma prelucrării, sunt taxele aplicabile în Regatul Unit.</w:t>
      </w:r>
    </w:p>
    <w:p w:rsidR="00F83348" w:rsidRPr="008B00CD" w:rsidRDefault="00F83348" w:rsidP="00F83348">
      <w:pPr>
        <w:rPr>
          <w:noProof/>
        </w:rPr>
      </w:pPr>
      <w:r w:rsidRPr="008B00CD">
        <w:rPr>
          <w:noProof/>
        </w:rPr>
        <w:t>Scopul acestei dispoziții este de a garanta că nicio marfă care este adusă prin transport direct în Irlanda de Nord și care nu este expusă riscului de a fi transportată ulterior în Uniune, fie ca atare, fie înglobată în altă marfă în urma prelucrării, nu ar trebui să facă obiectul taxelor financiare prevăzute de dreptul vamal al Uniunii care sunt direct legate de punerea în liberă circulație a unei astfel de mărfi în Irlanda de Nord.</w:t>
      </w:r>
    </w:p>
    <w:p w:rsidR="00D6680C" w:rsidRPr="008B00CD" w:rsidRDefault="00D6680C" w:rsidP="00F83348">
      <w:pPr>
        <w:rPr>
          <w:noProof/>
        </w:rPr>
      </w:pPr>
      <w:r w:rsidRPr="008B00CD">
        <w:rPr>
          <w:noProof/>
        </w:rPr>
        <w:t>În acest context, este necesar să se clarifice, printr-o declarație comună care urmează să fie emisă de Uniune și de Regatul Unit în cadrul Comitetului mixt, că articolul 5 alineatul (1) din Cadrul Windsor ar trebui înțeles ca aplicându-se și unei taxe de procesare stabilite de dreptul Uniunii pentru a acoperi costurile serviciilor furnizate pentru tratarea unei cereri de punere în liberă circulație a mărfurilor comercializate într-o vânzare la distanță, în special prin verificarea datelor furnizate, realizarea de analize de risc și efectuarea de controale documentare și fizice atunci când este necesar.</w:t>
      </w:r>
    </w:p>
    <w:p w:rsidR="00E91939" w:rsidRPr="008B00CD" w:rsidRDefault="00D34EFE" w:rsidP="00F83348">
      <w:pPr>
        <w:rPr>
          <w:noProof/>
        </w:rPr>
      </w:pPr>
      <w:r w:rsidRPr="008B00CD">
        <w:rPr>
          <w:noProof/>
        </w:rPr>
        <w:t xml:space="preserve">În plus, articolul 5 alineatul (6) din Cadrul Windsor prevede că, în cazul în care taxele vamale sunt percepute de Regatul Unit în conformitate cu legislația vamală relevantă a Uniunii, aceste taxe nu sunt transferate Uniunii. Această dispoziție urmărește astfel obiectivul de a garanta că veniturile din orice taxe financiare prevăzute de dreptul vamal al Uniunii care sunt direct legate de punerea în liberă circulație a mărfurilor în Irlanda de Nord rămân în Regatul Unit. În acest context, declarația comună avută în vedere clarifică faptul că articolul 5 alineatul (6) din Cadrul Windsor ar trebui înțeles ca aplicându-se în întregime și încasărilor dintr-o taxă de procesare de natura celei menționate la alineatul anterior. </w:t>
      </w:r>
    </w:p>
    <w:p w:rsidR="00250368" w:rsidRPr="008B00CD" w:rsidRDefault="00250368" w:rsidP="00F06CFF">
      <w:pPr>
        <w:pStyle w:val="ManualHeading1"/>
        <w:rPr>
          <w:noProof/>
        </w:rPr>
      </w:pPr>
      <w:r>
        <w:rPr>
          <w:noProof/>
        </w:rPr>
        <w:t>4.</w:t>
      </w:r>
      <w:r>
        <w:rPr>
          <w:noProof/>
        </w:rPr>
        <w:tab/>
      </w:r>
      <w:r w:rsidRPr="008B00CD">
        <w:rPr>
          <w:noProof/>
        </w:rPr>
        <w:t>Temei juridic</w:t>
      </w:r>
    </w:p>
    <w:p w:rsidR="006F06A4" w:rsidRPr="008B00CD" w:rsidRDefault="006F06A4" w:rsidP="00250368">
      <w:pPr>
        <w:pStyle w:val="ManualHeading2"/>
        <w:rPr>
          <w:noProof/>
        </w:rPr>
      </w:pPr>
      <w:r>
        <w:rPr>
          <w:noProof/>
        </w:rPr>
        <w:t>4.1.</w:t>
      </w:r>
      <w:r>
        <w:rPr>
          <w:noProof/>
        </w:rPr>
        <w:tab/>
      </w:r>
      <w:r w:rsidRPr="008B00CD">
        <w:rPr>
          <w:noProof/>
        </w:rPr>
        <w:t>Temeiul juridic procedural</w:t>
      </w:r>
    </w:p>
    <w:p w:rsidR="006F06A4" w:rsidRPr="008B00CD" w:rsidRDefault="006F06A4" w:rsidP="00736AA9">
      <w:pPr>
        <w:rPr>
          <w:noProof/>
        </w:rPr>
      </w:pPr>
      <w:r w:rsidRPr="008B00CD">
        <w:rPr>
          <w:noProof/>
        </w:rPr>
        <w:t>Comitetul mixt este un organism instituit printr-un acord, și anume Acordul de retragere.</w:t>
      </w:r>
    </w:p>
    <w:p w:rsidR="006F06A4" w:rsidRPr="008B00CD" w:rsidRDefault="001C5804" w:rsidP="00736AA9">
      <w:pPr>
        <w:rPr>
          <w:noProof/>
        </w:rPr>
      </w:pPr>
      <w:r w:rsidRPr="008B00CD">
        <w:rPr>
          <w:noProof/>
        </w:rPr>
        <w:t xml:space="preserve">Actul avut în vedere reprezintă un act cu efecte juridice în sensul articolului 218 alineatul (9) din TFUE. </w:t>
      </w:r>
    </w:p>
    <w:p w:rsidR="006F06A4" w:rsidRPr="008B00CD" w:rsidRDefault="006F06A4" w:rsidP="00736AA9">
      <w:pPr>
        <w:rPr>
          <w:noProof/>
        </w:rPr>
      </w:pPr>
      <w:r w:rsidRPr="008B00CD">
        <w:rPr>
          <w:noProof/>
        </w:rPr>
        <w:lastRenderedPageBreak/>
        <w:t>Actul avut în vedere nu aduce completări sau modificări cadrului instituțional al Acordului de retragere.</w:t>
      </w:r>
    </w:p>
    <w:p w:rsidR="006F06A4" w:rsidRPr="008B00CD" w:rsidRDefault="006F06A4" w:rsidP="00736AA9">
      <w:pPr>
        <w:rPr>
          <w:noProof/>
        </w:rPr>
      </w:pPr>
      <w:r w:rsidRPr="008B00CD">
        <w:rPr>
          <w:noProof/>
        </w:rPr>
        <w:t>Prin urmare, temeiul juridic procedural al deciziei propuse este articolul 218 alineatul (9) din TFUE.</w:t>
      </w:r>
    </w:p>
    <w:p w:rsidR="006F06A4" w:rsidRPr="008B00CD" w:rsidRDefault="006F06A4" w:rsidP="00244EA3">
      <w:pPr>
        <w:pStyle w:val="ManualHeading2"/>
        <w:rPr>
          <w:noProof/>
        </w:rPr>
      </w:pPr>
      <w:r>
        <w:rPr>
          <w:noProof/>
        </w:rPr>
        <w:t>4.2.</w:t>
      </w:r>
      <w:r>
        <w:rPr>
          <w:noProof/>
        </w:rPr>
        <w:tab/>
      </w:r>
      <w:r w:rsidRPr="008B00CD">
        <w:rPr>
          <w:noProof/>
        </w:rPr>
        <w:t>Temeiul juridic material</w:t>
      </w:r>
    </w:p>
    <w:p w:rsidR="00DE05BB" w:rsidRPr="008B00CD" w:rsidRDefault="00DE05BB" w:rsidP="00DE05BB">
      <w:pPr>
        <w:rPr>
          <w:iCs/>
          <w:noProof/>
        </w:rPr>
      </w:pPr>
      <w:r w:rsidRPr="008B00CD">
        <w:rPr>
          <w:noProof/>
        </w:rPr>
        <w:t>Obiectivul principal și conținutul actului avut în vedere se referă la clarificarea interpretării comune de către Uniune și Regatul Unit în ceea ce privește aplicarea articolului 5 din Cadrul Windsor, care face parte integrantă din Acordul de retragere.</w:t>
      </w:r>
    </w:p>
    <w:p w:rsidR="00DE05BB" w:rsidRPr="008B00CD" w:rsidRDefault="00DE05BB" w:rsidP="00DE05BB">
      <w:pPr>
        <w:rPr>
          <w:iCs/>
          <w:noProof/>
        </w:rPr>
      </w:pPr>
      <w:r w:rsidRPr="008B00CD">
        <w:rPr>
          <w:noProof/>
        </w:rPr>
        <w:t>Încheierea Acordului de retragere s-a întemeiat pe articolul 50 alineatul (2) din TUE.</w:t>
      </w:r>
    </w:p>
    <w:p w:rsidR="00DE05BB" w:rsidRPr="008B00CD" w:rsidRDefault="00DE05BB" w:rsidP="00DE05BB">
      <w:pPr>
        <w:rPr>
          <w:iCs/>
          <w:noProof/>
        </w:rPr>
      </w:pPr>
      <w:r w:rsidRPr="008B00CD">
        <w:rPr>
          <w:noProof/>
        </w:rPr>
        <w:t>Prin urmare, temeiul juridic material al deciziei propuse este articolul 50 alineatul (2) din TUE.</w:t>
      </w:r>
    </w:p>
    <w:p w:rsidR="006F06A4" w:rsidRPr="008B00CD" w:rsidRDefault="006F06A4" w:rsidP="00244EA3">
      <w:pPr>
        <w:pStyle w:val="ManualHeading2"/>
        <w:rPr>
          <w:noProof/>
        </w:rPr>
      </w:pPr>
      <w:r>
        <w:rPr>
          <w:noProof/>
        </w:rPr>
        <w:t>4.3.</w:t>
      </w:r>
      <w:r>
        <w:rPr>
          <w:noProof/>
        </w:rPr>
        <w:tab/>
      </w:r>
      <w:r w:rsidRPr="008B00CD">
        <w:rPr>
          <w:noProof/>
        </w:rPr>
        <w:t>Concluzie</w:t>
      </w:r>
    </w:p>
    <w:p w:rsidR="006F06A4" w:rsidRPr="008B00CD" w:rsidRDefault="006F06A4" w:rsidP="00736AA9">
      <w:pPr>
        <w:rPr>
          <w:noProof/>
        </w:rPr>
      </w:pPr>
      <w:r w:rsidRPr="008B00CD">
        <w:rPr>
          <w:noProof/>
        </w:rPr>
        <w:t>Temeiul juridic al deciziei propuse ar trebui să fie articolul 50 alineatul (2) din TUE coroborat cu articolul 218 alineatul (9) din TFUE.</w:t>
      </w:r>
    </w:p>
    <w:p w:rsidR="006F06A4" w:rsidRPr="008B00CD" w:rsidRDefault="006F06A4" w:rsidP="00244EA3">
      <w:pPr>
        <w:pStyle w:val="ManualHeading1"/>
        <w:rPr>
          <w:noProof/>
        </w:rPr>
      </w:pPr>
      <w:r>
        <w:rPr>
          <w:noProof/>
        </w:rPr>
        <w:t>5.</w:t>
      </w:r>
      <w:r>
        <w:rPr>
          <w:noProof/>
        </w:rPr>
        <w:tab/>
      </w:r>
      <w:r w:rsidRPr="008B00CD">
        <w:rPr>
          <w:noProof/>
        </w:rPr>
        <w:t>Publicarea actului avut în vedere</w:t>
      </w:r>
    </w:p>
    <w:p w:rsidR="006F06A4" w:rsidRPr="008B00CD" w:rsidRDefault="001C5804" w:rsidP="001C5804">
      <w:pPr>
        <w:rPr>
          <w:noProof/>
        </w:rPr>
      </w:pPr>
      <w:r w:rsidRPr="008B00CD">
        <w:rPr>
          <w:noProof/>
        </w:rPr>
        <w:t xml:space="preserve">Din motive de securitate juridică și transparență, este oportun să se publice declarația comună a Uniunii și a Regatului Unit în </w:t>
      </w:r>
      <w:r w:rsidRPr="008B00CD">
        <w:rPr>
          <w:i/>
          <w:noProof/>
        </w:rPr>
        <w:t>Jurnalul Oficial al Uniunii Europene</w:t>
      </w:r>
      <w:r w:rsidRPr="008B00CD">
        <w:rPr>
          <w:noProof/>
        </w:rPr>
        <w:t xml:space="preserve"> după ce aceasta va fi fost făcută în cadrul Comitetului mixt.</w:t>
      </w:r>
    </w:p>
    <w:p w:rsidR="006F06A4" w:rsidRPr="008B00CD" w:rsidRDefault="006F06A4" w:rsidP="00FD40BA">
      <w:pPr>
        <w:rPr>
          <w:noProof/>
        </w:rPr>
        <w:sectPr w:rsidR="006F06A4" w:rsidRPr="008B00CD" w:rsidSect="00026EA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94A28" w:rsidRDefault="003B23D9">
      <w:pPr>
        <w:pStyle w:val="Rfrenceinterinstitutionnelle"/>
        <w:rPr>
          <w:noProof/>
        </w:rPr>
      </w:pPr>
      <w:r>
        <w:rPr>
          <w:noProof/>
        </w:rPr>
        <w:lastRenderedPageBreak/>
        <w:t>2026/0224 (NLE)</w:t>
      </w:r>
    </w:p>
    <w:p w:rsidR="006F06A4" w:rsidRPr="008B00CD" w:rsidRDefault="008B00CD" w:rsidP="008B00CD">
      <w:pPr>
        <w:pStyle w:val="Statut"/>
        <w:rPr>
          <w:noProof/>
        </w:rPr>
      </w:pPr>
      <w:r w:rsidRPr="008B00CD">
        <w:rPr>
          <w:noProof/>
        </w:rPr>
        <w:t>Propunere de</w:t>
      </w:r>
    </w:p>
    <w:p w:rsidR="006F06A4" w:rsidRPr="008B00CD" w:rsidRDefault="008B00CD" w:rsidP="008B00CD">
      <w:pPr>
        <w:pStyle w:val="Typedudocument"/>
        <w:rPr>
          <w:noProof/>
        </w:rPr>
      </w:pPr>
      <w:r w:rsidRPr="008B00CD">
        <w:rPr>
          <w:noProof/>
        </w:rPr>
        <w:t>DECIZIE A CONSILIULUI</w:t>
      </w:r>
    </w:p>
    <w:p w:rsidR="006F06A4" w:rsidRPr="008B00CD" w:rsidRDefault="008B00CD" w:rsidP="008B00CD">
      <w:pPr>
        <w:pStyle w:val="Titreobjet"/>
        <w:rPr>
          <w:noProof/>
        </w:rPr>
      </w:pPr>
      <w:r w:rsidRPr="008B00CD">
        <w:rPr>
          <w:noProof/>
        </w:rPr>
        <w:t>de stabilire a poziției care urmează să fie luată în numele Uniunii Europene în cadrul Comitetului mixt înființat prin Acordul privind retragerea Regatului Unit al Marii Britanii și Irlandei de Nord din Uniunea Europeană și din Comunitatea Europeană a Energiei Atomice în ceea ce privește o declarație comună referitoare la aplicarea articolului 5 din Cadrul Windsor</w:t>
      </w:r>
    </w:p>
    <w:p w:rsidR="006F06A4" w:rsidRPr="008B00CD" w:rsidRDefault="006F06A4" w:rsidP="00BE7CB9">
      <w:pPr>
        <w:pStyle w:val="Institutionquiagit"/>
        <w:rPr>
          <w:noProof/>
        </w:rPr>
      </w:pPr>
      <w:r w:rsidRPr="008B00CD">
        <w:rPr>
          <w:noProof/>
        </w:rPr>
        <w:t>CONSILIUL UNIUNII EUROPENE,</w:t>
      </w:r>
    </w:p>
    <w:p w:rsidR="006F06A4" w:rsidRPr="008B00CD" w:rsidRDefault="006F06A4" w:rsidP="00E76BEE">
      <w:pPr>
        <w:rPr>
          <w:noProof/>
        </w:rPr>
      </w:pPr>
      <w:r w:rsidRPr="008B00CD">
        <w:rPr>
          <w:noProof/>
        </w:rPr>
        <w:t>având în vedere Tratatul privind Uniunea Europeană, în special articolul 50 alineatul (2) coroborat cu articolul 218 alineatul (9) din Tratatul privind funcționarea Uniunii Europene,</w:t>
      </w:r>
    </w:p>
    <w:p w:rsidR="006F06A4" w:rsidRPr="008B00CD" w:rsidRDefault="006F06A4" w:rsidP="00BE7CB9">
      <w:pPr>
        <w:rPr>
          <w:noProof/>
        </w:rPr>
      </w:pPr>
      <w:r w:rsidRPr="008B00CD">
        <w:rPr>
          <w:noProof/>
        </w:rPr>
        <w:t>având în vedere propunerea Comisiei Europene,</w:t>
      </w:r>
    </w:p>
    <w:p w:rsidR="006F06A4" w:rsidRPr="008B00CD" w:rsidRDefault="006F06A4" w:rsidP="00BE7CB9">
      <w:pPr>
        <w:rPr>
          <w:noProof/>
        </w:rPr>
      </w:pPr>
      <w:r w:rsidRPr="008B00CD">
        <w:rPr>
          <w:noProof/>
        </w:rPr>
        <w:t>întrucât:</w:t>
      </w:r>
    </w:p>
    <w:p w:rsidR="006F06A4" w:rsidRPr="008B00CD" w:rsidRDefault="00884CF2" w:rsidP="00244EA3">
      <w:pPr>
        <w:pStyle w:val="ManualConsidrant"/>
        <w:rPr>
          <w:noProof/>
        </w:rPr>
      </w:pPr>
      <w:r>
        <w:rPr>
          <w:noProof/>
        </w:rPr>
        <w:t>(1)</w:t>
      </w:r>
      <w:r>
        <w:rPr>
          <w:noProof/>
        </w:rPr>
        <w:tab/>
      </w:r>
      <w:r w:rsidRPr="008B00CD">
        <w:rPr>
          <w:noProof/>
        </w:rPr>
        <w:t>Acordul privind retragerea Regatului Unit al Marii Britanii și Irlandei de Nord din Uniunea Europeană și din Comunitatea Europeană a Energiei Atomice</w:t>
      </w:r>
      <w:r w:rsidRPr="008B00CD">
        <w:rPr>
          <w:rStyle w:val="FootnoteReference"/>
          <w:noProof/>
        </w:rPr>
        <w:footnoteReference w:id="3"/>
      </w:r>
      <w:r w:rsidRPr="008B00CD">
        <w:rPr>
          <w:noProof/>
        </w:rPr>
        <w:t xml:space="preserve"> (denumit în continuare „Acordul de retragere”) a fost încheiat de către Uniune prin Decizia (UE) 2020/135 a Consiliului</w:t>
      </w:r>
      <w:r w:rsidRPr="008B00CD">
        <w:rPr>
          <w:rStyle w:val="FootnoteReference"/>
          <w:noProof/>
        </w:rPr>
        <w:footnoteReference w:id="4"/>
      </w:r>
      <w:r w:rsidRPr="008B00CD">
        <w:rPr>
          <w:noProof/>
        </w:rPr>
        <w:t>.</w:t>
      </w:r>
    </w:p>
    <w:p w:rsidR="006F06A4" w:rsidRPr="008B00CD" w:rsidRDefault="0044582A" w:rsidP="00244EA3">
      <w:pPr>
        <w:pStyle w:val="ManualConsidrant"/>
        <w:rPr>
          <w:noProof/>
        </w:rPr>
      </w:pPr>
      <w:r>
        <w:rPr>
          <w:noProof/>
        </w:rPr>
        <w:t>(2)</w:t>
      </w:r>
      <w:r>
        <w:rPr>
          <w:noProof/>
        </w:rPr>
        <w:tab/>
      </w:r>
      <w:r w:rsidRPr="008B00CD">
        <w:rPr>
          <w:noProof/>
        </w:rPr>
        <w:t>În conformitate cu articolul 182 din Acordul de retragere, Cadrul Windsor</w:t>
      </w:r>
      <w:r w:rsidRPr="008B00CD">
        <w:rPr>
          <w:rStyle w:val="FootnoteReference"/>
          <w:noProof/>
        </w:rPr>
        <w:footnoteReference w:id="5"/>
      </w:r>
      <w:r w:rsidRPr="008B00CD">
        <w:rPr>
          <w:noProof/>
        </w:rPr>
        <w:t xml:space="preserve"> constituie parte integrantă din acordul menționat. </w:t>
      </w:r>
    </w:p>
    <w:p w:rsidR="00E471C4" w:rsidRPr="008B00CD" w:rsidRDefault="00E471C4" w:rsidP="00E471C4">
      <w:pPr>
        <w:pStyle w:val="ManualConsidrant"/>
        <w:rPr>
          <w:noProof/>
        </w:rPr>
      </w:pPr>
      <w:r>
        <w:rPr>
          <w:noProof/>
        </w:rPr>
        <w:t>(3)</w:t>
      </w:r>
      <w:r>
        <w:rPr>
          <w:noProof/>
        </w:rPr>
        <w:tab/>
      </w:r>
      <w:r w:rsidRPr="008B00CD">
        <w:rPr>
          <w:noProof/>
        </w:rPr>
        <w:t xml:space="preserve">În cadrul următoarei reuniuni a Comitetului mixt, Uniunea și Regatul Unit urmează să facă o declarație comună referitoare la aplicarea articolului 5 din Cadrul Windsor. </w:t>
      </w:r>
    </w:p>
    <w:p w:rsidR="00A763E0" w:rsidRPr="008B00CD" w:rsidRDefault="00A763E0" w:rsidP="00E471C4">
      <w:pPr>
        <w:pStyle w:val="ManualConsidrant"/>
        <w:rPr>
          <w:noProof/>
        </w:rPr>
      </w:pPr>
      <w:r>
        <w:rPr>
          <w:noProof/>
        </w:rPr>
        <w:t>(4)</w:t>
      </w:r>
      <w:r>
        <w:rPr>
          <w:noProof/>
        </w:rPr>
        <w:tab/>
      </w:r>
      <w:r w:rsidRPr="008B00CD">
        <w:rPr>
          <w:noProof/>
        </w:rPr>
        <w:t>Scopul declarației comune este să clarifice faptul că dispozițiile articolului 5 din Cadrul Windsor care sunt legate de plata, colectarea și remiterea taxelor vamale pentru mărfurile care sunt aduse prin transport direct în Irlanda de Nord din altă parte a Regatului Unit sau dintr-un teritoriu altul decât Uniunea sau o altă parte a Regatului Unit și care, respectiv, riscă sau nu riscă să fie transportate ulterior în Uniune, se aplică, de asemenea, unei taxe de procesare stabilite de dreptul Uniunii pentru a acoperi costurile serviciilor furnizate pentru tratarea unei cereri de punere în liberă circulație a mărfurilor comercializate în cadrul unei vânzări la distanță.</w:t>
      </w:r>
    </w:p>
    <w:p w:rsidR="00616300" w:rsidRPr="008B00CD" w:rsidRDefault="00616300" w:rsidP="00244EA3">
      <w:pPr>
        <w:pStyle w:val="ManualConsidrant"/>
        <w:rPr>
          <w:noProof/>
        </w:rPr>
      </w:pPr>
      <w:r>
        <w:rPr>
          <w:noProof/>
        </w:rPr>
        <w:t>(5)</w:t>
      </w:r>
      <w:r>
        <w:rPr>
          <w:noProof/>
        </w:rPr>
        <w:tab/>
      </w:r>
      <w:r w:rsidRPr="008B00CD">
        <w:rPr>
          <w:noProof/>
        </w:rPr>
        <w:t>Declarația comună avută în vedere a Uniunii și a Regatului Unit va constitui, în cazul în care va fi făcută în cadrul Comitetului mixt, un act cu efecte juridice, în sensul articolului 218 alineatul (9) din TFUE.</w:t>
      </w:r>
      <w:r w:rsidR="00534AF5">
        <w:rPr>
          <w:noProof/>
        </w:rPr>
        <w:t xml:space="preserve"> </w:t>
      </w:r>
    </w:p>
    <w:p w:rsidR="006F06A4" w:rsidRPr="008B00CD" w:rsidRDefault="006F06A4" w:rsidP="00244EA3">
      <w:pPr>
        <w:pStyle w:val="ManualConsidrant"/>
        <w:rPr>
          <w:noProof/>
        </w:rPr>
      </w:pPr>
      <w:r>
        <w:rPr>
          <w:noProof/>
        </w:rPr>
        <w:lastRenderedPageBreak/>
        <w:t>(6)</w:t>
      </w:r>
      <w:r>
        <w:rPr>
          <w:noProof/>
        </w:rPr>
        <w:tab/>
      </w:r>
      <w:r w:rsidRPr="008B00CD">
        <w:rPr>
          <w:noProof/>
        </w:rPr>
        <w:t>Prin urmare, este necesar să se stabilească poziția care urmează să fie adoptată în cadrul Comitetului mixt în ceea ce privește declarația comună a Uniunii și a Regatului Unit în cadrul Comitetului mixt referitoare la aplicarea articolului 5 din Cadrul Windsor,</w:t>
      </w:r>
    </w:p>
    <w:p w:rsidR="005406C4" w:rsidRPr="008B00CD" w:rsidRDefault="005406C4" w:rsidP="009A3D7B">
      <w:pPr>
        <w:rPr>
          <w:noProof/>
        </w:rPr>
      </w:pPr>
    </w:p>
    <w:p w:rsidR="006F06A4" w:rsidRPr="008B00CD" w:rsidRDefault="006F06A4" w:rsidP="00BE7CB9">
      <w:pPr>
        <w:pStyle w:val="Formuledadoption"/>
        <w:rPr>
          <w:noProof/>
        </w:rPr>
      </w:pPr>
      <w:r w:rsidRPr="008B00CD">
        <w:rPr>
          <w:noProof/>
        </w:rPr>
        <w:t>ADOPTĂ PREZENTA DECIZIE:</w:t>
      </w:r>
    </w:p>
    <w:p w:rsidR="006F06A4" w:rsidRPr="008B00CD" w:rsidRDefault="006F06A4" w:rsidP="00BE7CB9">
      <w:pPr>
        <w:pStyle w:val="Titrearticle"/>
        <w:rPr>
          <w:noProof/>
        </w:rPr>
      </w:pPr>
      <w:r w:rsidRPr="008B00CD">
        <w:rPr>
          <w:noProof/>
        </w:rPr>
        <w:t>Articolul 1</w:t>
      </w:r>
    </w:p>
    <w:p w:rsidR="0085166A" w:rsidRPr="008B00CD" w:rsidRDefault="0085166A" w:rsidP="0085166A">
      <w:pPr>
        <w:rPr>
          <w:iCs/>
          <w:noProof/>
        </w:rPr>
      </w:pPr>
      <w:r w:rsidRPr="008B00CD">
        <w:rPr>
          <w:noProof/>
        </w:rPr>
        <w:t xml:space="preserve">Poziția care urmează să fie luată în numele Uniunii în cadrul Comitetului mixt înființat în temeiul articolului 164 alineatul (1) din Acordul privind retragerea Regatului Unit al Marii Britanii și Irlandei de Nord din Uniunea Europeană și din Comunitatea Europeană a Energiei Atomice („Comitetul mixt”) se bazează pe proiectul de declarație comună a Uniunii și a Regatului Unit atașat la prezenta decizie. </w:t>
      </w:r>
    </w:p>
    <w:p w:rsidR="007675D2" w:rsidRPr="008B00CD" w:rsidRDefault="007675D2" w:rsidP="0085166A">
      <w:pPr>
        <w:rPr>
          <w:iCs/>
          <w:noProof/>
        </w:rPr>
      </w:pPr>
    </w:p>
    <w:p w:rsidR="007675D2" w:rsidRPr="008B00CD" w:rsidRDefault="007675D2" w:rsidP="00DE4D95">
      <w:pPr>
        <w:jc w:val="center"/>
        <w:rPr>
          <w:i/>
          <w:noProof/>
        </w:rPr>
      </w:pPr>
      <w:r w:rsidRPr="008B00CD">
        <w:rPr>
          <w:i/>
          <w:noProof/>
        </w:rPr>
        <w:t>Articolul 2</w:t>
      </w:r>
    </w:p>
    <w:p w:rsidR="007675D2" w:rsidRPr="008B00CD" w:rsidRDefault="007675D2" w:rsidP="0085166A">
      <w:pPr>
        <w:rPr>
          <w:iCs/>
          <w:noProof/>
        </w:rPr>
      </w:pPr>
      <w:r w:rsidRPr="008B00CD">
        <w:rPr>
          <w:noProof/>
        </w:rPr>
        <w:t>Se poate conveni asupra unor modificări tehnice minore ale poziției prevăzute în proiectul de declarație comună a Uniunii și a Regatului Unit atașat la prezenta decizie, fără a fi necesară o nouă decizie a Consiliului.</w:t>
      </w:r>
    </w:p>
    <w:p w:rsidR="006F06A4" w:rsidRPr="008B00CD" w:rsidRDefault="006F06A4" w:rsidP="00865B8F">
      <w:pPr>
        <w:pStyle w:val="Titrearticle"/>
        <w:rPr>
          <w:noProof/>
        </w:rPr>
      </w:pPr>
      <w:r w:rsidRPr="008B00CD">
        <w:rPr>
          <w:noProof/>
        </w:rPr>
        <w:t>Articolul 3</w:t>
      </w:r>
    </w:p>
    <w:p w:rsidR="006F06A4" w:rsidRPr="008B00CD" w:rsidRDefault="006F06A4" w:rsidP="00BE7CB9">
      <w:pPr>
        <w:rPr>
          <w:noProof/>
        </w:rPr>
      </w:pPr>
      <w:r w:rsidRPr="008B00CD">
        <w:rPr>
          <w:noProof/>
        </w:rPr>
        <w:t>Prezenta decizie intră în vigoare la data adoptării.</w:t>
      </w:r>
    </w:p>
    <w:p w:rsidR="006F06A4" w:rsidRPr="008B00CD" w:rsidRDefault="008B00CD" w:rsidP="00865B8F">
      <w:pPr>
        <w:pStyle w:val="Fait"/>
        <w:rPr>
          <w:noProof/>
        </w:rPr>
      </w:pPr>
      <w:r>
        <w:rPr>
          <w:noProof/>
        </w:rPr>
        <w:t>Adoptată la Bruxelles,</w:t>
      </w:r>
    </w:p>
    <w:p w:rsidR="006F06A4" w:rsidRPr="008B00CD" w:rsidRDefault="006F06A4" w:rsidP="00865B8F">
      <w:pPr>
        <w:pStyle w:val="Institutionquisigne"/>
        <w:rPr>
          <w:noProof/>
        </w:rPr>
      </w:pPr>
      <w:r w:rsidRPr="008B00CD">
        <w:rPr>
          <w:noProof/>
        </w:rPr>
        <w:tab/>
        <w:t>Pentru Consiliu,</w:t>
      </w:r>
    </w:p>
    <w:p w:rsidR="006F06A4" w:rsidRPr="008B00CD" w:rsidRDefault="006F06A4" w:rsidP="006F06A4">
      <w:pPr>
        <w:pStyle w:val="Personnequisigne"/>
        <w:rPr>
          <w:noProof/>
        </w:rPr>
      </w:pPr>
      <w:r w:rsidRPr="008B00CD">
        <w:rPr>
          <w:noProof/>
        </w:rPr>
        <w:tab/>
        <w:t>Președintele</w:t>
      </w:r>
    </w:p>
    <w:sectPr w:rsidR="006F06A4" w:rsidRPr="008B00CD" w:rsidSect="00026EA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433" w:rsidRDefault="00B60433" w:rsidP="006F06A4">
      <w:pPr>
        <w:spacing w:before="0" w:after="0"/>
      </w:pPr>
      <w:r>
        <w:separator/>
      </w:r>
    </w:p>
  </w:endnote>
  <w:endnote w:type="continuationSeparator" w:id="0">
    <w:p w:rsidR="00B60433" w:rsidRDefault="00B60433" w:rsidP="006F06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Pr="00026EA1" w:rsidRDefault="00026EA1" w:rsidP="00026EA1">
    <w:pPr>
      <w:pStyle w:val="Footer"/>
      <w:rPr>
        <w:rFonts w:ascii="Arial" w:hAnsi="Arial" w:cs="Arial"/>
        <w:b/>
        <w:sz w:val="48"/>
      </w:rPr>
    </w:pPr>
    <w:r w:rsidRPr="00026EA1">
      <w:rPr>
        <w:rFonts w:ascii="Arial" w:hAnsi="Arial" w:cs="Arial"/>
        <w:b/>
        <w:sz w:val="48"/>
      </w:rPr>
      <w:t>RO</w:t>
    </w:r>
    <w:r w:rsidRPr="00026EA1">
      <w:rPr>
        <w:rFonts w:ascii="Arial" w:hAnsi="Arial" w:cs="Arial"/>
        <w:b/>
        <w:sz w:val="48"/>
      </w:rPr>
      <w:tab/>
    </w:r>
    <w:r w:rsidRPr="00026EA1">
      <w:rPr>
        <w:rFonts w:ascii="Arial" w:hAnsi="Arial" w:cs="Arial"/>
        <w:b/>
        <w:sz w:val="48"/>
      </w:rPr>
      <w:tab/>
    </w:r>
    <w:r w:rsidRPr="00026EA1">
      <w:tab/>
    </w:r>
    <w:r w:rsidRPr="00026EA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Pr="00026EA1" w:rsidRDefault="00026EA1" w:rsidP="00026EA1">
    <w:pPr>
      <w:pStyle w:val="Footer"/>
      <w:rPr>
        <w:rFonts w:ascii="Arial" w:hAnsi="Arial" w:cs="Arial"/>
        <w:b/>
        <w:sz w:val="48"/>
      </w:rPr>
    </w:pPr>
    <w:r w:rsidRPr="00026EA1">
      <w:rPr>
        <w:rFonts w:ascii="Arial" w:hAnsi="Arial" w:cs="Arial"/>
        <w:b/>
        <w:sz w:val="48"/>
      </w:rPr>
      <w:t>RO</w:t>
    </w:r>
    <w:r w:rsidRPr="00026EA1">
      <w:rPr>
        <w:rFonts w:ascii="Arial" w:hAnsi="Arial" w:cs="Arial"/>
        <w:b/>
        <w:sz w:val="48"/>
      </w:rPr>
      <w:tab/>
    </w:r>
    <w:r w:rsidRPr="00026EA1">
      <w:rPr>
        <w:rFonts w:ascii="Arial" w:hAnsi="Arial" w:cs="Arial"/>
        <w:b/>
        <w:sz w:val="48"/>
      </w:rPr>
      <w:tab/>
    </w:r>
    <w:r w:rsidRPr="00026EA1">
      <w:tab/>
    </w:r>
    <w:r w:rsidRPr="00026EA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Default="00026E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Pr="00026EA1" w:rsidRDefault="00026EA1" w:rsidP="00026EA1">
    <w:pPr>
      <w:pStyle w:val="Footer"/>
      <w:rPr>
        <w:rFonts w:ascii="Arial" w:hAnsi="Arial" w:cs="Arial"/>
        <w:b/>
        <w:sz w:val="48"/>
      </w:rPr>
    </w:pPr>
    <w:r w:rsidRPr="00026EA1">
      <w:rPr>
        <w:rFonts w:ascii="Arial" w:hAnsi="Arial" w:cs="Arial"/>
        <w:b/>
        <w:sz w:val="48"/>
      </w:rPr>
      <w:t>RO</w:t>
    </w:r>
    <w:r w:rsidRPr="00026EA1">
      <w:rPr>
        <w:rFonts w:ascii="Arial" w:hAnsi="Arial" w:cs="Arial"/>
        <w:b/>
        <w:sz w:val="48"/>
      </w:rPr>
      <w:tab/>
    </w:r>
    <w:r>
      <w:fldChar w:fldCharType="begin"/>
    </w:r>
    <w:r>
      <w:instrText xml:space="preserve"> PAGE  \* MERGEFORMAT </w:instrText>
    </w:r>
    <w:r>
      <w:fldChar w:fldCharType="separate"/>
    </w:r>
    <w:r w:rsidR="00865B8F">
      <w:rPr>
        <w:noProof/>
      </w:rPr>
      <w:t>5</w:t>
    </w:r>
    <w:r>
      <w:fldChar w:fldCharType="end"/>
    </w:r>
    <w:r>
      <w:tab/>
    </w:r>
    <w:r w:rsidRPr="00026EA1">
      <w:tab/>
    </w:r>
    <w:r w:rsidRPr="00026EA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Default="00026EA1" w:rsidP="00026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433" w:rsidRDefault="00B60433" w:rsidP="006F06A4">
      <w:pPr>
        <w:spacing w:before="0" w:after="0"/>
      </w:pPr>
      <w:r>
        <w:separator/>
      </w:r>
    </w:p>
  </w:footnote>
  <w:footnote w:type="continuationSeparator" w:id="0">
    <w:p w:rsidR="00B60433" w:rsidRDefault="00B60433" w:rsidP="006F06A4">
      <w:pPr>
        <w:spacing w:before="0" w:after="0"/>
      </w:pPr>
      <w:r>
        <w:continuationSeparator/>
      </w:r>
    </w:p>
  </w:footnote>
  <w:footnote w:id="1">
    <w:p w:rsidR="00836F3C" w:rsidRPr="008B00CD" w:rsidRDefault="00836F3C">
      <w:pPr>
        <w:pStyle w:val="FootnoteText"/>
        <w:rPr>
          <w:lang w:val="es-ES"/>
        </w:rPr>
      </w:pPr>
      <w:r>
        <w:rPr>
          <w:rStyle w:val="FootnoteReference"/>
        </w:rPr>
        <w:footnoteRef/>
      </w:r>
      <w:r w:rsidRPr="008B00CD">
        <w:rPr>
          <w:lang w:val="es-ES"/>
        </w:rPr>
        <w:tab/>
        <w:t>JO L 29, 31.1.2020, p. 7, ELI: </w:t>
      </w:r>
      <w:hyperlink r:id="rId1" w:tooltip="Oferă acces la acest document prin identificatorul său uniform de resurse ELI." w:history="1">
        <w:r w:rsidRPr="008B00CD">
          <w:rPr>
            <w:rStyle w:val="Hyperlink"/>
            <w:lang w:val="es-ES"/>
          </w:rPr>
          <w:t>http://data.europa.eu/eli/treaty/withd_2020/sign</w:t>
        </w:r>
      </w:hyperlink>
      <w:r w:rsidRPr="008B00CD">
        <w:rPr>
          <w:lang w:val="es-ES"/>
        </w:rPr>
        <w:t>.</w:t>
      </w:r>
    </w:p>
  </w:footnote>
  <w:footnote w:id="2">
    <w:p w:rsidR="000A5A07" w:rsidRPr="008B00CD" w:rsidRDefault="000A5A07" w:rsidP="002B1624">
      <w:pPr>
        <w:pStyle w:val="FootnoteText"/>
        <w:rPr>
          <w:lang w:val="es-ES"/>
        </w:rPr>
      </w:pPr>
      <w:r>
        <w:rPr>
          <w:rStyle w:val="FootnoteReference"/>
        </w:rPr>
        <w:footnoteRef/>
      </w:r>
      <w:r w:rsidRPr="008B00CD">
        <w:rPr>
          <w:lang w:val="es-ES"/>
        </w:rP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2" w:history="1">
        <w:r w:rsidRPr="008B00CD">
          <w:rPr>
            <w:rStyle w:val="Hyperlink"/>
            <w:lang w:val="es-ES"/>
          </w:rPr>
          <w:t>JO L 102, 17.4.2023, p. 87</w:t>
        </w:r>
      </w:hyperlink>
      <w:r w:rsidRPr="008B00CD">
        <w:rPr>
          <w:lang w:val="es-ES"/>
        </w:rPr>
        <w:t>).</w:t>
      </w:r>
    </w:p>
  </w:footnote>
  <w:footnote w:id="3">
    <w:p w:rsidR="009E151C" w:rsidRPr="008B00CD" w:rsidRDefault="009E151C">
      <w:pPr>
        <w:pStyle w:val="FootnoteText"/>
        <w:rPr>
          <w:lang w:val="es-ES"/>
        </w:rPr>
      </w:pPr>
      <w:r>
        <w:rPr>
          <w:rStyle w:val="FootnoteReference"/>
        </w:rPr>
        <w:footnoteRef/>
      </w:r>
      <w:r w:rsidRPr="008B00CD">
        <w:rPr>
          <w:lang w:val="es-ES"/>
        </w:rPr>
        <w:tab/>
        <w:t>JO L 29, 31.1.2020, p. 7, ELI: </w:t>
      </w:r>
      <w:hyperlink r:id="rId3" w:history="1">
        <w:r w:rsidRPr="008B00CD">
          <w:rPr>
            <w:rStyle w:val="Hyperlink"/>
            <w:lang w:val="es-ES"/>
          </w:rPr>
          <w:t>http://data.europa.eu/eli/treaty/withd_2020/sign</w:t>
        </w:r>
      </w:hyperlink>
      <w:r w:rsidRPr="008B00CD">
        <w:rPr>
          <w:lang w:val="es-ES"/>
        </w:rPr>
        <w:t>.</w:t>
      </w:r>
    </w:p>
  </w:footnote>
  <w:footnote w:id="4">
    <w:p w:rsidR="006F06A4" w:rsidRPr="008B00CD" w:rsidRDefault="006F06A4" w:rsidP="00BE7CB9">
      <w:pPr>
        <w:pStyle w:val="FootnoteText"/>
        <w:rPr>
          <w:lang w:val="es-ES"/>
        </w:rPr>
      </w:pPr>
      <w:r>
        <w:rPr>
          <w:rStyle w:val="FootnoteReference"/>
        </w:rPr>
        <w:footnoteRef/>
      </w:r>
      <w:r w:rsidR="00534AF5">
        <w:rPr>
          <w:lang w:val="es-ES"/>
        </w:rPr>
        <w:tab/>
      </w:r>
      <w:r w:rsidRPr="008B00CD">
        <w:rPr>
          <w:lang w:val="es-ES"/>
        </w:rPr>
        <w:t>Decizia (UE) 2020/135 a Consiliului din 30 ianuarie 2020 referitoare la încheierea Acordului privind retragerea Regatului Unit al Marii Britanii și Irlandei de Nord din Uniunea Europeană și din Comunitatea Europeană a Energiei Atomice (JO L 29, 31.1.2020, p. 1, ELI: </w:t>
      </w:r>
      <w:hyperlink r:id="rId4" w:tooltip="Oferă acces la acest document prin identificatorul său uniform de resurse ELI." w:history="1">
        <w:r w:rsidRPr="008B00CD">
          <w:rPr>
            <w:rStyle w:val="Hyperlink"/>
            <w:lang w:val="es-ES"/>
          </w:rPr>
          <w:t>http://data.europa.eu/eli/dec/2020/135/oj</w:t>
        </w:r>
      </w:hyperlink>
      <w:r w:rsidRPr="008B00CD">
        <w:rPr>
          <w:lang w:val="es-ES"/>
        </w:rPr>
        <w:t xml:space="preserve">). </w:t>
      </w:r>
    </w:p>
  </w:footnote>
  <w:footnote w:id="5">
    <w:p w:rsidR="00DE5336" w:rsidRPr="008B00CD" w:rsidRDefault="00DE5336" w:rsidP="002B1624">
      <w:pPr>
        <w:pStyle w:val="FootnoteText"/>
        <w:rPr>
          <w:lang w:val="es-ES"/>
        </w:rPr>
      </w:pPr>
      <w:r>
        <w:rPr>
          <w:rStyle w:val="FootnoteReference"/>
        </w:rPr>
        <w:footnoteRef/>
      </w:r>
      <w:r w:rsidRPr="008B00CD">
        <w:rPr>
          <w:lang w:val="es-ES"/>
        </w:rP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5" w:history="1">
        <w:r w:rsidRPr="008B00CD">
          <w:rPr>
            <w:rStyle w:val="Hyperlink"/>
            <w:lang w:val="es-ES"/>
          </w:rPr>
          <w:t>JO L 102, 17.4.2023, p. 87</w:t>
        </w:r>
      </w:hyperlink>
      <w:r w:rsidRPr="008B00C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Default="00026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EA1" w:rsidRDefault="00026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26: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EFACBCC-9E03-419C-9BE4-430F24282CB1"/>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4"/>
    <w:docVar w:name="LW_REF.II.NEW.CP_YEAR" w:val="2026"/>
    <w:docVar w:name="LW_REF.INST.NEW" w:val="COM"/>
    <w:docVar w:name="LW_REF.INST.NEW_ADOPTED" w:val="final"/>
    <w:docVar w:name="LW_REF.INST.NEW_TEXT" w:val="(2026) 4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o declara\u539?ie comun\u259? referitoare la aplicarea articolului 5 din Cadrul Windsor"/>
    <w:docVar w:name="LW_TYPE.DOC.CP" w:val="DECIZIE A CONSILIULUI"/>
    <w:docVar w:name="LwApiVersions" w:val="LW4CoDe 1.24.5.0; LW 9.2, Build 20251112"/>
  </w:docVars>
  <w:rsids>
    <w:rsidRoot w:val="006F06A4"/>
    <w:rsid w:val="00010B5A"/>
    <w:rsid w:val="00012258"/>
    <w:rsid w:val="000162AF"/>
    <w:rsid w:val="000235AD"/>
    <w:rsid w:val="00026C2E"/>
    <w:rsid w:val="00026EA1"/>
    <w:rsid w:val="00030390"/>
    <w:rsid w:val="0004046B"/>
    <w:rsid w:val="000415F4"/>
    <w:rsid w:val="000418C3"/>
    <w:rsid w:val="000451D8"/>
    <w:rsid w:val="00047903"/>
    <w:rsid w:val="000544ED"/>
    <w:rsid w:val="00066552"/>
    <w:rsid w:val="00070A10"/>
    <w:rsid w:val="00070C76"/>
    <w:rsid w:val="000712DF"/>
    <w:rsid w:val="00083C5E"/>
    <w:rsid w:val="000A59B2"/>
    <w:rsid w:val="000A5A07"/>
    <w:rsid w:val="000D0CD4"/>
    <w:rsid w:val="000D2926"/>
    <w:rsid w:val="000D7807"/>
    <w:rsid w:val="000E0567"/>
    <w:rsid w:val="000E0938"/>
    <w:rsid w:val="000E31CD"/>
    <w:rsid w:val="000F0084"/>
    <w:rsid w:val="001065F5"/>
    <w:rsid w:val="0011276A"/>
    <w:rsid w:val="00112CCC"/>
    <w:rsid w:val="00113646"/>
    <w:rsid w:val="001238EF"/>
    <w:rsid w:val="00137CCC"/>
    <w:rsid w:val="0014412B"/>
    <w:rsid w:val="001452A4"/>
    <w:rsid w:val="00157300"/>
    <w:rsid w:val="00183C38"/>
    <w:rsid w:val="00184CD1"/>
    <w:rsid w:val="001854A3"/>
    <w:rsid w:val="00186494"/>
    <w:rsid w:val="00197613"/>
    <w:rsid w:val="001A0B21"/>
    <w:rsid w:val="001A0CB4"/>
    <w:rsid w:val="001A6D2A"/>
    <w:rsid w:val="001C062F"/>
    <w:rsid w:val="001C3A23"/>
    <w:rsid w:val="001C5804"/>
    <w:rsid w:val="001D1C98"/>
    <w:rsid w:val="001D358B"/>
    <w:rsid w:val="001E0B65"/>
    <w:rsid w:val="001E4B45"/>
    <w:rsid w:val="001F22AE"/>
    <w:rsid w:val="00204F1B"/>
    <w:rsid w:val="00210EBA"/>
    <w:rsid w:val="00224E5F"/>
    <w:rsid w:val="00226A7D"/>
    <w:rsid w:val="00232473"/>
    <w:rsid w:val="00233DC7"/>
    <w:rsid w:val="00237B00"/>
    <w:rsid w:val="0024018F"/>
    <w:rsid w:val="00243501"/>
    <w:rsid w:val="00244C82"/>
    <w:rsid w:val="00244EA3"/>
    <w:rsid w:val="00247779"/>
    <w:rsid w:val="00250368"/>
    <w:rsid w:val="002520C1"/>
    <w:rsid w:val="0025745A"/>
    <w:rsid w:val="0026016F"/>
    <w:rsid w:val="002754AD"/>
    <w:rsid w:val="00280D66"/>
    <w:rsid w:val="00282A19"/>
    <w:rsid w:val="00283420"/>
    <w:rsid w:val="00285BEE"/>
    <w:rsid w:val="002910B3"/>
    <w:rsid w:val="00293AAF"/>
    <w:rsid w:val="0029533F"/>
    <w:rsid w:val="002956AB"/>
    <w:rsid w:val="002A4AF2"/>
    <w:rsid w:val="002B1624"/>
    <w:rsid w:val="002B30AF"/>
    <w:rsid w:val="002B34DB"/>
    <w:rsid w:val="002C0980"/>
    <w:rsid w:val="002C4104"/>
    <w:rsid w:val="002C4610"/>
    <w:rsid w:val="002D65B1"/>
    <w:rsid w:val="002E0446"/>
    <w:rsid w:val="002E3B7B"/>
    <w:rsid w:val="002E40DD"/>
    <w:rsid w:val="002F1B72"/>
    <w:rsid w:val="002F2155"/>
    <w:rsid w:val="003033CC"/>
    <w:rsid w:val="00304D00"/>
    <w:rsid w:val="00311F3C"/>
    <w:rsid w:val="00313717"/>
    <w:rsid w:val="00313FAA"/>
    <w:rsid w:val="00320279"/>
    <w:rsid w:val="003331A3"/>
    <w:rsid w:val="0033344A"/>
    <w:rsid w:val="00333701"/>
    <w:rsid w:val="00334B49"/>
    <w:rsid w:val="00335F77"/>
    <w:rsid w:val="00357B33"/>
    <w:rsid w:val="003634A1"/>
    <w:rsid w:val="00364288"/>
    <w:rsid w:val="003672D7"/>
    <w:rsid w:val="00372A07"/>
    <w:rsid w:val="003739E7"/>
    <w:rsid w:val="003742A6"/>
    <w:rsid w:val="003836C7"/>
    <w:rsid w:val="0038457B"/>
    <w:rsid w:val="00386C75"/>
    <w:rsid w:val="003A31CD"/>
    <w:rsid w:val="003A4FC2"/>
    <w:rsid w:val="003B4844"/>
    <w:rsid w:val="003C7074"/>
    <w:rsid w:val="003D4F45"/>
    <w:rsid w:val="003D5D54"/>
    <w:rsid w:val="003E19A7"/>
    <w:rsid w:val="003E28AB"/>
    <w:rsid w:val="00411B6D"/>
    <w:rsid w:val="0041219D"/>
    <w:rsid w:val="00412E14"/>
    <w:rsid w:val="0042648E"/>
    <w:rsid w:val="0044582A"/>
    <w:rsid w:val="00451FBB"/>
    <w:rsid w:val="00462226"/>
    <w:rsid w:val="00467429"/>
    <w:rsid w:val="00472907"/>
    <w:rsid w:val="00484CA1"/>
    <w:rsid w:val="00492CCC"/>
    <w:rsid w:val="004936D2"/>
    <w:rsid w:val="00497860"/>
    <w:rsid w:val="004A06F8"/>
    <w:rsid w:val="004A0791"/>
    <w:rsid w:val="004A2C00"/>
    <w:rsid w:val="004B5679"/>
    <w:rsid w:val="004B69D0"/>
    <w:rsid w:val="004D0AF4"/>
    <w:rsid w:val="004D7906"/>
    <w:rsid w:val="004D7E6C"/>
    <w:rsid w:val="004E1E97"/>
    <w:rsid w:val="004E4B14"/>
    <w:rsid w:val="004F7FC0"/>
    <w:rsid w:val="00507DC2"/>
    <w:rsid w:val="0051063E"/>
    <w:rsid w:val="005151A0"/>
    <w:rsid w:val="0051591E"/>
    <w:rsid w:val="00517F1D"/>
    <w:rsid w:val="0052108B"/>
    <w:rsid w:val="00524277"/>
    <w:rsid w:val="00526DFB"/>
    <w:rsid w:val="00534AF5"/>
    <w:rsid w:val="005406C4"/>
    <w:rsid w:val="00543943"/>
    <w:rsid w:val="00550092"/>
    <w:rsid w:val="005500F3"/>
    <w:rsid w:val="0055397A"/>
    <w:rsid w:val="005604F2"/>
    <w:rsid w:val="00564F58"/>
    <w:rsid w:val="00575529"/>
    <w:rsid w:val="0057636C"/>
    <w:rsid w:val="00577AB0"/>
    <w:rsid w:val="00582CCB"/>
    <w:rsid w:val="00584D10"/>
    <w:rsid w:val="00586E8D"/>
    <w:rsid w:val="00593D7E"/>
    <w:rsid w:val="00594A28"/>
    <w:rsid w:val="00597AC8"/>
    <w:rsid w:val="005A0F98"/>
    <w:rsid w:val="005B1EB6"/>
    <w:rsid w:val="005B63EF"/>
    <w:rsid w:val="005C2CC8"/>
    <w:rsid w:val="005D5930"/>
    <w:rsid w:val="00601F1F"/>
    <w:rsid w:val="006030DB"/>
    <w:rsid w:val="00603367"/>
    <w:rsid w:val="00605C6A"/>
    <w:rsid w:val="00613A6E"/>
    <w:rsid w:val="00616300"/>
    <w:rsid w:val="006352DE"/>
    <w:rsid w:val="006403C8"/>
    <w:rsid w:val="0064450C"/>
    <w:rsid w:val="0065318F"/>
    <w:rsid w:val="006578B0"/>
    <w:rsid w:val="00657F5D"/>
    <w:rsid w:val="00667496"/>
    <w:rsid w:val="00675DDD"/>
    <w:rsid w:val="006A05E5"/>
    <w:rsid w:val="006A1615"/>
    <w:rsid w:val="006A43E6"/>
    <w:rsid w:val="006A61E7"/>
    <w:rsid w:val="006B2479"/>
    <w:rsid w:val="006C05EB"/>
    <w:rsid w:val="006C3BC3"/>
    <w:rsid w:val="006E3446"/>
    <w:rsid w:val="006F04CC"/>
    <w:rsid w:val="006F06A4"/>
    <w:rsid w:val="00704139"/>
    <w:rsid w:val="00706751"/>
    <w:rsid w:val="00706DA0"/>
    <w:rsid w:val="007127BF"/>
    <w:rsid w:val="007132FF"/>
    <w:rsid w:val="00720551"/>
    <w:rsid w:val="00722A8A"/>
    <w:rsid w:val="007234E2"/>
    <w:rsid w:val="00723EFC"/>
    <w:rsid w:val="007251CF"/>
    <w:rsid w:val="007315A4"/>
    <w:rsid w:val="00740C25"/>
    <w:rsid w:val="0074273B"/>
    <w:rsid w:val="00753BDD"/>
    <w:rsid w:val="00757BF1"/>
    <w:rsid w:val="007675D2"/>
    <w:rsid w:val="00773331"/>
    <w:rsid w:val="00781A0D"/>
    <w:rsid w:val="007904A1"/>
    <w:rsid w:val="007927DA"/>
    <w:rsid w:val="007932EF"/>
    <w:rsid w:val="007958E5"/>
    <w:rsid w:val="007A0A35"/>
    <w:rsid w:val="007A3268"/>
    <w:rsid w:val="007B19FA"/>
    <w:rsid w:val="007B5544"/>
    <w:rsid w:val="007C0D77"/>
    <w:rsid w:val="007C393A"/>
    <w:rsid w:val="007D483E"/>
    <w:rsid w:val="007E05B0"/>
    <w:rsid w:val="007E1055"/>
    <w:rsid w:val="007E73DE"/>
    <w:rsid w:val="007F5D75"/>
    <w:rsid w:val="00804320"/>
    <w:rsid w:val="00812B26"/>
    <w:rsid w:val="0081624A"/>
    <w:rsid w:val="00823EC8"/>
    <w:rsid w:val="00824219"/>
    <w:rsid w:val="00826868"/>
    <w:rsid w:val="0083559E"/>
    <w:rsid w:val="00836F3C"/>
    <w:rsid w:val="0084401D"/>
    <w:rsid w:val="00844966"/>
    <w:rsid w:val="0085166A"/>
    <w:rsid w:val="008619B7"/>
    <w:rsid w:val="00865B8F"/>
    <w:rsid w:val="00874D22"/>
    <w:rsid w:val="00884C81"/>
    <w:rsid w:val="00884CF2"/>
    <w:rsid w:val="00886301"/>
    <w:rsid w:val="008863CB"/>
    <w:rsid w:val="008863E1"/>
    <w:rsid w:val="00887CCD"/>
    <w:rsid w:val="0089425D"/>
    <w:rsid w:val="008965CD"/>
    <w:rsid w:val="008A2914"/>
    <w:rsid w:val="008B00CD"/>
    <w:rsid w:val="008B638E"/>
    <w:rsid w:val="008C4659"/>
    <w:rsid w:val="008C5AE1"/>
    <w:rsid w:val="008D3157"/>
    <w:rsid w:val="008D3262"/>
    <w:rsid w:val="008D7881"/>
    <w:rsid w:val="008D7E68"/>
    <w:rsid w:val="008E4D8E"/>
    <w:rsid w:val="008F1089"/>
    <w:rsid w:val="00901996"/>
    <w:rsid w:val="00904B9A"/>
    <w:rsid w:val="0090660C"/>
    <w:rsid w:val="009074DE"/>
    <w:rsid w:val="00921AE3"/>
    <w:rsid w:val="00925C1C"/>
    <w:rsid w:val="00927B46"/>
    <w:rsid w:val="00933AB7"/>
    <w:rsid w:val="0093477E"/>
    <w:rsid w:val="00942E71"/>
    <w:rsid w:val="009448DE"/>
    <w:rsid w:val="009664DA"/>
    <w:rsid w:val="009705C1"/>
    <w:rsid w:val="00976168"/>
    <w:rsid w:val="00981704"/>
    <w:rsid w:val="0099347F"/>
    <w:rsid w:val="0099492A"/>
    <w:rsid w:val="009A0CD2"/>
    <w:rsid w:val="009A3D7B"/>
    <w:rsid w:val="009A5AB1"/>
    <w:rsid w:val="009A7E13"/>
    <w:rsid w:val="009B24A6"/>
    <w:rsid w:val="009B66F5"/>
    <w:rsid w:val="009C6147"/>
    <w:rsid w:val="009D1C81"/>
    <w:rsid w:val="009D27EF"/>
    <w:rsid w:val="009D4A1A"/>
    <w:rsid w:val="009D6C15"/>
    <w:rsid w:val="009E151C"/>
    <w:rsid w:val="009E47FE"/>
    <w:rsid w:val="009E506A"/>
    <w:rsid w:val="009E6EA7"/>
    <w:rsid w:val="009E70F5"/>
    <w:rsid w:val="009F45DB"/>
    <w:rsid w:val="00A0350F"/>
    <w:rsid w:val="00A044B5"/>
    <w:rsid w:val="00A07DE0"/>
    <w:rsid w:val="00A07DF2"/>
    <w:rsid w:val="00A1576E"/>
    <w:rsid w:val="00A2368C"/>
    <w:rsid w:val="00A255FE"/>
    <w:rsid w:val="00A27464"/>
    <w:rsid w:val="00A32737"/>
    <w:rsid w:val="00A61444"/>
    <w:rsid w:val="00A622AC"/>
    <w:rsid w:val="00A64B14"/>
    <w:rsid w:val="00A66912"/>
    <w:rsid w:val="00A67316"/>
    <w:rsid w:val="00A72835"/>
    <w:rsid w:val="00A748F1"/>
    <w:rsid w:val="00A763E0"/>
    <w:rsid w:val="00A8083A"/>
    <w:rsid w:val="00A850E0"/>
    <w:rsid w:val="00A91699"/>
    <w:rsid w:val="00A97602"/>
    <w:rsid w:val="00AA0FC3"/>
    <w:rsid w:val="00AA539A"/>
    <w:rsid w:val="00AB759D"/>
    <w:rsid w:val="00AC119B"/>
    <w:rsid w:val="00AC1836"/>
    <w:rsid w:val="00AD0271"/>
    <w:rsid w:val="00AE379E"/>
    <w:rsid w:val="00AE4A76"/>
    <w:rsid w:val="00B0098E"/>
    <w:rsid w:val="00B11E75"/>
    <w:rsid w:val="00B124D1"/>
    <w:rsid w:val="00B20A41"/>
    <w:rsid w:val="00B3296E"/>
    <w:rsid w:val="00B35364"/>
    <w:rsid w:val="00B44536"/>
    <w:rsid w:val="00B559D7"/>
    <w:rsid w:val="00B55CEB"/>
    <w:rsid w:val="00B579CE"/>
    <w:rsid w:val="00B57CEE"/>
    <w:rsid w:val="00B60433"/>
    <w:rsid w:val="00B63BF8"/>
    <w:rsid w:val="00B8157D"/>
    <w:rsid w:val="00B82652"/>
    <w:rsid w:val="00B833D4"/>
    <w:rsid w:val="00B86680"/>
    <w:rsid w:val="00B91AB1"/>
    <w:rsid w:val="00BA172B"/>
    <w:rsid w:val="00BA574C"/>
    <w:rsid w:val="00BB360D"/>
    <w:rsid w:val="00BC2926"/>
    <w:rsid w:val="00BD060F"/>
    <w:rsid w:val="00BD274F"/>
    <w:rsid w:val="00BD45CA"/>
    <w:rsid w:val="00BD4F89"/>
    <w:rsid w:val="00BE1002"/>
    <w:rsid w:val="00BF395C"/>
    <w:rsid w:val="00C00A44"/>
    <w:rsid w:val="00C01F6E"/>
    <w:rsid w:val="00C0242B"/>
    <w:rsid w:val="00C12301"/>
    <w:rsid w:val="00C14FD4"/>
    <w:rsid w:val="00C17EA4"/>
    <w:rsid w:val="00C240EE"/>
    <w:rsid w:val="00C255E1"/>
    <w:rsid w:val="00C42258"/>
    <w:rsid w:val="00C519F3"/>
    <w:rsid w:val="00C60C07"/>
    <w:rsid w:val="00C6555A"/>
    <w:rsid w:val="00C762F3"/>
    <w:rsid w:val="00C86829"/>
    <w:rsid w:val="00C901F7"/>
    <w:rsid w:val="00C929D3"/>
    <w:rsid w:val="00CA4171"/>
    <w:rsid w:val="00CB76F2"/>
    <w:rsid w:val="00CC5AD0"/>
    <w:rsid w:val="00CD0101"/>
    <w:rsid w:val="00CD1A87"/>
    <w:rsid w:val="00CD1FA9"/>
    <w:rsid w:val="00CD4500"/>
    <w:rsid w:val="00CE1BB0"/>
    <w:rsid w:val="00CE2BD8"/>
    <w:rsid w:val="00CE2E96"/>
    <w:rsid w:val="00CE5895"/>
    <w:rsid w:val="00CF41B6"/>
    <w:rsid w:val="00D1325A"/>
    <w:rsid w:val="00D1537C"/>
    <w:rsid w:val="00D176F7"/>
    <w:rsid w:val="00D20381"/>
    <w:rsid w:val="00D24CC0"/>
    <w:rsid w:val="00D306F9"/>
    <w:rsid w:val="00D31BE3"/>
    <w:rsid w:val="00D34EFE"/>
    <w:rsid w:val="00D3759A"/>
    <w:rsid w:val="00D40B40"/>
    <w:rsid w:val="00D424DF"/>
    <w:rsid w:val="00D42809"/>
    <w:rsid w:val="00D43C82"/>
    <w:rsid w:val="00D46B0E"/>
    <w:rsid w:val="00D63110"/>
    <w:rsid w:val="00D6680C"/>
    <w:rsid w:val="00D7038B"/>
    <w:rsid w:val="00D72822"/>
    <w:rsid w:val="00D8635E"/>
    <w:rsid w:val="00D900B0"/>
    <w:rsid w:val="00D914B6"/>
    <w:rsid w:val="00D93B2E"/>
    <w:rsid w:val="00DA0707"/>
    <w:rsid w:val="00DA52FF"/>
    <w:rsid w:val="00DB02BA"/>
    <w:rsid w:val="00DB2655"/>
    <w:rsid w:val="00DB40A1"/>
    <w:rsid w:val="00DC0628"/>
    <w:rsid w:val="00DE05BB"/>
    <w:rsid w:val="00DE15E4"/>
    <w:rsid w:val="00DE4D95"/>
    <w:rsid w:val="00DE5336"/>
    <w:rsid w:val="00DF2154"/>
    <w:rsid w:val="00E03177"/>
    <w:rsid w:val="00E04FCF"/>
    <w:rsid w:val="00E055FC"/>
    <w:rsid w:val="00E07FF8"/>
    <w:rsid w:val="00E11319"/>
    <w:rsid w:val="00E13E59"/>
    <w:rsid w:val="00E168A0"/>
    <w:rsid w:val="00E22616"/>
    <w:rsid w:val="00E25477"/>
    <w:rsid w:val="00E33081"/>
    <w:rsid w:val="00E37BB8"/>
    <w:rsid w:val="00E42454"/>
    <w:rsid w:val="00E44252"/>
    <w:rsid w:val="00E45C2A"/>
    <w:rsid w:val="00E471C4"/>
    <w:rsid w:val="00E63615"/>
    <w:rsid w:val="00E6645B"/>
    <w:rsid w:val="00E66939"/>
    <w:rsid w:val="00E752E3"/>
    <w:rsid w:val="00E76BEE"/>
    <w:rsid w:val="00E87E9D"/>
    <w:rsid w:val="00E91939"/>
    <w:rsid w:val="00E95CCB"/>
    <w:rsid w:val="00EA3226"/>
    <w:rsid w:val="00EA49F9"/>
    <w:rsid w:val="00EB3F93"/>
    <w:rsid w:val="00EB76B1"/>
    <w:rsid w:val="00EC3CF1"/>
    <w:rsid w:val="00EC5105"/>
    <w:rsid w:val="00EC57BE"/>
    <w:rsid w:val="00EC59D9"/>
    <w:rsid w:val="00ED4A6E"/>
    <w:rsid w:val="00EE691D"/>
    <w:rsid w:val="00EF18A6"/>
    <w:rsid w:val="00EF2294"/>
    <w:rsid w:val="00EF5AD2"/>
    <w:rsid w:val="00EF7CBE"/>
    <w:rsid w:val="00F06CFF"/>
    <w:rsid w:val="00F101AA"/>
    <w:rsid w:val="00F1055C"/>
    <w:rsid w:val="00F11A64"/>
    <w:rsid w:val="00F14C2F"/>
    <w:rsid w:val="00F1700C"/>
    <w:rsid w:val="00F21E98"/>
    <w:rsid w:val="00F235B7"/>
    <w:rsid w:val="00F27E28"/>
    <w:rsid w:val="00F375BB"/>
    <w:rsid w:val="00F45F8F"/>
    <w:rsid w:val="00F47C85"/>
    <w:rsid w:val="00F51071"/>
    <w:rsid w:val="00F81B01"/>
    <w:rsid w:val="00F82CBA"/>
    <w:rsid w:val="00F83348"/>
    <w:rsid w:val="00F853E8"/>
    <w:rsid w:val="00F90410"/>
    <w:rsid w:val="00F93BB8"/>
    <w:rsid w:val="00F9794D"/>
    <w:rsid w:val="00FA034D"/>
    <w:rsid w:val="00FA094C"/>
    <w:rsid w:val="00FA2994"/>
    <w:rsid w:val="00FA3007"/>
    <w:rsid w:val="00FC38F8"/>
    <w:rsid w:val="00FF19D4"/>
    <w:rsid w:val="00FF3D76"/>
    <w:rsid w:val="00FF3DB2"/>
    <w:rsid w:val="00FF635C"/>
    <w:rsid w:val="00FF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A4AF2"/>
    <w:pPr>
      <w:numPr>
        <w:numId w:val="1"/>
      </w:numPr>
      <w:contextualSpacing/>
    </w:pPr>
  </w:style>
  <w:style w:type="paragraph" w:styleId="ListBullet2">
    <w:name w:val="List Bullet 2"/>
    <w:basedOn w:val="Normal"/>
    <w:uiPriority w:val="99"/>
    <w:semiHidden/>
    <w:unhideWhenUsed/>
    <w:rsid w:val="002A4AF2"/>
    <w:pPr>
      <w:numPr>
        <w:numId w:val="2"/>
      </w:numPr>
      <w:contextualSpacing/>
    </w:pPr>
  </w:style>
  <w:style w:type="paragraph" w:styleId="ListBullet3">
    <w:name w:val="List Bullet 3"/>
    <w:basedOn w:val="Normal"/>
    <w:uiPriority w:val="99"/>
    <w:semiHidden/>
    <w:unhideWhenUsed/>
    <w:rsid w:val="002A4AF2"/>
    <w:pPr>
      <w:numPr>
        <w:numId w:val="3"/>
      </w:numPr>
      <w:contextualSpacing/>
    </w:pPr>
  </w:style>
  <w:style w:type="paragraph" w:styleId="ListBullet4">
    <w:name w:val="List Bullet 4"/>
    <w:basedOn w:val="Normal"/>
    <w:uiPriority w:val="99"/>
    <w:semiHidden/>
    <w:unhideWhenUsed/>
    <w:rsid w:val="002A4AF2"/>
    <w:pPr>
      <w:numPr>
        <w:numId w:val="4"/>
      </w:numPr>
      <w:contextualSpacing/>
    </w:pPr>
  </w:style>
  <w:style w:type="paragraph" w:styleId="ListParagraph">
    <w:name w:val="List Paragraph"/>
    <w:basedOn w:val="Normal"/>
    <w:uiPriority w:val="34"/>
    <w:qFormat/>
    <w:rsid w:val="00FA094C"/>
    <w:pPr>
      <w:ind w:left="720"/>
      <w:contextualSpacing/>
    </w:pPr>
  </w:style>
  <w:style w:type="character" w:styleId="Hyperlink">
    <w:name w:val="Hyperlink"/>
    <w:basedOn w:val="DefaultParagraphFont"/>
    <w:uiPriority w:val="99"/>
    <w:unhideWhenUsed/>
    <w:rsid w:val="00B0098E"/>
    <w:rPr>
      <w:color w:val="0000FF" w:themeColor="hyperlink"/>
      <w:u w:val="single"/>
    </w:rPr>
  </w:style>
  <w:style w:type="character" w:customStyle="1" w:styleId="UnresolvedMention1">
    <w:name w:val="Unresolved Mention1"/>
    <w:basedOn w:val="DefaultParagraphFont"/>
    <w:uiPriority w:val="99"/>
    <w:semiHidden/>
    <w:unhideWhenUsed/>
    <w:rsid w:val="00B0098E"/>
    <w:rPr>
      <w:color w:val="605E5C"/>
      <w:shd w:val="clear" w:color="auto" w:fill="E1DFDD"/>
    </w:rPr>
  </w:style>
  <w:style w:type="character" w:styleId="FollowedHyperlink">
    <w:name w:val="FollowedHyperlink"/>
    <w:basedOn w:val="DefaultParagraphFont"/>
    <w:uiPriority w:val="99"/>
    <w:semiHidden/>
    <w:unhideWhenUsed/>
    <w:rsid w:val="00826868"/>
    <w:rPr>
      <w:color w:val="800080" w:themeColor="followedHyperlink"/>
      <w:u w:val="single"/>
    </w:rPr>
  </w:style>
  <w:style w:type="paragraph" w:styleId="Revision">
    <w:name w:val="Revision"/>
    <w:hidden/>
    <w:uiPriority w:val="99"/>
    <w:semiHidden/>
    <w:rsid w:val="00492CCC"/>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FF635C"/>
    <w:rPr>
      <w:sz w:val="16"/>
      <w:szCs w:val="16"/>
    </w:rPr>
  </w:style>
  <w:style w:type="paragraph" w:styleId="CommentText">
    <w:name w:val="annotation text"/>
    <w:basedOn w:val="Normal"/>
    <w:link w:val="CommentTextChar"/>
    <w:uiPriority w:val="99"/>
    <w:unhideWhenUsed/>
    <w:rsid w:val="00FF635C"/>
    <w:rPr>
      <w:sz w:val="20"/>
      <w:szCs w:val="20"/>
    </w:rPr>
  </w:style>
  <w:style w:type="character" w:customStyle="1" w:styleId="CommentTextChar">
    <w:name w:val="Comment Text Char"/>
    <w:basedOn w:val="DefaultParagraphFont"/>
    <w:link w:val="CommentText"/>
    <w:uiPriority w:val="99"/>
    <w:rsid w:val="00FF635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FF635C"/>
    <w:rPr>
      <w:b/>
      <w:bCs/>
    </w:rPr>
  </w:style>
  <w:style w:type="character" w:customStyle="1" w:styleId="CommentSubjectChar">
    <w:name w:val="Comment Subject Char"/>
    <w:basedOn w:val="CommentTextChar"/>
    <w:link w:val="CommentSubject"/>
    <w:uiPriority w:val="99"/>
    <w:semiHidden/>
    <w:rsid w:val="00FF635C"/>
    <w:rPr>
      <w:rFonts w:ascii="Times New Roman" w:hAnsi="Times New Roman" w:cs="Times New Roman"/>
      <w:b/>
      <w:bCs/>
      <w:sz w:val="20"/>
      <w:szCs w:val="20"/>
      <w:lang w:val="ro-RO"/>
    </w:rPr>
  </w:style>
  <w:style w:type="character" w:customStyle="1" w:styleId="Text1Char">
    <w:name w:val="Text 1 Char"/>
    <w:rsid w:val="00EA3226"/>
    <w:rPr>
      <w:rFonts w:ascii="Times New Roman" w:hAnsi="Times New Roman" w:cs="Times New Roman"/>
      <w:sz w:val="24"/>
      <w:lang w:val="ro-RO"/>
    </w:rPr>
  </w:style>
  <w:style w:type="paragraph" w:styleId="BalloonText">
    <w:name w:val="Balloon Text"/>
    <w:basedOn w:val="Normal"/>
    <w:link w:val="BalloonTextChar"/>
    <w:uiPriority w:val="99"/>
    <w:semiHidden/>
    <w:unhideWhenUsed/>
    <w:rsid w:val="00204F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F1B"/>
    <w:rPr>
      <w:rFonts w:ascii="Segoe UI" w:hAnsi="Segoe UI" w:cs="Segoe UI"/>
      <w:sz w:val="18"/>
      <w:szCs w:val="18"/>
      <w:lang w:val="ro-RO"/>
    </w:rPr>
  </w:style>
  <w:style w:type="character" w:customStyle="1" w:styleId="UnresolvedMention">
    <w:name w:val="Unresolved Mention"/>
    <w:basedOn w:val="DefaultParagraphFont"/>
    <w:uiPriority w:val="99"/>
    <w:semiHidden/>
    <w:unhideWhenUsed/>
    <w:rsid w:val="00757BF1"/>
    <w:rPr>
      <w:color w:val="605E5C"/>
      <w:shd w:val="clear" w:color="auto" w:fill="E1DFDD"/>
    </w:rPr>
  </w:style>
  <w:style w:type="character" w:customStyle="1" w:styleId="HeaderChar">
    <w:name w:val="Header Char"/>
    <w:basedOn w:val="DefaultParagraphFont"/>
    <w:link w:val="Header"/>
    <w:uiPriority w:val="99"/>
    <w:rsid w:val="00026EA1"/>
    <w:rPr>
      <w:rFonts w:ascii="Times New Roman" w:hAnsi="Times New Roman" w:cs="Times New Roman"/>
      <w:sz w:val="24"/>
      <w:lang w:val="ro-RO"/>
    </w:rPr>
  </w:style>
  <w:style w:type="character" w:customStyle="1" w:styleId="FooterChar">
    <w:name w:val="Footer Char"/>
    <w:basedOn w:val="DefaultParagraphFont"/>
    <w:link w:val="Footer"/>
    <w:uiPriority w:val="99"/>
    <w:rsid w:val="00026EA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26EA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26EA1"/>
    <w:pPr>
      <w:spacing w:before="0"/>
      <w:jc w:val="right"/>
    </w:pPr>
    <w:rPr>
      <w:sz w:val="28"/>
    </w:rPr>
  </w:style>
  <w:style w:type="paragraph" w:customStyle="1" w:styleId="FooterSensitivity">
    <w:name w:val="Footer Sensitivity"/>
    <w:basedOn w:val="Normal"/>
    <w:rsid w:val="00026EA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26EA1"/>
    <w:pPr>
      <w:tabs>
        <w:tab w:val="center" w:pos="4535"/>
        <w:tab w:val="right" w:pos="9071"/>
      </w:tabs>
      <w:spacing w:before="0"/>
    </w:pPr>
  </w:style>
  <w:style w:type="paragraph" w:customStyle="1" w:styleId="HeaderLandscape">
    <w:name w:val="HeaderLandscape"/>
    <w:basedOn w:val="Normal"/>
    <w:rsid w:val="00026EA1"/>
    <w:pPr>
      <w:tabs>
        <w:tab w:val="center" w:pos="7285"/>
        <w:tab w:val="right" w:pos="14003"/>
      </w:tabs>
      <w:spacing w:before="0"/>
    </w:pPr>
  </w:style>
  <w:style w:type="paragraph" w:styleId="Footer">
    <w:name w:val="footer"/>
    <w:basedOn w:val="Normal"/>
    <w:link w:val="FooterChar"/>
    <w:uiPriority w:val="99"/>
    <w:unhideWhenUsed/>
    <w:rsid w:val="00026EA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26EA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treaty/withd_2020/sign"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 Id="rId5" Type="http://schemas.openxmlformats.org/officeDocument/2006/relationships/hyperlink" Target="https://eur-lex.europa.eu/legal-content/RO/TXT/?uri=CELEX:22023X0417(01)" TargetMode="External"/><Relationship Id="rId4" Type="http://schemas.openxmlformats.org/officeDocument/2006/relationships/hyperlink" Target="http://data.europa.eu/eli/dec/2020/1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53041-E16C-43AD-BB35-860284A8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2023-05-17T15:33:00Z</cp:lastPrinted>
  <dcterms:created xsi:type="dcterms:W3CDTF">2026-07-23T09:05:00Z</dcterms:created>
  <dcterms:modified xsi:type="dcterms:W3CDTF">2026-07-24T16:26:00Z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