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FBD6BF" w14:textId="753A6A85" w:rsidR="00FF79F0" w:rsidRDefault="009761C5" w:rsidP="009761C5">
      <w:pPr>
        <w:pStyle w:val="Pagedecouverture"/>
        <w:rPr>
          <w:noProof/>
        </w:rPr>
      </w:pPr>
      <w:bookmarkStart w:id="0" w:name="LW_BM_COVERPAGE"/>
      <w:r>
        <w:rPr>
          <w:noProof/>
        </w:rPr>
        <w:pict w14:anchorId="29C94F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15650D4-55AA-4DC3-99F6-6FEC1A3F0F8E" style="width:455.25pt;height:400.5pt">
            <v:imagedata r:id="rId6" o:title=""/>
          </v:shape>
        </w:pict>
      </w:r>
    </w:p>
    <w:bookmarkEnd w:id="0"/>
    <w:p w14:paraId="469543AB" w14:textId="77777777" w:rsidR="00FF79F0" w:rsidRDefault="00FF79F0" w:rsidP="00FF79F0">
      <w:pPr>
        <w:rPr>
          <w:noProof/>
        </w:rPr>
        <w:sectPr w:rsidR="00FF79F0" w:rsidSect="009761C5">
          <w:headerReference w:type="even" r:id="rId7"/>
          <w:headerReference w:type="default" r:id="rId8"/>
          <w:footerReference w:type="even" r:id="rId9"/>
          <w:footerReference w:type="default" r:id="rId10"/>
          <w:headerReference w:type="first" r:id="rId11"/>
          <w:footerReference w:type="first" r:id="rId12"/>
          <w:pgSz w:w="11907" w:h="16839"/>
          <w:pgMar w:top="1134" w:right="1417" w:bottom="1134" w:left="1417" w:header="709" w:footer="709" w:gutter="0"/>
          <w:pgNumType w:start="0"/>
          <w:cols w:space="720"/>
          <w:docGrid w:linePitch="360"/>
        </w:sectPr>
      </w:pPr>
    </w:p>
    <w:p w14:paraId="1BEC72C7" w14:textId="20B16EFE" w:rsidR="00FF79F0" w:rsidRDefault="00FF79F0" w:rsidP="00FF79F0">
      <w:pPr>
        <w:pStyle w:val="Annexetitre"/>
        <w:rPr>
          <w:noProof/>
        </w:rPr>
      </w:pPr>
      <w:bookmarkStart w:id="1" w:name="_GoBack"/>
      <w:bookmarkEnd w:id="1"/>
      <w:r>
        <w:rPr>
          <w:noProof/>
        </w:rPr>
        <w:lastRenderedPageBreak/>
        <w:t xml:space="preserve">PROIECT </w:t>
      </w:r>
    </w:p>
    <w:p w14:paraId="58FBEA86" w14:textId="77777777" w:rsidR="00FF79F0" w:rsidRDefault="00FF79F0" w:rsidP="00FF79F0">
      <w:pPr>
        <w:pBdr>
          <w:top w:val="nil"/>
          <w:left w:val="nil"/>
          <w:bottom w:val="nil"/>
          <w:right w:val="nil"/>
          <w:between w:val="nil"/>
        </w:pBdr>
        <w:rPr>
          <w:noProof/>
          <w:color w:val="000000"/>
        </w:rPr>
      </w:pPr>
    </w:p>
    <w:p w14:paraId="5360F34A" w14:textId="40EA2310" w:rsidR="00FF79F0" w:rsidRDefault="00FF79F0" w:rsidP="00FF79F0">
      <w:pPr>
        <w:pBdr>
          <w:top w:val="nil"/>
          <w:left w:val="nil"/>
          <w:bottom w:val="nil"/>
          <w:right w:val="nil"/>
          <w:between w:val="nil"/>
        </w:pBdr>
        <w:jc w:val="center"/>
        <w:rPr>
          <w:noProof/>
          <w:color w:val="000000"/>
        </w:rPr>
      </w:pPr>
      <w:r>
        <w:rPr>
          <w:noProof/>
          <w:color w:val="000000"/>
        </w:rPr>
        <w:t>DECLARAȚIA COMUNĂ</w:t>
      </w:r>
      <w:r w:rsidR="00BD6AA2">
        <w:rPr>
          <w:noProof/>
          <w:color w:val="000000"/>
        </w:rPr>
        <w:t xml:space="preserve"> </w:t>
      </w:r>
      <w:r>
        <w:rPr>
          <w:noProof/>
        </w:rPr>
        <w:br/>
      </w:r>
      <w:r>
        <w:rPr>
          <w:noProof/>
          <w:color w:val="000000"/>
        </w:rPr>
        <w:t>A UNIUNII ȘI A REGATULUI UNIT</w:t>
      </w:r>
      <w:r w:rsidR="00BD6AA2">
        <w:rPr>
          <w:noProof/>
          <w:color w:val="000000"/>
        </w:rPr>
        <w:t xml:space="preserve"> </w:t>
      </w:r>
      <w:r>
        <w:rPr>
          <w:noProof/>
        </w:rPr>
        <w:br/>
      </w:r>
      <w:r>
        <w:rPr>
          <w:noProof/>
          <w:color w:val="000000"/>
        </w:rPr>
        <w:t>ÎN CADRUL COMITETULUI MIXT ÎNFIINȚAT PRIN ACORDUL</w:t>
      </w:r>
      <w:r w:rsidR="00BD6AA2">
        <w:rPr>
          <w:noProof/>
          <w:color w:val="000000"/>
        </w:rPr>
        <w:t xml:space="preserve"> </w:t>
      </w:r>
      <w:r>
        <w:rPr>
          <w:noProof/>
        </w:rPr>
        <w:br/>
      </w:r>
      <w:r>
        <w:rPr>
          <w:noProof/>
          <w:color w:val="000000"/>
        </w:rPr>
        <w:t>PRIVIND RETRAGEREA REGATULUI UNIT AL MARII BRITANII</w:t>
      </w:r>
      <w:r w:rsidR="00BD6AA2">
        <w:rPr>
          <w:noProof/>
          <w:color w:val="000000"/>
        </w:rPr>
        <w:t xml:space="preserve"> </w:t>
      </w:r>
      <w:r>
        <w:rPr>
          <w:noProof/>
        </w:rPr>
        <w:br/>
      </w:r>
      <w:r>
        <w:rPr>
          <w:noProof/>
          <w:color w:val="000000"/>
        </w:rPr>
        <w:t>ȘI IRLANDEI DE NORD DIN UNIUNEA EUROPEANĂ</w:t>
      </w:r>
      <w:r w:rsidR="00BD6AA2">
        <w:rPr>
          <w:noProof/>
          <w:color w:val="000000"/>
        </w:rPr>
        <w:t xml:space="preserve"> </w:t>
      </w:r>
      <w:r>
        <w:rPr>
          <w:noProof/>
        </w:rPr>
        <w:br/>
      </w:r>
      <w:r>
        <w:rPr>
          <w:noProof/>
          <w:color w:val="000000"/>
        </w:rPr>
        <w:t>ȘI COMUNITATEA EUROPEANĂ A ENERGIEI ATOMICE</w:t>
      </w:r>
    </w:p>
    <w:p w14:paraId="49624B34" w14:textId="77777777" w:rsidR="00FF79F0" w:rsidRDefault="00FF79F0" w:rsidP="00FF79F0">
      <w:pPr>
        <w:pBdr>
          <w:top w:val="nil"/>
          <w:left w:val="nil"/>
          <w:bottom w:val="nil"/>
          <w:right w:val="nil"/>
          <w:between w:val="nil"/>
        </w:pBdr>
        <w:jc w:val="center"/>
        <w:rPr>
          <w:noProof/>
          <w:color w:val="000000"/>
        </w:rPr>
      </w:pPr>
      <w:r>
        <w:rPr>
          <w:noProof/>
          <w:color w:val="000000"/>
        </w:rPr>
        <w:t>din … 2026</w:t>
      </w:r>
    </w:p>
    <w:p w14:paraId="5AEBE441" w14:textId="77777777" w:rsidR="00FF79F0" w:rsidRDefault="00FF79F0" w:rsidP="00FF79F0">
      <w:pPr>
        <w:pBdr>
          <w:top w:val="nil"/>
          <w:left w:val="nil"/>
          <w:bottom w:val="nil"/>
          <w:right w:val="nil"/>
          <w:between w:val="nil"/>
        </w:pBdr>
        <w:jc w:val="center"/>
        <w:rPr>
          <w:noProof/>
          <w:color w:val="000000"/>
        </w:rPr>
      </w:pPr>
      <w:r>
        <w:rPr>
          <w:noProof/>
          <w:color w:val="000000"/>
        </w:rPr>
        <w:t>referitoare la aplicarea articolului 5 din Cadrul Windsor</w:t>
      </w:r>
      <w:r>
        <w:rPr>
          <w:noProof/>
          <w:color w:val="000000"/>
          <w:vertAlign w:val="superscript"/>
        </w:rPr>
        <w:footnoteReference w:id="1"/>
      </w:r>
    </w:p>
    <w:p w14:paraId="26A06DB4" w14:textId="77777777" w:rsidR="00FF79F0" w:rsidRDefault="00FF79F0" w:rsidP="00FF79F0">
      <w:pPr>
        <w:rPr>
          <w:noProof/>
        </w:rPr>
      </w:pPr>
      <w:r>
        <w:rPr>
          <w:noProof/>
        </w:rPr>
        <w:t>Articolul 5 alineatul (1) din Cadrul Windsor prevede, în primul rând, că nu se plătesc taxe vamale pentru o marfă care este adusă prin transport direct în Irlanda de Nord din altă parte a Regatului Unit și care nu este expusă riscului de a fi transportată ulterior în Uniune, fie ca atare, fie înglobată în altă marfă în urma prelucrării, și, în al doilea rând, că taxele vamale pentru o marfă care este adusă prin transport direct în Irlanda de Nord din alt teritoriu decât Uniunea sau altă parte a Regatului Unit și care nu este expusă riscului de a fi transportată ulterior în Uniune, fie ca atare, fie înglobată în altă marfă în urma prelucrării, sunt taxele aplicabile în Regatul Unit.</w:t>
      </w:r>
    </w:p>
    <w:p w14:paraId="739D4EEE" w14:textId="77777777" w:rsidR="00FF79F0" w:rsidRDefault="00FF79F0" w:rsidP="00FF79F0">
      <w:pPr>
        <w:rPr>
          <w:noProof/>
        </w:rPr>
      </w:pPr>
      <w:r>
        <w:rPr>
          <w:noProof/>
        </w:rPr>
        <w:t>Această dispoziție urmărește, așadar, obiectivul de a garanta că nicio marfă care este adusă prin transport direct în Irlanda de Nord și care nu este expusă riscului de a fi transportată ulterior în Uniune, fie ca atare, fie înglobată în altă marfă în urma prelucrării, nu ar trebui să facă obiectul taxelor financiare prevăzute de dreptul vamal al Uniunii care sunt direct legate de punerea în liberă circulație a unei astfel de mărfi în Irlanda de Nord.</w:t>
      </w:r>
    </w:p>
    <w:p w14:paraId="74E9F7AB" w14:textId="77777777" w:rsidR="00FF79F0" w:rsidRDefault="00FF79F0" w:rsidP="00FF79F0">
      <w:pPr>
        <w:rPr>
          <w:noProof/>
          <w:color w:val="000000"/>
        </w:rPr>
      </w:pPr>
      <w:r>
        <w:rPr>
          <w:noProof/>
        </w:rPr>
        <w:t xml:space="preserve">În acest context și în conformitate cu obligațiile părților asumate în cadrul OMC, articolul 5 alineatul (1) din Cadrul Windsor ar trebui înțeles ca aplicându-se și unei taxe de procesare stabilite de dreptul Uniunii pentru a acoperi costurile serviciilor furnizate pentru tratarea unei cereri de punere în liberă circulație a mărfurilor comercializate într-o vânzare la distanță, în special prin verificarea datelor furnizate, realizarea de analize de risc și efectuarea de controale documentare și fizice atunci când este necesar. </w:t>
      </w:r>
    </w:p>
    <w:p w14:paraId="4ECF5B06" w14:textId="77777777" w:rsidR="00FF79F0" w:rsidRDefault="00FF79F0" w:rsidP="00FF79F0">
      <w:pPr>
        <w:rPr>
          <w:noProof/>
        </w:rPr>
      </w:pPr>
      <w:r>
        <w:rPr>
          <w:noProof/>
          <w:color w:val="000000"/>
        </w:rPr>
        <w:t>Articolul 5 alineatul (6) din Cadrul Windsor prevede că, în cazul în care taxele vamale sunt percepute de Regatul Unit în conformitate cu legislația vamală relevantă a Uniunii</w:t>
      </w:r>
      <w:r>
        <w:rPr>
          <w:noProof/>
        </w:rPr>
        <w:t xml:space="preserve">, </w:t>
      </w:r>
      <w:r>
        <w:rPr>
          <w:noProof/>
          <w:color w:val="000000"/>
        </w:rPr>
        <w:t xml:space="preserve">aceste taxe nu sunt transferate Uniunii. </w:t>
      </w:r>
      <w:r>
        <w:rPr>
          <w:noProof/>
        </w:rPr>
        <w:t xml:space="preserve">Această dispoziție urmărește astfel obiectivul de a garanta că veniturile provenind din taxele financiare prevăzute de dreptul vamal al Uniunii care sunt direct legate de punerea în liberă circulație a mărfurilor în Irlanda de Nord rămân în Regatul Unit. În acest context, articolul 5 alineatul (6) din Cadrul Windsor ar trebui înțeles ca aplicându-se în întregime și încasărilor dintr-o </w:t>
      </w:r>
      <w:r>
        <w:rPr>
          <w:noProof/>
          <w:color w:val="000000"/>
        </w:rPr>
        <w:t>taxă de procesare de natura celei menționate la alineatul anterior.</w:t>
      </w:r>
    </w:p>
    <w:p w14:paraId="03E3D16C" w14:textId="77777777" w:rsidR="00FF79F0" w:rsidRDefault="00FF79F0" w:rsidP="00FF79F0">
      <w:pPr>
        <w:rPr>
          <w:noProof/>
        </w:rPr>
      </w:pPr>
    </w:p>
    <w:p w14:paraId="55E5C059" w14:textId="77777777" w:rsidR="00FF79F0" w:rsidRDefault="00FF79F0" w:rsidP="00FF79F0">
      <w:pPr>
        <w:rPr>
          <w:noProof/>
        </w:rPr>
      </w:pPr>
    </w:p>
    <w:p w14:paraId="6A11054C" w14:textId="77777777" w:rsidR="00FF79F0" w:rsidRDefault="00FF79F0" w:rsidP="00FF79F0">
      <w:pPr>
        <w:rPr>
          <w:noProof/>
        </w:rPr>
      </w:pPr>
    </w:p>
    <w:p w14:paraId="2A053530" w14:textId="77777777" w:rsidR="00FF79F0" w:rsidRDefault="00FF79F0" w:rsidP="00FF79F0">
      <w:pPr>
        <w:spacing w:before="0" w:after="0" w:line="276" w:lineRule="auto"/>
        <w:rPr>
          <w:noProof/>
        </w:rPr>
      </w:pPr>
    </w:p>
    <w:p w14:paraId="24D64097" w14:textId="77777777" w:rsidR="00FF79F0" w:rsidRDefault="00FF79F0" w:rsidP="00FF79F0">
      <w:pPr>
        <w:rPr>
          <w:noProof/>
        </w:rPr>
      </w:pPr>
    </w:p>
    <w:p w14:paraId="6D6BFEAD" w14:textId="77777777" w:rsidR="00D26C5D" w:rsidRDefault="00D26C5D">
      <w:pPr>
        <w:rPr>
          <w:noProof/>
        </w:rPr>
      </w:pPr>
    </w:p>
    <w:sectPr w:rsidR="00D26C5D" w:rsidSect="00FF79F0">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45E19" w14:textId="77777777" w:rsidR="00C67B53" w:rsidRDefault="00C67B53" w:rsidP="00FF79F0">
      <w:pPr>
        <w:spacing w:before="0" w:after="0"/>
      </w:pPr>
      <w:r>
        <w:separator/>
      </w:r>
    </w:p>
  </w:endnote>
  <w:endnote w:type="continuationSeparator" w:id="0">
    <w:p w14:paraId="3B3FDD2F" w14:textId="77777777" w:rsidR="00C67B53" w:rsidRDefault="00C67B53" w:rsidP="00FF79F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6B4FA" w14:textId="68F34B9E" w:rsidR="009761C5" w:rsidRPr="009761C5" w:rsidRDefault="009761C5" w:rsidP="009761C5">
    <w:pPr>
      <w:pStyle w:val="FooterCoverPage"/>
      <w:rPr>
        <w:rFonts w:ascii="Arial" w:hAnsi="Arial" w:cs="Arial"/>
        <w:b/>
        <w:sz w:val="48"/>
      </w:rPr>
    </w:pPr>
    <w:r w:rsidRPr="009761C5">
      <w:rPr>
        <w:rFonts w:ascii="Arial" w:hAnsi="Arial" w:cs="Arial"/>
        <w:b/>
        <w:sz w:val="48"/>
      </w:rPr>
      <w:t>RO</w:t>
    </w:r>
    <w:r w:rsidRPr="009761C5">
      <w:rPr>
        <w:rFonts w:ascii="Arial" w:hAnsi="Arial" w:cs="Arial"/>
        <w:b/>
        <w:sz w:val="48"/>
      </w:rPr>
      <w:tab/>
    </w:r>
    <w:r w:rsidRPr="009761C5">
      <w:rPr>
        <w:rFonts w:ascii="Arial" w:hAnsi="Arial" w:cs="Arial"/>
        <w:b/>
        <w:sz w:val="48"/>
      </w:rPr>
      <w:tab/>
    </w:r>
    <w:r w:rsidRPr="009761C5">
      <w:tab/>
    </w:r>
    <w:r w:rsidRPr="009761C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CCD69" w14:textId="5DD6815E" w:rsidR="009761C5" w:rsidRPr="009761C5" w:rsidRDefault="009761C5" w:rsidP="009761C5">
    <w:pPr>
      <w:pStyle w:val="FooterCoverPage"/>
      <w:rPr>
        <w:rFonts w:ascii="Arial" w:hAnsi="Arial" w:cs="Arial"/>
        <w:b/>
        <w:sz w:val="48"/>
      </w:rPr>
    </w:pPr>
    <w:r w:rsidRPr="009761C5">
      <w:rPr>
        <w:rFonts w:ascii="Arial" w:hAnsi="Arial" w:cs="Arial"/>
        <w:b/>
        <w:sz w:val="48"/>
      </w:rPr>
      <w:t>RO</w:t>
    </w:r>
    <w:r w:rsidRPr="009761C5">
      <w:rPr>
        <w:rFonts w:ascii="Arial" w:hAnsi="Arial" w:cs="Arial"/>
        <w:b/>
        <w:sz w:val="48"/>
      </w:rPr>
      <w:tab/>
    </w:r>
    <w:r w:rsidRPr="009761C5">
      <w:rPr>
        <w:rFonts w:ascii="Arial" w:hAnsi="Arial" w:cs="Arial"/>
        <w:b/>
        <w:sz w:val="48"/>
      </w:rPr>
      <w:tab/>
    </w:r>
    <w:r w:rsidRPr="009761C5">
      <w:tab/>
    </w:r>
    <w:r w:rsidRPr="009761C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F30F5" w14:textId="77777777" w:rsidR="009761C5" w:rsidRPr="009761C5" w:rsidRDefault="009761C5" w:rsidP="009761C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E6D16" w14:textId="77777777" w:rsidR="00FF79F0" w:rsidRDefault="00FF79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CAFB" w14:textId="624F1E87" w:rsidR="00FF79F0" w:rsidRPr="00476CE2" w:rsidRDefault="00FF79F0" w:rsidP="00476CE2">
    <w:pPr>
      <w:pStyle w:val="Footer"/>
      <w:rPr>
        <w:rFonts w:ascii="Arial" w:hAnsi="Arial" w:cs="Arial"/>
        <w:b/>
        <w:sz w:val="48"/>
      </w:rPr>
    </w:pPr>
    <w:r>
      <w:rPr>
        <w:rFonts w:ascii="Arial" w:hAnsi="Arial"/>
        <w:b/>
        <w:sz w:val="48"/>
      </w:rPr>
      <w:t>RO</w:t>
    </w:r>
    <w:r>
      <w:tab/>
    </w:r>
    <w:r>
      <w:fldChar w:fldCharType="begin"/>
    </w:r>
    <w:r>
      <w:instrText xml:space="preserve"> PAGE  \* MERGEFORMAT </w:instrText>
    </w:r>
    <w:r>
      <w:fldChar w:fldCharType="separate"/>
    </w:r>
    <w:r w:rsidR="009761C5">
      <w:rPr>
        <w:noProof/>
      </w:rPr>
      <w:t>1</w:t>
    </w:r>
    <w:r>
      <w:fldChar w:fldCharType="end"/>
    </w:r>
    <w:r>
      <w:tab/>
    </w:r>
    <w:r>
      <w:tab/>
    </w:r>
    <w:r>
      <w:rPr>
        <w:rFonts w:ascii="Arial" w:hAnsi="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E7B2B" w14:textId="77777777" w:rsidR="00FF79F0" w:rsidRDefault="00FF79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EE1EA" w14:textId="77777777" w:rsidR="00C67B53" w:rsidRDefault="00C67B53" w:rsidP="00FF79F0">
      <w:pPr>
        <w:spacing w:before="0" w:after="0"/>
      </w:pPr>
      <w:r>
        <w:separator/>
      </w:r>
    </w:p>
  </w:footnote>
  <w:footnote w:type="continuationSeparator" w:id="0">
    <w:p w14:paraId="0E976733" w14:textId="77777777" w:rsidR="00C67B53" w:rsidRDefault="00C67B53" w:rsidP="00FF79F0">
      <w:pPr>
        <w:spacing w:before="0" w:after="0"/>
      </w:pPr>
      <w:r>
        <w:continuationSeparator/>
      </w:r>
    </w:p>
  </w:footnote>
  <w:footnote w:id="1">
    <w:p w14:paraId="117754AE" w14:textId="77777777" w:rsidR="00FF79F0" w:rsidRPr="00B4628F" w:rsidRDefault="00FF79F0" w:rsidP="00FF79F0">
      <w:pPr>
        <w:pBdr>
          <w:top w:val="nil"/>
          <w:left w:val="nil"/>
          <w:bottom w:val="nil"/>
          <w:right w:val="nil"/>
          <w:between w:val="nil"/>
        </w:pBdr>
        <w:spacing w:before="0" w:after="0"/>
        <w:ind w:left="720" w:hanging="720"/>
        <w:rPr>
          <w:color w:val="000000"/>
          <w:sz w:val="20"/>
          <w:szCs w:val="20"/>
        </w:rPr>
      </w:pPr>
      <w:r>
        <w:rPr>
          <w:sz w:val="20"/>
          <w:szCs w:val="20"/>
          <w:vertAlign w:val="superscript"/>
        </w:rPr>
        <w:footnoteRef/>
      </w:r>
      <w:r>
        <w:t xml:space="preserve"> </w:t>
      </w:r>
      <w:r>
        <w:rPr>
          <w:color w:val="000000"/>
          <w:sz w:val="20"/>
        </w:rPr>
        <w:t>A se vedea Declarația comună nr. 1/2023.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A2999" w14:textId="77777777" w:rsidR="009761C5" w:rsidRPr="009761C5" w:rsidRDefault="009761C5" w:rsidP="009761C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D6A39" w14:textId="77777777" w:rsidR="009761C5" w:rsidRPr="009761C5" w:rsidRDefault="009761C5" w:rsidP="009761C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BA1CB" w14:textId="77777777" w:rsidR="009761C5" w:rsidRPr="009761C5" w:rsidRDefault="009761C5" w:rsidP="009761C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74E3E" w14:textId="77777777" w:rsidR="00FF79F0" w:rsidRDefault="00FF79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6484C" w14:textId="77777777" w:rsidR="00FF79F0" w:rsidRDefault="00FF79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B5949" w14:textId="77777777" w:rsidR="00FF79F0" w:rsidRDefault="00FF79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A15650D4-55AA-4DC3-99F6-6FEC1A3F0F8E"/>
    <w:docVar w:name="LW_COVERPAGE_TYPE" w:val="1"/>
    <w:docVar w:name="LW_CROSSREFERENCE" w:val="&lt;UNUSED&gt;"/>
    <w:docVar w:name="LW_DocType" w:val="NORMAL"/>
    <w:docVar w:name="LW_EMISSION" w:val="27.7.2026"/>
    <w:docVar w:name="LW_EMISSION_ISODATE" w:val="2026-07-2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stabilire a pozi\u539?iei care urmeaz\u259? s\u259? fie luat\u259? în numele Uniunii Europene în cadrul Comitetului mixt înfiin\u539?at prin Acordul privind retragerea Regatului Unit al Marii Britanii \u537?i Irlandei de Nord din Uniunea European\u259? \u537?i din Comunitatea European\u259? a Energiei Atomice în ceea ce prive\u537?te o declara\u539?ie comun\u259? referitoare la aplicarea articolului 5 din Cadrul Windsor"/>
    <w:docVar w:name="LW_PART_NBR" w:val="1"/>
    <w:docVar w:name="LW_PART_NBR_TOTAL" w:val="1"/>
    <w:docVar w:name="LW_REF.INST.NEW" w:val="COM"/>
    <w:docVar w:name="LW_REF.INST.NEW_ADOPTED" w:val="final"/>
    <w:docVar w:name="LW_REF.INST.NEW_TEXT" w:val="(2026) 40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4.5.0; LW 9.2, Build 20251112"/>
  </w:docVars>
  <w:rsids>
    <w:rsidRoot w:val="00FF79F0"/>
    <w:rsid w:val="00016957"/>
    <w:rsid w:val="004711C2"/>
    <w:rsid w:val="0062555F"/>
    <w:rsid w:val="007019A5"/>
    <w:rsid w:val="00724F0B"/>
    <w:rsid w:val="0075102B"/>
    <w:rsid w:val="007A4295"/>
    <w:rsid w:val="0081694C"/>
    <w:rsid w:val="00832CA9"/>
    <w:rsid w:val="0086652F"/>
    <w:rsid w:val="009761C5"/>
    <w:rsid w:val="009A4636"/>
    <w:rsid w:val="00A9429C"/>
    <w:rsid w:val="00AA2831"/>
    <w:rsid w:val="00B31E7A"/>
    <w:rsid w:val="00BD6AA2"/>
    <w:rsid w:val="00C67B53"/>
    <w:rsid w:val="00CF41B6"/>
    <w:rsid w:val="00CF67A9"/>
    <w:rsid w:val="00D26C5D"/>
    <w:rsid w:val="00DF1942"/>
    <w:rsid w:val="00E03458"/>
    <w:rsid w:val="00E31DFF"/>
    <w:rsid w:val="00E33FCA"/>
    <w:rsid w:val="00E42454"/>
    <w:rsid w:val="00EB5ACE"/>
    <w:rsid w:val="00FF79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918A57"/>
  <w15:chartTrackingRefBased/>
  <w15:docId w15:val="{F33A2AEE-B0B5-46E1-A8D9-14933F8F6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9F0"/>
    <w:pPr>
      <w:spacing w:before="120" w:after="120" w:line="240" w:lineRule="auto"/>
      <w:jc w:val="both"/>
    </w:pPr>
    <w:rPr>
      <w:rFonts w:ascii="Times New Roman" w:hAnsi="Times New Roman" w:cs="Times New Roman"/>
      <w:kern w:val="0"/>
      <w:sz w:val="24"/>
      <w14:ligatures w14:val="none"/>
    </w:rPr>
  </w:style>
  <w:style w:type="paragraph" w:styleId="Heading1">
    <w:name w:val="heading 1"/>
    <w:basedOn w:val="Normal"/>
    <w:next w:val="Normal"/>
    <w:link w:val="Heading1Char"/>
    <w:uiPriority w:val="9"/>
    <w:qFormat/>
    <w:rsid w:val="00FF79F0"/>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F79F0"/>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F79F0"/>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F79F0"/>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FF79F0"/>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FF79F0"/>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FF79F0"/>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FF79F0"/>
    <w:pPr>
      <w:keepNext/>
      <w:keepLines/>
      <w:spacing w:before="0"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FF79F0"/>
    <w:pPr>
      <w:keepNext/>
      <w:keepLines/>
      <w:spacing w:before="0"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9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9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9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9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9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9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9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9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9F0"/>
    <w:rPr>
      <w:rFonts w:eastAsiaTheme="majorEastAsia" w:cstheme="majorBidi"/>
      <w:color w:val="272727" w:themeColor="text1" w:themeTint="D8"/>
    </w:rPr>
  </w:style>
  <w:style w:type="paragraph" w:styleId="Title">
    <w:name w:val="Title"/>
    <w:basedOn w:val="Normal"/>
    <w:next w:val="Normal"/>
    <w:link w:val="TitleChar"/>
    <w:uiPriority w:val="10"/>
    <w:qFormat/>
    <w:rsid w:val="00FF79F0"/>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F79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9F0"/>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F79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9F0"/>
    <w:pPr>
      <w:spacing w:before="160" w:after="160" w:line="259"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FF79F0"/>
    <w:rPr>
      <w:i/>
      <w:iCs/>
      <w:color w:val="404040" w:themeColor="text1" w:themeTint="BF"/>
    </w:rPr>
  </w:style>
  <w:style w:type="paragraph" w:styleId="ListParagraph">
    <w:name w:val="List Paragraph"/>
    <w:basedOn w:val="Normal"/>
    <w:uiPriority w:val="34"/>
    <w:qFormat/>
    <w:rsid w:val="00FF79F0"/>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IntenseEmphasis">
    <w:name w:val="Intense Emphasis"/>
    <w:basedOn w:val="DefaultParagraphFont"/>
    <w:uiPriority w:val="21"/>
    <w:qFormat/>
    <w:rsid w:val="00FF79F0"/>
    <w:rPr>
      <w:i/>
      <w:iCs/>
      <w:color w:val="0F4761" w:themeColor="accent1" w:themeShade="BF"/>
    </w:rPr>
  </w:style>
  <w:style w:type="paragraph" w:styleId="IntenseQuote">
    <w:name w:val="Intense Quote"/>
    <w:basedOn w:val="Normal"/>
    <w:next w:val="Normal"/>
    <w:link w:val="IntenseQuoteChar"/>
    <w:uiPriority w:val="30"/>
    <w:qFormat/>
    <w:rsid w:val="00FF79F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FF79F0"/>
    <w:rPr>
      <w:i/>
      <w:iCs/>
      <w:color w:val="0F4761" w:themeColor="accent1" w:themeShade="BF"/>
    </w:rPr>
  </w:style>
  <w:style w:type="character" w:styleId="IntenseReference">
    <w:name w:val="Intense Reference"/>
    <w:basedOn w:val="DefaultParagraphFont"/>
    <w:uiPriority w:val="32"/>
    <w:qFormat/>
    <w:rsid w:val="00FF79F0"/>
    <w:rPr>
      <w:b/>
      <w:bCs/>
      <w:smallCaps/>
      <w:color w:val="0F4761" w:themeColor="accent1" w:themeShade="BF"/>
      <w:spacing w:val="5"/>
    </w:rPr>
  </w:style>
  <w:style w:type="paragraph" w:styleId="Header">
    <w:name w:val="header"/>
    <w:basedOn w:val="Normal"/>
    <w:link w:val="HeaderChar"/>
    <w:uiPriority w:val="99"/>
    <w:unhideWhenUsed/>
    <w:rsid w:val="00FF79F0"/>
    <w:pPr>
      <w:tabs>
        <w:tab w:val="center" w:pos="4535"/>
        <w:tab w:val="right" w:pos="9071"/>
      </w:tabs>
      <w:spacing w:before="0"/>
    </w:pPr>
  </w:style>
  <w:style w:type="character" w:customStyle="1" w:styleId="HeaderChar">
    <w:name w:val="Header Char"/>
    <w:basedOn w:val="DefaultParagraphFont"/>
    <w:link w:val="Header"/>
    <w:uiPriority w:val="99"/>
    <w:rsid w:val="00FF79F0"/>
    <w:rPr>
      <w:rFonts w:ascii="Times New Roman" w:hAnsi="Times New Roman" w:cs="Times New Roman"/>
      <w:kern w:val="0"/>
      <w:sz w:val="24"/>
      <w:lang w:val="ro-RO"/>
      <w14:ligatures w14:val="none"/>
    </w:rPr>
  </w:style>
  <w:style w:type="paragraph" w:styleId="Footer">
    <w:name w:val="footer"/>
    <w:basedOn w:val="Normal"/>
    <w:link w:val="FooterChar"/>
    <w:uiPriority w:val="99"/>
    <w:unhideWhenUsed/>
    <w:rsid w:val="00FF79F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F79F0"/>
    <w:rPr>
      <w:rFonts w:ascii="Times New Roman" w:hAnsi="Times New Roman" w:cs="Times New Roman"/>
      <w:kern w:val="0"/>
      <w:sz w:val="24"/>
      <w:lang w:val="ro-RO"/>
      <w14:ligatures w14:val="none"/>
    </w:rPr>
  </w:style>
  <w:style w:type="paragraph" w:customStyle="1" w:styleId="Annexetitre">
    <w:name w:val="Annexe titre"/>
    <w:basedOn w:val="Normal"/>
    <w:next w:val="Normal"/>
    <w:rsid w:val="00FF79F0"/>
    <w:pPr>
      <w:jc w:val="center"/>
    </w:pPr>
    <w:rPr>
      <w:b/>
      <w:u w:val="single"/>
    </w:rPr>
  </w:style>
  <w:style w:type="character" w:customStyle="1" w:styleId="Marker">
    <w:name w:val="Marker"/>
    <w:basedOn w:val="DefaultParagraphFont"/>
    <w:rsid w:val="00FF79F0"/>
    <w:rPr>
      <w:color w:val="0000FF"/>
      <w:shd w:val="clear" w:color="auto" w:fill="auto"/>
    </w:rPr>
  </w:style>
  <w:style w:type="paragraph" w:customStyle="1" w:styleId="Pagedecouverture">
    <w:name w:val="Page de couverture"/>
    <w:basedOn w:val="Normal"/>
    <w:next w:val="Normal"/>
    <w:link w:val="PagedecouvertureChar"/>
    <w:rsid w:val="00FF79F0"/>
    <w:pPr>
      <w:spacing w:before="0" w:after="0"/>
    </w:pPr>
  </w:style>
  <w:style w:type="paragraph" w:customStyle="1" w:styleId="FooterCoverPage">
    <w:name w:val="Footer Cover Page"/>
    <w:basedOn w:val="Normal"/>
    <w:link w:val="FooterCoverPageChar"/>
    <w:rsid w:val="00FF79F0"/>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FF79F0"/>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sid w:val="00FF79F0"/>
    <w:rPr>
      <w:rFonts w:ascii="Times New Roman" w:hAnsi="Times New Roman" w:cs="Times New Roman"/>
      <w:kern w:val="0"/>
      <w:sz w:val="24"/>
      <w:lang w:val="ro-RO"/>
      <w14:ligatures w14:val="none"/>
    </w:rPr>
  </w:style>
  <w:style w:type="paragraph" w:customStyle="1" w:styleId="FooterSensitivity">
    <w:name w:val="Footer Sensitivity"/>
    <w:basedOn w:val="Normal"/>
    <w:link w:val="FooterSensitivityChar"/>
    <w:rsid w:val="00FF79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FF79F0"/>
    <w:rPr>
      <w:rFonts w:ascii="Times New Roman" w:hAnsi="Times New Roman" w:cs="Times New Roman"/>
      <w:b/>
      <w:kern w:val="0"/>
      <w:sz w:val="32"/>
      <w:lang w:val="ro-RO"/>
      <w14:ligatures w14:val="none"/>
    </w:rPr>
  </w:style>
  <w:style w:type="paragraph" w:customStyle="1" w:styleId="HeaderCoverPage">
    <w:name w:val="Header Cover Page"/>
    <w:basedOn w:val="Normal"/>
    <w:link w:val="HeaderCoverPageChar"/>
    <w:rsid w:val="00FF79F0"/>
    <w:pPr>
      <w:tabs>
        <w:tab w:val="center" w:pos="4535"/>
        <w:tab w:val="right" w:pos="9071"/>
      </w:tabs>
      <w:spacing w:before="0"/>
    </w:pPr>
  </w:style>
  <w:style w:type="character" w:customStyle="1" w:styleId="HeaderCoverPageChar">
    <w:name w:val="Header Cover Page Char"/>
    <w:basedOn w:val="PagedecouvertureChar"/>
    <w:link w:val="HeaderCoverPage"/>
    <w:rsid w:val="00FF79F0"/>
    <w:rPr>
      <w:rFonts w:ascii="Times New Roman" w:hAnsi="Times New Roman" w:cs="Times New Roman"/>
      <w:kern w:val="0"/>
      <w:sz w:val="24"/>
      <w:lang w:val="ro-RO"/>
      <w14:ligatures w14:val="none"/>
    </w:rPr>
  </w:style>
  <w:style w:type="paragraph" w:customStyle="1" w:styleId="HeaderSensitivity">
    <w:name w:val="Header Sensitivity"/>
    <w:basedOn w:val="Normal"/>
    <w:link w:val="HeaderSensitivityChar"/>
    <w:rsid w:val="00FF79F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PagedecouvertureChar"/>
    <w:link w:val="HeaderSensitivity"/>
    <w:rsid w:val="00FF79F0"/>
    <w:rPr>
      <w:rFonts w:ascii="Times New Roman" w:hAnsi="Times New Roman" w:cs="Times New Roman"/>
      <w:b/>
      <w:kern w:val="0"/>
      <w:sz w:val="32"/>
      <w:lang w:val="ro-RO"/>
      <w14:ligatures w14:val="none"/>
    </w:rPr>
  </w:style>
  <w:style w:type="paragraph" w:customStyle="1" w:styleId="HeaderSensitivityRight">
    <w:name w:val="Header Sensitivity Right"/>
    <w:basedOn w:val="Normal"/>
    <w:link w:val="HeaderSensitivityRightChar"/>
    <w:rsid w:val="00FF79F0"/>
    <w:pPr>
      <w:spacing w:before="0"/>
      <w:jc w:val="right"/>
    </w:pPr>
    <w:rPr>
      <w:sz w:val="28"/>
    </w:rPr>
  </w:style>
  <w:style w:type="character" w:customStyle="1" w:styleId="HeaderSensitivityRightChar">
    <w:name w:val="Header Sensitivity Right Char"/>
    <w:basedOn w:val="PagedecouvertureChar"/>
    <w:link w:val="HeaderSensitivityRight"/>
    <w:rsid w:val="00FF79F0"/>
    <w:rPr>
      <w:rFonts w:ascii="Times New Roman" w:hAnsi="Times New Roman" w:cs="Times New Roman"/>
      <w:kern w:val="0"/>
      <w:sz w:val="2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400</Words>
  <Characters>2285</Characters>
  <Application>Microsoft Office Word</Application>
  <DocSecurity>0</DocSecurity>
  <Lines>19</Lines>
  <Paragraphs>5</Paragraphs>
  <ScaleCrop>false</ScaleCrop>
  <Manager/>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2026-07-09T08:31:00Z</dcterms:created>
  <dcterms:modified xsi:type="dcterms:W3CDTF">2026-07-24T16:24:00Z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2026-07-09T08:33:46Z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7426b67d-78b5-46fa-aaca-75069a1a7dc8</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