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6290C" w14:textId="3D91E624" w:rsidR="00964C36" w:rsidRDefault="00D85C38" w:rsidP="00D85C38">
      <w:pPr>
        <w:pStyle w:val="Pagedecouverture"/>
        <w:rPr>
          <w:noProof/>
        </w:rPr>
      </w:pPr>
      <w:bookmarkStart w:id="0" w:name="LW_BM_COVERPAGE"/>
      <w:r>
        <w:rPr>
          <w:noProof/>
        </w:rPr>
        <w:pict w14:anchorId="1268CC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6244C8-458E-48B4-96A7-572D18D92E02" style="width:455.25pt;height:400.5pt">
            <v:imagedata r:id="rId7" o:title=""/>
          </v:shape>
        </w:pict>
      </w:r>
    </w:p>
    <w:bookmarkEnd w:id="0"/>
    <w:p w14:paraId="2F9D15D2" w14:textId="77777777" w:rsidR="00964C36" w:rsidRDefault="00964C36" w:rsidP="00964C36">
      <w:pPr>
        <w:rPr>
          <w:noProof/>
        </w:rPr>
        <w:sectPr w:rsidR="00964C36" w:rsidSect="00D85C38">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283A516F" w14:textId="69F93794" w:rsidR="00964C36" w:rsidRDefault="00964C36" w:rsidP="00964C36">
      <w:pPr>
        <w:pStyle w:val="Annexetitre"/>
        <w:rPr>
          <w:noProof/>
        </w:rPr>
      </w:pPr>
      <w:bookmarkStart w:id="1" w:name="_GoBack"/>
      <w:bookmarkEnd w:id="1"/>
      <w:r>
        <w:rPr>
          <w:noProof/>
        </w:rPr>
        <w:lastRenderedPageBreak/>
        <w:t>DRAFT</w:t>
      </w:r>
      <w:r w:rsidRPr="00E57511">
        <w:rPr>
          <w:noProof/>
        </w:rPr>
        <w:t xml:space="preserve"> </w:t>
      </w:r>
    </w:p>
    <w:p w14:paraId="6052DC20" w14:textId="77777777" w:rsidR="00964C36" w:rsidRDefault="00964C36" w:rsidP="00964C36">
      <w:pPr>
        <w:rPr>
          <w:noProof/>
        </w:rPr>
      </w:pPr>
    </w:p>
    <w:p w14:paraId="65D3986E" w14:textId="77777777" w:rsidR="00964C36" w:rsidRDefault="00964C36" w:rsidP="00964C36">
      <w:pPr>
        <w:rPr>
          <w:noProof/>
        </w:rPr>
      </w:pPr>
    </w:p>
    <w:p w14:paraId="018BA7E1" w14:textId="77777777" w:rsidR="00964C36" w:rsidRDefault="00964C36" w:rsidP="00964C36">
      <w:pPr>
        <w:rPr>
          <w:noProof/>
        </w:rPr>
      </w:pPr>
      <w:r>
        <w:rPr>
          <w:noProof/>
        </w:rPr>
        <w:t>DECISION No …/2026 OF THE JOINT COMMITTEE ESTABLISHED BY THE AGREEMENT ON THE WITHDRAWAL OF THE UNITED KINGDOM OF GREAT BRITAIN AND NORTHERN IRELAND FROM THE EUROPEAN UNION AND THE EUROPEAN ATOMIC ENERGY COMMUNITY</w:t>
      </w:r>
    </w:p>
    <w:p w14:paraId="65B41623" w14:textId="77777777" w:rsidR="00964C36" w:rsidRDefault="00964C36" w:rsidP="00964C36">
      <w:pPr>
        <w:rPr>
          <w:noProof/>
        </w:rPr>
      </w:pPr>
    </w:p>
    <w:p w14:paraId="48C22DC8" w14:textId="77777777" w:rsidR="00964C36" w:rsidRDefault="00964C36" w:rsidP="00964C36">
      <w:pPr>
        <w:rPr>
          <w:noProof/>
        </w:rPr>
      </w:pPr>
      <w:r>
        <w:rPr>
          <w:noProof/>
        </w:rPr>
        <w:t>of …</w:t>
      </w:r>
    </w:p>
    <w:p w14:paraId="5C633AA1" w14:textId="77777777" w:rsidR="00964C36" w:rsidRDefault="00964C36" w:rsidP="00964C36">
      <w:pPr>
        <w:rPr>
          <w:noProof/>
        </w:rPr>
      </w:pPr>
    </w:p>
    <w:p w14:paraId="65CD1EAF" w14:textId="77777777" w:rsidR="00964C36" w:rsidRDefault="00964C36" w:rsidP="00964C36">
      <w:pPr>
        <w:rPr>
          <w:noProof/>
        </w:rPr>
      </w:pPr>
      <w:r>
        <w:rPr>
          <w:noProof/>
        </w:rPr>
        <w:t>amending Part I of Annex I to the Agreement on the withdrawal of the United Kingdom of Great Britain and Northern Ireland from the European Union and the European Atomic Energy Community</w:t>
      </w:r>
    </w:p>
    <w:p w14:paraId="091F0482" w14:textId="77777777" w:rsidR="00964C36" w:rsidRDefault="00964C36" w:rsidP="00964C36">
      <w:pPr>
        <w:rPr>
          <w:noProof/>
        </w:rPr>
      </w:pPr>
    </w:p>
    <w:p w14:paraId="05FC960B" w14:textId="77777777" w:rsidR="00964C36" w:rsidRDefault="00964C36" w:rsidP="00964C36">
      <w:pPr>
        <w:rPr>
          <w:noProof/>
        </w:rPr>
      </w:pPr>
      <w:r>
        <w:rPr>
          <w:noProof/>
        </w:rPr>
        <w:t>THE JOINT COMMITTEE,</w:t>
      </w:r>
    </w:p>
    <w:p w14:paraId="4614DAEB" w14:textId="77777777" w:rsidR="00964C36" w:rsidRDefault="00964C36" w:rsidP="00964C36">
      <w:pPr>
        <w:rPr>
          <w:noProof/>
        </w:rPr>
      </w:pPr>
    </w:p>
    <w:p w14:paraId="291F48AE" w14:textId="77777777" w:rsidR="00964C36" w:rsidRDefault="00964C36" w:rsidP="00964C36">
      <w:pPr>
        <w:rPr>
          <w:noProof/>
        </w:rPr>
      </w:pPr>
      <w:r>
        <w:rPr>
          <w:noProof/>
        </w:rPr>
        <w:t>Having regard to the Agreement on the withdrawal of the United Kingdom of Great Britain and Northern Ireland from the European Union and the European Atomic Energy Community</w:t>
      </w:r>
      <w:r>
        <w:rPr>
          <w:rStyle w:val="FootnoteReference"/>
          <w:noProof/>
        </w:rPr>
        <w:footnoteReference w:id="1"/>
      </w:r>
      <w:r>
        <w:rPr>
          <w:noProof/>
        </w:rPr>
        <w:t xml:space="preserve"> (the ‘Withdrawal Agreement’), and in particular Article 36(4) thereof,</w:t>
      </w:r>
    </w:p>
    <w:p w14:paraId="303416D9" w14:textId="77777777" w:rsidR="00964C36" w:rsidRDefault="00964C36" w:rsidP="00964C36">
      <w:pPr>
        <w:rPr>
          <w:noProof/>
        </w:rPr>
      </w:pPr>
    </w:p>
    <w:p w14:paraId="595D624A" w14:textId="77777777" w:rsidR="00964C36" w:rsidRDefault="00964C36" w:rsidP="00964C36">
      <w:pPr>
        <w:rPr>
          <w:noProof/>
        </w:rPr>
      </w:pPr>
      <w:r>
        <w:rPr>
          <w:noProof/>
        </w:rPr>
        <w:t>Whereas:</w:t>
      </w:r>
    </w:p>
    <w:p w14:paraId="6E909A74" w14:textId="77777777" w:rsidR="00964C36" w:rsidRDefault="00964C36" w:rsidP="00964C36">
      <w:pPr>
        <w:pStyle w:val="Point0number"/>
        <w:numPr>
          <w:ilvl w:val="0"/>
          <w:numId w:val="2"/>
        </w:numPr>
        <w:rPr>
          <w:noProof/>
        </w:rPr>
      </w:pPr>
      <w:r>
        <w:rPr>
          <w:noProof/>
        </w:rPr>
        <w:t xml:space="preserve">Article 36(4) of the Withdrawal Agreement empowers the Joint Committee established under Article 164(1) thereof (the ‘Joint Committee’) to adopt decisions amending </w:t>
      </w:r>
      <w:r w:rsidRPr="00FD071A">
        <w:rPr>
          <w:noProof/>
        </w:rPr>
        <w:t xml:space="preserve">Part I of Annex I </w:t>
      </w:r>
      <w:r>
        <w:rPr>
          <w:noProof/>
        </w:rPr>
        <w:t xml:space="preserve">to that Agreement, </w:t>
      </w:r>
      <w:r w:rsidRPr="00FD071A">
        <w:rPr>
          <w:noProof/>
        </w:rPr>
        <w:t>to reflect any new Decision or Recommendation a</w:t>
      </w:r>
      <w:r>
        <w:rPr>
          <w:noProof/>
        </w:rPr>
        <w:t>pproved</w:t>
      </w:r>
      <w:r w:rsidRPr="00FD071A">
        <w:rPr>
          <w:noProof/>
        </w:rPr>
        <w:t xml:space="preserve"> by the Administrative Commission for the Coordination of Social Security Systems</w:t>
      </w:r>
      <w:r>
        <w:rPr>
          <w:noProof/>
        </w:rPr>
        <w:t>. Pursuant to Article 166(2) of the Withdrawal Agreement, the decisions adopted by the Joint Committee are binding on the Union and the United Kingdom. The Union and the United Kingdom must implement such decisions, which shall have the same legal effect as the Withdrawal Agreement.</w:t>
      </w:r>
    </w:p>
    <w:p w14:paraId="3C8251B9" w14:textId="77777777" w:rsidR="00964C36" w:rsidRDefault="00964C36" w:rsidP="00964C36">
      <w:pPr>
        <w:pStyle w:val="Point0number"/>
        <w:numPr>
          <w:ilvl w:val="0"/>
          <w:numId w:val="3"/>
        </w:numPr>
        <w:rPr>
          <w:noProof/>
        </w:rPr>
      </w:pPr>
      <w:r>
        <w:rPr>
          <w:noProof/>
        </w:rPr>
        <w:t>In the interest of legal certainty, Part I of Annex I to the Withdrawal Agreement should be amended by adding four decisions of the Administrative Commission for the Coordination of Social Security Systems and by deleting two decisions which were replaced by two of the new decisions,</w:t>
      </w:r>
    </w:p>
    <w:p w14:paraId="6E85EA2A" w14:textId="77777777" w:rsidR="00964C36" w:rsidRDefault="00964C36" w:rsidP="00964C36">
      <w:pPr>
        <w:rPr>
          <w:noProof/>
        </w:rPr>
      </w:pPr>
    </w:p>
    <w:p w14:paraId="227543CC" w14:textId="77777777" w:rsidR="00964C36" w:rsidRDefault="00964C36" w:rsidP="00964C36">
      <w:pPr>
        <w:rPr>
          <w:noProof/>
        </w:rPr>
      </w:pPr>
      <w:r>
        <w:rPr>
          <w:noProof/>
        </w:rPr>
        <w:t>HAS ADOPTED THIS DECISION:</w:t>
      </w:r>
    </w:p>
    <w:p w14:paraId="07B6AA60" w14:textId="77777777" w:rsidR="00964C36" w:rsidRDefault="00964C36" w:rsidP="00964C36">
      <w:pPr>
        <w:rPr>
          <w:noProof/>
        </w:rPr>
      </w:pPr>
    </w:p>
    <w:p w14:paraId="05B2E05F" w14:textId="77777777" w:rsidR="00964C36" w:rsidRPr="00443CEF" w:rsidRDefault="00964C36" w:rsidP="00964C36">
      <w:pPr>
        <w:pStyle w:val="Text6"/>
        <w:rPr>
          <w:i/>
          <w:iCs/>
          <w:noProof/>
        </w:rPr>
      </w:pPr>
      <w:r w:rsidRPr="00443CEF">
        <w:rPr>
          <w:i/>
          <w:iCs/>
          <w:noProof/>
        </w:rPr>
        <w:t>Article 1</w:t>
      </w:r>
    </w:p>
    <w:p w14:paraId="3A565888" w14:textId="77777777" w:rsidR="00964C36" w:rsidRDefault="00964C36" w:rsidP="00964C36">
      <w:pPr>
        <w:rPr>
          <w:noProof/>
        </w:rPr>
      </w:pPr>
      <w:r w:rsidRPr="00C45A43">
        <w:rPr>
          <w:noProof/>
        </w:rPr>
        <w:t>Part I of Annex I to the Withdrawal Agreement is amended as follows</w:t>
      </w:r>
      <w:r>
        <w:rPr>
          <w:noProof/>
        </w:rPr>
        <w:t>:</w:t>
      </w:r>
    </w:p>
    <w:p w14:paraId="1D8F1FD7" w14:textId="77777777" w:rsidR="00964C36" w:rsidRDefault="00964C36" w:rsidP="00964C36">
      <w:pPr>
        <w:rPr>
          <w:noProof/>
        </w:rPr>
      </w:pPr>
    </w:p>
    <w:p w14:paraId="16C54B0F" w14:textId="77777777" w:rsidR="00964C36" w:rsidRDefault="00964C36" w:rsidP="00964C36">
      <w:pPr>
        <w:pStyle w:val="Point0number"/>
        <w:rPr>
          <w:noProof/>
        </w:rPr>
      </w:pPr>
      <w:r w:rsidRPr="00101510">
        <w:rPr>
          <w:noProof/>
        </w:rPr>
        <w:lastRenderedPageBreak/>
        <w:t xml:space="preserve">The following act </w:t>
      </w:r>
      <w:r>
        <w:rPr>
          <w:noProof/>
        </w:rPr>
        <w:t>is</w:t>
      </w:r>
      <w:r w:rsidRPr="00101510">
        <w:rPr>
          <w:noProof/>
        </w:rPr>
        <w:t xml:space="preserve"> added under </w:t>
      </w:r>
      <w:r>
        <w:rPr>
          <w:noProof/>
        </w:rPr>
        <w:t>“</w:t>
      </w:r>
      <w:r w:rsidRPr="002B6B86">
        <w:rPr>
          <w:noProof/>
        </w:rPr>
        <w:t>Electronic Data Exchange (E series)</w:t>
      </w:r>
      <w:r>
        <w:rPr>
          <w:noProof/>
        </w:rPr>
        <w:t>”:</w:t>
      </w:r>
    </w:p>
    <w:p w14:paraId="29DD2AA9" w14:textId="77777777" w:rsidR="00964C36" w:rsidRDefault="00964C36" w:rsidP="00964C36">
      <w:pPr>
        <w:pStyle w:val="Point0number"/>
        <w:numPr>
          <w:ilvl w:val="0"/>
          <w:numId w:val="4"/>
        </w:numPr>
        <w:rPr>
          <w:noProof/>
        </w:rPr>
      </w:pPr>
      <w:r w:rsidRPr="0086793C">
        <w:rPr>
          <w:noProof/>
        </w:rPr>
        <w:t xml:space="preserve">Decision </w:t>
      </w:r>
      <w:r>
        <w:rPr>
          <w:noProof/>
        </w:rPr>
        <w:t>No E8 of 14 March 2024 concerning the establishment of a change management procedure applying to details of the bodies defined in Article 1 of Regulation (EC) No 883/2004 of the European Parliament and of the Council which are listed in the electronic directory which is an inherent part of EESSI</w:t>
      </w:r>
      <w:r>
        <w:rPr>
          <w:rStyle w:val="FootnoteReference"/>
          <w:noProof/>
        </w:rPr>
        <w:footnoteReference w:id="2"/>
      </w:r>
      <w:r>
        <w:rPr>
          <w:noProof/>
        </w:rPr>
        <w:t>;</w:t>
      </w:r>
    </w:p>
    <w:p w14:paraId="24BA4F51" w14:textId="77777777" w:rsidR="00964C36" w:rsidRDefault="00964C36" w:rsidP="00964C36">
      <w:pPr>
        <w:pStyle w:val="Point0number"/>
        <w:rPr>
          <w:noProof/>
        </w:rPr>
      </w:pPr>
      <w:r w:rsidRPr="00101510">
        <w:rPr>
          <w:noProof/>
        </w:rPr>
        <w:t>The following acts are added under “Horizontal issues (H series)”</w:t>
      </w:r>
      <w:r>
        <w:rPr>
          <w:noProof/>
        </w:rPr>
        <w:t>:</w:t>
      </w:r>
    </w:p>
    <w:p w14:paraId="1A819990" w14:textId="77777777" w:rsidR="00964C36" w:rsidRDefault="00964C36" w:rsidP="00964C36">
      <w:pPr>
        <w:pStyle w:val="Point0number"/>
        <w:numPr>
          <w:ilvl w:val="0"/>
          <w:numId w:val="4"/>
        </w:numPr>
        <w:rPr>
          <w:noProof/>
        </w:rPr>
      </w:pPr>
      <w:r>
        <w:rPr>
          <w:noProof/>
        </w:rPr>
        <w:t>Decision No H14 of 21 June 2023 concerning the publication of the Guidance note on COVID-19 pandemic, the note on the interpretation of the application of Title II of Regulation (EC) No 883/2004 and Articles 67 and 70 of Regulation (EC) No 987/2009 during the COVID -19 pandemic, the Guidance note on telework applicable for the period between 1 July 2022 and 30 June 2023 and the Guidance note on telework applicable from 1 July 2023</w:t>
      </w:r>
      <w:r>
        <w:rPr>
          <w:rStyle w:val="FootnoteReference"/>
          <w:noProof/>
        </w:rPr>
        <w:footnoteReference w:id="3"/>
      </w:r>
      <w:r>
        <w:rPr>
          <w:noProof/>
        </w:rPr>
        <w:t>;</w:t>
      </w:r>
    </w:p>
    <w:p w14:paraId="78ECF98F" w14:textId="77777777" w:rsidR="00964C36" w:rsidRDefault="00964C36" w:rsidP="00964C36">
      <w:pPr>
        <w:pStyle w:val="Point0number"/>
        <w:numPr>
          <w:ilvl w:val="0"/>
          <w:numId w:val="4"/>
        </w:numPr>
        <w:rPr>
          <w:noProof/>
        </w:rPr>
      </w:pPr>
      <w:r>
        <w:rPr>
          <w:noProof/>
        </w:rPr>
        <w:t>Decision No H 15 of 27 June 2024 concerning the methods of operation and the composition of the Technical Commission for Data Processing of the Administrative Commission for the Coordination of Social Security Systems</w:t>
      </w:r>
      <w:r>
        <w:rPr>
          <w:rStyle w:val="FootnoteReference"/>
          <w:noProof/>
        </w:rPr>
        <w:footnoteReference w:id="4"/>
      </w:r>
      <w:r>
        <w:rPr>
          <w:noProof/>
        </w:rPr>
        <w:t>;</w:t>
      </w:r>
    </w:p>
    <w:p w14:paraId="362ED165" w14:textId="77777777" w:rsidR="00964C36" w:rsidRDefault="00964C36" w:rsidP="00964C36">
      <w:pPr>
        <w:pStyle w:val="Point0number"/>
        <w:rPr>
          <w:noProof/>
        </w:rPr>
      </w:pPr>
      <w:r w:rsidRPr="00101510">
        <w:rPr>
          <w:noProof/>
        </w:rPr>
        <w:t xml:space="preserve">The following act </w:t>
      </w:r>
      <w:r>
        <w:rPr>
          <w:noProof/>
        </w:rPr>
        <w:t>is</w:t>
      </w:r>
      <w:r w:rsidRPr="00101510">
        <w:rPr>
          <w:noProof/>
        </w:rPr>
        <w:t xml:space="preserve"> added under</w:t>
      </w:r>
      <w:r>
        <w:rPr>
          <w:noProof/>
        </w:rPr>
        <w:t xml:space="preserve"> “</w:t>
      </w:r>
      <w:r w:rsidRPr="002B6B86">
        <w:rPr>
          <w:noProof/>
        </w:rPr>
        <w:t>Sickness (S series)</w:t>
      </w:r>
      <w:r>
        <w:rPr>
          <w:noProof/>
        </w:rPr>
        <w:t>”:</w:t>
      </w:r>
    </w:p>
    <w:p w14:paraId="3D23DFA4" w14:textId="77777777" w:rsidR="00964C36" w:rsidRDefault="00964C36" w:rsidP="00964C36">
      <w:pPr>
        <w:pStyle w:val="Point0number"/>
        <w:numPr>
          <w:ilvl w:val="0"/>
          <w:numId w:val="4"/>
        </w:numPr>
        <w:rPr>
          <w:noProof/>
        </w:rPr>
      </w:pPr>
      <w:bookmarkStart w:id="3" w:name="_Hlk231291082"/>
      <w:r>
        <w:rPr>
          <w:noProof/>
        </w:rPr>
        <w:t>Decision No S12 of 16 October 2024 concerning the reimbursement of healthcare in connection to patients’ transfer to another Member State in case of mass casualties following disasters</w:t>
      </w:r>
      <w:bookmarkEnd w:id="3"/>
      <w:r>
        <w:rPr>
          <w:rStyle w:val="FootnoteReference"/>
          <w:noProof/>
        </w:rPr>
        <w:footnoteReference w:id="5"/>
      </w:r>
      <w:r>
        <w:rPr>
          <w:noProof/>
        </w:rPr>
        <w:t>;</w:t>
      </w:r>
    </w:p>
    <w:p w14:paraId="24476927" w14:textId="77777777" w:rsidR="00964C36" w:rsidRDefault="00964C36" w:rsidP="00964C36">
      <w:pPr>
        <w:pStyle w:val="Point0number"/>
        <w:rPr>
          <w:noProof/>
        </w:rPr>
      </w:pPr>
      <w:r w:rsidRPr="00101510">
        <w:rPr>
          <w:noProof/>
        </w:rPr>
        <w:t>The following act under “</w:t>
      </w:r>
      <w:r w:rsidRPr="002B6B86">
        <w:rPr>
          <w:noProof/>
        </w:rPr>
        <w:t>Electronic Data Exchange (E series)</w:t>
      </w:r>
      <w:r w:rsidRPr="00101510">
        <w:rPr>
          <w:noProof/>
        </w:rPr>
        <w:t xml:space="preserve">” </w:t>
      </w:r>
      <w:r>
        <w:rPr>
          <w:noProof/>
        </w:rPr>
        <w:t>is</w:t>
      </w:r>
      <w:r w:rsidRPr="00101510">
        <w:rPr>
          <w:noProof/>
        </w:rPr>
        <w:t xml:space="preserve"> deleted</w:t>
      </w:r>
      <w:r>
        <w:rPr>
          <w:noProof/>
        </w:rPr>
        <w:t>:</w:t>
      </w:r>
    </w:p>
    <w:p w14:paraId="6299B716" w14:textId="77777777" w:rsidR="00964C36" w:rsidRDefault="00964C36" w:rsidP="00964C36">
      <w:pPr>
        <w:pStyle w:val="Point0number"/>
        <w:numPr>
          <w:ilvl w:val="0"/>
          <w:numId w:val="4"/>
        </w:numPr>
        <w:rPr>
          <w:noProof/>
        </w:rPr>
      </w:pPr>
      <w:bookmarkStart w:id="5" w:name="_Hlk231291266"/>
      <w:r>
        <w:rPr>
          <w:noProof/>
        </w:rPr>
        <w:t>Decision No E2 of 3 March 2010 concerning the establishment of a change management procedure applying to details of the bodies defined in Article 1 of Regulation (EC) No 883/2004 of the European Parliament and of the Council which are listed in the electronic directory which is an inherent part of EESSI</w:t>
      </w:r>
      <w:bookmarkEnd w:id="5"/>
      <w:r>
        <w:rPr>
          <w:rStyle w:val="FootnoteReference"/>
          <w:noProof/>
        </w:rPr>
        <w:footnoteReference w:id="6"/>
      </w:r>
      <w:r>
        <w:rPr>
          <w:noProof/>
        </w:rPr>
        <w:t>;</w:t>
      </w:r>
    </w:p>
    <w:p w14:paraId="3E11B07E" w14:textId="77777777" w:rsidR="00964C36" w:rsidRDefault="00964C36" w:rsidP="00964C36">
      <w:pPr>
        <w:pStyle w:val="Point0number"/>
        <w:rPr>
          <w:noProof/>
        </w:rPr>
      </w:pPr>
      <w:r w:rsidRPr="00101510">
        <w:rPr>
          <w:noProof/>
        </w:rPr>
        <w:t xml:space="preserve">The following act under “Horizontal issues (H series)” </w:t>
      </w:r>
      <w:r>
        <w:rPr>
          <w:noProof/>
        </w:rPr>
        <w:t>is</w:t>
      </w:r>
      <w:r w:rsidRPr="00101510">
        <w:rPr>
          <w:noProof/>
        </w:rPr>
        <w:t xml:space="preserve"> deleted:</w:t>
      </w:r>
    </w:p>
    <w:p w14:paraId="47ACA206" w14:textId="77777777" w:rsidR="00964C36" w:rsidRDefault="00964C36" w:rsidP="00964C36">
      <w:pPr>
        <w:pStyle w:val="Point0number"/>
        <w:numPr>
          <w:ilvl w:val="0"/>
          <w:numId w:val="4"/>
        </w:numPr>
        <w:rPr>
          <w:noProof/>
        </w:rPr>
      </w:pPr>
      <w:bookmarkStart w:id="6" w:name="_Hlk231291292"/>
      <w:r>
        <w:rPr>
          <w:noProof/>
        </w:rPr>
        <w:t>Decision No H10 of 21 October 2020 concerning the methods of operation and the composition of the Technical Commission for Data Processing of the Administrative Commission for the Coordination of Social Security Systems</w:t>
      </w:r>
      <w:bookmarkEnd w:id="6"/>
      <w:r>
        <w:rPr>
          <w:rStyle w:val="FootnoteReference"/>
          <w:noProof/>
        </w:rPr>
        <w:footnoteReference w:id="7"/>
      </w:r>
      <w:r>
        <w:rPr>
          <w:noProof/>
        </w:rPr>
        <w:t>.</w:t>
      </w:r>
    </w:p>
    <w:p w14:paraId="44D08843" w14:textId="77777777" w:rsidR="00964C36" w:rsidRDefault="00964C36" w:rsidP="00964C36">
      <w:pPr>
        <w:rPr>
          <w:noProof/>
        </w:rPr>
      </w:pPr>
    </w:p>
    <w:p w14:paraId="0F084224" w14:textId="77777777" w:rsidR="00964C36" w:rsidRPr="00443CEF" w:rsidRDefault="00964C36" w:rsidP="00964C36">
      <w:pPr>
        <w:pStyle w:val="Text6"/>
        <w:rPr>
          <w:i/>
          <w:iCs/>
          <w:noProof/>
        </w:rPr>
      </w:pPr>
      <w:r w:rsidRPr="00443CEF">
        <w:rPr>
          <w:i/>
          <w:iCs/>
          <w:noProof/>
        </w:rPr>
        <w:t>Article 2</w:t>
      </w:r>
    </w:p>
    <w:p w14:paraId="4ADE23B6" w14:textId="77777777" w:rsidR="00964C36" w:rsidRDefault="00964C36" w:rsidP="00964C36">
      <w:pPr>
        <w:rPr>
          <w:noProof/>
        </w:rPr>
      </w:pPr>
      <w:r w:rsidRPr="000F197B">
        <w:rPr>
          <w:noProof/>
        </w:rPr>
        <w:t>This Decision shall enter into force on the day following that of its adoption</w:t>
      </w:r>
      <w:r>
        <w:rPr>
          <w:noProof/>
        </w:rPr>
        <w:t>.</w:t>
      </w:r>
    </w:p>
    <w:p w14:paraId="470CE5A4" w14:textId="77777777" w:rsidR="00964C36" w:rsidRDefault="00964C36" w:rsidP="00964C36">
      <w:pPr>
        <w:rPr>
          <w:noProof/>
        </w:rPr>
      </w:pPr>
    </w:p>
    <w:p w14:paraId="54D2AD54" w14:textId="77777777" w:rsidR="00964C36" w:rsidRDefault="00964C36" w:rsidP="00964C36">
      <w:pPr>
        <w:rPr>
          <w:noProof/>
        </w:rPr>
      </w:pPr>
      <w:r>
        <w:rPr>
          <w:noProof/>
        </w:rPr>
        <w:t>Done at …,</w:t>
      </w:r>
    </w:p>
    <w:p w14:paraId="315046CF" w14:textId="77777777" w:rsidR="00964C36" w:rsidRDefault="00964C36" w:rsidP="00964C36">
      <w:pPr>
        <w:rPr>
          <w:noProof/>
        </w:rPr>
      </w:pPr>
    </w:p>
    <w:p w14:paraId="6FB93E20" w14:textId="77777777" w:rsidR="00964C36" w:rsidRDefault="00964C36" w:rsidP="00964C36">
      <w:pPr>
        <w:rPr>
          <w:noProof/>
        </w:rPr>
      </w:pPr>
      <w:r>
        <w:rPr>
          <w:noProof/>
        </w:rPr>
        <w:t xml:space="preserve">For the Joint Committee </w:t>
      </w:r>
    </w:p>
    <w:p w14:paraId="25E90893" w14:textId="66A13E32" w:rsidR="00D26C5D" w:rsidRDefault="00964C36">
      <w:pPr>
        <w:rPr>
          <w:noProof/>
        </w:rPr>
      </w:pPr>
      <w:r>
        <w:rPr>
          <w:noProof/>
        </w:rPr>
        <w:t>The Co-chairs</w:t>
      </w:r>
    </w:p>
    <w:sectPr w:rsidR="00D26C5D" w:rsidSect="00964C36">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03E7E" w14:textId="77777777" w:rsidR="00964C36" w:rsidRDefault="00964C36" w:rsidP="00964C36">
      <w:pPr>
        <w:spacing w:before="0" w:after="0"/>
      </w:pPr>
      <w:r>
        <w:separator/>
      </w:r>
    </w:p>
  </w:endnote>
  <w:endnote w:type="continuationSeparator" w:id="0">
    <w:p w14:paraId="13703BD1" w14:textId="77777777" w:rsidR="00964C36" w:rsidRDefault="00964C36" w:rsidP="00964C3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A9F5A" w14:textId="2FD2FAD1" w:rsidR="00D85C38" w:rsidRPr="00D85C38" w:rsidRDefault="00D85C38" w:rsidP="00D85C38">
    <w:pPr>
      <w:pStyle w:val="FooterCoverPage"/>
      <w:rPr>
        <w:rFonts w:ascii="Arial" w:hAnsi="Arial" w:cs="Arial"/>
        <w:b/>
        <w:sz w:val="48"/>
      </w:rPr>
    </w:pPr>
    <w:r w:rsidRPr="00D85C38">
      <w:rPr>
        <w:rFonts w:ascii="Arial" w:hAnsi="Arial" w:cs="Arial"/>
        <w:b/>
        <w:sz w:val="48"/>
      </w:rPr>
      <w:t>EN</w:t>
    </w:r>
    <w:r w:rsidRPr="00D85C38">
      <w:rPr>
        <w:rFonts w:ascii="Arial" w:hAnsi="Arial" w:cs="Arial"/>
        <w:b/>
        <w:sz w:val="48"/>
      </w:rPr>
      <w:tab/>
    </w:r>
    <w:r w:rsidRPr="00D85C38">
      <w:rPr>
        <w:rFonts w:ascii="Arial" w:hAnsi="Arial" w:cs="Arial"/>
        <w:b/>
        <w:sz w:val="48"/>
      </w:rPr>
      <w:tab/>
    </w:r>
    <w:r w:rsidRPr="00D85C38">
      <w:tab/>
    </w:r>
    <w:r w:rsidRPr="00D85C3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BE385" w14:textId="3439ACC6" w:rsidR="00D85C38" w:rsidRPr="00D85C38" w:rsidRDefault="00D85C38" w:rsidP="00D85C38">
    <w:pPr>
      <w:pStyle w:val="FooterCoverPage"/>
      <w:rPr>
        <w:rFonts w:ascii="Arial" w:hAnsi="Arial" w:cs="Arial"/>
        <w:b/>
        <w:sz w:val="48"/>
      </w:rPr>
    </w:pPr>
    <w:r w:rsidRPr="00D85C38">
      <w:rPr>
        <w:rFonts w:ascii="Arial" w:hAnsi="Arial" w:cs="Arial"/>
        <w:b/>
        <w:sz w:val="48"/>
      </w:rPr>
      <w:t>EN</w:t>
    </w:r>
    <w:r w:rsidRPr="00D85C38">
      <w:rPr>
        <w:rFonts w:ascii="Arial" w:hAnsi="Arial" w:cs="Arial"/>
        <w:b/>
        <w:sz w:val="48"/>
      </w:rPr>
      <w:tab/>
    </w:r>
    <w:r w:rsidRPr="00D85C38">
      <w:rPr>
        <w:rFonts w:ascii="Arial" w:hAnsi="Arial" w:cs="Arial"/>
        <w:b/>
        <w:sz w:val="48"/>
      </w:rPr>
      <w:tab/>
    </w:r>
    <w:r w:rsidRPr="00D85C38">
      <w:tab/>
    </w:r>
    <w:r w:rsidRPr="00D85C3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54EBE" w14:textId="77777777" w:rsidR="00D85C38" w:rsidRPr="00D85C38" w:rsidRDefault="00D85C38" w:rsidP="00D85C3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D66F4" w14:textId="77777777" w:rsidR="00964C36" w:rsidRPr="009D310F" w:rsidRDefault="00964C36" w:rsidP="009D310F">
    <w:pPr>
      <w:pStyle w:val="Footer"/>
      <w:rPr>
        <w:rFonts w:ascii="Arial" w:hAnsi="Arial" w:cs="Arial"/>
        <w:b/>
        <w:sz w:val="48"/>
      </w:rPr>
    </w:pPr>
    <w:r w:rsidRPr="009D310F">
      <w:rPr>
        <w:rFonts w:ascii="Arial" w:hAnsi="Arial" w:cs="Arial"/>
        <w:b/>
        <w:sz w:val="48"/>
      </w:rPr>
      <w:t>EN</w:t>
    </w:r>
    <w:r w:rsidRPr="009D310F">
      <w:rPr>
        <w:rFonts w:ascii="Arial" w:hAnsi="Arial" w:cs="Arial"/>
        <w:b/>
        <w:sz w:val="48"/>
      </w:rPr>
      <w:tab/>
    </w:r>
    <w:r w:rsidRPr="009D310F">
      <w:rPr>
        <w:rFonts w:ascii="Arial" w:hAnsi="Arial" w:cs="Arial"/>
        <w:b/>
        <w:sz w:val="48"/>
      </w:rPr>
      <w:tab/>
    </w:r>
    <w:r w:rsidRPr="009D310F">
      <w:tab/>
    </w:r>
    <w:r w:rsidRPr="009D310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FC3F4" w14:textId="7C720C4C" w:rsidR="00964C36" w:rsidRPr="00BC4A76" w:rsidRDefault="00964C36" w:rsidP="00BC4A76">
    <w:pPr>
      <w:pStyle w:val="Footer"/>
      <w:rPr>
        <w:rFonts w:ascii="Arial" w:hAnsi="Arial" w:cs="Arial"/>
        <w:b/>
        <w:sz w:val="48"/>
      </w:rPr>
    </w:pPr>
    <w:r w:rsidRPr="00BC4A76">
      <w:rPr>
        <w:rFonts w:ascii="Arial" w:hAnsi="Arial" w:cs="Arial"/>
        <w:b/>
        <w:sz w:val="48"/>
      </w:rPr>
      <w:t>EN</w:t>
    </w:r>
    <w:r w:rsidRPr="00BC4A76">
      <w:rPr>
        <w:rFonts w:ascii="Arial" w:hAnsi="Arial" w:cs="Arial"/>
        <w:b/>
        <w:sz w:val="48"/>
      </w:rPr>
      <w:tab/>
    </w:r>
    <w:r>
      <w:fldChar w:fldCharType="begin"/>
    </w:r>
    <w:r>
      <w:instrText xml:space="preserve"> PAGE  \* MERGEFORMAT </w:instrText>
    </w:r>
    <w:r>
      <w:fldChar w:fldCharType="separate"/>
    </w:r>
    <w:r w:rsidR="00D85C38">
      <w:rPr>
        <w:noProof/>
      </w:rPr>
      <w:t>1</w:t>
    </w:r>
    <w:r>
      <w:fldChar w:fldCharType="end"/>
    </w:r>
    <w:r>
      <w:tab/>
    </w:r>
    <w:r w:rsidRPr="00BC4A76">
      <w:tab/>
    </w:r>
    <w:r w:rsidRPr="00BC4A76">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D27B2" w14:textId="77777777" w:rsidR="00964C36" w:rsidRDefault="00964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E028D" w14:textId="77777777" w:rsidR="00964C36" w:rsidRDefault="00964C36" w:rsidP="00964C36">
      <w:pPr>
        <w:spacing w:before="0" w:after="0"/>
      </w:pPr>
      <w:r>
        <w:separator/>
      </w:r>
    </w:p>
  </w:footnote>
  <w:footnote w:type="continuationSeparator" w:id="0">
    <w:p w14:paraId="38EECA9C" w14:textId="77777777" w:rsidR="00964C36" w:rsidRDefault="00964C36" w:rsidP="00964C36">
      <w:pPr>
        <w:spacing w:before="0" w:after="0"/>
      </w:pPr>
      <w:r>
        <w:continuationSeparator/>
      </w:r>
    </w:p>
  </w:footnote>
  <w:footnote w:id="1">
    <w:p w14:paraId="4FEC1B8F" w14:textId="274C8061" w:rsidR="00964C36" w:rsidRPr="00443CEF" w:rsidRDefault="00964C36" w:rsidP="00964C36">
      <w:pPr>
        <w:pStyle w:val="FootnoteText"/>
        <w:rPr>
          <w:lang w:val="nl-BE"/>
        </w:rPr>
      </w:pPr>
      <w:r w:rsidRPr="00F32281">
        <w:rPr>
          <w:rStyle w:val="FootnoteReference"/>
        </w:rPr>
        <w:footnoteRef/>
      </w:r>
      <w:r w:rsidR="00D37908">
        <w:t xml:space="preserve"> </w:t>
      </w:r>
      <w:r w:rsidRPr="00ED31B9">
        <w:rPr>
          <w:lang w:val="da-DK"/>
        </w:rPr>
        <w:t>OJ L 29, 31.1.2020, p. 7, ELI: </w:t>
      </w:r>
      <w:hyperlink r:id="rId1" w:history="1">
        <w:r w:rsidRPr="00340C9B">
          <w:rPr>
            <w:rStyle w:val="Hyperlink"/>
            <w:lang w:val="da-DK"/>
          </w:rPr>
          <w:t>http://data.europa.eu/eli/treaty/withd_2020/sign</w:t>
        </w:r>
      </w:hyperlink>
      <w:r>
        <w:t>.</w:t>
      </w:r>
    </w:p>
  </w:footnote>
  <w:footnote w:id="2">
    <w:p w14:paraId="2FEA1451" w14:textId="77777777" w:rsidR="00964C36" w:rsidRPr="00E80AEB" w:rsidRDefault="00964C36" w:rsidP="00964C36">
      <w:pPr>
        <w:pStyle w:val="FootnoteText"/>
        <w:rPr>
          <w:lang w:val="en-IE"/>
        </w:rPr>
      </w:pPr>
      <w:r w:rsidRPr="00E80AEB">
        <w:rPr>
          <w:rStyle w:val="FootnoteReference"/>
        </w:rPr>
        <w:footnoteRef/>
      </w:r>
      <w:r w:rsidRPr="00E80AEB">
        <w:t xml:space="preserve"> OJ C, C/2024/6842, 12.11.2024, ELI: </w:t>
      </w:r>
      <w:hyperlink r:id="rId2" w:tgtFrame="_blank" w:tooltip="Gives access to this document through its ELI URI." w:history="1">
        <w:r w:rsidRPr="00E80AEB">
          <w:rPr>
            <w:rStyle w:val="Hyperlink"/>
          </w:rPr>
          <w:t>http://data.europa.eu/eli/C/2024/6842/oj</w:t>
        </w:r>
      </w:hyperlink>
      <w:r w:rsidRPr="00E80AEB">
        <w:t>.</w:t>
      </w:r>
    </w:p>
  </w:footnote>
  <w:footnote w:id="3">
    <w:p w14:paraId="421A3953" w14:textId="77777777" w:rsidR="00964C36" w:rsidRPr="00AB0B65" w:rsidRDefault="00964C36" w:rsidP="00964C36">
      <w:pPr>
        <w:pStyle w:val="FootnoteText"/>
        <w:rPr>
          <w:lang w:val="en-IE"/>
        </w:rPr>
      </w:pPr>
      <w:r>
        <w:rPr>
          <w:rStyle w:val="FootnoteReference"/>
        </w:rPr>
        <w:footnoteRef/>
      </w:r>
      <w:r>
        <w:t xml:space="preserve"> </w:t>
      </w:r>
      <w:r w:rsidRPr="00AB0B65">
        <w:t>OJ C, C/2024/594, 11.1.2024, ELI: </w:t>
      </w:r>
      <w:hyperlink r:id="rId3" w:tgtFrame="_blank" w:tooltip="Gives access to this document through its ELI URI." w:history="1">
        <w:r w:rsidRPr="00AB0B65">
          <w:rPr>
            <w:rStyle w:val="Hyperlink"/>
          </w:rPr>
          <w:t>http://data.europa.eu/eli/C/2024/594/oj</w:t>
        </w:r>
      </w:hyperlink>
      <w:r>
        <w:t>.</w:t>
      </w:r>
    </w:p>
  </w:footnote>
  <w:footnote w:id="4">
    <w:p w14:paraId="0315ED16" w14:textId="77777777" w:rsidR="00964C36" w:rsidRPr="000A52B8" w:rsidRDefault="00964C36" w:rsidP="00964C36">
      <w:pPr>
        <w:pStyle w:val="FootnoteText"/>
        <w:rPr>
          <w:lang w:val="en-IE"/>
        </w:rPr>
      </w:pPr>
      <w:r>
        <w:rPr>
          <w:rStyle w:val="FootnoteReference"/>
        </w:rPr>
        <w:footnoteRef/>
      </w:r>
      <w:r>
        <w:t xml:space="preserve"> </w:t>
      </w:r>
      <w:bookmarkStart w:id="2" w:name="_Hlk231291030"/>
      <w:r w:rsidRPr="000076FE">
        <w:t>OJ C, C/2024/6845, 14.11.2024, ELI: </w:t>
      </w:r>
      <w:hyperlink r:id="rId4" w:tgtFrame="_blank" w:tooltip="Gives access to this document through its ELI URI." w:history="1">
        <w:r w:rsidRPr="000076FE">
          <w:rPr>
            <w:rStyle w:val="Hyperlink"/>
          </w:rPr>
          <w:t>http://data.europa.eu/eli/C/2024/6845/oj</w:t>
        </w:r>
      </w:hyperlink>
      <w:bookmarkEnd w:id="2"/>
      <w:r>
        <w:t>.</w:t>
      </w:r>
      <w:r w:rsidRPr="000076FE">
        <w:t> </w:t>
      </w:r>
    </w:p>
  </w:footnote>
  <w:footnote w:id="5">
    <w:p w14:paraId="7B3526DA" w14:textId="77777777" w:rsidR="00964C36" w:rsidRPr="007D65F3" w:rsidRDefault="00964C36" w:rsidP="00964C36">
      <w:pPr>
        <w:pStyle w:val="FootnoteText"/>
        <w:rPr>
          <w:lang w:val="en-IE"/>
        </w:rPr>
      </w:pPr>
      <w:r>
        <w:rPr>
          <w:rStyle w:val="FootnoteReference"/>
        </w:rPr>
        <w:footnoteRef/>
      </w:r>
      <w:r>
        <w:t xml:space="preserve"> </w:t>
      </w:r>
      <w:bookmarkStart w:id="4" w:name="_Hlk231291124"/>
      <w:r w:rsidRPr="007D65F3">
        <w:t>OJ C, C/2025/1598, 13.3.2025, ELI: </w:t>
      </w:r>
      <w:hyperlink r:id="rId5" w:tgtFrame="_blank" w:tooltip="Gives access to this document through its ELI URI." w:history="1">
        <w:r w:rsidRPr="007D65F3">
          <w:rPr>
            <w:rStyle w:val="Hyperlink"/>
          </w:rPr>
          <w:t>http://data.europa.eu/eli/C/2025/1598/oj</w:t>
        </w:r>
      </w:hyperlink>
      <w:bookmarkEnd w:id="4"/>
      <w:r>
        <w:t>.</w:t>
      </w:r>
    </w:p>
  </w:footnote>
  <w:footnote w:id="6">
    <w:p w14:paraId="41206C70" w14:textId="77777777" w:rsidR="00964C36" w:rsidRPr="008B248C" w:rsidRDefault="00964C36" w:rsidP="00964C36">
      <w:pPr>
        <w:pStyle w:val="FootnoteText"/>
        <w:rPr>
          <w:lang w:val="en-IE"/>
        </w:rPr>
      </w:pPr>
      <w:r>
        <w:rPr>
          <w:rStyle w:val="FootnoteReference"/>
        </w:rPr>
        <w:footnoteRef/>
      </w:r>
      <w:r>
        <w:t xml:space="preserve"> </w:t>
      </w:r>
      <w:hyperlink r:id="rId6" w:history="1">
        <w:r w:rsidRPr="00B91CFA">
          <w:rPr>
            <w:rStyle w:val="Hyperlink"/>
          </w:rPr>
          <w:t>OJ C 187, 10.7.2010, p. 5</w:t>
        </w:r>
      </w:hyperlink>
      <w:r>
        <w:t>.</w:t>
      </w:r>
    </w:p>
  </w:footnote>
  <w:footnote w:id="7">
    <w:p w14:paraId="13ECDD2E" w14:textId="77777777" w:rsidR="00964C36" w:rsidRPr="000E3B9A" w:rsidRDefault="00964C36" w:rsidP="00964C36">
      <w:pPr>
        <w:pStyle w:val="FootnoteText"/>
        <w:rPr>
          <w:lang w:val="en-IE"/>
        </w:rPr>
      </w:pPr>
      <w:r>
        <w:rPr>
          <w:rStyle w:val="FootnoteReference"/>
        </w:rPr>
        <w:footnoteRef/>
      </w:r>
      <w:r>
        <w:t xml:space="preserve"> </w:t>
      </w:r>
      <w:hyperlink r:id="rId7" w:history="1">
        <w:r w:rsidRPr="00B91CFA">
          <w:rPr>
            <w:rStyle w:val="Hyperlink"/>
          </w:rPr>
          <w:t>OJ C 89, 16.3.2021, p. 6</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A6B74" w14:textId="77777777" w:rsidR="00D85C38" w:rsidRPr="00D85C38" w:rsidRDefault="00D85C38" w:rsidP="00D85C3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EC7F7" w14:textId="77777777" w:rsidR="00D85C38" w:rsidRPr="00D85C38" w:rsidRDefault="00D85C38" w:rsidP="00D85C3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4B260" w14:textId="77777777" w:rsidR="00D85C38" w:rsidRPr="00D85C38" w:rsidRDefault="00D85C38" w:rsidP="00D85C3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8083F" w14:textId="77777777" w:rsidR="00964C36" w:rsidRDefault="00964C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83CAD" w14:textId="77777777" w:rsidR="00964C36" w:rsidRDefault="00964C3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729AF" w14:textId="77777777" w:rsidR="00964C36" w:rsidRDefault="00964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15:restartNumberingAfterBreak="0">
    <w:nsid w:val="49E52371"/>
    <w:multiLevelType w:val="hybridMultilevel"/>
    <w:tmpl w:val="F7784148"/>
    <w:lvl w:ilvl="0" w:tplc="67CA43C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BD6244C8-458E-48B4-96A7-572D18D92E02"/>
    <w:docVar w:name="LW_COVERPAGE_TYPE" w:val="1"/>
    <w:docVar w:name="LW_CROSSREFERENCE" w:val="&lt;UNUSED&gt;"/>
    <w:docVar w:name="LW_DocType" w:val="NORMAL"/>
    <w:docVar w:name="LW_EMISSION" w:val="27.7.2026"/>
    <w:docVar w:name="LW_EMISSION_ISODATE" w:val="2026-07-2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position to be taken on behalf of the European Union within the Joint Committee established by the Agreement on the withdrawal of the United Kingdom of Great Britain and Northern Ireland from the European Union and the European Atomic Energy Community as regards the adoption of a decision to amend Part I of Annex I to that Agreement"/>
    <w:docVar w:name="LW_PART_NBR" w:val="1"/>
    <w:docVar w:name="LW_PART_NBR_TOTAL" w:val="1"/>
    <w:docVar w:name="LW_REF.INST.NEW" w:val="COM"/>
    <w:docVar w:name="LW_REF.INST.NEW_ADOPTED" w:val="final"/>
    <w:docVar w:name="LW_REF.INST.NEW_TEXT" w:val="(2026) 40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964C36"/>
    <w:rsid w:val="000D1EDC"/>
    <w:rsid w:val="004711C2"/>
    <w:rsid w:val="005A0E5A"/>
    <w:rsid w:val="0062555F"/>
    <w:rsid w:val="007019A5"/>
    <w:rsid w:val="00724F0B"/>
    <w:rsid w:val="007A4295"/>
    <w:rsid w:val="0081694C"/>
    <w:rsid w:val="00832CA9"/>
    <w:rsid w:val="0086652F"/>
    <w:rsid w:val="00964C36"/>
    <w:rsid w:val="00A63B06"/>
    <w:rsid w:val="00A9429C"/>
    <w:rsid w:val="00AA2831"/>
    <w:rsid w:val="00B31E7A"/>
    <w:rsid w:val="00D26C5D"/>
    <w:rsid w:val="00D37908"/>
    <w:rsid w:val="00D85C38"/>
    <w:rsid w:val="00DF1942"/>
    <w:rsid w:val="00E31DFF"/>
    <w:rsid w:val="00E33FCA"/>
    <w:rsid w:val="00F203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16B339"/>
  <w15:chartTrackingRefBased/>
  <w15:docId w15:val="{5E7DB153-88B2-4EAA-BE60-C4EE086D6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C36"/>
    <w:pPr>
      <w:spacing w:before="120" w:after="120" w:line="240" w:lineRule="auto"/>
      <w:jc w:val="both"/>
    </w:pPr>
    <w:rPr>
      <w:rFonts w:ascii="Times New Roman" w:hAnsi="Times New Roman" w:cs="Times New Roman"/>
      <w:kern w:val="0"/>
      <w:sz w:val="24"/>
      <w:lang w:val="en-GB"/>
      <w14:ligatures w14:val="none"/>
    </w:rPr>
  </w:style>
  <w:style w:type="paragraph" w:styleId="Heading1">
    <w:name w:val="heading 1"/>
    <w:basedOn w:val="Normal"/>
    <w:next w:val="Normal"/>
    <w:link w:val="Heading1Char"/>
    <w:uiPriority w:val="9"/>
    <w:qFormat/>
    <w:rsid w:val="00964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C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C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C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C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C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C36"/>
    <w:rPr>
      <w:rFonts w:eastAsiaTheme="majorEastAsia" w:cstheme="majorBidi"/>
      <w:color w:val="272727" w:themeColor="text1" w:themeTint="D8"/>
    </w:rPr>
  </w:style>
  <w:style w:type="paragraph" w:styleId="Title">
    <w:name w:val="Title"/>
    <w:basedOn w:val="Normal"/>
    <w:next w:val="Normal"/>
    <w:link w:val="TitleChar"/>
    <w:uiPriority w:val="10"/>
    <w:qFormat/>
    <w:rsid w:val="00964C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C36"/>
    <w:pPr>
      <w:spacing w:before="160"/>
      <w:jc w:val="center"/>
    </w:pPr>
    <w:rPr>
      <w:i/>
      <w:iCs/>
      <w:color w:val="404040" w:themeColor="text1" w:themeTint="BF"/>
    </w:rPr>
  </w:style>
  <w:style w:type="character" w:customStyle="1" w:styleId="QuoteChar">
    <w:name w:val="Quote Char"/>
    <w:basedOn w:val="DefaultParagraphFont"/>
    <w:link w:val="Quote"/>
    <w:uiPriority w:val="29"/>
    <w:rsid w:val="00964C36"/>
    <w:rPr>
      <w:i/>
      <w:iCs/>
      <w:color w:val="404040" w:themeColor="text1" w:themeTint="BF"/>
    </w:rPr>
  </w:style>
  <w:style w:type="paragraph" w:styleId="ListParagraph">
    <w:name w:val="List Paragraph"/>
    <w:basedOn w:val="Normal"/>
    <w:uiPriority w:val="34"/>
    <w:qFormat/>
    <w:rsid w:val="00964C36"/>
    <w:pPr>
      <w:ind w:left="720"/>
      <w:contextualSpacing/>
    </w:pPr>
  </w:style>
  <w:style w:type="character" w:styleId="IntenseEmphasis">
    <w:name w:val="Intense Emphasis"/>
    <w:basedOn w:val="DefaultParagraphFont"/>
    <w:uiPriority w:val="21"/>
    <w:qFormat/>
    <w:rsid w:val="00964C36"/>
    <w:rPr>
      <w:i/>
      <w:iCs/>
      <w:color w:val="0F4761" w:themeColor="accent1" w:themeShade="BF"/>
    </w:rPr>
  </w:style>
  <w:style w:type="paragraph" w:styleId="IntenseQuote">
    <w:name w:val="Intense Quote"/>
    <w:basedOn w:val="Normal"/>
    <w:next w:val="Normal"/>
    <w:link w:val="IntenseQuoteChar"/>
    <w:uiPriority w:val="30"/>
    <w:qFormat/>
    <w:rsid w:val="00964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C36"/>
    <w:rPr>
      <w:i/>
      <w:iCs/>
      <w:color w:val="0F4761" w:themeColor="accent1" w:themeShade="BF"/>
    </w:rPr>
  </w:style>
  <w:style w:type="character" w:styleId="IntenseReference">
    <w:name w:val="Intense Reference"/>
    <w:basedOn w:val="DefaultParagraphFont"/>
    <w:uiPriority w:val="32"/>
    <w:qFormat/>
    <w:rsid w:val="00964C36"/>
    <w:rPr>
      <w:b/>
      <w:bCs/>
      <w:smallCaps/>
      <w:color w:val="0F4761" w:themeColor="accent1" w:themeShade="BF"/>
      <w:spacing w:val="5"/>
    </w:rPr>
  </w:style>
  <w:style w:type="character" w:styleId="Hyperlink">
    <w:name w:val="Hyperlink"/>
    <w:basedOn w:val="DefaultParagraphFont"/>
    <w:uiPriority w:val="99"/>
    <w:unhideWhenUsed/>
    <w:rsid w:val="00964C36"/>
    <w:rPr>
      <w:color w:val="467886" w:themeColor="hyperlink"/>
      <w:u w:val="single"/>
    </w:rPr>
  </w:style>
  <w:style w:type="paragraph" w:styleId="Header">
    <w:name w:val="header"/>
    <w:basedOn w:val="Normal"/>
    <w:link w:val="HeaderChar"/>
    <w:uiPriority w:val="99"/>
    <w:unhideWhenUsed/>
    <w:rsid w:val="00964C36"/>
    <w:pPr>
      <w:tabs>
        <w:tab w:val="center" w:pos="4535"/>
        <w:tab w:val="right" w:pos="9071"/>
      </w:tabs>
      <w:spacing w:before="0"/>
    </w:pPr>
  </w:style>
  <w:style w:type="character" w:customStyle="1" w:styleId="HeaderChar">
    <w:name w:val="Header Char"/>
    <w:basedOn w:val="DefaultParagraphFont"/>
    <w:link w:val="Header"/>
    <w:uiPriority w:val="99"/>
    <w:rsid w:val="00964C36"/>
    <w:rPr>
      <w:rFonts w:ascii="Times New Roman" w:hAnsi="Times New Roman" w:cs="Times New Roman"/>
      <w:kern w:val="0"/>
      <w:sz w:val="24"/>
      <w:lang w:val="en-GB"/>
      <w14:ligatures w14:val="none"/>
    </w:rPr>
  </w:style>
  <w:style w:type="paragraph" w:styleId="Footer">
    <w:name w:val="footer"/>
    <w:basedOn w:val="Normal"/>
    <w:link w:val="FooterChar"/>
    <w:uiPriority w:val="99"/>
    <w:unhideWhenUsed/>
    <w:rsid w:val="00964C3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964C36"/>
    <w:rPr>
      <w:rFonts w:ascii="Times New Roman" w:hAnsi="Times New Roman" w:cs="Times New Roman"/>
      <w:kern w:val="0"/>
      <w:sz w:val="24"/>
      <w:lang w:val="en-GB"/>
      <w14:ligatures w14:val="none"/>
    </w:rPr>
  </w:style>
  <w:style w:type="paragraph" w:styleId="FootnoteText">
    <w:name w:val="footnote text"/>
    <w:basedOn w:val="Normal"/>
    <w:link w:val="FootnoteTextChar"/>
    <w:uiPriority w:val="99"/>
    <w:semiHidden/>
    <w:unhideWhenUsed/>
    <w:rsid w:val="00964C3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64C36"/>
    <w:rPr>
      <w:rFonts w:ascii="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964C36"/>
    <w:rPr>
      <w:shd w:val="clear" w:color="auto" w:fill="auto"/>
      <w:vertAlign w:val="superscript"/>
    </w:rPr>
  </w:style>
  <w:style w:type="paragraph" w:customStyle="1" w:styleId="Text6">
    <w:name w:val="Text 6"/>
    <w:basedOn w:val="Normal"/>
    <w:rsid w:val="00964C36"/>
    <w:pPr>
      <w:ind w:left="3685"/>
    </w:pPr>
  </w:style>
  <w:style w:type="paragraph" w:customStyle="1" w:styleId="Point0number">
    <w:name w:val="Point 0 (number)"/>
    <w:basedOn w:val="Normal"/>
    <w:rsid w:val="00964C36"/>
    <w:pPr>
      <w:numPr>
        <w:numId w:val="1"/>
      </w:numPr>
    </w:pPr>
  </w:style>
  <w:style w:type="paragraph" w:customStyle="1" w:styleId="Point1number">
    <w:name w:val="Point 1 (number)"/>
    <w:basedOn w:val="Normal"/>
    <w:rsid w:val="00964C36"/>
    <w:pPr>
      <w:numPr>
        <w:ilvl w:val="2"/>
        <w:numId w:val="1"/>
      </w:numPr>
    </w:pPr>
  </w:style>
  <w:style w:type="paragraph" w:customStyle="1" w:styleId="Point2number">
    <w:name w:val="Point 2 (number)"/>
    <w:basedOn w:val="Normal"/>
    <w:rsid w:val="00964C36"/>
    <w:pPr>
      <w:numPr>
        <w:ilvl w:val="4"/>
        <w:numId w:val="1"/>
      </w:numPr>
    </w:pPr>
  </w:style>
  <w:style w:type="paragraph" w:customStyle="1" w:styleId="Point3number">
    <w:name w:val="Point 3 (number)"/>
    <w:basedOn w:val="Normal"/>
    <w:rsid w:val="00964C36"/>
    <w:pPr>
      <w:numPr>
        <w:ilvl w:val="6"/>
        <w:numId w:val="1"/>
      </w:numPr>
    </w:pPr>
  </w:style>
  <w:style w:type="paragraph" w:customStyle="1" w:styleId="Point0letter">
    <w:name w:val="Point 0 (letter)"/>
    <w:basedOn w:val="Normal"/>
    <w:rsid w:val="00964C36"/>
    <w:pPr>
      <w:numPr>
        <w:ilvl w:val="1"/>
        <w:numId w:val="1"/>
      </w:numPr>
    </w:pPr>
  </w:style>
  <w:style w:type="paragraph" w:customStyle="1" w:styleId="Point1letter">
    <w:name w:val="Point 1 (letter)"/>
    <w:basedOn w:val="Normal"/>
    <w:rsid w:val="00964C36"/>
    <w:pPr>
      <w:numPr>
        <w:ilvl w:val="3"/>
        <w:numId w:val="1"/>
      </w:numPr>
    </w:pPr>
  </w:style>
  <w:style w:type="paragraph" w:customStyle="1" w:styleId="Point2letter">
    <w:name w:val="Point 2 (letter)"/>
    <w:basedOn w:val="Normal"/>
    <w:rsid w:val="00964C36"/>
    <w:pPr>
      <w:numPr>
        <w:ilvl w:val="5"/>
        <w:numId w:val="1"/>
      </w:numPr>
    </w:pPr>
  </w:style>
  <w:style w:type="paragraph" w:customStyle="1" w:styleId="Point3letter">
    <w:name w:val="Point 3 (letter)"/>
    <w:basedOn w:val="Normal"/>
    <w:rsid w:val="00964C36"/>
    <w:pPr>
      <w:numPr>
        <w:ilvl w:val="7"/>
        <w:numId w:val="1"/>
      </w:numPr>
    </w:pPr>
  </w:style>
  <w:style w:type="paragraph" w:customStyle="1" w:styleId="Point4letter">
    <w:name w:val="Point 4 (letter)"/>
    <w:basedOn w:val="Normal"/>
    <w:rsid w:val="00964C36"/>
    <w:pPr>
      <w:numPr>
        <w:ilvl w:val="8"/>
        <w:numId w:val="1"/>
      </w:numPr>
    </w:pPr>
  </w:style>
  <w:style w:type="paragraph" w:customStyle="1" w:styleId="Annexetitre">
    <w:name w:val="Annexe titre"/>
    <w:basedOn w:val="Normal"/>
    <w:next w:val="Normal"/>
    <w:rsid w:val="00964C36"/>
    <w:pPr>
      <w:jc w:val="center"/>
    </w:pPr>
    <w:rPr>
      <w:b/>
      <w:u w:val="single"/>
    </w:rPr>
  </w:style>
  <w:style w:type="character" w:customStyle="1" w:styleId="Marker">
    <w:name w:val="Marker"/>
    <w:basedOn w:val="DefaultParagraphFont"/>
    <w:rsid w:val="00964C36"/>
    <w:rPr>
      <w:color w:val="0000FF"/>
      <w:shd w:val="clear" w:color="auto" w:fill="auto"/>
    </w:rPr>
  </w:style>
  <w:style w:type="paragraph" w:customStyle="1" w:styleId="Pagedecouverture">
    <w:name w:val="Page de couverture"/>
    <w:basedOn w:val="Normal"/>
    <w:next w:val="Normal"/>
    <w:link w:val="PagedecouvertureChar"/>
    <w:rsid w:val="00964C36"/>
    <w:pPr>
      <w:spacing w:before="0" w:after="0"/>
    </w:pPr>
  </w:style>
  <w:style w:type="paragraph" w:customStyle="1" w:styleId="FooterCoverPage">
    <w:name w:val="Footer Cover Page"/>
    <w:basedOn w:val="Normal"/>
    <w:link w:val="FooterCoverPageChar"/>
    <w:rsid w:val="00964C36"/>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964C36"/>
    <w:rPr>
      <w:rFonts w:ascii="Times New Roman" w:hAnsi="Times New Roman" w:cs="Times New Roman"/>
      <w:kern w:val="0"/>
      <w:sz w:val="24"/>
      <w:lang w:val="en-GB"/>
      <w14:ligatures w14:val="none"/>
    </w:rPr>
  </w:style>
  <w:style w:type="character" w:customStyle="1" w:styleId="FooterCoverPageChar">
    <w:name w:val="Footer Cover Page Char"/>
    <w:basedOn w:val="PagedecouvertureChar"/>
    <w:link w:val="FooterCoverPage"/>
    <w:rsid w:val="00964C36"/>
    <w:rPr>
      <w:rFonts w:ascii="Times New Roman" w:hAnsi="Times New Roman" w:cs="Times New Roman"/>
      <w:kern w:val="0"/>
      <w:sz w:val="24"/>
      <w:lang w:val="en-GB"/>
      <w14:ligatures w14:val="none"/>
    </w:rPr>
  </w:style>
  <w:style w:type="paragraph" w:customStyle="1" w:styleId="FooterSensitivity">
    <w:name w:val="Footer Sensitivity"/>
    <w:basedOn w:val="Normal"/>
    <w:link w:val="FooterSensitivityChar"/>
    <w:rsid w:val="00964C3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964C36"/>
    <w:rPr>
      <w:rFonts w:ascii="Times New Roman" w:hAnsi="Times New Roman" w:cs="Times New Roman"/>
      <w:b/>
      <w:kern w:val="0"/>
      <w:sz w:val="32"/>
      <w:lang w:val="en-GB"/>
      <w14:ligatures w14:val="none"/>
    </w:rPr>
  </w:style>
  <w:style w:type="paragraph" w:customStyle="1" w:styleId="HeaderCoverPage">
    <w:name w:val="Header Cover Page"/>
    <w:basedOn w:val="Normal"/>
    <w:link w:val="HeaderCoverPageChar"/>
    <w:rsid w:val="00964C36"/>
    <w:pPr>
      <w:tabs>
        <w:tab w:val="center" w:pos="4535"/>
        <w:tab w:val="right" w:pos="9071"/>
      </w:tabs>
      <w:spacing w:before="0"/>
    </w:pPr>
  </w:style>
  <w:style w:type="character" w:customStyle="1" w:styleId="HeaderCoverPageChar">
    <w:name w:val="Header Cover Page Char"/>
    <w:basedOn w:val="PagedecouvertureChar"/>
    <w:link w:val="HeaderCoverPage"/>
    <w:rsid w:val="00964C36"/>
    <w:rPr>
      <w:rFonts w:ascii="Times New Roman" w:hAnsi="Times New Roman" w:cs="Times New Roman"/>
      <w:kern w:val="0"/>
      <w:sz w:val="24"/>
      <w:lang w:val="en-GB"/>
      <w14:ligatures w14:val="none"/>
    </w:rPr>
  </w:style>
  <w:style w:type="paragraph" w:customStyle="1" w:styleId="HeaderSensitivity">
    <w:name w:val="Header Sensitivity"/>
    <w:basedOn w:val="Normal"/>
    <w:link w:val="HeaderSensitivityChar"/>
    <w:rsid w:val="00964C3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PagedecouvertureChar"/>
    <w:link w:val="HeaderSensitivity"/>
    <w:rsid w:val="00964C36"/>
    <w:rPr>
      <w:rFonts w:ascii="Times New Roman" w:hAnsi="Times New Roman" w:cs="Times New Roman"/>
      <w:b/>
      <w:kern w:val="0"/>
      <w:sz w:val="32"/>
      <w:lang w:val="en-GB"/>
      <w14:ligatures w14:val="none"/>
    </w:rPr>
  </w:style>
  <w:style w:type="paragraph" w:customStyle="1" w:styleId="HeaderSensitivityRight">
    <w:name w:val="Header Sensitivity Right"/>
    <w:basedOn w:val="Normal"/>
    <w:link w:val="HeaderSensitivityRightChar"/>
    <w:rsid w:val="00964C36"/>
    <w:pPr>
      <w:spacing w:before="0"/>
      <w:jc w:val="right"/>
    </w:pPr>
    <w:rPr>
      <w:sz w:val="28"/>
    </w:rPr>
  </w:style>
  <w:style w:type="character" w:customStyle="1" w:styleId="HeaderSensitivityRightChar">
    <w:name w:val="Header Sensitivity Right Char"/>
    <w:basedOn w:val="PagedecouvertureChar"/>
    <w:link w:val="HeaderSensitivityRight"/>
    <w:rsid w:val="00964C36"/>
    <w:rPr>
      <w:rFonts w:ascii="Times New Roman" w:hAnsi="Times New Roman" w:cs="Times New Roman"/>
      <w:kern w:val="0"/>
      <w:sz w:val="2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94/oj" TargetMode="External"/><Relationship Id="rId7" Type="http://schemas.openxmlformats.org/officeDocument/2006/relationships/hyperlink" Target="https://eur-lex.europa.eu/legal-content/EN/TXT/?uri=OJ%3AC%3A2021%3A089%3ATOC" TargetMode="External"/><Relationship Id="rId2" Type="http://schemas.openxmlformats.org/officeDocument/2006/relationships/hyperlink" Target="http://data.europa.eu/eli/C/2024/6842/oj" TargetMode="External"/><Relationship Id="rId1" Type="http://schemas.openxmlformats.org/officeDocument/2006/relationships/hyperlink" Target="http://data.europa.eu/eli/treaty/withd_2020/sign" TargetMode="External"/><Relationship Id="rId6" Type="http://schemas.openxmlformats.org/officeDocument/2006/relationships/hyperlink" Target="https://eur-lex.europa.eu/legal-content/EN/TXT/?uri=OJ%3AC%3A2010%3A187%3ATOC" TargetMode="External"/><Relationship Id="rId5" Type="http://schemas.openxmlformats.org/officeDocument/2006/relationships/hyperlink" Target="http://data.europa.eu/eli/C/2025/1598/oj" TargetMode="External"/><Relationship Id="rId4" Type="http://schemas.openxmlformats.org/officeDocument/2006/relationships/hyperlink" Target="http://data.europa.eu/eli/C/2024/68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578</Words>
  <Characters>3295</Characters>
  <Application>Microsoft Office Word</Application>
  <DocSecurity>0</DocSecurity>
  <Lines>27</Lines>
  <Paragraphs>7</Paragraphs>
  <ScaleCrop>false</ScaleCrop>
  <Manager/>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2026-07-08T10:29:00Z</dcterms:created>
  <dcterms:modified xsi:type="dcterms:W3CDTF">2026-07-24T16:40:00Z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2026-07-08T10:30:48Z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f1804ca2-11d0-4079-ad4d-8edc435e46fe</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