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D6290C" w14:textId="0EAB6F06" w:rsidR="00964C36" w:rsidRDefault="00AC2606" w:rsidP="00AC2606">
      <w:pPr>
        <w:pStyle w:val="Pagedecouverture"/>
        <w:rPr>
          <w:noProof/>
        </w:rPr>
      </w:pPr>
      <w:bookmarkStart w:id="0" w:name="LW_BM_COVERPAGE"/>
      <w:r>
        <w:rPr>
          <w:noProof/>
        </w:rPr>
        <w:pict w14:anchorId="22CFB9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67E4336-C2DE-42AA-959B-5DA6FBE5929B" style="width:455.25pt;height:400.5pt">
            <v:imagedata r:id="rId7" o:title=""/>
          </v:shape>
        </w:pict>
      </w:r>
    </w:p>
    <w:bookmarkEnd w:id="0"/>
    <w:p w14:paraId="2F9D15D2" w14:textId="77777777" w:rsidR="00964C36" w:rsidRDefault="00964C36" w:rsidP="00964C36">
      <w:pPr>
        <w:rPr>
          <w:noProof/>
        </w:rPr>
        <w:sectPr w:rsidR="00964C36" w:rsidSect="00AC2606">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14:paraId="283A516F" w14:textId="69F93794" w:rsidR="00964C36" w:rsidRDefault="00964C36" w:rsidP="00964C36">
      <w:pPr>
        <w:pStyle w:val="Annexetitre"/>
        <w:rPr>
          <w:noProof/>
        </w:rPr>
      </w:pPr>
      <w:bookmarkStart w:id="1" w:name="_GoBack"/>
      <w:bookmarkEnd w:id="1"/>
      <w:r>
        <w:rPr>
          <w:noProof/>
        </w:rPr>
        <w:lastRenderedPageBreak/>
        <w:t xml:space="preserve">PROJET </w:t>
      </w:r>
    </w:p>
    <w:p w14:paraId="6052DC20" w14:textId="77777777" w:rsidR="00964C36" w:rsidRDefault="00964C36" w:rsidP="00964C36">
      <w:pPr>
        <w:rPr>
          <w:noProof/>
        </w:rPr>
      </w:pPr>
    </w:p>
    <w:p w14:paraId="65D3986E" w14:textId="77777777" w:rsidR="00964C36" w:rsidRDefault="00964C36" w:rsidP="00964C36">
      <w:pPr>
        <w:rPr>
          <w:noProof/>
        </w:rPr>
      </w:pPr>
    </w:p>
    <w:p w14:paraId="018BA7E1" w14:textId="77777777" w:rsidR="00964C36" w:rsidRDefault="00964C36" w:rsidP="00964C36">
      <w:pPr>
        <w:rPr>
          <w:noProof/>
        </w:rPr>
      </w:pPr>
      <w:r>
        <w:rPr>
          <w:noProof/>
        </w:rPr>
        <w:t>DÉCISION Nº …/2026 DU COMITÉ MIXTE INSTITUÉ PAR L’ACCORD SUR LE RETRAIT DU ROYAUME-UNI DE GRANDE-BRETAGNE ET D’IRLANDE DU NORD DE L’UNION EUROPÉENNE ET DE LA COMMUNAUTÉ EUROPÉENNE DE L’ÉNERGIE ATOMIQUE</w:t>
      </w:r>
    </w:p>
    <w:p w14:paraId="65B41623" w14:textId="77777777" w:rsidR="00964C36" w:rsidRDefault="00964C36" w:rsidP="00964C36">
      <w:pPr>
        <w:rPr>
          <w:noProof/>
        </w:rPr>
      </w:pPr>
    </w:p>
    <w:p w14:paraId="48C22DC8" w14:textId="77777777" w:rsidR="00964C36" w:rsidRDefault="00964C36" w:rsidP="00964C36">
      <w:pPr>
        <w:rPr>
          <w:noProof/>
        </w:rPr>
      </w:pPr>
      <w:r>
        <w:rPr>
          <w:noProof/>
        </w:rPr>
        <w:t>du...</w:t>
      </w:r>
    </w:p>
    <w:p w14:paraId="5C633AA1" w14:textId="77777777" w:rsidR="00964C36" w:rsidRDefault="00964C36" w:rsidP="00964C36">
      <w:pPr>
        <w:rPr>
          <w:noProof/>
        </w:rPr>
      </w:pPr>
    </w:p>
    <w:p w14:paraId="65CD1EAF" w14:textId="77777777" w:rsidR="00964C36" w:rsidRDefault="00964C36" w:rsidP="00964C36">
      <w:pPr>
        <w:rPr>
          <w:noProof/>
        </w:rPr>
      </w:pPr>
      <w:r>
        <w:rPr>
          <w:noProof/>
        </w:rPr>
        <w:t>modifiant l’annexe I, partie I, de l’accord sur le retrait du Royaume-Uni de Grande-Bretagne et d’Irlande du Nord de l’Union européenne et de la Communauté européenne de l’énergie atomique</w:t>
      </w:r>
    </w:p>
    <w:p w14:paraId="091F0482" w14:textId="77777777" w:rsidR="00964C36" w:rsidRDefault="00964C36" w:rsidP="00964C36">
      <w:pPr>
        <w:rPr>
          <w:noProof/>
        </w:rPr>
      </w:pPr>
    </w:p>
    <w:p w14:paraId="05FC960B" w14:textId="77777777" w:rsidR="00964C36" w:rsidRDefault="00964C36" w:rsidP="00964C36">
      <w:pPr>
        <w:rPr>
          <w:noProof/>
        </w:rPr>
      </w:pPr>
      <w:r>
        <w:rPr>
          <w:noProof/>
        </w:rPr>
        <w:t>LE COMITÉ MIXTE,</w:t>
      </w:r>
    </w:p>
    <w:p w14:paraId="4614DAEB" w14:textId="77777777" w:rsidR="00964C36" w:rsidRDefault="00964C36" w:rsidP="00964C36">
      <w:pPr>
        <w:rPr>
          <w:noProof/>
        </w:rPr>
      </w:pPr>
    </w:p>
    <w:p w14:paraId="291F48AE" w14:textId="4C82612C" w:rsidR="00964C36" w:rsidRDefault="00964C36" w:rsidP="00964C36">
      <w:pPr>
        <w:rPr>
          <w:noProof/>
        </w:rPr>
      </w:pPr>
      <w:r>
        <w:rPr>
          <w:noProof/>
        </w:rPr>
        <w:t>vu l’accord sur le retrait du Royaume-Uni de Grande-Bretagne et d’Irlande du Nord de l’Union européenne et de la Communauté européenne de l’énergie atomique</w:t>
      </w:r>
      <w:r>
        <w:rPr>
          <w:rStyle w:val="FootnoteReference"/>
          <w:noProof/>
        </w:rPr>
        <w:footnoteReference w:id="1"/>
      </w:r>
      <w:r>
        <w:rPr>
          <w:noProof/>
        </w:rPr>
        <w:t xml:space="preserve"> (ci-après l’«accord de retrait»), et notamment son article</w:t>
      </w:r>
      <w:r w:rsidR="001E2293">
        <w:rPr>
          <w:noProof/>
        </w:rPr>
        <w:t> </w:t>
      </w:r>
      <w:r>
        <w:rPr>
          <w:noProof/>
        </w:rPr>
        <w:t>36, paragraphe</w:t>
      </w:r>
      <w:r w:rsidR="001E2293">
        <w:rPr>
          <w:noProof/>
        </w:rPr>
        <w:t> </w:t>
      </w:r>
      <w:r>
        <w:rPr>
          <w:noProof/>
        </w:rPr>
        <w:t>4,</w:t>
      </w:r>
    </w:p>
    <w:p w14:paraId="303416D9" w14:textId="77777777" w:rsidR="00964C36" w:rsidRDefault="00964C36" w:rsidP="00964C36">
      <w:pPr>
        <w:rPr>
          <w:noProof/>
        </w:rPr>
      </w:pPr>
    </w:p>
    <w:p w14:paraId="595D624A" w14:textId="77777777" w:rsidR="00964C36" w:rsidRDefault="00964C36" w:rsidP="00964C36">
      <w:pPr>
        <w:rPr>
          <w:noProof/>
        </w:rPr>
      </w:pPr>
      <w:r>
        <w:rPr>
          <w:noProof/>
        </w:rPr>
        <w:t>considérant ce qui suit:</w:t>
      </w:r>
    </w:p>
    <w:p w14:paraId="6E909A74" w14:textId="77777777" w:rsidR="00964C36" w:rsidRDefault="00964C36" w:rsidP="00964C36">
      <w:pPr>
        <w:pStyle w:val="Point0number"/>
        <w:numPr>
          <w:ilvl w:val="0"/>
          <w:numId w:val="2"/>
        </w:numPr>
        <w:rPr>
          <w:noProof/>
        </w:rPr>
      </w:pPr>
      <w:r>
        <w:rPr>
          <w:noProof/>
        </w:rPr>
        <w:t>L’article 36, paragraphe 4, de l’accord de retrait habilite le comité mixte institué en vertu de l’article 164, paragraphe 1, dudit accord (ci-après le «comité mixte») à adopter des décisions modifiant l’annexe I, partie I, de l’accord de retrait, pour tenir compte de toute nouvelle décision ou recommandation adoptée par la commission administrative pour la coordination des systèmes de sécurité sociale. En vertu de l’article 166, paragraphe 2, de l’accord de retrait, les décisions adoptées par le comité mixte lient l’Union et le Royaume-Uni. L’Union et le Royaume-Uni doivent mettre en œuvre ces décisions, qui ont le même effet juridique que l’accord de retrait.</w:t>
      </w:r>
    </w:p>
    <w:p w14:paraId="3C8251B9" w14:textId="77777777" w:rsidR="00964C36" w:rsidRDefault="00964C36" w:rsidP="00964C36">
      <w:pPr>
        <w:pStyle w:val="Point0number"/>
        <w:numPr>
          <w:ilvl w:val="0"/>
          <w:numId w:val="3"/>
        </w:numPr>
        <w:rPr>
          <w:noProof/>
        </w:rPr>
      </w:pPr>
      <w:r>
        <w:rPr>
          <w:noProof/>
        </w:rPr>
        <w:t>Dans un souci de sécurité juridique, il convient de modifier l’annexe I, partie I, de l’accord de retrait en y ajoutant quatre décisions de la commission administrative pour la coordination des systèmes de sécurité sociale et en en supprimant deux décisions, qui ont été remplacées par deux de ces nouvelles décisions,</w:t>
      </w:r>
    </w:p>
    <w:p w14:paraId="6E85EA2A" w14:textId="77777777" w:rsidR="00964C36" w:rsidRDefault="00964C36" w:rsidP="00964C36">
      <w:pPr>
        <w:rPr>
          <w:noProof/>
        </w:rPr>
      </w:pPr>
    </w:p>
    <w:p w14:paraId="227543CC" w14:textId="77777777" w:rsidR="00964C36" w:rsidRDefault="00964C36" w:rsidP="00964C36">
      <w:pPr>
        <w:rPr>
          <w:noProof/>
        </w:rPr>
      </w:pPr>
      <w:r>
        <w:rPr>
          <w:noProof/>
        </w:rPr>
        <w:t>A ADOPTÉ LA PRÉSENTE DÉCISION:</w:t>
      </w:r>
    </w:p>
    <w:p w14:paraId="07B6AA60" w14:textId="77777777" w:rsidR="00964C36" w:rsidRDefault="00964C36" w:rsidP="00964C36">
      <w:pPr>
        <w:rPr>
          <w:noProof/>
        </w:rPr>
      </w:pPr>
    </w:p>
    <w:p w14:paraId="05B2E05F" w14:textId="77777777" w:rsidR="00964C36" w:rsidRPr="00443CEF" w:rsidRDefault="00964C36" w:rsidP="00964C36">
      <w:pPr>
        <w:pStyle w:val="Text6"/>
        <w:rPr>
          <w:i/>
          <w:iCs/>
          <w:noProof/>
        </w:rPr>
      </w:pPr>
      <w:r>
        <w:rPr>
          <w:i/>
          <w:noProof/>
        </w:rPr>
        <w:t>Article premier</w:t>
      </w:r>
    </w:p>
    <w:p w14:paraId="3A565888" w14:textId="77777777" w:rsidR="00964C36" w:rsidRDefault="00964C36" w:rsidP="00964C36">
      <w:pPr>
        <w:rPr>
          <w:noProof/>
        </w:rPr>
      </w:pPr>
      <w:r>
        <w:rPr>
          <w:noProof/>
        </w:rPr>
        <w:t>L’annexe I, partie I, de l’accord de retrait est modifiée comme suit:</w:t>
      </w:r>
    </w:p>
    <w:p w14:paraId="1D8F1FD7" w14:textId="77777777" w:rsidR="00964C36" w:rsidRDefault="00964C36" w:rsidP="00964C36">
      <w:pPr>
        <w:rPr>
          <w:noProof/>
        </w:rPr>
      </w:pPr>
    </w:p>
    <w:p w14:paraId="16C54B0F" w14:textId="77777777" w:rsidR="00964C36" w:rsidRDefault="00964C36" w:rsidP="00964C36">
      <w:pPr>
        <w:pStyle w:val="Point0number"/>
        <w:rPr>
          <w:noProof/>
        </w:rPr>
      </w:pPr>
      <w:r>
        <w:rPr>
          <w:noProof/>
        </w:rPr>
        <w:t>L’acte suivant est ajouté sous «Échange électronique de données (série E)»:</w:t>
      </w:r>
    </w:p>
    <w:p w14:paraId="29DD2AA9" w14:textId="26D2597E" w:rsidR="00964C36" w:rsidRDefault="00964C36" w:rsidP="00964C36">
      <w:pPr>
        <w:pStyle w:val="Point0number"/>
        <w:numPr>
          <w:ilvl w:val="0"/>
          <w:numId w:val="4"/>
        </w:numPr>
        <w:rPr>
          <w:noProof/>
        </w:rPr>
      </w:pPr>
      <w:r>
        <w:rPr>
          <w:noProof/>
        </w:rPr>
        <w:t>décision nº E8 du 14</w:t>
      </w:r>
      <w:r w:rsidR="001E2293">
        <w:rPr>
          <w:noProof/>
        </w:rPr>
        <w:t> </w:t>
      </w:r>
      <w:r>
        <w:rPr>
          <w:noProof/>
        </w:rPr>
        <w:t>mars 2024 concernant la mise en place d’une procédure de gestion de la modification des informations relatives aux organismes définis à l’article premier du règlement (CE) nº 883/2004 du Parlement européen et du Conseil et figurant dans le répertoire électronique faisant partie intégrante de l’EESSI</w:t>
      </w:r>
      <w:r>
        <w:rPr>
          <w:rStyle w:val="FootnoteReference"/>
          <w:noProof/>
        </w:rPr>
        <w:footnoteReference w:id="2"/>
      </w:r>
      <w:r>
        <w:rPr>
          <w:noProof/>
        </w:rPr>
        <w:t>.</w:t>
      </w:r>
    </w:p>
    <w:p w14:paraId="24BA4F51" w14:textId="77777777" w:rsidR="00964C36" w:rsidRDefault="00964C36" w:rsidP="00964C36">
      <w:pPr>
        <w:pStyle w:val="Point0number"/>
        <w:rPr>
          <w:noProof/>
        </w:rPr>
      </w:pPr>
      <w:r>
        <w:rPr>
          <w:noProof/>
        </w:rPr>
        <w:t>Les actes suivants sont ajoutés sous «Questions horizontales (série H)»:</w:t>
      </w:r>
    </w:p>
    <w:p w14:paraId="1A819990" w14:textId="7E748909" w:rsidR="00964C36" w:rsidRDefault="00964C36" w:rsidP="00964C36">
      <w:pPr>
        <w:pStyle w:val="Point0number"/>
        <w:numPr>
          <w:ilvl w:val="0"/>
          <w:numId w:val="4"/>
        </w:numPr>
        <w:rPr>
          <w:noProof/>
        </w:rPr>
      </w:pPr>
      <w:r>
        <w:rPr>
          <w:noProof/>
        </w:rPr>
        <w:t>décision nº H14 du 21</w:t>
      </w:r>
      <w:r w:rsidR="001E2293">
        <w:rPr>
          <w:noProof/>
        </w:rPr>
        <w:t> </w:t>
      </w:r>
      <w:r>
        <w:rPr>
          <w:noProof/>
        </w:rPr>
        <w:t>juin 2023 concernant la publication de la note d’orientation sur la pandémie de COVID-19, la note sur l’interprétation de l’application du titre</w:t>
      </w:r>
      <w:r w:rsidR="001E2293">
        <w:rPr>
          <w:noProof/>
        </w:rPr>
        <w:t> </w:t>
      </w:r>
      <w:r>
        <w:rPr>
          <w:noProof/>
        </w:rPr>
        <w:t>II du règlement (CE) nº 883/2004 et des articles</w:t>
      </w:r>
      <w:r w:rsidR="001E2293">
        <w:rPr>
          <w:noProof/>
        </w:rPr>
        <w:t> </w:t>
      </w:r>
      <w:r>
        <w:rPr>
          <w:noProof/>
        </w:rPr>
        <w:t>67 et 70 du règlement (CE) nº 987/2009 durant la pandémie de COVID-19, la note d’orientation sur le télétravail pour la période comprise entre le 1</w:t>
      </w:r>
      <w:r>
        <w:rPr>
          <w:noProof/>
          <w:vertAlign w:val="superscript"/>
        </w:rPr>
        <w:t>er</w:t>
      </w:r>
      <w:r w:rsidR="001E2293">
        <w:rPr>
          <w:noProof/>
        </w:rPr>
        <w:t> </w:t>
      </w:r>
      <w:r>
        <w:rPr>
          <w:noProof/>
        </w:rPr>
        <w:t>juillet 2022 et le 30</w:t>
      </w:r>
      <w:r w:rsidR="001E2293">
        <w:rPr>
          <w:noProof/>
        </w:rPr>
        <w:t> </w:t>
      </w:r>
      <w:r>
        <w:rPr>
          <w:noProof/>
        </w:rPr>
        <w:t>juin 2023 et la note d’orientation sur le télétravail applicable à partir du 1</w:t>
      </w:r>
      <w:r>
        <w:rPr>
          <w:noProof/>
          <w:vertAlign w:val="superscript"/>
        </w:rPr>
        <w:t>er</w:t>
      </w:r>
      <w:r w:rsidR="001E2293">
        <w:rPr>
          <w:noProof/>
        </w:rPr>
        <w:t> </w:t>
      </w:r>
      <w:r>
        <w:rPr>
          <w:noProof/>
        </w:rPr>
        <w:t>juillet 2023</w:t>
      </w:r>
      <w:r>
        <w:rPr>
          <w:rStyle w:val="FootnoteReference"/>
          <w:noProof/>
        </w:rPr>
        <w:footnoteReference w:id="3"/>
      </w:r>
      <w:r>
        <w:rPr>
          <w:noProof/>
        </w:rPr>
        <w:t>;</w:t>
      </w:r>
    </w:p>
    <w:p w14:paraId="78ECF98F" w14:textId="57DBE448" w:rsidR="00964C36" w:rsidRDefault="00964C36" w:rsidP="00964C36">
      <w:pPr>
        <w:pStyle w:val="Point0number"/>
        <w:numPr>
          <w:ilvl w:val="0"/>
          <w:numId w:val="4"/>
        </w:numPr>
        <w:rPr>
          <w:noProof/>
        </w:rPr>
      </w:pPr>
      <w:r>
        <w:rPr>
          <w:noProof/>
        </w:rPr>
        <w:t>décision H15 du 27</w:t>
      </w:r>
      <w:r w:rsidR="001E2293">
        <w:rPr>
          <w:noProof/>
        </w:rPr>
        <w:t> </w:t>
      </w:r>
      <w:r>
        <w:rPr>
          <w:noProof/>
        </w:rPr>
        <w:t>juin 2024 concernant le mode de fonctionnement et la composition de la commission technique pour le traitement de l’information près la commission administrative pour la coordination des systèmes de sécurité sociale</w:t>
      </w:r>
      <w:r>
        <w:rPr>
          <w:rStyle w:val="FootnoteReference"/>
          <w:noProof/>
        </w:rPr>
        <w:footnoteReference w:id="4"/>
      </w:r>
      <w:r>
        <w:rPr>
          <w:noProof/>
        </w:rPr>
        <w:t>.</w:t>
      </w:r>
    </w:p>
    <w:p w14:paraId="362ED165" w14:textId="77777777" w:rsidR="00964C36" w:rsidRDefault="00964C36" w:rsidP="00964C36">
      <w:pPr>
        <w:pStyle w:val="Point0number"/>
        <w:rPr>
          <w:noProof/>
        </w:rPr>
      </w:pPr>
      <w:r>
        <w:rPr>
          <w:noProof/>
        </w:rPr>
        <w:t>L’acte suivant est ajouté sous «Maladie» (série S)»:</w:t>
      </w:r>
    </w:p>
    <w:p w14:paraId="3D23DFA4" w14:textId="6382487B" w:rsidR="00964C36" w:rsidRDefault="00964C36" w:rsidP="00964C36">
      <w:pPr>
        <w:pStyle w:val="Point0number"/>
        <w:numPr>
          <w:ilvl w:val="0"/>
          <w:numId w:val="4"/>
        </w:numPr>
        <w:rPr>
          <w:noProof/>
        </w:rPr>
      </w:pPr>
      <w:bookmarkStart w:id="3" w:name="_Hlk231291082"/>
      <w:r>
        <w:rPr>
          <w:noProof/>
        </w:rPr>
        <w:t>décision S12 du 16</w:t>
      </w:r>
      <w:r w:rsidR="001E2293">
        <w:rPr>
          <w:noProof/>
        </w:rPr>
        <w:t> </w:t>
      </w:r>
      <w:r>
        <w:rPr>
          <w:noProof/>
        </w:rPr>
        <w:t>octobre 2024 concernant le remboursement des soins de santé en lien avec le transfert de patients vers un autre État membre en cas de catastrophe causant un grand nombre de victimes</w:t>
      </w:r>
      <w:r>
        <w:rPr>
          <w:rStyle w:val="FootnoteReference"/>
          <w:noProof/>
        </w:rPr>
        <w:footnoteReference w:id="5"/>
      </w:r>
      <w:bookmarkEnd w:id="3"/>
      <w:r>
        <w:rPr>
          <w:noProof/>
        </w:rPr>
        <w:t>.</w:t>
      </w:r>
    </w:p>
    <w:p w14:paraId="24476927" w14:textId="77777777" w:rsidR="00964C36" w:rsidRDefault="00964C36" w:rsidP="00964C36">
      <w:pPr>
        <w:pStyle w:val="Point0number"/>
        <w:rPr>
          <w:noProof/>
        </w:rPr>
      </w:pPr>
      <w:r>
        <w:rPr>
          <w:noProof/>
        </w:rPr>
        <w:t>L’acte suivant sous «Échange électronique de données (série E)» est supprimé:</w:t>
      </w:r>
    </w:p>
    <w:p w14:paraId="6299B716" w14:textId="24444379" w:rsidR="00964C36" w:rsidRDefault="00964C36" w:rsidP="00964C36">
      <w:pPr>
        <w:pStyle w:val="Point0number"/>
        <w:numPr>
          <w:ilvl w:val="0"/>
          <w:numId w:val="4"/>
        </w:numPr>
        <w:rPr>
          <w:noProof/>
        </w:rPr>
      </w:pPr>
      <w:bookmarkStart w:id="5" w:name="_Hlk231291266"/>
      <w:r>
        <w:rPr>
          <w:noProof/>
        </w:rPr>
        <w:t>décision nº E2 du 3</w:t>
      </w:r>
      <w:r w:rsidR="001E2293">
        <w:rPr>
          <w:noProof/>
        </w:rPr>
        <w:t> </w:t>
      </w:r>
      <w:r>
        <w:rPr>
          <w:noProof/>
        </w:rPr>
        <w:t>mars 2010 concernant la mise en place d’une procédure de gestion de la modification des informations relatives aux organismes définis à l’article premier du règlement (CE) nº 883/2004 du Parlement européen et du Conseil et figurant dans le répertoire électronique faisant partie intégrante de l’EESSI</w:t>
      </w:r>
      <w:r>
        <w:rPr>
          <w:rStyle w:val="FootnoteReference"/>
          <w:noProof/>
        </w:rPr>
        <w:footnoteReference w:id="6"/>
      </w:r>
      <w:bookmarkEnd w:id="5"/>
      <w:r>
        <w:rPr>
          <w:noProof/>
        </w:rPr>
        <w:t>.</w:t>
      </w:r>
    </w:p>
    <w:p w14:paraId="3E11B07E" w14:textId="77777777" w:rsidR="00964C36" w:rsidRDefault="00964C36" w:rsidP="00964C36">
      <w:pPr>
        <w:pStyle w:val="Point0number"/>
        <w:rPr>
          <w:noProof/>
        </w:rPr>
      </w:pPr>
      <w:r>
        <w:rPr>
          <w:noProof/>
        </w:rPr>
        <w:t>L’acte suivant sous «Questions horizontales (série H)» est supprimé:</w:t>
      </w:r>
    </w:p>
    <w:p w14:paraId="47ACA206" w14:textId="66BEDBD2" w:rsidR="00964C36" w:rsidRDefault="00964C36" w:rsidP="00964C36">
      <w:pPr>
        <w:pStyle w:val="Point0number"/>
        <w:numPr>
          <w:ilvl w:val="0"/>
          <w:numId w:val="4"/>
        </w:numPr>
        <w:rPr>
          <w:noProof/>
        </w:rPr>
      </w:pPr>
      <w:bookmarkStart w:id="6" w:name="_Hlk231291292"/>
      <w:r>
        <w:rPr>
          <w:noProof/>
        </w:rPr>
        <w:t>décision H10 du 21</w:t>
      </w:r>
      <w:r w:rsidR="001E2293">
        <w:rPr>
          <w:noProof/>
        </w:rPr>
        <w:t> </w:t>
      </w:r>
      <w:r>
        <w:rPr>
          <w:noProof/>
        </w:rPr>
        <w:t>octobre 2020 concernant le mode de fonctionnement et la composition de la commission technique pour le traitement de l’information près la commission administrative pour la coordination des systèmes de sécurité sociale</w:t>
      </w:r>
      <w:r>
        <w:rPr>
          <w:rStyle w:val="FootnoteReference"/>
          <w:noProof/>
        </w:rPr>
        <w:footnoteReference w:id="7"/>
      </w:r>
      <w:bookmarkEnd w:id="6"/>
      <w:r>
        <w:rPr>
          <w:noProof/>
        </w:rPr>
        <w:t>.</w:t>
      </w:r>
    </w:p>
    <w:p w14:paraId="44D08843" w14:textId="77777777" w:rsidR="00964C36" w:rsidRDefault="00964C36" w:rsidP="00964C36">
      <w:pPr>
        <w:rPr>
          <w:noProof/>
        </w:rPr>
      </w:pPr>
    </w:p>
    <w:p w14:paraId="0F084224" w14:textId="1A2A19F7" w:rsidR="00964C36" w:rsidRPr="00443CEF" w:rsidRDefault="00964C36" w:rsidP="00964C36">
      <w:pPr>
        <w:pStyle w:val="Text6"/>
        <w:rPr>
          <w:i/>
          <w:iCs/>
          <w:noProof/>
        </w:rPr>
      </w:pPr>
      <w:r>
        <w:rPr>
          <w:i/>
          <w:noProof/>
        </w:rPr>
        <w:t>Article</w:t>
      </w:r>
      <w:r w:rsidR="001E2293">
        <w:rPr>
          <w:i/>
          <w:noProof/>
        </w:rPr>
        <w:t> </w:t>
      </w:r>
      <w:r>
        <w:rPr>
          <w:i/>
          <w:noProof/>
        </w:rPr>
        <w:t>2</w:t>
      </w:r>
    </w:p>
    <w:p w14:paraId="4ADE23B6" w14:textId="77777777" w:rsidR="00964C36" w:rsidRDefault="00964C36" w:rsidP="00964C36">
      <w:pPr>
        <w:rPr>
          <w:noProof/>
        </w:rPr>
      </w:pPr>
      <w:r>
        <w:rPr>
          <w:noProof/>
        </w:rPr>
        <w:t>La présente décision entre en vigueur le jour suivant celui de son adoption.</w:t>
      </w:r>
    </w:p>
    <w:p w14:paraId="470CE5A4" w14:textId="77777777" w:rsidR="00964C36" w:rsidRDefault="00964C36" w:rsidP="00964C36">
      <w:pPr>
        <w:rPr>
          <w:noProof/>
        </w:rPr>
      </w:pPr>
    </w:p>
    <w:p w14:paraId="54D2AD54" w14:textId="77777777" w:rsidR="00964C36" w:rsidRDefault="00964C36" w:rsidP="00964C36">
      <w:pPr>
        <w:rPr>
          <w:noProof/>
        </w:rPr>
      </w:pPr>
      <w:r>
        <w:rPr>
          <w:noProof/>
        </w:rPr>
        <w:t>Fait à …, le</w:t>
      </w:r>
    </w:p>
    <w:p w14:paraId="315046CF" w14:textId="77777777" w:rsidR="00964C36" w:rsidRDefault="00964C36" w:rsidP="00964C36">
      <w:pPr>
        <w:rPr>
          <w:noProof/>
        </w:rPr>
      </w:pPr>
    </w:p>
    <w:p w14:paraId="6FB93E20" w14:textId="77777777" w:rsidR="00964C36" w:rsidRDefault="00964C36" w:rsidP="00964C36">
      <w:pPr>
        <w:rPr>
          <w:noProof/>
        </w:rPr>
      </w:pPr>
      <w:r>
        <w:rPr>
          <w:noProof/>
        </w:rPr>
        <w:t xml:space="preserve">Par le comité mixte </w:t>
      </w:r>
    </w:p>
    <w:p w14:paraId="25E90893" w14:textId="66A13E32" w:rsidR="00D26C5D" w:rsidRDefault="00964C36">
      <w:pPr>
        <w:rPr>
          <w:noProof/>
        </w:rPr>
      </w:pPr>
      <w:r>
        <w:rPr>
          <w:noProof/>
        </w:rPr>
        <w:t>Les coprésidents</w:t>
      </w:r>
    </w:p>
    <w:sectPr w:rsidR="00D26C5D" w:rsidSect="00964C36">
      <w:headerReference w:type="even" r:id="rId14"/>
      <w:headerReference w:type="default" r:id="rId15"/>
      <w:footerReference w:type="even" r:id="rId16"/>
      <w:footerReference w:type="default" r:id="rId17"/>
      <w:headerReference w:type="first" r:id="rId18"/>
      <w:footerReference w:type="first" r:id="rId1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E03E7E" w14:textId="77777777" w:rsidR="00964C36" w:rsidRDefault="00964C36" w:rsidP="00964C36">
      <w:pPr>
        <w:spacing w:before="0" w:after="0"/>
      </w:pPr>
      <w:r>
        <w:separator/>
      </w:r>
    </w:p>
  </w:endnote>
  <w:endnote w:type="continuationSeparator" w:id="0">
    <w:p w14:paraId="13703BD1" w14:textId="77777777" w:rsidR="00964C36" w:rsidRDefault="00964C36" w:rsidP="00964C3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FAA6B2" w14:textId="49E9DB19" w:rsidR="00AC2606" w:rsidRPr="00AC2606" w:rsidRDefault="00AC2606" w:rsidP="00AC2606">
    <w:pPr>
      <w:pStyle w:val="FooterCoverPage"/>
      <w:rPr>
        <w:rFonts w:ascii="Arial" w:hAnsi="Arial" w:cs="Arial"/>
        <w:b/>
        <w:sz w:val="48"/>
      </w:rPr>
    </w:pPr>
    <w:r w:rsidRPr="00AC2606">
      <w:rPr>
        <w:rFonts w:ascii="Arial" w:hAnsi="Arial" w:cs="Arial"/>
        <w:b/>
        <w:sz w:val="48"/>
      </w:rPr>
      <w:t>FR</w:t>
    </w:r>
    <w:r w:rsidRPr="00AC2606">
      <w:rPr>
        <w:rFonts w:ascii="Arial" w:hAnsi="Arial" w:cs="Arial"/>
        <w:b/>
        <w:sz w:val="48"/>
      </w:rPr>
      <w:tab/>
    </w:r>
    <w:r w:rsidRPr="00AC2606">
      <w:rPr>
        <w:rFonts w:ascii="Arial" w:hAnsi="Arial" w:cs="Arial"/>
        <w:b/>
        <w:sz w:val="48"/>
      </w:rPr>
      <w:tab/>
    </w:r>
    <w:r w:rsidRPr="00AC2606">
      <w:tab/>
    </w:r>
    <w:r w:rsidRPr="00AC2606">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074497" w14:textId="4A5457EC" w:rsidR="00AC2606" w:rsidRPr="00AC2606" w:rsidRDefault="00AC2606" w:rsidP="00AC2606">
    <w:pPr>
      <w:pStyle w:val="FooterCoverPage"/>
      <w:rPr>
        <w:rFonts w:ascii="Arial" w:hAnsi="Arial" w:cs="Arial"/>
        <w:b/>
        <w:sz w:val="48"/>
      </w:rPr>
    </w:pPr>
    <w:r w:rsidRPr="00AC2606">
      <w:rPr>
        <w:rFonts w:ascii="Arial" w:hAnsi="Arial" w:cs="Arial"/>
        <w:b/>
        <w:sz w:val="48"/>
      </w:rPr>
      <w:t>FR</w:t>
    </w:r>
    <w:r w:rsidRPr="00AC2606">
      <w:rPr>
        <w:rFonts w:ascii="Arial" w:hAnsi="Arial" w:cs="Arial"/>
        <w:b/>
        <w:sz w:val="48"/>
      </w:rPr>
      <w:tab/>
    </w:r>
    <w:r w:rsidRPr="00AC2606">
      <w:rPr>
        <w:rFonts w:ascii="Arial" w:hAnsi="Arial" w:cs="Arial"/>
        <w:b/>
        <w:sz w:val="48"/>
      </w:rPr>
      <w:tab/>
    </w:r>
    <w:r w:rsidRPr="00AC2606">
      <w:tab/>
    </w:r>
    <w:r w:rsidRPr="00AC2606">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D41A4C" w14:textId="77777777" w:rsidR="00AC2606" w:rsidRPr="00AC2606" w:rsidRDefault="00AC2606" w:rsidP="00AC2606">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BD66F4" w14:textId="77777777" w:rsidR="00964C36" w:rsidRPr="009D310F" w:rsidRDefault="00964C36" w:rsidP="009D310F">
    <w:pPr>
      <w:pStyle w:val="Footer"/>
      <w:rPr>
        <w:rFonts w:ascii="Arial" w:hAnsi="Arial" w:cs="Arial"/>
        <w:b/>
        <w:sz w:val="48"/>
      </w:rPr>
    </w:pPr>
    <w:r>
      <w:rPr>
        <w:rFonts w:ascii="Arial" w:hAnsi="Arial"/>
        <w:b/>
        <w:sz w:val="48"/>
      </w:rPr>
      <w:t>FR</w:t>
    </w:r>
    <w:r>
      <w:tab/>
    </w:r>
    <w:r>
      <w:tab/>
    </w:r>
    <w:r>
      <w:tab/>
    </w:r>
    <w:r>
      <w:rPr>
        <w:rFonts w:ascii="Arial" w:hAnsi="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8FC3F4" w14:textId="78101F68" w:rsidR="00964C36" w:rsidRPr="00BC4A76" w:rsidRDefault="00964C36" w:rsidP="00BC4A76">
    <w:pPr>
      <w:pStyle w:val="Footer"/>
      <w:rPr>
        <w:rFonts w:ascii="Arial" w:hAnsi="Arial" w:cs="Arial"/>
        <w:b/>
        <w:sz w:val="48"/>
      </w:rPr>
    </w:pPr>
    <w:r>
      <w:rPr>
        <w:rFonts w:ascii="Arial" w:hAnsi="Arial"/>
        <w:b/>
        <w:sz w:val="48"/>
      </w:rPr>
      <w:t>FR</w:t>
    </w:r>
    <w:r>
      <w:tab/>
    </w:r>
    <w:r>
      <w:fldChar w:fldCharType="begin"/>
    </w:r>
    <w:r>
      <w:instrText xml:space="preserve"> PAGE  \* MERGEFORMAT </w:instrText>
    </w:r>
    <w:r>
      <w:fldChar w:fldCharType="separate"/>
    </w:r>
    <w:r w:rsidR="00AC2606">
      <w:rPr>
        <w:noProof/>
      </w:rPr>
      <w:t>2</w:t>
    </w:r>
    <w:r>
      <w:fldChar w:fldCharType="end"/>
    </w:r>
    <w:r>
      <w:tab/>
    </w:r>
    <w:r>
      <w:tab/>
    </w:r>
    <w:r>
      <w:rPr>
        <w:rFonts w:ascii="Arial" w:hAnsi="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FD27B2" w14:textId="77777777" w:rsidR="00964C36" w:rsidRDefault="00964C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AE028D" w14:textId="77777777" w:rsidR="00964C36" w:rsidRDefault="00964C36" w:rsidP="00964C36">
      <w:pPr>
        <w:spacing w:before="0" w:after="0"/>
      </w:pPr>
      <w:r>
        <w:separator/>
      </w:r>
    </w:p>
  </w:footnote>
  <w:footnote w:type="continuationSeparator" w:id="0">
    <w:p w14:paraId="38EECA9C" w14:textId="77777777" w:rsidR="00964C36" w:rsidRDefault="00964C36" w:rsidP="00964C36">
      <w:pPr>
        <w:spacing w:before="0" w:after="0"/>
      </w:pPr>
      <w:r>
        <w:continuationSeparator/>
      </w:r>
    </w:p>
  </w:footnote>
  <w:footnote w:id="1">
    <w:p w14:paraId="4FEC1B8F" w14:textId="274C8061" w:rsidR="00964C36" w:rsidRPr="00443CEF" w:rsidRDefault="00964C36" w:rsidP="00964C36">
      <w:pPr>
        <w:pStyle w:val="FootnoteText"/>
      </w:pPr>
      <w:r>
        <w:rPr>
          <w:rStyle w:val="FootnoteReference"/>
        </w:rPr>
        <w:footnoteRef/>
      </w:r>
      <w:r>
        <w:t xml:space="preserve"> JO L 29 du 31.1.2020, p. 7, ELI: </w:t>
      </w:r>
      <w:hyperlink r:id="rId1" w:history="1">
        <w:r>
          <w:rPr>
            <w:rStyle w:val="Hyperlink"/>
          </w:rPr>
          <w:t>http://data.europa.eu/eli/treaty/withd_2020/sign</w:t>
        </w:r>
      </w:hyperlink>
      <w:r>
        <w:t>.</w:t>
      </w:r>
    </w:p>
  </w:footnote>
  <w:footnote w:id="2">
    <w:p w14:paraId="2FEA1451" w14:textId="77777777" w:rsidR="00964C36" w:rsidRPr="001E2293" w:rsidRDefault="00964C36" w:rsidP="00964C36">
      <w:pPr>
        <w:pStyle w:val="FootnoteText"/>
        <w:rPr>
          <w:lang w:val="en-GB"/>
        </w:rPr>
      </w:pPr>
      <w:r>
        <w:rPr>
          <w:rStyle w:val="FootnoteReference"/>
        </w:rPr>
        <w:footnoteRef/>
      </w:r>
      <w:r w:rsidRPr="001E2293">
        <w:rPr>
          <w:lang w:val="en-GB"/>
        </w:rPr>
        <w:t xml:space="preserve"> JO C, C/2024/6842, 12.11.2024, ELI: </w:t>
      </w:r>
      <w:hyperlink r:id="rId2" w:tgtFrame="_blank" w:tooltip="Permet d’accéder à ce document par l’intermédiaire de son URI ELI." w:history="1">
        <w:r w:rsidRPr="001E2293">
          <w:rPr>
            <w:rStyle w:val="Hyperlink"/>
            <w:lang w:val="en-GB"/>
          </w:rPr>
          <w:t>http://data.europa.eu/eli/C/2024/6842/oj</w:t>
        </w:r>
      </w:hyperlink>
      <w:r w:rsidRPr="001E2293">
        <w:rPr>
          <w:lang w:val="en-GB"/>
        </w:rPr>
        <w:t>.</w:t>
      </w:r>
    </w:p>
  </w:footnote>
  <w:footnote w:id="3">
    <w:p w14:paraId="421A3953" w14:textId="77777777" w:rsidR="00964C36" w:rsidRPr="001E2293" w:rsidRDefault="00964C36" w:rsidP="00964C36">
      <w:pPr>
        <w:pStyle w:val="FootnoteText"/>
        <w:rPr>
          <w:lang w:val="en-GB"/>
        </w:rPr>
      </w:pPr>
      <w:r>
        <w:rPr>
          <w:rStyle w:val="FootnoteReference"/>
        </w:rPr>
        <w:footnoteRef/>
      </w:r>
      <w:r w:rsidRPr="001E2293">
        <w:rPr>
          <w:lang w:val="en-GB"/>
        </w:rPr>
        <w:t xml:space="preserve"> JO C, C/2024/594, 11.1.2024, ELI: </w:t>
      </w:r>
      <w:hyperlink r:id="rId3" w:tgtFrame="_blank" w:tooltip="Permet d’accéder à ce document par l’intermédiaire de son URI ELI." w:history="1">
        <w:r w:rsidRPr="001E2293">
          <w:rPr>
            <w:rStyle w:val="Hyperlink"/>
            <w:lang w:val="en-GB"/>
          </w:rPr>
          <w:t>http://data.europa.eu/eli/dec/2024/594/oj</w:t>
        </w:r>
      </w:hyperlink>
      <w:r w:rsidRPr="001E2293">
        <w:rPr>
          <w:lang w:val="en-GB"/>
        </w:rPr>
        <w:t>).</w:t>
      </w:r>
    </w:p>
  </w:footnote>
  <w:footnote w:id="4">
    <w:p w14:paraId="0315ED16" w14:textId="77777777" w:rsidR="00964C36" w:rsidRPr="001E2293" w:rsidRDefault="00964C36" w:rsidP="00964C36">
      <w:pPr>
        <w:pStyle w:val="FootnoteText"/>
        <w:rPr>
          <w:lang w:val="en-GB"/>
        </w:rPr>
      </w:pPr>
      <w:r>
        <w:rPr>
          <w:rStyle w:val="FootnoteReference"/>
        </w:rPr>
        <w:footnoteRef/>
      </w:r>
      <w:r w:rsidRPr="001E2293">
        <w:rPr>
          <w:lang w:val="en-GB"/>
        </w:rPr>
        <w:t xml:space="preserve"> </w:t>
      </w:r>
      <w:bookmarkStart w:id="2" w:name="_Hlk231291030"/>
      <w:r w:rsidRPr="001E2293">
        <w:rPr>
          <w:lang w:val="en-GB"/>
        </w:rPr>
        <w:t>JO C, C/2024/6845, 14.11.2024, ELI: </w:t>
      </w:r>
      <w:hyperlink r:id="rId4" w:tgtFrame="_blank" w:tooltip="Permet d’accéder à ce document par l’intermédiaire de son URI ELI." w:history="1">
        <w:r w:rsidRPr="001E2293">
          <w:rPr>
            <w:rStyle w:val="Hyperlink"/>
            <w:lang w:val="en-GB"/>
          </w:rPr>
          <w:t>http://data.europa.eu/eli/C/2024/6845/oj</w:t>
        </w:r>
      </w:hyperlink>
      <w:bookmarkEnd w:id="2"/>
      <w:r w:rsidRPr="001E2293">
        <w:rPr>
          <w:lang w:val="en-GB"/>
        </w:rPr>
        <w:t xml:space="preserve">. </w:t>
      </w:r>
    </w:p>
  </w:footnote>
  <w:footnote w:id="5">
    <w:p w14:paraId="7B3526DA" w14:textId="77777777" w:rsidR="00964C36" w:rsidRPr="001E2293" w:rsidRDefault="00964C36" w:rsidP="00964C36">
      <w:pPr>
        <w:pStyle w:val="FootnoteText"/>
        <w:rPr>
          <w:lang w:val="en-GB"/>
        </w:rPr>
      </w:pPr>
      <w:r>
        <w:rPr>
          <w:rStyle w:val="FootnoteReference"/>
        </w:rPr>
        <w:footnoteRef/>
      </w:r>
      <w:r w:rsidRPr="001E2293">
        <w:rPr>
          <w:lang w:val="en-GB"/>
        </w:rPr>
        <w:t xml:space="preserve"> </w:t>
      </w:r>
      <w:bookmarkStart w:id="4" w:name="_Hlk231291124"/>
      <w:r w:rsidRPr="001E2293">
        <w:rPr>
          <w:lang w:val="en-GB"/>
        </w:rPr>
        <w:t>JO C, C/2025/1598, 13.3.2025, ELI: </w:t>
      </w:r>
      <w:hyperlink r:id="rId5" w:tgtFrame="_blank" w:tooltip="Permet d’accéder à ce document par l’intermédiaire de son URI ELI." w:history="1">
        <w:r w:rsidRPr="001E2293">
          <w:rPr>
            <w:rStyle w:val="Hyperlink"/>
            <w:lang w:val="en-GB"/>
          </w:rPr>
          <w:t>http://data.europa.eu/eli/C/2025/1598/oj</w:t>
        </w:r>
      </w:hyperlink>
      <w:bookmarkEnd w:id="4"/>
      <w:r w:rsidRPr="001E2293">
        <w:rPr>
          <w:lang w:val="en-GB"/>
        </w:rPr>
        <w:t>.</w:t>
      </w:r>
    </w:p>
  </w:footnote>
  <w:footnote w:id="6">
    <w:p w14:paraId="41206C70" w14:textId="281D5895" w:rsidR="00964C36" w:rsidRPr="008B248C" w:rsidRDefault="00964C36" w:rsidP="00964C36">
      <w:pPr>
        <w:pStyle w:val="FootnoteText"/>
      </w:pPr>
      <w:r>
        <w:rPr>
          <w:rStyle w:val="FootnoteReference"/>
        </w:rPr>
        <w:footnoteRef/>
      </w:r>
      <w:r>
        <w:t xml:space="preserve"> </w:t>
      </w:r>
      <w:hyperlink r:id="rId6" w:history="1">
        <w:r>
          <w:rPr>
            <w:rStyle w:val="Hyperlink"/>
          </w:rPr>
          <w:t>JO C</w:t>
        </w:r>
        <w:r w:rsidR="001E2293">
          <w:rPr>
            <w:rStyle w:val="Hyperlink"/>
          </w:rPr>
          <w:t> </w:t>
        </w:r>
        <w:r>
          <w:rPr>
            <w:rStyle w:val="Hyperlink"/>
          </w:rPr>
          <w:t>187 du 10.7.2010, p.</w:t>
        </w:r>
        <w:r w:rsidR="001E2293">
          <w:rPr>
            <w:rStyle w:val="Hyperlink"/>
          </w:rPr>
          <w:t> </w:t>
        </w:r>
        <w:r>
          <w:rPr>
            <w:rStyle w:val="Hyperlink"/>
          </w:rPr>
          <w:t>5</w:t>
        </w:r>
      </w:hyperlink>
      <w:r>
        <w:t>.</w:t>
      </w:r>
    </w:p>
  </w:footnote>
  <w:footnote w:id="7">
    <w:p w14:paraId="13ECDD2E" w14:textId="74FBAAE1" w:rsidR="00964C36" w:rsidRPr="000E3B9A" w:rsidRDefault="00964C36" w:rsidP="00964C36">
      <w:pPr>
        <w:pStyle w:val="FootnoteText"/>
      </w:pPr>
      <w:r>
        <w:rPr>
          <w:rStyle w:val="FootnoteReference"/>
        </w:rPr>
        <w:footnoteRef/>
      </w:r>
      <w:r>
        <w:t xml:space="preserve"> </w:t>
      </w:r>
      <w:hyperlink r:id="rId7" w:history="1">
        <w:r>
          <w:rPr>
            <w:rStyle w:val="Hyperlink"/>
          </w:rPr>
          <w:t>JO C</w:t>
        </w:r>
        <w:r w:rsidR="001E2293">
          <w:rPr>
            <w:rStyle w:val="Hyperlink"/>
          </w:rPr>
          <w:t> </w:t>
        </w:r>
        <w:r>
          <w:rPr>
            <w:rStyle w:val="Hyperlink"/>
          </w:rPr>
          <w:t>89 du 16.3.2021, p.</w:t>
        </w:r>
        <w:r w:rsidR="001E2293">
          <w:rPr>
            <w:rStyle w:val="Hyperlink"/>
          </w:rPr>
          <w:t> </w:t>
        </w:r>
        <w:r>
          <w:rPr>
            <w:rStyle w:val="Hyperlink"/>
          </w:rPr>
          <w:t>6</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570657" w14:textId="77777777" w:rsidR="00AC2606" w:rsidRPr="00AC2606" w:rsidRDefault="00AC2606" w:rsidP="00AC2606">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BEE8A2" w14:textId="77777777" w:rsidR="00AC2606" w:rsidRPr="00AC2606" w:rsidRDefault="00AC2606" w:rsidP="00AC2606">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B0AFA0" w14:textId="77777777" w:rsidR="00AC2606" w:rsidRPr="00AC2606" w:rsidRDefault="00AC2606" w:rsidP="00AC2606">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B8083F" w14:textId="77777777" w:rsidR="00964C36" w:rsidRDefault="00964C3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F83CAD" w14:textId="77777777" w:rsidR="00964C36" w:rsidRDefault="00964C3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A729AF" w14:textId="77777777" w:rsidR="00964C36" w:rsidRDefault="00964C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 w15:restartNumberingAfterBreak="0">
    <w:nsid w:val="49E52371"/>
    <w:multiLevelType w:val="hybridMultilevel"/>
    <w:tmpl w:val="F7784148"/>
    <w:lvl w:ilvl="0" w:tplc="67CA43C2">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ACCOMPAGNANT.CP" w:val="de la"/>
    <w:docVar w:name="LW_ANNEX_NBR_FIRST" w:val="1"/>
    <w:docVar w:name="LW_ANNEX_NBR_LAST" w:val="1"/>
    <w:docVar w:name="LW_ANNEX_UNIQUE" w:val="1"/>
    <w:docVar w:name="LW_CORRIGENDUM" w:val="&lt;UNUSED&gt;"/>
    <w:docVar w:name="LW_COVERPAGE_EXISTS" w:val="True"/>
    <w:docVar w:name="LW_COVERPAGE_GUID" w:val="E67E4336-C2DE-42AA-959B-5DA6FBE5929B"/>
    <w:docVar w:name="LW_COVERPAGE_TYPE" w:val="1"/>
    <w:docVar w:name="LW_CROSSREFERENCE" w:val="&lt;UNUSED&gt;"/>
    <w:docVar w:name="LW_DocType" w:val="NORMAL"/>
    <w:docVar w:name="LW_EMISSION" w:val="27.7.2026"/>
    <w:docVar w:name="LW_EMISSION_ISODATE" w:val="2026-07-27"/>
    <w:docVar w:name="LW_EMISSION_LOCATION" w:val="BRX"/>
    <w:docVar w:name="LW_EMISSION_PREFIX" w:val="Bruxelles, le "/>
    <w:docVar w:name="LW_EMISSION_SUFFIX" w:val=" "/>
    <w:docVar w:name="LW_ID_DOCTYPE_NONLW" w:val="CP-036"/>
    <w:docVar w:name="LW_LANGUE" w:val="FR"/>
    <w:docVar w:name="LW_LEVEL_OF_SENSITIVITY" w:val="Standard treatment"/>
    <w:docVar w:name="LW_NOM.INST" w:val="COMMISSION EUROPÉENNE"/>
    <w:docVar w:name="LW_NOM.INST_JOINTDOC" w:val="&lt;EMPTY&gt;"/>
    <w:docVar w:name="LW_OBJETACTEPRINCIPAL.CP" w:val="établissant la position à prendre, au nom de l\u8217?Union européenne, au sein du comité mixte institué par l\u8217?accord sur le retrait du Royaume-Uni de Grande-Bretagne et d\u8217?Irlande du Nord de l\u8217?Union européenne et de la Communauté européenne de l\u8217?énergie atomique en ce qui concerne l\u8217?adoption d\u8217?une décision visant à modifier l\u8217?annexe I, partie I, dudit accord"/>
    <w:docVar w:name="LW_PART_NBR" w:val="1"/>
    <w:docVar w:name="LW_PART_NBR_TOTAL" w:val="1"/>
    <w:docVar w:name="LW_REF.INST.NEW" w:val="COM"/>
    <w:docVar w:name="LW_REF.INST.NEW_ADOPTED" w:val="final"/>
    <w:docVar w:name="LW_REF.INST.NEW_TEXT" w:val="(2026) 40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_x000b_"/>
    <w:docVar w:name="LW_TYPEACTEPRINCIPAL.CP" w:val="proposition de DÉCISION DU CONSEIL"/>
    <w:docVar w:name="LwApiVersions" w:val="LW4CoDe 1.24.5.0; LW 9.2, Build 20251112"/>
  </w:docVars>
  <w:rsids>
    <w:rsidRoot w:val="00964C36"/>
    <w:rsid w:val="001E2293"/>
    <w:rsid w:val="001E4EBE"/>
    <w:rsid w:val="004711C2"/>
    <w:rsid w:val="005A0E5A"/>
    <w:rsid w:val="0062555F"/>
    <w:rsid w:val="006557CF"/>
    <w:rsid w:val="007019A5"/>
    <w:rsid w:val="00724F0B"/>
    <w:rsid w:val="007A4295"/>
    <w:rsid w:val="0081694C"/>
    <w:rsid w:val="00832CA9"/>
    <w:rsid w:val="0086652F"/>
    <w:rsid w:val="00964C36"/>
    <w:rsid w:val="00A63B06"/>
    <w:rsid w:val="00A9429C"/>
    <w:rsid w:val="00AA2831"/>
    <w:rsid w:val="00AC2606"/>
    <w:rsid w:val="00B31E7A"/>
    <w:rsid w:val="00C72E16"/>
    <w:rsid w:val="00D26C5D"/>
    <w:rsid w:val="00D37908"/>
    <w:rsid w:val="00DF1942"/>
    <w:rsid w:val="00E31DFF"/>
    <w:rsid w:val="00E33FCA"/>
    <w:rsid w:val="00F203A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016B339"/>
  <w15:chartTrackingRefBased/>
  <w15:docId w15:val="{5E7DB153-88B2-4EAA-BE60-C4EE086D6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4C36"/>
    <w:pPr>
      <w:spacing w:before="120" w:after="120" w:line="240" w:lineRule="auto"/>
      <w:jc w:val="both"/>
    </w:pPr>
    <w:rPr>
      <w:rFonts w:ascii="Times New Roman" w:hAnsi="Times New Roman" w:cs="Times New Roman"/>
      <w:kern w:val="0"/>
      <w:sz w:val="24"/>
      <w14:ligatures w14:val="none"/>
    </w:rPr>
  </w:style>
  <w:style w:type="paragraph" w:styleId="Heading1">
    <w:name w:val="heading 1"/>
    <w:basedOn w:val="Normal"/>
    <w:next w:val="Normal"/>
    <w:link w:val="Heading1Char"/>
    <w:uiPriority w:val="9"/>
    <w:qFormat/>
    <w:rsid w:val="00964C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64C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64C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4C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4C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4C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4C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4C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4C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4C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64C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64C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4C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4C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4C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4C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4C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4C36"/>
    <w:rPr>
      <w:rFonts w:eastAsiaTheme="majorEastAsia" w:cstheme="majorBidi"/>
      <w:color w:val="272727" w:themeColor="text1" w:themeTint="D8"/>
    </w:rPr>
  </w:style>
  <w:style w:type="paragraph" w:styleId="Title">
    <w:name w:val="Title"/>
    <w:basedOn w:val="Normal"/>
    <w:next w:val="Normal"/>
    <w:link w:val="TitleChar"/>
    <w:uiPriority w:val="10"/>
    <w:qFormat/>
    <w:rsid w:val="00964C3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4C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4C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4C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4C36"/>
    <w:pPr>
      <w:spacing w:before="160"/>
      <w:jc w:val="center"/>
    </w:pPr>
    <w:rPr>
      <w:i/>
      <w:iCs/>
      <w:color w:val="404040" w:themeColor="text1" w:themeTint="BF"/>
    </w:rPr>
  </w:style>
  <w:style w:type="character" w:customStyle="1" w:styleId="QuoteChar">
    <w:name w:val="Quote Char"/>
    <w:basedOn w:val="DefaultParagraphFont"/>
    <w:link w:val="Quote"/>
    <w:uiPriority w:val="29"/>
    <w:rsid w:val="00964C36"/>
    <w:rPr>
      <w:i/>
      <w:iCs/>
      <w:color w:val="404040" w:themeColor="text1" w:themeTint="BF"/>
    </w:rPr>
  </w:style>
  <w:style w:type="paragraph" w:styleId="ListParagraph">
    <w:name w:val="List Paragraph"/>
    <w:basedOn w:val="Normal"/>
    <w:uiPriority w:val="34"/>
    <w:qFormat/>
    <w:rsid w:val="00964C36"/>
    <w:pPr>
      <w:ind w:left="720"/>
      <w:contextualSpacing/>
    </w:pPr>
  </w:style>
  <w:style w:type="character" w:styleId="IntenseEmphasis">
    <w:name w:val="Intense Emphasis"/>
    <w:basedOn w:val="DefaultParagraphFont"/>
    <w:uiPriority w:val="21"/>
    <w:qFormat/>
    <w:rsid w:val="00964C36"/>
    <w:rPr>
      <w:i/>
      <w:iCs/>
      <w:color w:val="0F4761" w:themeColor="accent1" w:themeShade="BF"/>
    </w:rPr>
  </w:style>
  <w:style w:type="paragraph" w:styleId="IntenseQuote">
    <w:name w:val="Intense Quote"/>
    <w:basedOn w:val="Normal"/>
    <w:next w:val="Normal"/>
    <w:link w:val="IntenseQuoteChar"/>
    <w:uiPriority w:val="30"/>
    <w:qFormat/>
    <w:rsid w:val="00964C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4C36"/>
    <w:rPr>
      <w:i/>
      <w:iCs/>
      <w:color w:val="0F4761" w:themeColor="accent1" w:themeShade="BF"/>
    </w:rPr>
  </w:style>
  <w:style w:type="character" w:styleId="IntenseReference">
    <w:name w:val="Intense Reference"/>
    <w:basedOn w:val="DefaultParagraphFont"/>
    <w:uiPriority w:val="32"/>
    <w:qFormat/>
    <w:rsid w:val="00964C36"/>
    <w:rPr>
      <w:b/>
      <w:bCs/>
      <w:smallCaps/>
      <w:color w:val="0F4761" w:themeColor="accent1" w:themeShade="BF"/>
      <w:spacing w:val="5"/>
    </w:rPr>
  </w:style>
  <w:style w:type="character" w:styleId="Hyperlink">
    <w:name w:val="Hyperlink"/>
    <w:basedOn w:val="DefaultParagraphFont"/>
    <w:uiPriority w:val="99"/>
    <w:unhideWhenUsed/>
    <w:rsid w:val="00964C36"/>
    <w:rPr>
      <w:color w:val="467886" w:themeColor="hyperlink"/>
      <w:u w:val="single"/>
    </w:rPr>
  </w:style>
  <w:style w:type="paragraph" w:styleId="Header">
    <w:name w:val="header"/>
    <w:basedOn w:val="Normal"/>
    <w:link w:val="HeaderChar"/>
    <w:uiPriority w:val="99"/>
    <w:unhideWhenUsed/>
    <w:rsid w:val="00964C36"/>
    <w:pPr>
      <w:tabs>
        <w:tab w:val="center" w:pos="4535"/>
        <w:tab w:val="right" w:pos="9071"/>
      </w:tabs>
      <w:spacing w:before="0"/>
    </w:pPr>
  </w:style>
  <w:style w:type="character" w:customStyle="1" w:styleId="HeaderChar">
    <w:name w:val="Header Char"/>
    <w:basedOn w:val="DefaultParagraphFont"/>
    <w:link w:val="Header"/>
    <w:uiPriority w:val="99"/>
    <w:rsid w:val="00964C36"/>
    <w:rPr>
      <w:rFonts w:ascii="Times New Roman" w:hAnsi="Times New Roman" w:cs="Times New Roman"/>
      <w:kern w:val="0"/>
      <w:sz w:val="24"/>
      <w:lang w:val="fr-FR"/>
      <w14:ligatures w14:val="none"/>
    </w:rPr>
  </w:style>
  <w:style w:type="paragraph" w:styleId="Footer">
    <w:name w:val="footer"/>
    <w:basedOn w:val="Normal"/>
    <w:link w:val="FooterChar"/>
    <w:uiPriority w:val="99"/>
    <w:unhideWhenUsed/>
    <w:rsid w:val="00964C36"/>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964C36"/>
    <w:rPr>
      <w:rFonts w:ascii="Times New Roman" w:hAnsi="Times New Roman" w:cs="Times New Roman"/>
      <w:kern w:val="0"/>
      <w:sz w:val="24"/>
      <w:lang w:val="fr-FR"/>
      <w14:ligatures w14:val="none"/>
    </w:rPr>
  </w:style>
  <w:style w:type="paragraph" w:styleId="FootnoteText">
    <w:name w:val="footnote text"/>
    <w:basedOn w:val="Normal"/>
    <w:link w:val="FootnoteTextChar"/>
    <w:uiPriority w:val="99"/>
    <w:semiHidden/>
    <w:unhideWhenUsed/>
    <w:rsid w:val="00964C36"/>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sid w:val="00964C36"/>
    <w:rPr>
      <w:rFonts w:ascii="Times New Roman" w:hAnsi="Times New Roman" w:cs="Times New Roman"/>
      <w:kern w:val="0"/>
      <w:sz w:val="20"/>
      <w:szCs w:val="20"/>
      <w:lang w:val="fr-FR"/>
      <w14:ligatures w14:val="none"/>
    </w:rPr>
  </w:style>
  <w:style w:type="character" w:styleId="FootnoteReference">
    <w:name w:val="footnote reference"/>
    <w:basedOn w:val="DefaultParagraphFont"/>
    <w:uiPriority w:val="99"/>
    <w:semiHidden/>
    <w:unhideWhenUsed/>
    <w:rsid w:val="00964C36"/>
    <w:rPr>
      <w:shd w:val="clear" w:color="auto" w:fill="auto"/>
      <w:vertAlign w:val="superscript"/>
    </w:rPr>
  </w:style>
  <w:style w:type="paragraph" w:customStyle="1" w:styleId="Text6">
    <w:name w:val="Text 6"/>
    <w:basedOn w:val="Normal"/>
    <w:rsid w:val="00964C36"/>
    <w:pPr>
      <w:ind w:left="3685"/>
    </w:pPr>
  </w:style>
  <w:style w:type="paragraph" w:customStyle="1" w:styleId="Point0number">
    <w:name w:val="Point 0 (number)"/>
    <w:basedOn w:val="Normal"/>
    <w:rsid w:val="00964C36"/>
    <w:pPr>
      <w:numPr>
        <w:numId w:val="1"/>
      </w:numPr>
    </w:pPr>
  </w:style>
  <w:style w:type="paragraph" w:customStyle="1" w:styleId="Point1number">
    <w:name w:val="Point 1 (number)"/>
    <w:basedOn w:val="Normal"/>
    <w:rsid w:val="00964C36"/>
    <w:pPr>
      <w:numPr>
        <w:ilvl w:val="2"/>
        <w:numId w:val="1"/>
      </w:numPr>
    </w:pPr>
  </w:style>
  <w:style w:type="paragraph" w:customStyle="1" w:styleId="Point2number">
    <w:name w:val="Point 2 (number)"/>
    <w:basedOn w:val="Normal"/>
    <w:rsid w:val="00964C36"/>
    <w:pPr>
      <w:numPr>
        <w:ilvl w:val="4"/>
        <w:numId w:val="1"/>
      </w:numPr>
    </w:pPr>
  </w:style>
  <w:style w:type="paragraph" w:customStyle="1" w:styleId="Point3number">
    <w:name w:val="Point 3 (number)"/>
    <w:basedOn w:val="Normal"/>
    <w:rsid w:val="00964C36"/>
    <w:pPr>
      <w:numPr>
        <w:ilvl w:val="6"/>
        <w:numId w:val="1"/>
      </w:numPr>
    </w:pPr>
  </w:style>
  <w:style w:type="paragraph" w:customStyle="1" w:styleId="Point0letter">
    <w:name w:val="Point 0 (letter)"/>
    <w:basedOn w:val="Normal"/>
    <w:rsid w:val="00964C36"/>
    <w:pPr>
      <w:numPr>
        <w:ilvl w:val="1"/>
        <w:numId w:val="1"/>
      </w:numPr>
    </w:pPr>
  </w:style>
  <w:style w:type="paragraph" w:customStyle="1" w:styleId="Point1letter">
    <w:name w:val="Point 1 (letter)"/>
    <w:basedOn w:val="Normal"/>
    <w:rsid w:val="00964C36"/>
    <w:pPr>
      <w:numPr>
        <w:ilvl w:val="3"/>
        <w:numId w:val="1"/>
      </w:numPr>
    </w:pPr>
  </w:style>
  <w:style w:type="paragraph" w:customStyle="1" w:styleId="Point2letter">
    <w:name w:val="Point 2 (letter)"/>
    <w:basedOn w:val="Normal"/>
    <w:rsid w:val="00964C36"/>
    <w:pPr>
      <w:numPr>
        <w:ilvl w:val="5"/>
        <w:numId w:val="1"/>
      </w:numPr>
    </w:pPr>
  </w:style>
  <w:style w:type="paragraph" w:customStyle="1" w:styleId="Point3letter">
    <w:name w:val="Point 3 (letter)"/>
    <w:basedOn w:val="Normal"/>
    <w:rsid w:val="00964C36"/>
    <w:pPr>
      <w:numPr>
        <w:ilvl w:val="7"/>
        <w:numId w:val="1"/>
      </w:numPr>
    </w:pPr>
  </w:style>
  <w:style w:type="paragraph" w:customStyle="1" w:styleId="Point4letter">
    <w:name w:val="Point 4 (letter)"/>
    <w:basedOn w:val="Normal"/>
    <w:rsid w:val="00964C36"/>
    <w:pPr>
      <w:numPr>
        <w:ilvl w:val="8"/>
        <w:numId w:val="1"/>
      </w:numPr>
    </w:pPr>
  </w:style>
  <w:style w:type="paragraph" w:customStyle="1" w:styleId="Annexetitre">
    <w:name w:val="Annexe titre"/>
    <w:basedOn w:val="Normal"/>
    <w:next w:val="Normal"/>
    <w:rsid w:val="00964C36"/>
    <w:pPr>
      <w:jc w:val="center"/>
    </w:pPr>
    <w:rPr>
      <w:b/>
      <w:u w:val="single"/>
    </w:rPr>
  </w:style>
  <w:style w:type="character" w:customStyle="1" w:styleId="Marker">
    <w:name w:val="Marker"/>
    <w:basedOn w:val="DefaultParagraphFont"/>
    <w:rsid w:val="00964C36"/>
    <w:rPr>
      <w:color w:val="0000FF"/>
      <w:shd w:val="clear" w:color="auto" w:fill="auto"/>
    </w:rPr>
  </w:style>
  <w:style w:type="paragraph" w:customStyle="1" w:styleId="Pagedecouverture">
    <w:name w:val="Page de couverture"/>
    <w:basedOn w:val="Normal"/>
    <w:next w:val="Normal"/>
    <w:link w:val="PagedecouvertureChar"/>
    <w:rsid w:val="00964C36"/>
    <w:pPr>
      <w:spacing w:before="0" w:after="0"/>
    </w:pPr>
  </w:style>
  <w:style w:type="paragraph" w:customStyle="1" w:styleId="FooterCoverPage">
    <w:name w:val="Footer Cover Page"/>
    <w:basedOn w:val="Normal"/>
    <w:link w:val="FooterCoverPageChar"/>
    <w:rsid w:val="00964C36"/>
    <w:pPr>
      <w:tabs>
        <w:tab w:val="center" w:pos="4535"/>
        <w:tab w:val="right" w:pos="9071"/>
        <w:tab w:val="right" w:pos="9921"/>
      </w:tabs>
      <w:spacing w:before="360" w:after="0"/>
      <w:ind w:left="-850" w:right="-850"/>
      <w:jc w:val="left"/>
    </w:pPr>
  </w:style>
  <w:style w:type="character" w:customStyle="1" w:styleId="PagedecouvertureChar">
    <w:name w:val="Page de couverture Char"/>
    <w:basedOn w:val="DefaultParagraphFont"/>
    <w:link w:val="Pagedecouverture"/>
    <w:rsid w:val="00964C36"/>
    <w:rPr>
      <w:rFonts w:ascii="Times New Roman" w:hAnsi="Times New Roman" w:cs="Times New Roman"/>
      <w:kern w:val="0"/>
      <w:sz w:val="24"/>
      <w:lang w:val="fr-FR"/>
      <w14:ligatures w14:val="none"/>
    </w:rPr>
  </w:style>
  <w:style w:type="character" w:customStyle="1" w:styleId="FooterCoverPageChar">
    <w:name w:val="Footer Cover Page Char"/>
    <w:basedOn w:val="PagedecouvertureChar"/>
    <w:link w:val="FooterCoverPage"/>
    <w:rsid w:val="00964C36"/>
    <w:rPr>
      <w:rFonts w:ascii="Times New Roman" w:hAnsi="Times New Roman" w:cs="Times New Roman"/>
      <w:kern w:val="0"/>
      <w:sz w:val="24"/>
      <w:lang w:val="fr-FR"/>
      <w14:ligatures w14:val="none"/>
    </w:rPr>
  </w:style>
  <w:style w:type="paragraph" w:customStyle="1" w:styleId="FooterSensitivity">
    <w:name w:val="Footer Sensitivity"/>
    <w:basedOn w:val="Normal"/>
    <w:link w:val="FooterSensitivityChar"/>
    <w:rsid w:val="00964C3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PagedecouvertureChar"/>
    <w:link w:val="FooterSensitivity"/>
    <w:rsid w:val="00964C36"/>
    <w:rPr>
      <w:rFonts w:ascii="Times New Roman" w:hAnsi="Times New Roman" w:cs="Times New Roman"/>
      <w:b/>
      <w:kern w:val="0"/>
      <w:sz w:val="32"/>
      <w:lang w:val="fr-FR"/>
      <w14:ligatures w14:val="none"/>
    </w:rPr>
  </w:style>
  <w:style w:type="paragraph" w:customStyle="1" w:styleId="HeaderCoverPage">
    <w:name w:val="Header Cover Page"/>
    <w:basedOn w:val="Normal"/>
    <w:link w:val="HeaderCoverPageChar"/>
    <w:rsid w:val="00964C36"/>
    <w:pPr>
      <w:tabs>
        <w:tab w:val="center" w:pos="4535"/>
        <w:tab w:val="right" w:pos="9071"/>
      </w:tabs>
      <w:spacing w:before="0"/>
    </w:pPr>
  </w:style>
  <w:style w:type="character" w:customStyle="1" w:styleId="HeaderCoverPageChar">
    <w:name w:val="Header Cover Page Char"/>
    <w:basedOn w:val="PagedecouvertureChar"/>
    <w:link w:val="HeaderCoverPage"/>
    <w:rsid w:val="00964C36"/>
    <w:rPr>
      <w:rFonts w:ascii="Times New Roman" w:hAnsi="Times New Roman" w:cs="Times New Roman"/>
      <w:kern w:val="0"/>
      <w:sz w:val="24"/>
      <w:lang w:val="fr-FR"/>
      <w14:ligatures w14:val="none"/>
    </w:rPr>
  </w:style>
  <w:style w:type="paragraph" w:customStyle="1" w:styleId="HeaderSensitivity">
    <w:name w:val="Header Sensitivity"/>
    <w:basedOn w:val="Normal"/>
    <w:link w:val="HeaderSensitivityChar"/>
    <w:rsid w:val="00964C36"/>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character" w:customStyle="1" w:styleId="HeaderSensitivityChar">
    <w:name w:val="Header Sensitivity Char"/>
    <w:basedOn w:val="PagedecouvertureChar"/>
    <w:link w:val="HeaderSensitivity"/>
    <w:rsid w:val="00964C36"/>
    <w:rPr>
      <w:rFonts w:ascii="Times New Roman" w:hAnsi="Times New Roman" w:cs="Times New Roman"/>
      <w:b/>
      <w:kern w:val="0"/>
      <w:sz w:val="32"/>
      <w:lang w:val="fr-FR"/>
      <w14:ligatures w14:val="none"/>
    </w:rPr>
  </w:style>
  <w:style w:type="paragraph" w:customStyle="1" w:styleId="HeaderSensitivityRight">
    <w:name w:val="Header Sensitivity Right"/>
    <w:basedOn w:val="Normal"/>
    <w:link w:val="HeaderSensitivityRightChar"/>
    <w:rsid w:val="00964C36"/>
    <w:pPr>
      <w:spacing w:before="0"/>
      <w:jc w:val="right"/>
    </w:pPr>
    <w:rPr>
      <w:sz w:val="28"/>
    </w:rPr>
  </w:style>
  <w:style w:type="character" w:customStyle="1" w:styleId="HeaderSensitivityRightChar">
    <w:name w:val="Header Sensitivity Right Char"/>
    <w:basedOn w:val="PagedecouvertureChar"/>
    <w:link w:val="HeaderSensitivityRight"/>
    <w:rsid w:val="00964C36"/>
    <w:rPr>
      <w:rFonts w:ascii="Times New Roman" w:hAnsi="Times New Roman" w:cs="Times New Roman"/>
      <w:kern w:val="0"/>
      <w:sz w:val="28"/>
      <w:lang w:val="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ec/2024/594/oj." TargetMode="External"/><Relationship Id="rId7" Type="http://schemas.openxmlformats.org/officeDocument/2006/relationships/hyperlink" Target="https://eur-lex.europa.eu/legal-content/FR/TXT/?uri=OJ%3AC%3A2021%3A089%3ATOC" TargetMode="External"/><Relationship Id="rId2" Type="http://schemas.openxmlformats.org/officeDocument/2006/relationships/hyperlink" Target="http://data.europa.eu/eli/C/2024/6842/oj" TargetMode="External"/><Relationship Id="rId1" Type="http://schemas.openxmlformats.org/officeDocument/2006/relationships/hyperlink" Target="http://data.europa.eu/eli/treaty/withd_2020/sign" TargetMode="External"/><Relationship Id="rId6" Type="http://schemas.openxmlformats.org/officeDocument/2006/relationships/hyperlink" Target="https://eur-lex.europa.eu/legal-content/FR/TXT/?uri=OJ%3AC%3A2010%3A187%3ATOC" TargetMode="External"/><Relationship Id="rId5" Type="http://schemas.openxmlformats.org/officeDocument/2006/relationships/hyperlink" Target="http://data.europa.eu/eli/C/2025/1598/oj" TargetMode="External"/><Relationship Id="rId4" Type="http://schemas.openxmlformats.org/officeDocument/2006/relationships/hyperlink" Target="http://data.europa.eu/eli/C/2024/684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612</Words>
  <Characters>3490</Characters>
  <Application>Microsoft Office Word</Application>
  <DocSecurity>0</DocSecurity>
  <Lines>29</Lines>
  <Paragraphs>8</Paragraphs>
  <ScaleCrop>false</ScaleCrop>
  <Manager/>
  <Company/>
  <LinksUpToDate>false</LinksUpToDate>
  <CharactersWithSpaces>4094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cp:revision>
  <dcterms:created xsi:type="dcterms:W3CDTF">2026-07-08T10:29:00Z</dcterms:created>
  <dcterms:modified xsi:type="dcterms:W3CDTF">2026-07-24T16:40:00Z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First annex">
    <vt:lpwstr>1</vt:lpwstr>
  </property>
  <property fmtid="{D5CDD505-2E9C-101B-9397-08002B2CF9AE}" pid="4" name="Last annex">
    <vt:lpwstr>1</vt:lpwstr>
  </property>
  <property fmtid="{D5CDD505-2E9C-101B-9397-08002B2CF9AE}" pid="5" name="Unique annex">
    <vt:lpwstr>1</vt:lpwstr>
  </property>
  <property fmtid="{D5CDD505-2E9C-101B-9397-08002B2CF9AE}" pid="6" name="Part">
    <vt:lpwstr>1</vt:lpwstr>
  </property>
  <property fmtid="{D5CDD505-2E9C-101B-9397-08002B2CF9AE}" pid="7" name="Total parts">
    <vt:lpwstr>1</vt:lpwstr>
  </property>
  <property fmtid="{D5CDD505-2E9C-101B-9397-08002B2CF9AE}" pid="8" name="DocStatus">
    <vt:lpwstr>Green</vt:lpwstr>
  </property>
  <property fmtid="{D5CDD505-2E9C-101B-9397-08002B2CF9AE}" pid="9" name="CPTemplateID">
    <vt:lpwstr>CP-036</vt:lpwstr>
  </property>
  <property fmtid="{D5CDD505-2E9C-101B-9397-08002B2CF9AE}" pid="10" name="Last edited using">
    <vt:lpwstr>LW 9.2, Build 20250828</vt:lpwstr>
  </property>
  <property fmtid="{D5CDD505-2E9C-101B-9397-08002B2CF9AE}" pid="11" name="Created using">
    <vt:lpwstr>LW 9.2, Build 20250828</vt:lpwstr>
  </property>
  <property fmtid="{D5CDD505-2E9C-101B-9397-08002B2CF9AE}" pid="12" name="MSIP_Label_6bd9ddd1-4d20-43f6-abfa-fc3c07406f94_Enabled">
    <vt:lpwstr>true</vt:lpwstr>
  </property>
  <property fmtid="{D5CDD505-2E9C-101B-9397-08002B2CF9AE}" pid="13" name="MSIP_Label_6bd9ddd1-4d20-43f6-abfa-fc3c07406f94_SetDate">
    <vt:lpwstr>2026-07-08T10:30:48Z</vt:lpwstr>
  </property>
  <property fmtid="{D5CDD505-2E9C-101B-9397-08002B2CF9AE}" pid="14" name="MSIP_Label_6bd9ddd1-4d20-43f6-abfa-fc3c07406f94_Method">
    <vt:lpwstr>Standard</vt:lpwstr>
  </property>
  <property fmtid="{D5CDD505-2E9C-101B-9397-08002B2CF9AE}" pid="15" name="MSIP_Label_6bd9ddd1-4d20-43f6-abfa-fc3c07406f94_Name">
    <vt:lpwstr>Commission Use</vt:lpwstr>
  </property>
  <property fmtid="{D5CDD505-2E9C-101B-9397-08002B2CF9AE}" pid="16" name="MSIP_Label_6bd9ddd1-4d20-43f6-abfa-fc3c07406f94_SiteId">
    <vt:lpwstr>b24c8b06-522c-46fe-9080-70926f8dddb1</vt:lpwstr>
  </property>
  <property fmtid="{D5CDD505-2E9C-101B-9397-08002B2CF9AE}" pid="17" name="MSIP_Label_6bd9ddd1-4d20-43f6-abfa-fc3c07406f94_ActionId">
    <vt:lpwstr>f1804ca2-11d0-4079-ad4d-8edc435e46fe</vt:lpwstr>
  </property>
  <property fmtid="{D5CDD505-2E9C-101B-9397-08002B2CF9AE}" pid="18" name="MSIP_Label_6bd9ddd1-4d20-43f6-abfa-fc3c07406f94_ContentBits">
    <vt:lpwstr>0</vt:lpwstr>
  </property>
  <property fmtid="{D5CDD505-2E9C-101B-9397-08002B2CF9AE}" pid="19" name="MSIP_Label_6bd9ddd1-4d20-43f6-abfa-fc3c07406f94_Tag">
    <vt:lpwstr>10, 3, 0, 1</vt:lpwstr>
  </property>
</Properties>
</file>