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6A4" w:rsidRPr="00244AC4" w:rsidRDefault="00FA5EFB" w:rsidP="00FA5EF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4D190FC-21F7-4F6A-8B66-F41B307AA33B" style="width:455.25pt;height:385.5pt">
            <v:imagedata r:id="rId7" o:title=""/>
          </v:shape>
        </w:pict>
      </w:r>
    </w:p>
    <w:p w:rsidR="006F06A4" w:rsidRPr="00244AC4" w:rsidRDefault="006F06A4" w:rsidP="006F06A4">
      <w:pPr>
        <w:rPr>
          <w:noProof/>
        </w:rPr>
        <w:sectPr w:rsidR="006F06A4" w:rsidRPr="00244AC4" w:rsidSect="00FA5EFB">
          <w:footerReference w:type="even" r:id="rId8"/>
          <w:footerReference w:type="default" r:id="rId9"/>
          <w:pgSz w:w="11907" w:h="16839"/>
          <w:pgMar w:top="1134" w:right="1417" w:bottom="1134" w:left="1417" w:header="709" w:footer="709" w:gutter="0"/>
          <w:pgNumType w:start="0"/>
          <w:cols w:space="720"/>
          <w:docGrid w:linePitch="360"/>
        </w:sectPr>
      </w:pPr>
    </w:p>
    <w:p w:rsidR="006F06A4" w:rsidRPr="00244AC4" w:rsidRDefault="006F06A4" w:rsidP="00BB6B30">
      <w:pPr>
        <w:pStyle w:val="Exposdesmotifstitre"/>
        <w:rPr>
          <w:noProof/>
        </w:rPr>
      </w:pPr>
      <w:bookmarkStart w:id="0" w:name="_GoBack"/>
      <w:bookmarkEnd w:id="0"/>
      <w:r w:rsidRPr="00244AC4">
        <w:rPr>
          <w:noProof/>
        </w:rPr>
        <w:lastRenderedPageBreak/>
        <w:t>EXPUNERE DE MOTIVE</w:t>
      </w:r>
    </w:p>
    <w:p w:rsidR="006F06A4" w:rsidRPr="00244AC4" w:rsidRDefault="006F06A4" w:rsidP="00D966B3">
      <w:pPr>
        <w:pStyle w:val="ManualHeading1"/>
        <w:rPr>
          <w:rFonts w:eastAsia="Arial Unicode MS"/>
          <w:noProof/>
        </w:rPr>
      </w:pPr>
      <w:r>
        <w:rPr>
          <w:noProof/>
        </w:rPr>
        <w:t>1.</w:t>
      </w:r>
      <w:r>
        <w:rPr>
          <w:noProof/>
        </w:rPr>
        <w:tab/>
      </w:r>
      <w:r w:rsidRPr="00244AC4">
        <w:rPr>
          <w:noProof/>
        </w:rPr>
        <w:t>Obiectul propunerii</w:t>
      </w:r>
    </w:p>
    <w:p w:rsidR="006F06A4" w:rsidRPr="00244AC4" w:rsidRDefault="006F06A4" w:rsidP="00736AA9">
      <w:pPr>
        <w:rPr>
          <w:rFonts w:eastAsia="Arial Unicode MS"/>
          <w:noProof/>
        </w:rPr>
      </w:pPr>
      <w:r w:rsidRPr="00244AC4">
        <w:rPr>
          <w:noProof/>
        </w:rPr>
        <w:t>Propunerea vizează decizia de stabilire a poziției care urmează să fie adoptată în numele Uniunii în cadrul Comitetului mixt instituit prin Acordul privind retragerea Regatului Unit al Marii Britanii și Irlandei de Nord din Uniunea Europeană și din Comunitatea Europeană a Energiei Atomice</w:t>
      </w:r>
      <w:r w:rsidRPr="00244AC4">
        <w:rPr>
          <w:rStyle w:val="FootnoteReference"/>
          <w:rFonts w:eastAsia="Arial Unicode MS"/>
          <w:noProof/>
        </w:rPr>
        <w:footnoteReference w:id="1"/>
      </w:r>
      <w:r w:rsidRPr="00244AC4">
        <w:rPr>
          <w:noProof/>
        </w:rPr>
        <w:t xml:space="preserve"> („Acordul de retragere”) în legătură cu adoptarea preconizată a unei decizii a Comitetului mixt de modificare a părții I din anexa I la acordul respectiv. </w:t>
      </w:r>
    </w:p>
    <w:p w:rsidR="006F06A4" w:rsidRPr="00244AC4" w:rsidRDefault="006F06A4" w:rsidP="00D966B3">
      <w:pPr>
        <w:pStyle w:val="ManualHeading1"/>
        <w:rPr>
          <w:noProof/>
        </w:rPr>
      </w:pPr>
      <w:r>
        <w:rPr>
          <w:noProof/>
        </w:rPr>
        <w:t>2.</w:t>
      </w:r>
      <w:r>
        <w:rPr>
          <w:noProof/>
        </w:rPr>
        <w:tab/>
      </w:r>
      <w:r w:rsidRPr="00244AC4">
        <w:rPr>
          <w:noProof/>
        </w:rPr>
        <w:t>Contextul propunerii</w:t>
      </w:r>
    </w:p>
    <w:p w:rsidR="006F06A4" w:rsidRPr="00244AC4" w:rsidRDefault="006F06A4" w:rsidP="00D966B3">
      <w:pPr>
        <w:pStyle w:val="ManualHeading2"/>
        <w:rPr>
          <w:noProof/>
        </w:rPr>
      </w:pPr>
      <w:r>
        <w:rPr>
          <w:noProof/>
        </w:rPr>
        <w:t>2.1.</w:t>
      </w:r>
      <w:r>
        <w:rPr>
          <w:noProof/>
        </w:rPr>
        <w:tab/>
      </w:r>
      <w:r w:rsidRPr="00244AC4">
        <w:rPr>
          <w:noProof/>
        </w:rPr>
        <w:t xml:space="preserve">Acordul privind retragerea Regatului Unit al Marii Britanii și Irlandei de Nord din Uniunea Europeană și din Comunitatea Europeană a Energiei Atomice </w:t>
      </w:r>
    </w:p>
    <w:p w:rsidR="00D40B40" w:rsidRPr="00244AC4" w:rsidRDefault="006F06A4" w:rsidP="00736AA9">
      <w:pPr>
        <w:rPr>
          <w:rFonts w:eastAsia="Arial Unicode MS"/>
          <w:noProof/>
        </w:rPr>
      </w:pPr>
      <w:r w:rsidRPr="00244AC4">
        <w:rPr>
          <w:noProof/>
        </w:rPr>
        <w:t xml:space="preserve">Acordul de retragere prevede condițiile pentru retragerea ordonată a Regatului Unit din Uniune și din Euratom. Acordul de retragere a intrat în vigoare la 1 februarie 2020. </w:t>
      </w:r>
    </w:p>
    <w:p w:rsidR="006F06A4" w:rsidRPr="00244AC4" w:rsidRDefault="006F06A4" w:rsidP="00D966B3">
      <w:pPr>
        <w:pStyle w:val="ManualHeading2"/>
        <w:rPr>
          <w:noProof/>
        </w:rPr>
      </w:pPr>
      <w:r>
        <w:rPr>
          <w:noProof/>
        </w:rPr>
        <w:t>2.2.</w:t>
      </w:r>
      <w:r>
        <w:rPr>
          <w:noProof/>
        </w:rPr>
        <w:tab/>
      </w:r>
      <w:r w:rsidRPr="00244AC4">
        <w:rPr>
          <w:noProof/>
        </w:rPr>
        <w:t>Comitetul mixt</w:t>
      </w:r>
    </w:p>
    <w:p w:rsidR="00FA094C" w:rsidRPr="00244AC4" w:rsidRDefault="00FA094C" w:rsidP="00FA094C">
      <w:pPr>
        <w:rPr>
          <w:rFonts w:eastAsia="Arial Unicode MS"/>
          <w:noProof/>
        </w:rPr>
      </w:pPr>
      <w:r w:rsidRPr="00244AC4">
        <w:rPr>
          <w:noProof/>
        </w:rPr>
        <w:t>Comitetul mixt instituit în temeiul articolului 164 alineatul (1) din Acordul de retragere este alcătuit din reprezentanți ai Uniunii și ai Regatului Unit. Acesta este coprezidat de Uniune și de Regatul Unit. Anexa VIII la Acordul de retragere stabilește regulamentul de procedură al Comitetului mixt. Comitetul mixt se reunește cel puțin o dată pe an sau la cererea Uniunii ori a Regatului Unit și își stabilește calendarul și ordinea de zi a reuniunilor prin acordul părților. În conformitate cu articolul 166 alineatul (3) din Acordul de retragere, Comitetul mixt își adoptă deciziile prin acordul părților.</w:t>
      </w:r>
    </w:p>
    <w:p w:rsidR="00FA094C" w:rsidRPr="00244AC4" w:rsidRDefault="00FA094C" w:rsidP="00FA094C">
      <w:pPr>
        <w:rPr>
          <w:rFonts w:eastAsia="Arial Unicode MS"/>
          <w:noProof/>
        </w:rPr>
      </w:pPr>
      <w:r w:rsidRPr="00244AC4">
        <w:rPr>
          <w:noProof/>
        </w:rPr>
        <w:t>Sarcinile Comitetului mixt sunt prevăzute la articolul 164 din Acordul de retragere și constau în principal în:</w:t>
      </w:r>
    </w:p>
    <w:p w:rsidR="00FA094C" w:rsidRPr="00244AC4" w:rsidRDefault="00FA094C" w:rsidP="00C42B84">
      <w:pPr>
        <w:pStyle w:val="Bullet0"/>
        <w:numPr>
          <w:ilvl w:val="0"/>
          <w:numId w:val="7"/>
        </w:numPr>
        <w:rPr>
          <w:noProof/>
        </w:rPr>
      </w:pPr>
      <w:r w:rsidRPr="00244AC4">
        <w:rPr>
          <w:noProof/>
        </w:rPr>
        <w:t>supravegherea punerii în aplicare și a executării acordului în mod direct sau prin intermediul lucrărilor comitetelor specializate care transmit rapoarte Comitetului mixt;</w:t>
      </w:r>
    </w:p>
    <w:p w:rsidR="00FA094C" w:rsidRPr="00244AC4" w:rsidRDefault="00FA094C" w:rsidP="00D966B3">
      <w:pPr>
        <w:pStyle w:val="Bullet0"/>
        <w:rPr>
          <w:noProof/>
        </w:rPr>
      </w:pPr>
      <w:r w:rsidRPr="00244AC4">
        <w:rPr>
          <w:noProof/>
        </w:rPr>
        <w:t>adoptarea de decizii și recomandări, inclusiv de modificări care să fie aduse acordului, în cazurile prevăzute în acesta;</w:t>
      </w:r>
    </w:p>
    <w:p w:rsidR="00FA094C" w:rsidRPr="00244AC4" w:rsidRDefault="00FA094C" w:rsidP="00D966B3">
      <w:pPr>
        <w:pStyle w:val="Bullet0"/>
        <w:rPr>
          <w:noProof/>
        </w:rPr>
      </w:pPr>
      <w:r w:rsidRPr="00244AC4">
        <w:rPr>
          <w:noProof/>
        </w:rPr>
        <w:t>prevenirea problemelor și soluționarea litigiilor care pot apărea cu privire la interpretarea și executarea acordului.</w:t>
      </w:r>
    </w:p>
    <w:p w:rsidR="006F06A4" w:rsidRPr="00244AC4" w:rsidRDefault="006F06A4" w:rsidP="00D966B3">
      <w:pPr>
        <w:pStyle w:val="ManualHeading2"/>
        <w:rPr>
          <w:noProof/>
        </w:rPr>
      </w:pPr>
      <w:r>
        <w:rPr>
          <w:noProof/>
        </w:rPr>
        <w:t>2.3.</w:t>
      </w:r>
      <w:r>
        <w:rPr>
          <w:noProof/>
        </w:rPr>
        <w:tab/>
      </w:r>
      <w:r w:rsidRPr="00244AC4">
        <w:rPr>
          <w:noProof/>
        </w:rPr>
        <w:t xml:space="preserve">Actul avut în vedere de comitetul mixt </w:t>
      </w:r>
    </w:p>
    <w:p w:rsidR="00EE691D" w:rsidRPr="00244AC4" w:rsidRDefault="00A24982" w:rsidP="00EE691D">
      <w:pPr>
        <w:rPr>
          <w:noProof/>
        </w:rPr>
      </w:pPr>
      <w:r w:rsidRPr="00244AC4">
        <w:rPr>
          <w:noProof/>
        </w:rPr>
        <w:t>În cadrul următoarei sale reuniuni, Comitetul mixt urmează să adopte o decizie de modificare a părții I din anexa I la Acordul de retragere, referitoare la coordonarea securității sociale („actul avut în vedere”). În temeiul articolului 36 alineatul (4) din Acordul de retragere, Comitetul mixt ar trebui să adopte o decizie de modificare a părții I din anexa I la Acordul de retragere pentru a reflecta orice nouă decizie sau recomandare aprobată de Comisia administrativă pentru coordonarea sistemelor de securitate socială.</w:t>
      </w:r>
    </w:p>
    <w:p w:rsidR="00EE691D" w:rsidRPr="00244AC4" w:rsidRDefault="00EE691D" w:rsidP="00EE691D">
      <w:pPr>
        <w:rPr>
          <w:noProof/>
        </w:rPr>
      </w:pPr>
      <w:r w:rsidRPr="00244AC4">
        <w:rPr>
          <w:noProof/>
        </w:rPr>
        <w:t>Scopul actului avut în vedere este de a include în partea I din anexa I</w:t>
      </w:r>
      <w:bookmarkStart w:id="1" w:name="_Hlk126830470"/>
      <w:r w:rsidRPr="00244AC4">
        <w:rPr>
          <w:noProof/>
        </w:rPr>
        <w:t xml:space="preserve"> patru noi decizii aprobate de Comisia administrativă pentru coordonarea sistemelor de securitate socială și de a elimina două decizii anterioare care au fost înlocuite de două dintre noile decizii.</w:t>
      </w:r>
      <w:bookmarkEnd w:id="1"/>
    </w:p>
    <w:p w:rsidR="006F06A4" w:rsidRPr="00244AC4" w:rsidRDefault="00EE691D" w:rsidP="00EE691D">
      <w:pPr>
        <w:rPr>
          <w:rFonts w:eastAsia="Arial Unicode MS"/>
          <w:noProof/>
        </w:rPr>
      </w:pPr>
      <w:r w:rsidRPr="00244AC4">
        <w:rPr>
          <w:noProof/>
        </w:rPr>
        <w:lastRenderedPageBreak/>
        <w:t xml:space="preserve">Actul avut în vedere va deveni obligatoriu pentru părți în conformitate cu articolul 166 alineatul (2) din Acordul de retragere, conform căruia: </w:t>
      </w:r>
      <w:r w:rsidRPr="00244AC4">
        <w:rPr>
          <w:i/>
          <w:noProof/>
        </w:rPr>
        <w:t>„Deciziile adoptate de Comitetul mixt sunt obligatorii pentru Uniune și pentru Regatul Unit, iar Uniunea și Regatul Unit pun în aplicare deciziile respective. Deciziile au același efect juridic ca și prezentul acord.”</w:t>
      </w:r>
      <w:r w:rsidRPr="00244AC4">
        <w:rPr>
          <w:noProof/>
        </w:rPr>
        <w:t xml:space="preserve"> În conformitate cu articolul 9 din Regulamentul de procedură al Comitetului mixt și al comitetelor specializate, deciziile adoptate de Comitetul mixt vor specifica data de la care produc efecte.</w:t>
      </w:r>
    </w:p>
    <w:p w:rsidR="006F06A4" w:rsidRPr="00244AC4" w:rsidRDefault="006F06A4" w:rsidP="00D966B3">
      <w:pPr>
        <w:pStyle w:val="ManualHeading1"/>
        <w:rPr>
          <w:rFonts w:eastAsia="Arial Unicode MS"/>
          <w:noProof/>
        </w:rPr>
      </w:pPr>
      <w:r>
        <w:rPr>
          <w:noProof/>
        </w:rPr>
        <w:t>3.</w:t>
      </w:r>
      <w:r>
        <w:rPr>
          <w:noProof/>
        </w:rPr>
        <w:tab/>
      </w:r>
      <w:r w:rsidRPr="00244AC4">
        <w:rPr>
          <w:noProof/>
        </w:rPr>
        <w:t>Poziția care trebuie adoptată în numele Uniunii</w:t>
      </w:r>
    </w:p>
    <w:p w:rsidR="00C60C07" w:rsidRPr="00244AC4" w:rsidRDefault="00C60C07" w:rsidP="00736AA9">
      <w:pPr>
        <w:rPr>
          <w:b/>
          <w:bCs/>
          <w:noProof/>
        </w:rPr>
      </w:pPr>
      <w:r w:rsidRPr="00244AC4">
        <w:rPr>
          <w:b/>
          <w:noProof/>
        </w:rPr>
        <w:t xml:space="preserve">3.1. </w:t>
      </w:r>
      <w:r w:rsidRPr="00244AC4">
        <w:rPr>
          <w:noProof/>
        </w:rPr>
        <w:tab/>
      </w:r>
      <w:r w:rsidRPr="00244AC4">
        <w:rPr>
          <w:b/>
          <w:noProof/>
        </w:rPr>
        <w:t>Partea I din anexa I la Acordul de retragere privind coordonarea în materie de securitate socială</w:t>
      </w:r>
    </w:p>
    <w:p w:rsidR="006F06A4" w:rsidRPr="00244AC4" w:rsidRDefault="00C60C07" w:rsidP="00C60C07">
      <w:pPr>
        <w:rPr>
          <w:noProof/>
        </w:rPr>
      </w:pPr>
      <w:r w:rsidRPr="00244AC4">
        <w:rPr>
          <w:noProof/>
        </w:rPr>
        <w:t>Partea I din anexa I la Acordul de retragere conține deciziile și recomandările Comisiei administrative pentru coordonarea sistemelor de securitate socială, de care Uniunea și Regatul Unit trebuie să țină seama în mod corespunzător atunci când aplică normele privind coordonarea în materie de securitate socială [a se vedea articolul 31 alineatul (1) din Acordul de retragere].</w:t>
      </w:r>
    </w:p>
    <w:p w:rsidR="00A062A3" w:rsidRPr="00244AC4" w:rsidRDefault="00A062A3" w:rsidP="009A5AB1">
      <w:pPr>
        <w:rPr>
          <w:noProof/>
        </w:rPr>
      </w:pPr>
      <w:r w:rsidRPr="00244AC4">
        <w:rPr>
          <w:noProof/>
        </w:rPr>
        <w:t xml:space="preserve">La 21 iunie 2023, Comisia administrativă pentru coordonarea sistemelor de securitate socială a aprobat Decizia nr. H14 în ceea ce privește publicarea Notei de orientare privind pandemia de COVID-19, a Notei privind interpretarea aplicării titlului II din Regulamentul (CE) nr. 883/2004 și a articolelor 67 și 70 din Regulamentul (CE) nr. 987/2009 în timpul pandemiei de COVID-19, a Notei de orientare privind telemunca aplicabile pentru perioada 1 iulie 2022-30 iunie 2023 și a Notei de orientare privind telemunca aplicabile de la 1 iulie 2023. Această decizie ar trebui adăugată în partea I din anexa I la Acordul de retragere. </w:t>
      </w:r>
    </w:p>
    <w:p w:rsidR="008C5AE1" w:rsidRPr="00244AC4" w:rsidRDefault="00B96D9F" w:rsidP="009A5AB1">
      <w:pPr>
        <w:rPr>
          <w:noProof/>
        </w:rPr>
      </w:pPr>
      <w:r w:rsidRPr="00244AC4">
        <w:rPr>
          <w:noProof/>
        </w:rPr>
        <w:t>La 14 martie 2024, Comisia administrativă pentru coordonarea sistemelor de securitate socială a aprobat Decizia nr. E8 privind stabilirea unei proceduri de gestionare a modificărilor care se aplică în cazul datelor privind organismele definite la articolul 1 din Regulamentul (CE) nr. 883/2004 al Parlamentului European și al Consiliului și incluse în repertoriul electronic care este parte integrantă din EESSI (Schimbul electronic de informații privind securitatea socială). Această decizie ar trebui adăugată în partea I din anexa I la Acordul de retragere. Decizia respectivă înlocuiește Decizia nr. E2 din 3 martie 2010 privind stabilirea unei proceduri de gestionare a modificărilor care se aplică în cazul datelor de contact ale organismelor definite la articolul 1 din Regulamentul (CE) nr. 883/2004 al Parlamentului European și al Consiliului și incluse în repertoriul electronic care este parte integrantă din EESSI. Prin urmare, Decizia nr. E2 va fi eliminată din partea I din anexa I la Acordul de retragere.</w:t>
      </w:r>
    </w:p>
    <w:p w:rsidR="00981549" w:rsidRPr="00244AC4" w:rsidRDefault="00123A2E" w:rsidP="00981549">
      <w:pPr>
        <w:rPr>
          <w:noProof/>
        </w:rPr>
      </w:pPr>
      <w:r w:rsidRPr="00244AC4">
        <w:rPr>
          <w:noProof/>
        </w:rPr>
        <w:t xml:space="preserve">La 27 iunie 2024, Comisia administrativă pentru coordonarea sistemelor de securitate socială a aprobat Decizia nr. H15 privind modul de funcționare și componența Comisiei tehnice pentru prelucrarea datelor din cadrul Comisiei administrative pentru coordonarea sistemelor de securitate socială. Această decizie ar trebui adăugată în partea I din anexa I la Acordul de retragere. </w:t>
      </w:r>
      <w:bookmarkStart w:id="2" w:name="_Hlk231291711"/>
      <w:r w:rsidRPr="00244AC4">
        <w:rPr>
          <w:noProof/>
        </w:rPr>
        <w:t>Decizia respectivă înlocuiește Decizia nr. H10 din 21 octombrie 2020</w:t>
      </w:r>
      <w:bookmarkEnd w:id="2"/>
      <w:r w:rsidRPr="00244AC4">
        <w:rPr>
          <w:noProof/>
        </w:rPr>
        <w:t xml:space="preserve"> privind modul de funcționare și componența Comisiei tehnice pentru prelucrarea datelor din cadrul Comisiei administrative pentru coordonarea sistemelor de securitate socială. Prin urmare, Decizia nr. H10 va fi eliminată din partea I din anexa I la Acordul de retragere.</w:t>
      </w:r>
    </w:p>
    <w:p w:rsidR="00123A2E" w:rsidRPr="00244AC4" w:rsidRDefault="00C94E21" w:rsidP="00C94E21">
      <w:pPr>
        <w:rPr>
          <w:noProof/>
        </w:rPr>
      </w:pPr>
      <w:r w:rsidRPr="00244AC4">
        <w:rPr>
          <w:noProof/>
        </w:rPr>
        <w:t>La 16 octombrie 2024, Comisia administrativă pentru coordonarea sistemelor de securitate socială a aprobat Decizia nr. S12 privind rambursarea asistenței medicale în legătură cu transferul pacienților către un alt stat membru în cazul unor incidente cu victime în masă în urma dezastrelor. Această decizie ar trebui adăugată în partea I din anexa I la Acordul de retragere.</w:t>
      </w:r>
    </w:p>
    <w:p w:rsidR="00425103" w:rsidRPr="00244AC4" w:rsidRDefault="00425103" w:rsidP="00C94E21">
      <w:pPr>
        <w:rPr>
          <w:noProof/>
        </w:rPr>
      </w:pPr>
      <w:r w:rsidRPr="00244AC4">
        <w:rPr>
          <w:noProof/>
        </w:rPr>
        <w:lastRenderedPageBreak/>
        <w:t>Prin urmare, este necesar să se stabilească poziția care urmează să fie adoptată de Uniune în cadrul Comitetului mixt în ceea ce privește includerea pe lista din partea I a anexei I la Acordul de retragere a celor patru noi decizii ale Comisiei administrative pentru coordonarea sistemelor de securitate socială menționate mai sus și eliminarea a două decizii menționate anterior care au fost înlocuite cu două dintre noile decizii.</w:t>
      </w:r>
    </w:p>
    <w:p w:rsidR="006F06A4" w:rsidRPr="00244AC4" w:rsidRDefault="006F06A4" w:rsidP="00D966B3">
      <w:pPr>
        <w:pStyle w:val="ManualHeading1"/>
        <w:rPr>
          <w:noProof/>
        </w:rPr>
      </w:pPr>
      <w:r>
        <w:rPr>
          <w:noProof/>
        </w:rPr>
        <w:t>4.</w:t>
      </w:r>
      <w:r>
        <w:rPr>
          <w:noProof/>
        </w:rPr>
        <w:tab/>
      </w:r>
      <w:r w:rsidRPr="00244AC4">
        <w:rPr>
          <w:noProof/>
        </w:rPr>
        <w:t>Temei juridic</w:t>
      </w:r>
    </w:p>
    <w:p w:rsidR="006F06A4" w:rsidRPr="00244AC4" w:rsidRDefault="006F06A4" w:rsidP="00D966B3">
      <w:pPr>
        <w:pStyle w:val="ManualHeading2"/>
        <w:rPr>
          <w:noProof/>
        </w:rPr>
      </w:pPr>
      <w:r>
        <w:rPr>
          <w:noProof/>
        </w:rPr>
        <w:t>4.1.</w:t>
      </w:r>
      <w:r>
        <w:rPr>
          <w:noProof/>
        </w:rPr>
        <w:tab/>
      </w:r>
      <w:r w:rsidRPr="00244AC4">
        <w:rPr>
          <w:noProof/>
        </w:rPr>
        <w:t>Temeiul juridic procedural</w:t>
      </w:r>
    </w:p>
    <w:p w:rsidR="006F06A4" w:rsidRPr="00244AC4" w:rsidRDefault="006F06A4" w:rsidP="00736AA9">
      <w:pPr>
        <w:rPr>
          <w:noProof/>
        </w:rPr>
      </w:pPr>
      <w:r w:rsidRPr="00244AC4">
        <w:rPr>
          <w:noProof/>
        </w:rPr>
        <w:t>Comitetul mixt este un organism instituit printr-un acord, și anume Acordul de retragere.</w:t>
      </w:r>
    </w:p>
    <w:p w:rsidR="006F06A4" w:rsidRPr="00244AC4" w:rsidRDefault="006F06A4" w:rsidP="00736AA9">
      <w:pPr>
        <w:rPr>
          <w:noProof/>
        </w:rPr>
      </w:pPr>
      <w:r w:rsidRPr="00244AC4">
        <w:rPr>
          <w:noProof/>
        </w:rPr>
        <w:t xml:space="preserve">Actul pe care Comitetul mixt este invitat să îl adopte are efecte juridice, întrucât va produce efecte juridice pentru Uniune în temeiul Acordului de retragere. Actul avut în vedere va fi obligatoriu pentru părți în conformitate cu articolul 166 alineatul (2) din Acordul de retragere. </w:t>
      </w:r>
    </w:p>
    <w:p w:rsidR="006F06A4" w:rsidRPr="00244AC4" w:rsidRDefault="006F06A4" w:rsidP="00736AA9">
      <w:pPr>
        <w:rPr>
          <w:noProof/>
        </w:rPr>
      </w:pPr>
      <w:r w:rsidRPr="00244AC4">
        <w:rPr>
          <w:noProof/>
        </w:rPr>
        <w:t>Actul avut în vedere nu aduce completări sau modificări cadrului instituțional al Acordului de retragere.</w:t>
      </w:r>
    </w:p>
    <w:p w:rsidR="00526DFB" w:rsidRPr="00244AC4" w:rsidRDefault="006F06A4" w:rsidP="00526DFB">
      <w:pPr>
        <w:rPr>
          <w:noProof/>
        </w:rPr>
      </w:pPr>
      <w:r w:rsidRPr="00244AC4">
        <w:rPr>
          <w:noProof/>
        </w:rPr>
        <w:t>Prin urmare, temeiul juridic procedural al deciziei propuse este articolul 218 alineatul (9) din TFUE.</w:t>
      </w:r>
    </w:p>
    <w:p w:rsidR="006F06A4" w:rsidRPr="00244AC4" w:rsidRDefault="006F06A4" w:rsidP="003C291B">
      <w:pPr>
        <w:pStyle w:val="ManualHeading2"/>
        <w:rPr>
          <w:noProof/>
        </w:rPr>
      </w:pPr>
      <w:r>
        <w:rPr>
          <w:noProof/>
        </w:rPr>
        <w:t>4.2.</w:t>
      </w:r>
      <w:r>
        <w:rPr>
          <w:noProof/>
        </w:rPr>
        <w:tab/>
      </w:r>
      <w:r w:rsidRPr="00244AC4">
        <w:rPr>
          <w:noProof/>
        </w:rPr>
        <w:t>Temeiul juridic material</w:t>
      </w:r>
    </w:p>
    <w:p w:rsidR="00DE05BB" w:rsidRPr="00244AC4" w:rsidRDefault="00DE05BB" w:rsidP="00DE05BB">
      <w:pPr>
        <w:rPr>
          <w:iCs/>
          <w:noProof/>
        </w:rPr>
      </w:pPr>
      <w:r w:rsidRPr="00244AC4">
        <w:rPr>
          <w:noProof/>
        </w:rPr>
        <w:t>Obiectivul principal și conținutul actului avut în vedere se referă la modificarea părții I din anexa I la Acordul de retragere pentru a enumera patru noi decizii aprobate de Comisia administrativă pentru coordonarea sistemelor de securitate socială și pentru a elimina două decizii anterioare care au fost înlocuite cu două dintre noile decizii.</w:t>
      </w:r>
    </w:p>
    <w:p w:rsidR="00DE05BB" w:rsidRPr="00244AC4" w:rsidRDefault="00DE05BB" w:rsidP="00DE05BB">
      <w:pPr>
        <w:rPr>
          <w:iCs/>
          <w:noProof/>
        </w:rPr>
      </w:pPr>
      <w:r w:rsidRPr="00244AC4">
        <w:rPr>
          <w:noProof/>
        </w:rPr>
        <w:t>Încheierea Acordului de retragere s-a întemeiat pe articolul 50 alineatul (2) din TUE.</w:t>
      </w:r>
    </w:p>
    <w:p w:rsidR="00DE05BB" w:rsidRPr="00244AC4" w:rsidRDefault="00DE05BB" w:rsidP="00DE05BB">
      <w:pPr>
        <w:rPr>
          <w:iCs/>
          <w:noProof/>
        </w:rPr>
      </w:pPr>
      <w:r w:rsidRPr="00244AC4">
        <w:rPr>
          <w:noProof/>
        </w:rPr>
        <w:t>Prin urmare, temeiul juridic material al deciziei propuse este articolul 50 alineatul (2) din TUE.</w:t>
      </w:r>
    </w:p>
    <w:p w:rsidR="006F06A4" w:rsidRPr="00244AC4" w:rsidRDefault="006F06A4" w:rsidP="00D966B3">
      <w:pPr>
        <w:pStyle w:val="ManualHeading2"/>
        <w:rPr>
          <w:noProof/>
        </w:rPr>
      </w:pPr>
      <w:r>
        <w:rPr>
          <w:noProof/>
        </w:rPr>
        <w:t>4.3.</w:t>
      </w:r>
      <w:r>
        <w:rPr>
          <w:noProof/>
        </w:rPr>
        <w:tab/>
      </w:r>
      <w:r w:rsidRPr="00244AC4">
        <w:rPr>
          <w:noProof/>
        </w:rPr>
        <w:t>Concluzie</w:t>
      </w:r>
    </w:p>
    <w:p w:rsidR="006F06A4" w:rsidRPr="00244AC4" w:rsidRDefault="006F06A4" w:rsidP="00736AA9">
      <w:pPr>
        <w:rPr>
          <w:noProof/>
        </w:rPr>
      </w:pPr>
      <w:r w:rsidRPr="00244AC4">
        <w:rPr>
          <w:noProof/>
        </w:rPr>
        <w:t>Temeiul juridic al deciziei propuse ar trebui să fie articolul 50 alineatul (2) din TUE coroborat cu articolul 218 alineatul (9) din TFUE.</w:t>
      </w:r>
    </w:p>
    <w:p w:rsidR="006F06A4" w:rsidRPr="00244AC4" w:rsidRDefault="006F06A4" w:rsidP="00D966B3">
      <w:pPr>
        <w:pStyle w:val="ManualHeading1"/>
        <w:rPr>
          <w:noProof/>
        </w:rPr>
      </w:pPr>
      <w:r>
        <w:rPr>
          <w:noProof/>
        </w:rPr>
        <w:t>5.</w:t>
      </w:r>
      <w:r>
        <w:rPr>
          <w:noProof/>
        </w:rPr>
        <w:tab/>
      </w:r>
      <w:r w:rsidRPr="00244AC4">
        <w:rPr>
          <w:noProof/>
        </w:rPr>
        <w:t>Publicarea actului avut în vedere</w:t>
      </w:r>
    </w:p>
    <w:p w:rsidR="006F06A4" w:rsidRPr="00244AC4" w:rsidRDefault="006F06A4" w:rsidP="00736AA9">
      <w:pPr>
        <w:rPr>
          <w:noProof/>
        </w:rPr>
      </w:pPr>
      <w:r w:rsidRPr="00244AC4">
        <w:rPr>
          <w:noProof/>
        </w:rPr>
        <w:t xml:space="preserve">Întrucât actul Comitetului mixt va modifica partea I din anexa I la Acordul de retragere, este oportună publicarea acesteia în </w:t>
      </w:r>
      <w:r w:rsidRPr="00244AC4">
        <w:rPr>
          <w:i/>
          <w:noProof/>
        </w:rPr>
        <w:t>Jurnalul Oficial al Uniunii Europene</w:t>
      </w:r>
      <w:r w:rsidRPr="00244AC4">
        <w:rPr>
          <w:noProof/>
        </w:rPr>
        <w:t xml:space="preserve"> după adoptare.</w:t>
      </w:r>
    </w:p>
    <w:p w:rsidR="006F06A4" w:rsidRPr="00244AC4" w:rsidRDefault="006F06A4" w:rsidP="00FD40BA">
      <w:pPr>
        <w:rPr>
          <w:noProof/>
        </w:rPr>
        <w:sectPr w:rsidR="006F06A4" w:rsidRPr="00244AC4" w:rsidSect="00FA5EFB">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rsidR="00EA1BFA" w:rsidRDefault="003748CC">
      <w:pPr>
        <w:pStyle w:val="Rfrenceinterinstitutionnelle"/>
        <w:rPr>
          <w:noProof/>
        </w:rPr>
      </w:pPr>
      <w:r>
        <w:rPr>
          <w:noProof/>
        </w:rPr>
        <w:lastRenderedPageBreak/>
        <w:t>2026/0225 (NLE)</w:t>
      </w:r>
    </w:p>
    <w:p w:rsidR="006F06A4" w:rsidRPr="00244AC4" w:rsidRDefault="00244AC4" w:rsidP="00244AC4">
      <w:pPr>
        <w:pStyle w:val="Statut"/>
        <w:rPr>
          <w:noProof/>
        </w:rPr>
      </w:pPr>
      <w:r w:rsidRPr="00244AC4">
        <w:rPr>
          <w:noProof/>
        </w:rPr>
        <w:t>Propunere de</w:t>
      </w:r>
    </w:p>
    <w:p w:rsidR="006F06A4" w:rsidRPr="00244AC4" w:rsidRDefault="00244AC4" w:rsidP="00244AC4">
      <w:pPr>
        <w:pStyle w:val="Typedudocument"/>
        <w:rPr>
          <w:noProof/>
        </w:rPr>
      </w:pPr>
      <w:r w:rsidRPr="00244AC4">
        <w:rPr>
          <w:noProof/>
        </w:rPr>
        <w:t>DECIZIE A CONSILIULUI</w:t>
      </w:r>
    </w:p>
    <w:p w:rsidR="006F06A4" w:rsidRPr="00244AC4" w:rsidRDefault="00244AC4" w:rsidP="00244AC4">
      <w:pPr>
        <w:pStyle w:val="Titreobjet"/>
        <w:rPr>
          <w:noProof/>
        </w:rPr>
      </w:pPr>
      <w:r w:rsidRPr="00244AC4">
        <w:rPr>
          <w:noProof/>
        </w:rPr>
        <w:t>privind poziția care urmează să fie adoptată în numele Uniunii Europene, în cadrul Comitetului mixt înființat prin Acordul privind retragerea Regatului Unit al Marii Britanii și Irlandei de Nord din Uniunea Europeană și din Comunitatea Europeană a Energiei Atomice, în ceea ce privește adoptarea unei decizii de modificare a părții I a anexei I la respectivul acord</w:t>
      </w:r>
    </w:p>
    <w:p w:rsidR="006F06A4" w:rsidRPr="00244AC4" w:rsidRDefault="006F06A4" w:rsidP="00BE7CB9">
      <w:pPr>
        <w:pStyle w:val="Institutionquiagit"/>
        <w:rPr>
          <w:noProof/>
        </w:rPr>
      </w:pPr>
      <w:r w:rsidRPr="00244AC4">
        <w:rPr>
          <w:noProof/>
        </w:rPr>
        <w:t>CONSILIUL UNIUNII EUROPENE,</w:t>
      </w:r>
    </w:p>
    <w:p w:rsidR="006F06A4" w:rsidRPr="00244AC4" w:rsidRDefault="006F06A4" w:rsidP="00BE7CB9">
      <w:pPr>
        <w:rPr>
          <w:noProof/>
        </w:rPr>
      </w:pPr>
      <w:r w:rsidRPr="00244AC4">
        <w:rPr>
          <w:noProof/>
        </w:rPr>
        <w:t>având în vedere Tratatul privind Uniunea Europeană, în special articolul 50 alineatul (2) coroborat cu articolul 218 alineatul (9) din Tratatul privind funcționarea Uniunii Europene,</w:t>
      </w:r>
    </w:p>
    <w:p w:rsidR="006F06A4" w:rsidRPr="00244AC4" w:rsidRDefault="006F06A4" w:rsidP="00BE7CB9">
      <w:pPr>
        <w:rPr>
          <w:noProof/>
        </w:rPr>
      </w:pPr>
      <w:r w:rsidRPr="00244AC4">
        <w:rPr>
          <w:noProof/>
        </w:rPr>
        <w:t>având în vedere propunerea Comisiei Europene,</w:t>
      </w:r>
    </w:p>
    <w:p w:rsidR="006F06A4" w:rsidRPr="00244AC4" w:rsidRDefault="006F06A4" w:rsidP="00BE7CB9">
      <w:pPr>
        <w:rPr>
          <w:noProof/>
        </w:rPr>
      </w:pPr>
      <w:r w:rsidRPr="00244AC4">
        <w:rPr>
          <w:noProof/>
        </w:rPr>
        <w:t>întrucât:</w:t>
      </w:r>
    </w:p>
    <w:p w:rsidR="006F06A4" w:rsidRPr="00244AC4" w:rsidRDefault="00884CF2" w:rsidP="00D966B3">
      <w:pPr>
        <w:pStyle w:val="ManualConsidrant"/>
        <w:rPr>
          <w:noProof/>
        </w:rPr>
      </w:pPr>
      <w:r>
        <w:rPr>
          <w:noProof/>
        </w:rPr>
        <w:t>(1)</w:t>
      </w:r>
      <w:r>
        <w:rPr>
          <w:noProof/>
        </w:rPr>
        <w:tab/>
      </w:r>
      <w:r w:rsidRPr="00244AC4">
        <w:rPr>
          <w:noProof/>
        </w:rPr>
        <w:t>Acordul privind retragerea Regatului Unit al Marii Britanii și Irlandei de Nord din Uniunea Europeană și din Comunitatea Europeană a Energiei Atomice</w:t>
      </w:r>
      <w:r w:rsidRPr="00244AC4">
        <w:rPr>
          <w:rStyle w:val="FootnoteReference"/>
          <w:noProof/>
        </w:rPr>
        <w:footnoteReference w:id="2"/>
      </w:r>
      <w:r w:rsidRPr="00244AC4">
        <w:rPr>
          <w:noProof/>
        </w:rPr>
        <w:t xml:space="preserve"> (denumit în continuare „Acordul de retragere”) a fost încheiat de către Uniune prin Decizia (UE) 2020/135 a Consiliului</w:t>
      </w:r>
      <w:r w:rsidRPr="00244AC4">
        <w:rPr>
          <w:rStyle w:val="FootnoteReference"/>
          <w:noProof/>
        </w:rPr>
        <w:footnoteReference w:id="3"/>
      </w:r>
      <w:r w:rsidRPr="00244AC4">
        <w:rPr>
          <w:noProof/>
        </w:rPr>
        <w:t>.</w:t>
      </w:r>
    </w:p>
    <w:p w:rsidR="006F06A4" w:rsidRPr="00244AC4" w:rsidRDefault="006F06A4" w:rsidP="00D966B3">
      <w:pPr>
        <w:pStyle w:val="ManualConsidrant"/>
        <w:rPr>
          <w:noProof/>
        </w:rPr>
      </w:pPr>
      <w:r>
        <w:rPr>
          <w:noProof/>
        </w:rPr>
        <w:t>(2)</w:t>
      </w:r>
      <w:r>
        <w:rPr>
          <w:noProof/>
        </w:rPr>
        <w:tab/>
      </w:r>
      <w:r w:rsidRPr="00244AC4">
        <w:rPr>
          <w:noProof/>
        </w:rPr>
        <w:t xml:space="preserve">În temeiul articolului 36 alineatul (4) din Acordul de retragere, Comitetul mixt instituit prin Acordul de retragere poate adopta decizii de modificare a </w:t>
      </w:r>
      <w:bookmarkStart w:id="3" w:name="_Hlk126830783"/>
      <w:r w:rsidRPr="00244AC4">
        <w:rPr>
          <w:noProof/>
        </w:rPr>
        <w:t>părții I din anexa I la Acordul de retragere</w:t>
      </w:r>
      <w:bookmarkEnd w:id="3"/>
      <w:r w:rsidRPr="00244AC4">
        <w:rPr>
          <w:noProof/>
        </w:rPr>
        <w:t xml:space="preserve"> pentru a reflecta orice nouă decizie sau recomandare aprobată de Comisia administrativă pentru coordonarea sistemelor de securitate socială. </w:t>
      </w:r>
    </w:p>
    <w:p w:rsidR="00FF3D76" w:rsidRPr="00244AC4" w:rsidRDefault="006F06A4" w:rsidP="00D966B3">
      <w:pPr>
        <w:pStyle w:val="ManualConsidrant"/>
        <w:rPr>
          <w:noProof/>
        </w:rPr>
      </w:pPr>
      <w:r>
        <w:rPr>
          <w:noProof/>
        </w:rPr>
        <w:t>(3)</w:t>
      </w:r>
      <w:r>
        <w:rPr>
          <w:noProof/>
        </w:rPr>
        <w:tab/>
      </w:r>
      <w:r w:rsidRPr="00244AC4">
        <w:rPr>
          <w:noProof/>
        </w:rPr>
        <w:t xml:space="preserve">În cadrul următoarei sale reuniuni, Comitetul mixt urmează să adopte, în temeiul articolului 36 alineatul (4) din Acordul de retragere, o decizie de modificare a părții I din anexa I la acesta pentru a adăuga patru noi decizii aprobate de Comisia administrativă pentru coordonarea sistemelor de securitate socială pe lista prevăzută în respectiva anexă și pentru a elimina de pe lista respectivă două decizii care au fost înlocuite de două dintre noile decizii. </w:t>
      </w:r>
    </w:p>
    <w:p w:rsidR="007B3E0E" w:rsidRPr="00244AC4" w:rsidRDefault="007B3E0E" w:rsidP="00D966B3">
      <w:pPr>
        <w:pStyle w:val="ManualConsidrant"/>
        <w:rPr>
          <w:noProof/>
        </w:rPr>
      </w:pPr>
      <w:r>
        <w:rPr>
          <w:noProof/>
        </w:rPr>
        <w:t>(4)</w:t>
      </w:r>
      <w:r>
        <w:rPr>
          <w:noProof/>
        </w:rPr>
        <w:tab/>
      </w:r>
      <w:r w:rsidRPr="00244AC4">
        <w:rPr>
          <w:noProof/>
        </w:rPr>
        <w:t xml:space="preserve">Dacă va fi adoptată, decizia avută în vedere de Comitetul mixt va produce efecte juridice pentru Uniune. </w:t>
      </w:r>
    </w:p>
    <w:p w:rsidR="006F06A4" w:rsidRPr="00244AC4" w:rsidRDefault="006F06A4" w:rsidP="009D2244">
      <w:pPr>
        <w:pStyle w:val="ManualConsidrant"/>
        <w:rPr>
          <w:noProof/>
        </w:rPr>
      </w:pPr>
      <w:r>
        <w:rPr>
          <w:noProof/>
        </w:rPr>
        <w:t>(5)</w:t>
      </w:r>
      <w:r>
        <w:rPr>
          <w:noProof/>
        </w:rPr>
        <w:tab/>
      </w:r>
      <w:r w:rsidRPr="00244AC4">
        <w:rPr>
          <w:noProof/>
        </w:rPr>
        <w:t>Prin urmare, este necesar să se stabilească poziția care urmează să fie adoptată în cadrul Comitetului mixt cu privire la adoptarea unei decizii de modificare a părții I din anexa I la Acordul de retragere,</w:t>
      </w:r>
    </w:p>
    <w:p w:rsidR="005406C4" w:rsidRPr="00244AC4" w:rsidRDefault="005406C4" w:rsidP="009C048F">
      <w:pPr>
        <w:rPr>
          <w:noProof/>
        </w:rPr>
      </w:pPr>
    </w:p>
    <w:p w:rsidR="006F06A4" w:rsidRPr="00244AC4" w:rsidRDefault="006F06A4" w:rsidP="00BE7CB9">
      <w:pPr>
        <w:pStyle w:val="Formuledadoption"/>
        <w:rPr>
          <w:noProof/>
        </w:rPr>
      </w:pPr>
      <w:r w:rsidRPr="00244AC4">
        <w:rPr>
          <w:noProof/>
        </w:rPr>
        <w:lastRenderedPageBreak/>
        <w:t>ADOPTĂ PREZENTA DECIZIE:</w:t>
      </w:r>
    </w:p>
    <w:p w:rsidR="006F06A4" w:rsidRPr="00244AC4" w:rsidRDefault="006F06A4" w:rsidP="00BE7CB9">
      <w:pPr>
        <w:pStyle w:val="Titrearticle"/>
        <w:rPr>
          <w:noProof/>
        </w:rPr>
      </w:pPr>
      <w:r w:rsidRPr="00244AC4">
        <w:rPr>
          <w:noProof/>
        </w:rPr>
        <w:t>Articolul 1</w:t>
      </w:r>
    </w:p>
    <w:p w:rsidR="0085166A" w:rsidRPr="00244AC4" w:rsidRDefault="0085166A" w:rsidP="0085166A">
      <w:pPr>
        <w:rPr>
          <w:iCs/>
          <w:noProof/>
        </w:rPr>
      </w:pPr>
      <w:r w:rsidRPr="00244AC4">
        <w:rPr>
          <w:noProof/>
        </w:rPr>
        <w:t>Poziția care urmează să fie luată în numele Uniunii în cadrul Comitetului mixt înființat în temeiul articolului 164 alineatul (1) din Acordul privind retragerea Regatului Unit al Marii Britanii și Irlandei de Nord din Uniunea Europeană și din Comunitatea Europeană a Energiei Atomice („Comitetul mixt”) se bazează pe proiectul de decizie a Comitetului mixt atașat la prezenta decizie.</w:t>
      </w:r>
    </w:p>
    <w:p w:rsidR="00DB28BB" w:rsidRPr="00244AC4" w:rsidRDefault="00DB28BB" w:rsidP="0085166A">
      <w:pPr>
        <w:rPr>
          <w:iCs/>
          <w:noProof/>
        </w:rPr>
      </w:pPr>
    </w:p>
    <w:p w:rsidR="00DB28BB" w:rsidRPr="00244AC4" w:rsidRDefault="00DB28BB" w:rsidP="00DB28BB">
      <w:pPr>
        <w:jc w:val="center"/>
        <w:rPr>
          <w:i/>
          <w:noProof/>
        </w:rPr>
      </w:pPr>
      <w:r w:rsidRPr="00244AC4">
        <w:rPr>
          <w:i/>
          <w:noProof/>
        </w:rPr>
        <w:t>Articolul 2</w:t>
      </w:r>
    </w:p>
    <w:p w:rsidR="00DB28BB" w:rsidRPr="00244AC4" w:rsidRDefault="00DB28BB" w:rsidP="0085166A">
      <w:pPr>
        <w:rPr>
          <w:iCs/>
          <w:noProof/>
        </w:rPr>
      </w:pPr>
      <w:r w:rsidRPr="00244AC4">
        <w:rPr>
          <w:noProof/>
        </w:rPr>
        <w:t>Se poate conveni asupra unor modificări tehnice minore ale poziției stabilite în proiectul de decizie a Comitetului mixt atașat la prezenta decizie, fără a mai fi necesară o nouă decizie a Consiliului.</w:t>
      </w:r>
    </w:p>
    <w:p w:rsidR="006F06A4" w:rsidRPr="00244AC4" w:rsidRDefault="006F06A4" w:rsidP="0075366F">
      <w:pPr>
        <w:pStyle w:val="Titrearticle"/>
        <w:rPr>
          <w:noProof/>
        </w:rPr>
      </w:pPr>
      <w:r w:rsidRPr="00244AC4">
        <w:rPr>
          <w:noProof/>
        </w:rPr>
        <w:t>Articolul 3</w:t>
      </w:r>
    </w:p>
    <w:p w:rsidR="006F06A4" w:rsidRPr="00244AC4" w:rsidRDefault="00A967E1" w:rsidP="00BE7CB9">
      <w:pPr>
        <w:rPr>
          <w:noProof/>
        </w:rPr>
      </w:pPr>
      <w:r w:rsidRPr="00244AC4">
        <w:rPr>
          <w:noProof/>
        </w:rPr>
        <w:t>Prezenta decizie intră în vigoare la data adoptării.</w:t>
      </w:r>
    </w:p>
    <w:p w:rsidR="00A967E1" w:rsidRPr="00244AC4" w:rsidRDefault="00244AC4" w:rsidP="0075366F">
      <w:pPr>
        <w:pStyle w:val="Fait"/>
        <w:rPr>
          <w:noProof/>
        </w:rPr>
      </w:pPr>
      <w:r>
        <w:rPr>
          <w:noProof/>
        </w:rPr>
        <w:t>Adoptată la Bruxelles,</w:t>
      </w:r>
    </w:p>
    <w:p w:rsidR="006F06A4" w:rsidRPr="00244AC4" w:rsidRDefault="006F06A4" w:rsidP="0075366F">
      <w:pPr>
        <w:pStyle w:val="Institutionquisigne"/>
        <w:rPr>
          <w:noProof/>
        </w:rPr>
      </w:pPr>
      <w:r w:rsidRPr="00244AC4">
        <w:rPr>
          <w:noProof/>
        </w:rPr>
        <w:tab/>
        <w:t>Pentru Consiliu</w:t>
      </w:r>
    </w:p>
    <w:p w:rsidR="006F06A4" w:rsidRPr="00244AC4" w:rsidRDefault="006F06A4" w:rsidP="006F06A4">
      <w:pPr>
        <w:pStyle w:val="Personnequisigne"/>
        <w:rPr>
          <w:noProof/>
        </w:rPr>
      </w:pPr>
      <w:r w:rsidRPr="00244AC4">
        <w:rPr>
          <w:noProof/>
        </w:rPr>
        <w:tab/>
        <w:t>Președintele</w:t>
      </w:r>
    </w:p>
    <w:sectPr w:rsidR="006F06A4" w:rsidRPr="00244AC4" w:rsidSect="00FA5EF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07F" w:rsidRDefault="0005407F" w:rsidP="006F06A4">
      <w:pPr>
        <w:spacing w:before="0" w:after="0"/>
      </w:pPr>
      <w:r>
        <w:separator/>
      </w:r>
    </w:p>
  </w:endnote>
  <w:endnote w:type="continuationSeparator" w:id="0">
    <w:p w:rsidR="0005407F" w:rsidRDefault="0005407F" w:rsidP="006F06A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EFB" w:rsidRPr="00FA5EFB" w:rsidRDefault="00FA5EFB" w:rsidP="00FA5EFB">
    <w:pPr>
      <w:pStyle w:val="Footer"/>
      <w:rPr>
        <w:rFonts w:ascii="Arial" w:hAnsi="Arial" w:cs="Arial"/>
        <w:b/>
        <w:sz w:val="48"/>
      </w:rPr>
    </w:pPr>
    <w:r w:rsidRPr="00FA5EFB">
      <w:rPr>
        <w:rFonts w:ascii="Arial" w:hAnsi="Arial" w:cs="Arial"/>
        <w:b/>
        <w:sz w:val="48"/>
      </w:rPr>
      <w:t>RO</w:t>
    </w:r>
    <w:r w:rsidRPr="00FA5EFB">
      <w:rPr>
        <w:rFonts w:ascii="Arial" w:hAnsi="Arial" w:cs="Arial"/>
        <w:b/>
        <w:sz w:val="48"/>
      </w:rPr>
      <w:tab/>
    </w:r>
    <w:r w:rsidRPr="00FA5EFB">
      <w:rPr>
        <w:rFonts w:ascii="Arial" w:hAnsi="Arial" w:cs="Arial"/>
        <w:b/>
        <w:sz w:val="48"/>
      </w:rPr>
      <w:tab/>
    </w:r>
    <w:r w:rsidRPr="00FA5EFB">
      <w:tab/>
    </w:r>
    <w:r w:rsidRPr="00FA5EF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EFB" w:rsidRPr="00FA5EFB" w:rsidRDefault="00FA5EFB" w:rsidP="00FA5EFB">
    <w:pPr>
      <w:pStyle w:val="Footer"/>
      <w:rPr>
        <w:rFonts w:ascii="Arial" w:hAnsi="Arial" w:cs="Arial"/>
        <w:b/>
        <w:sz w:val="48"/>
      </w:rPr>
    </w:pPr>
    <w:r w:rsidRPr="00FA5EFB">
      <w:rPr>
        <w:rFonts w:ascii="Arial" w:hAnsi="Arial" w:cs="Arial"/>
        <w:b/>
        <w:sz w:val="48"/>
      </w:rPr>
      <w:t>RO</w:t>
    </w:r>
    <w:r w:rsidRPr="00FA5EFB">
      <w:rPr>
        <w:rFonts w:ascii="Arial" w:hAnsi="Arial" w:cs="Arial"/>
        <w:b/>
        <w:sz w:val="48"/>
      </w:rPr>
      <w:tab/>
    </w:r>
    <w:r w:rsidRPr="00FA5EFB">
      <w:rPr>
        <w:rFonts w:ascii="Arial" w:hAnsi="Arial" w:cs="Arial"/>
        <w:b/>
        <w:sz w:val="48"/>
      </w:rPr>
      <w:tab/>
    </w:r>
    <w:r w:rsidRPr="00FA5EFB">
      <w:tab/>
    </w:r>
    <w:r w:rsidRPr="00FA5EF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EFB" w:rsidRDefault="00FA5E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EFB" w:rsidRPr="00FA5EFB" w:rsidRDefault="00FA5EFB" w:rsidP="00FA5EFB">
    <w:pPr>
      <w:pStyle w:val="Footer"/>
      <w:rPr>
        <w:rFonts w:ascii="Arial" w:hAnsi="Arial" w:cs="Arial"/>
        <w:b/>
        <w:sz w:val="48"/>
      </w:rPr>
    </w:pPr>
    <w:r w:rsidRPr="00FA5EFB">
      <w:rPr>
        <w:rFonts w:ascii="Arial" w:hAnsi="Arial" w:cs="Arial"/>
        <w:b/>
        <w:sz w:val="48"/>
      </w:rPr>
      <w:t>RO</w:t>
    </w:r>
    <w:r w:rsidRPr="00FA5EFB">
      <w:rPr>
        <w:rFonts w:ascii="Arial" w:hAnsi="Arial" w:cs="Arial"/>
        <w:b/>
        <w:sz w:val="48"/>
      </w:rPr>
      <w:tab/>
    </w:r>
    <w:r>
      <w:fldChar w:fldCharType="begin"/>
    </w:r>
    <w:r>
      <w:instrText xml:space="preserve"> PAGE  \* MERGEFORMAT </w:instrText>
    </w:r>
    <w:r>
      <w:fldChar w:fldCharType="separate"/>
    </w:r>
    <w:r w:rsidR="0075366F">
      <w:rPr>
        <w:noProof/>
      </w:rPr>
      <w:t>5</w:t>
    </w:r>
    <w:r>
      <w:fldChar w:fldCharType="end"/>
    </w:r>
    <w:r>
      <w:tab/>
    </w:r>
    <w:r w:rsidRPr="00FA5EFB">
      <w:tab/>
    </w:r>
    <w:r w:rsidRPr="00FA5EF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EFB" w:rsidRDefault="00FA5EFB" w:rsidP="00FA5E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07F" w:rsidRDefault="0005407F" w:rsidP="006F06A4">
      <w:pPr>
        <w:spacing w:before="0" w:after="0"/>
      </w:pPr>
      <w:r>
        <w:separator/>
      </w:r>
    </w:p>
  </w:footnote>
  <w:footnote w:type="continuationSeparator" w:id="0">
    <w:p w:rsidR="0005407F" w:rsidRDefault="0005407F" w:rsidP="006F06A4">
      <w:pPr>
        <w:spacing w:before="0" w:after="0"/>
      </w:pPr>
      <w:r>
        <w:continuationSeparator/>
      </w:r>
    </w:p>
  </w:footnote>
  <w:footnote w:id="1">
    <w:p w:rsidR="00631F12" w:rsidRPr="0059754C" w:rsidRDefault="00631F12">
      <w:pPr>
        <w:pStyle w:val="FootnoteText"/>
      </w:pPr>
      <w:r>
        <w:rPr>
          <w:rStyle w:val="FootnoteReference"/>
        </w:rPr>
        <w:footnoteRef/>
      </w:r>
      <w:r>
        <w:tab/>
        <w:t>JO L 29, 31.1.2020, p. 7, ELI: </w:t>
      </w:r>
      <w:hyperlink r:id="rId1" w:tooltip="Oferă acces la acest document prin identificatorul său uniform de resurse ELI." w:history="1">
        <w:r>
          <w:rPr>
            <w:rStyle w:val="Hyperlink"/>
          </w:rPr>
          <w:t>http://data.europa.eu/eli/treaty/withd_2020/sign</w:t>
        </w:r>
      </w:hyperlink>
      <w:r>
        <w:t>.</w:t>
      </w:r>
    </w:p>
  </w:footnote>
  <w:footnote w:id="2">
    <w:p w:rsidR="00B16A4D" w:rsidRPr="00B16A4D" w:rsidRDefault="00B16A4D">
      <w:pPr>
        <w:pStyle w:val="FootnoteText"/>
      </w:pPr>
      <w:r>
        <w:rPr>
          <w:rStyle w:val="FootnoteReference"/>
        </w:rPr>
        <w:footnoteRef/>
      </w:r>
      <w:r>
        <w:tab/>
        <w:t>JO L 29, 31.1.2020, p. 7, ELI: </w:t>
      </w:r>
      <w:hyperlink r:id="rId2" w:history="1">
        <w:r>
          <w:rPr>
            <w:rStyle w:val="Hyperlink"/>
          </w:rPr>
          <w:t>http://data.europa.eu/eli/treaty/withd_2020/sign</w:t>
        </w:r>
      </w:hyperlink>
      <w:r>
        <w:t>.</w:t>
      </w:r>
    </w:p>
  </w:footnote>
  <w:footnote w:id="3">
    <w:p w:rsidR="006F06A4" w:rsidRPr="00B16A4D" w:rsidRDefault="006F06A4" w:rsidP="00BE7CB9">
      <w:pPr>
        <w:pStyle w:val="FootnoteText"/>
      </w:pPr>
      <w:r>
        <w:rPr>
          <w:rStyle w:val="FootnoteReference"/>
        </w:rPr>
        <w:footnoteRef/>
      </w:r>
      <w:r>
        <w:tab/>
        <w:t>Decizia (UE) 2020/135 a Consiliului din 30 ianuarie 2020 referitoare la încheierea Acordului privind retragerea Regatului Unit al Marii Britanii și Irlandei de Nord din Uniunea Europeană și din Comunitatea Europeană a Energiei Atomice (JO L 29, 31.1.2020, p. 1, ELI: </w:t>
      </w:r>
      <w:hyperlink r:id="rId3" w:tooltip="Oferă acces la acest document prin identificatorul său uniform de resurse ELI." w:history="1">
        <w:r>
          <w:rPr>
            <w:rStyle w:val="Hyperlink"/>
          </w:rPr>
          <w:t>http://data.europa.eu/eli/dec/2020/135/oj</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EFB" w:rsidRDefault="00FA5E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EFB" w:rsidRDefault="00FA5E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574A08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25275F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A94B4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3BCEF6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1"/>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8-03 09:52: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4D190FC-21F7-4F6A-8B66-F41B307AA33B"/>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25"/>
    <w:docVar w:name="LW_REF.II.NEW.CP_YEAR" w:val="2026"/>
    <w:docVar w:name="LW_REF.INST.NEW" w:val="COM"/>
    <w:docVar w:name="LW_REF.INST.NEW_ADOPTED" w:val="final"/>
    <w:docVar w:name="LW_REF.INST.NEW_TEXT" w:val="(2026) 40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Comitetului mixt înfiin\u539?at prin Acordul privind retragerea Regatului Unit al Marii Britanii \u537?i Irlandei de Nord din Uniunea European\u259? \u537?i din Comunitatea European\u259? a Energiei Atomice, în ceea ce prive\u537?te adoptarea unei decizii de modificare a p\u259?r\u539?ii I a anexei I la respectivul acord"/>
    <w:docVar w:name="LW_TYPE.DOC.CP" w:val="DECIZIE A CONSILIULUI"/>
    <w:docVar w:name="LwApiVersions" w:val="LW4CoDe 1.24.5.0; LW 9.2, Build 20251112"/>
  </w:docVars>
  <w:rsids>
    <w:rsidRoot w:val="006F06A4"/>
    <w:rsid w:val="00000542"/>
    <w:rsid w:val="00021DDA"/>
    <w:rsid w:val="00025881"/>
    <w:rsid w:val="00026C2E"/>
    <w:rsid w:val="00035C2D"/>
    <w:rsid w:val="00052B2E"/>
    <w:rsid w:val="0005407F"/>
    <w:rsid w:val="000544ED"/>
    <w:rsid w:val="000614BA"/>
    <w:rsid w:val="00076AED"/>
    <w:rsid w:val="000C138C"/>
    <w:rsid w:val="000F0419"/>
    <w:rsid w:val="000F0801"/>
    <w:rsid w:val="000F37F8"/>
    <w:rsid w:val="00102045"/>
    <w:rsid w:val="00103387"/>
    <w:rsid w:val="001035B6"/>
    <w:rsid w:val="001065F5"/>
    <w:rsid w:val="00112CCC"/>
    <w:rsid w:val="00122F32"/>
    <w:rsid w:val="001238EF"/>
    <w:rsid w:val="00123A2E"/>
    <w:rsid w:val="00137CCC"/>
    <w:rsid w:val="00146075"/>
    <w:rsid w:val="00166846"/>
    <w:rsid w:val="00185CDE"/>
    <w:rsid w:val="00197613"/>
    <w:rsid w:val="001A4673"/>
    <w:rsid w:val="001D1AC4"/>
    <w:rsid w:val="001F121E"/>
    <w:rsid w:val="00203402"/>
    <w:rsid w:val="00216559"/>
    <w:rsid w:val="002317BC"/>
    <w:rsid w:val="00232DBA"/>
    <w:rsid w:val="00233DC7"/>
    <w:rsid w:val="00243501"/>
    <w:rsid w:val="00244AC4"/>
    <w:rsid w:val="00247779"/>
    <w:rsid w:val="002754AD"/>
    <w:rsid w:val="00276770"/>
    <w:rsid w:val="00285BEE"/>
    <w:rsid w:val="0029533F"/>
    <w:rsid w:val="00296871"/>
    <w:rsid w:val="002A4AF2"/>
    <w:rsid w:val="002B13EC"/>
    <w:rsid w:val="002B30AF"/>
    <w:rsid w:val="002C0980"/>
    <w:rsid w:val="002C2C7F"/>
    <w:rsid w:val="002E215D"/>
    <w:rsid w:val="002F1B72"/>
    <w:rsid w:val="002F493B"/>
    <w:rsid w:val="00313AEA"/>
    <w:rsid w:val="0033344A"/>
    <w:rsid w:val="00335F77"/>
    <w:rsid w:val="00344C5B"/>
    <w:rsid w:val="00352027"/>
    <w:rsid w:val="00364288"/>
    <w:rsid w:val="003672D7"/>
    <w:rsid w:val="00375F9B"/>
    <w:rsid w:val="003A06CF"/>
    <w:rsid w:val="003A6D2F"/>
    <w:rsid w:val="003C291B"/>
    <w:rsid w:val="003D6475"/>
    <w:rsid w:val="003E19A7"/>
    <w:rsid w:val="003E28AB"/>
    <w:rsid w:val="00412764"/>
    <w:rsid w:val="00425103"/>
    <w:rsid w:val="0042648E"/>
    <w:rsid w:val="00440E60"/>
    <w:rsid w:val="00454D67"/>
    <w:rsid w:val="00455E89"/>
    <w:rsid w:val="00462226"/>
    <w:rsid w:val="00492CCC"/>
    <w:rsid w:val="004936D2"/>
    <w:rsid w:val="00493F0F"/>
    <w:rsid w:val="004E4B14"/>
    <w:rsid w:val="00526DFB"/>
    <w:rsid w:val="005346E8"/>
    <w:rsid w:val="005406C4"/>
    <w:rsid w:val="00575529"/>
    <w:rsid w:val="00584D10"/>
    <w:rsid w:val="0059754C"/>
    <w:rsid w:val="005B1EB6"/>
    <w:rsid w:val="005D2081"/>
    <w:rsid w:val="005E4DE4"/>
    <w:rsid w:val="006010AF"/>
    <w:rsid w:val="006128ED"/>
    <w:rsid w:val="006318F8"/>
    <w:rsid w:val="00631F12"/>
    <w:rsid w:val="006352DE"/>
    <w:rsid w:val="006356BC"/>
    <w:rsid w:val="0065256F"/>
    <w:rsid w:val="0065494E"/>
    <w:rsid w:val="006578B0"/>
    <w:rsid w:val="00670810"/>
    <w:rsid w:val="006A43E6"/>
    <w:rsid w:val="006A5E7B"/>
    <w:rsid w:val="006B2479"/>
    <w:rsid w:val="006D6B52"/>
    <w:rsid w:val="006F04CC"/>
    <w:rsid w:val="006F06A4"/>
    <w:rsid w:val="006F7280"/>
    <w:rsid w:val="007039FA"/>
    <w:rsid w:val="007139B0"/>
    <w:rsid w:val="007315A4"/>
    <w:rsid w:val="00741AEB"/>
    <w:rsid w:val="0075366F"/>
    <w:rsid w:val="00761C45"/>
    <w:rsid w:val="007663F1"/>
    <w:rsid w:val="00773331"/>
    <w:rsid w:val="007932EF"/>
    <w:rsid w:val="007A4161"/>
    <w:rsid w:val="007B3E0E"/>
    <w:rsid w:val="007C67FB"/>
    <w:rsid w:val="007E05B0"/>
    <w:rsid w:val="007E3319"/>
    <w:rsid w:val="007E73DE"/>
    <w:rsid w:val="0081624A"/>
    <w:rsid w:val="00826868"/>
    <w:rsid w:val="0084048A"/>
    <w:rsid w:val="0084401D"/>
    <w:rsid w:val="0085166A"/>
    <w:rsid w:val="00855731"/>
    <w:rsid w:val="0086652F"/>
    <w:rsid w:val="00874D22"/>
    <w:rsid w:val="00883040"/>
    <w:rsid w:val="00884CF2"/>
    <w:rsid w:val="008A2914"/>
    <w:rsid w:val="008B6186"/>
    <w:rsid w:val="008C4659"/>
    <w:rsid w:val="008C5AE1"/>
    <w:rsid w:val="008E4D8E"/>
    <w:rsid w:val="009019B8"/>
    <w:rsid w:val="00933AB7"/>
    <w:rsid w:val="00940666"/>
    <w:rsid w:val="00941F3E"/>
    <w:rsid w:val="00942E4F"/>
    <w:rsid w:val="00963BDE"/>
    <w:rsid w:val="00970A02"/>
    <w:rsid w:val="00974687"/>
    <w:rsid w:val="009756FC"/>
    <w:rsid w:val="00977BB3"/>
    <w:rsid w:val="00981549"/>
    <w:rsid w:val="0099492A"/>
    <w:rsid w:val="009A5AB1"/>
    <w:rsid w:val="009B2B77"/>
    <w:rsid w:val="009C048F"/>
    <w:rsid w:val="009C323D"/>
    <w:rsid w:val="009D2244"/>
    <w:rsid w:val="009D27EF"/>
    <w:rsid w:val="009D4A1A"/>
    <w:rsid w:val="009D56E9"/>
    <w:rsid w:val="009D6C15"/>
    <w:rsid w:val="009E2F33"/>
    <w:rsid w:val="00A062A3"/>
    <w:rsid w:val="00A16946"/>
    <w:rsid w:val="00A24982"/>
    <w:rsid w:val="00A34914"/>
    <w:rsid w:val="00A35BAA"/>
    <w:rsid w:val="00A37DF5"/>
    <w:rsid w:val="00A64B14"/>
    <w:rsid w:val="00A84EB4"/>
    <w:rsid w:val="00A91699"/>
    <w:rsid w:val="00A967E1"/>
    <w:rsid w:val="00AB759D"/>
    <w:rsid w:val="00B0098E"/>
    <w:rsid w:val="00B14F7C"/>
    <w:rsid w:val="00B16A4D"/>
    <w:rsid w:val="00B179DF"/>
    <w:rsid w:val="00B3296E"/>
    <w:rsid w:val="00B8169E"/>
    <w:rsid w:val="00B82652"/>
    <w:rsid w:val="00B9656A"/>
    <w:rsid w:val="00B96D9F"/>
    <w:rsid w:val="00BF2228"/>
    <w:rsid w:val="00C00A44"/>
    <w:rsid w:val="00C017A3"/>
    <w:rsid w:val="00C03E64"/>
    <w:rsid w:val="00C10B8D"/>
    <w:rsid w:val="00C12301"/>
    <w:rsid w:val="00C42B84"/>
    <w:rsid w:val="00C60C07"/>
    <w:rsid w:val="00C86829"/>
    <w:rsid w:val="00C94E21"/>
    <w:rsid w:val="00CA3A6D"/>
    <w:rsid w:val="00CA4CBB"/>
    <w:rsid w:val="00CD1A87"/>
    <w:rsid w:val="00CD2B44"/>
    <w:rsid w:val="00CD5315"/>
    <w:rsid w:val="00D003F5"/>
    <w:rsid w:val="00D20381"/>
    <w:rsid w:val="00D21877"/>
    <w:rsid w:val="00D24CC0"/>
    <w:rsid w:val="00D40B40"/>
    <w:rsid w:val="00D42809"/>
    <w:rsid w:val="00D5493A"/>
    <w:rsid w:val="00D65433"/>
    <w:rsid w:val="00D7038B"/>
    <w:rsid w:val="00D859E3"/>
    <w:rsid w:val="00D8718C"/>
    <w:rsid w:val="00D900B0"/>
    <w:rsid w:val="00D966B3"/>
    <w:rsid w:val="00DB28BB"/>
    <w:rsid w:val="00DB3465"/>
    <w:rsid w:val="00DD180C"/>
    <w:rsid w:val="00DE05BB"/>
    <w:rsid w:val="00DE3DC4"/>
    <w:rsid w:val="00E16973"/>
    <w:rsid w:val="00E22616"/>
    <w:rsid w:val="00E34A7D"/>
    <w:rsid w:val="00E403C4"/>
    <w:rsid w:val="00E44252"/>
    <w:rsid w:val="00E802B5"/>
    <w:rsid w:val="00E96B7C"/>
    <w:rsid w:val="00EA1BFA"/>
    <w:rsid w:val="00ED0C57"/>
    <w:rsid w:val="00ED4A6E"/>
    <w:rsid w:val="00EE691D"/>
    <w:rsid w:val="00EF0FC0"/>
    <w:rsid w:val="00F101AA"/>
    <w:rsid w:val="00F21E98"/>
    <w:rsid w:val="00F30BBC"/>
    <w:rsid w:val="00F538CA"/>
    <w:rsid w:val="00F83D4A"/>
    <w:rsid w:val="00F86FF9"/>
    <w:rsid w:val="00F97FE2"/>
    <w:rsid w:val="00FA094C"/>
    <w:rsid w:val="00FA3993"/>
    <w:rsid w:val="00FA5EFB"/>
    <w:rsid w:val="00FC38F8"/>
    <w:rsid w:val="00FE255E"/>
    <w:rsid w:val="00FF3D76"/>
    <w:rsid w:val="00FF635C"/>
    <w:rsid w:val="00FF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9BB3C2-0F5E-4AEA-9195-BE57CF334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2A4AF2"/>
    <w:pPr>
      <w:numPr>
        <w:numId w:val="1"/>
      </w:numPr>
      <w:contextualSpacing/>
    </w:pPr>
  </w:style>
  <w:style w:type="paragraph" w:styleId="ListBullet2">
    <w:name w:val="List Bullet 2"/>
    <w:basedOn w:val="Normal"/>
    <w:uiPriority w:val="99"/>
    <w:semiHidden/>
    <w:unhideWhenUsed/>
    <w:rsid w:val="002A4AF2"/>
    <w:pPr>
      <w:numPr>
        <w:numId w:val="2"/>
      </w:numPr>
      <w:contextualSpacing/>
    </w:pPr>
  </w:style>
  <w:style w:type="paragraph" w:styleId="ListBullet3">
    <w:name w:val="List Bullet 3"/>
    <w:basedOn w:val="Normal"/>
    <w:uiPriority w:val="99"/>
    <w:semiHidden/>
    <w:unhideWhenUsed/>
    <w:rsid w:val="002A4AF2"/>
    <w:pPr>
      <w:numPr>
        <w:numId w:val="3"/>
      </w:numPr>
      <w:contextualSpacing/>
    </w:pPr>
  </w:style>
  <w:style w:type="paragraph" w:styleId="ListBullet4">
    <w:name w:val="List Bullet 4"/>
    <w:basedOn w:val="Normal"/>
    <w:uiPriority w:val="99"/>
    <w:semiHidden/>
    <w:unhideWhenUsed/>
    <w:rsid w:val="002A4AF2"/>
    <w:pPr>
      <w:numPr>
        <w:numId w:val="4"/>
      </w:numPr>
      <w:contextualSpacing/>
    </w:pPr>
  </w:style>
  <w:style w:type="paragraph" w:styleId="ListParagraph">
    <w:name w:val="List Paragraph"/>
    <w:basedOn w:val="Normal"/>
    <w:uiPriority w:val="34"/>
    <w:qFormat/>
    <w:rsid w:val="00FA094C"/>
    <w:pPr>
      <w:ind w:left="720"/>
      <w:contextualSpacing/>
    </w:pPr>
  </w:style>
  <w:style w:type="character" w:styleId="Hyperlink">
    <w:name w:val="Hyperlink"/>
    <w:basedOn w:val="DefaultParagraphFont"/>
    <w:uiPriority w:val="99"/>
    <w:unhideWhenUsed/>
    <w:rsid w:val="00B0098E"/>
    <w:rPr>
      <w:color w:val="0000FF" w:themeColor="hyperlink"/>
      <w:u w:val="single"/>
    </w:rPr>
  </w:style>
  <w:style w:type="character" w:customStyle="1" w:styleId="UnresolvedMention">
    <w:name w:val="Unresolved Mention"/>
    <w:basedOn w:val="DefaultParagraphFont"/>
    <w:uiPriority w:val="99"/>
    <w:semiHidden/>
    <w:unhideWhenUsed/>
    <w:rsid w:val="00B0098E"/>
    <w:rPr>
      <w:color w:val="605E5C"/>
      <w:shd w:val="clear" w:color="auto" w:fill="E1DFDD"/>
    </w:rPr>
  </w:style>
  <w:style w:type="character" w:styleId="FollowedHyperlink">
    <w:name w:val="FollowedHyperlink"/>
    <w:basedOn w:val="DefaultParagraphFont"/>
    <w:uiPriority w:val="99"/>
    <w:semiHidden/>
    <w:unhideWhenUsed/>
    <w:rsid w:val="00826868"/>
    <w:rPr>
      <w:color w:val="800080" w:themeColor="followedHyperlink"/>
      <w:u w:val="single"/>
    </w:rPr>
  </w:style>
  <w:style w:type="paragraph" w:styleId="Revision">
    <w:name w:val="Revision"/>
    <w:hidden/>
    <w:uiPriority w:val="99"/>
    <w:semiHidden/>
    <w:rsid w:val="00492CCC"/>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FF635C"/>
    <w:rPr>
      <w:sz w:val="16"/>
      <w:szCs w:val="16"/>
    </w:rPr>
  </w:style>
  <w:style w:type="paragraph" w:styleId="CommentText">
    <w:name w:val="annotation text"/>
    <w:basedOn w:val="Normal"/>
    <w:link w:val="CommentTextChar"/>
    <w:uiPriority w:val="99"/>
    <w:unhideWhenUsed/>
    <w:rsid w:val="00FF635C"/>
    <w:rPr>
      <w:sz w:val="20"/>
      <w:szCs w:val="20"/>
    </w:rPr>
  </w:style>
  <w:style w:type="character" w:customStyle="1" w:styleId="CommentTextChar">
    <w:name w:val="Comment Text Char"/>
    <w:basedOn w:val="DefaultParagraphFont"/>
    <w:link w:val="CommentText"/>
    <w:uiPriority w:val="99"/>
    <w:rsid w:val="00FF635C"/>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FF635C"/>
    <w:rPr>
      <w:b/>
      <w:bCs/>
    </w:rPr>
  </w:style>
  <w:style w:type="character" w:customStyle="1" w:styleId="CommentSubjectChar">
    <w:name w:val="Comment Subject Char"/>
    <w:basedOn w:val="CommentTextChar"/>
    <w:link w:val="CommentSubject"/>
    <w:uiPriority w:val="99"/>
    <w:semiHidden/>
    <w:rsid w:val="00FF635C"/>
    <w:rPr>
      <w:rFonts w:ascii="Times New Roman" w:hAnsi="Times New Roman" w:cs="Times New Roman"/>
      <w:b/>
      <w:bCs/>
      <w:sz w:val="20"/>
      <w:szCs w:val="20"/>
      <w:lang w:val="ro-RO"/>
    </w:rPr>
  </w:style>
  <w:style w:type="character" w:customStyle="1" w:styleId="HeaderChar">
    <w:name w:val="Header Char"/>
    <w:basedOn w:val="DefaultParagraphFont"/>
    <w:link w:val="Header"/>
    <w:uiPriority w:val="99"/>
    <w:rsid w:val="00FA5EFB"/>
    <w:rPr>
      <w:rFonts w:ascii="Times New Roman" w:hAnsi="Times New Roman" w:cs="Times New Roman"/>
      <w:sz w:val="24"/>
      <w:lang w:val="ro-RO"/>
    </w:rPr>
  </w:style>
  <w:style w:type="character" w:customStyle="1" w:styleId="FooterChar">
    <w:name w:val="Footer Char"/>
    <w:basedOn w:val="DefaultParagraphFont"/>
    <w:link w:val="Footer"/>
    <w:uiPriority w:val="99"/>
    <w:rsid w:val="00FA5EF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A5EF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A5EFB"/>
    <w:pPr>
      <w:spacing w:before="0"/>
      <w:jc w:val="right"/>
    </w:pPr>
    <w:rPr>
      <w:sz w:val="28"/>
    </w:rPr>
  </w:style>
  <w:style w:type="paragraph" w:customStyle="1" w:styleId="FooterSensitivity">
    <w:name w:val="Footer Sensitivity"/>
    <w:basedOn w:val="Normal"/>
    <w:rsid w:val="00FA5EF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A5EFB"/>
    <w:pPr>
      <w:tabs>
        <w:tab w:val="center" w:pos="4535"/>
        <w:tab w:val="right" w:pos="9071"/>
      </w:tabs>
      <w:spacing w:before="0"/>
    </w:pPr>
  </w:style>
  <w:style w:type="paragraph" w:customStyle="1" w:styleId="HeaderLandscape">
    <w:name w:val="HeaderLandscape"/>
    <w:basedOn w:val="Normal"/>
    <w:rsid w:val="00FA5EFB"/>
    <w:pPr>
      <w:tabs>
        <w:tab w:val="center" w:pos="7285"/>
        <w:tab w:val="right" w:pos="14003"/>
      </w:tabs>
      <w:spacing w:before="0"/>
    </w:pPr>
  </w:style>
  <w:style w:type="paragraph" w:styleId="Footer">
    <w:name w:val="footer"/>
    <w:basedOn w:val="Normal"/>
    <w:link w:val="FooterChar"/>
    <w:uiPriority w:val="99"/>
    <w:unhideWhenUsed/>
    <w:rsid w:val="00FA5EF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A5EF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6094157">
      <w:bodyDiv w:val="1"/>
      <w:marLeft w:val="0"/>
      <w:marRight w:val="0"/>
      <w:marTop w:val="0"/>
      <w:marBottom w:val="0"/>
      <w:divBdr>
        <w:top w:val="none" w:sz="0" w:space="0" w:color="auto"/>
        <w:left w:val="none" w:sz="0" w:space="0" w:color="auto"/>
        <w:bottom w:val="none" w:sz="0" w:space="0" w:color="auto"/>
        <w:right w:val="none" w:sz="0" w:space="0" w:color="auto"/>
      </w:divBdr>
    </w:div>
    <w:div w:id="1491366109">
      <w:bodyDiv w:val="1"/>
      <w:marLeft w:val="0"/>
      <w:marRight w:val="0"/>
      <w:marTop w:val="0"/>
      <w:marBottom w:val="0"/>
      <w:divBdr>
        <w:top w:val="none" w:sz="0" w:space="0" w:color="auto"/>
        <w:left w:val="none" w:sz="0" w:space="0" w:color="auto"/>
        <w:bottom w:val="none" w:sz="0" w:space="0" w:color="auto"/>
        <w:right w:val="none" w:sz="0" w:space="0" w:color="auto"/>
      </w:divBdr>
    </w:div>
    <w:div w:id="1739133894">
      <w:bodyDiv w:val="1"/>
      <w:marLeft w:val="0"/>
      <w:marRight w:val="0"/>
      <w:marTop w:val="0"/>
      <w:marBottom w:val="0"/>
      <w:divBdr>
        <w:top w:val="none" w:sz="0" w:space="0" w:color="auto"/>
        <w:left w:val="none" w:sz="0" w:space="0" w:color="auto"/>
        <w:bottom w:val="none" w:sz="0" w:space="0" w:color="auto"/>
        <w:right w:val="none" w:sz="0" w:space="0" w:color="auto"/>
      </w:divBdr>
    </w:div>
    <w:div w:id="1807818186">
      <w:bodyDiv w:val="1"/>
      <w:marLeft w:val="0"/>
      <w:marRight w:val="0"/>
      <w:marTop w:val="0"/>
      <w:marBottom w:val="0"/>
      <w:divBdr>
        <w:top w:val="none" w:sz="0" w:space="0" w:color="auto"/>
        <w:left w:val="none" w:sz="0" w:space="0" w:color="auto"/>
        <w:bottom w:val="none" w:sz="0" w:space="0" w:color="auto"/>
        <w:right w:val="none" w:sz="0" w:space="0" w:color="auto"/>
      </w:divBdr>
    </w:div>
    <w:div w:id="1911232353">
      <w:bodyDiv w:val="1"/>
      <w:marLeft w:val="0"/>
      <w:marRight w:val="0"/>
      <w:marTop w:val="0"/>
      <w:marBottom w:val="0"/>
      <w:divBdr>
        <w:top w:val="none" w:sz="0" w:space="0" w:color="auto"/>
        <w:left w:val="none" w:sz="0" w:space="0" w:color="auto"/>
        <w:bottom w:val="none" w:sz="0" w:space="0" w:color="auto"/>
        <w:right w:val="none" w:sz="0" w:space="0" w:color="auto"/>
      </w:divBdr>
    </w:div>
    <w:div w:id="191439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0/135/oj" TargetMode="External"/><Relationship Id="rId2" Type="http://schemas.openxmlformats.org/officeDocument/2006/relationships/hyperlink" Target="http://data.europa.eu/eli/treaty/withd_2020/sign" TargetMode="External"/><Relationship Id="rId1" Type="http://schemas.openxmlformats.org/officeDocument/2006/relationships/hyperlink" Target="http://data.europa.eu/eli/treaty/withd_2020/sig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9</TotalTime>
  <Pages>6</Pages>
  <Words>1721</Words>
  <Characters>9810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cp:lastPrinted>2026-06-12T11:00:00Z</cp:lastPrinted>
  <dcterms:created xsi:type="dcterms:W3CDTF">2026-07-07T19:44:00Z</dcterms:created>
  <dcterms:modified xsi:type="dcterms:W3CDTF">2026-08-03T07:52:00Z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2023-02-06T16:33:19Z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898fa8bf-6743-48f4-be45-57f55d0fe120</vt:lpwstr>
  </property>
  <property fmtid="{D5CDD505-2E9C-101B-9397-08002B2CF9AE}" pid="11" name="MSIP_Label_6bd9ddd1-4d20-43f6-abfa-fc3c07406f94_ContentBits">
    <vt:lpwstr>0</vt:lpwstr>
  </property>
  <property fmtid="{D5CDD505-2E9C-101B-9397-08002B2CF9AE}" pid="12" name="Created using">
    <vt:lpwstr>LW 8.1, Build 20220902</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SJ-043</vt:lpwstr>
  </property>
  <property fmtid="{D5CDD505-2E9C-101B-9397-08002B2CF9AE}" pid="17" name="DQCStatus">
    <vt:lpwstr>Green (DQC version 03)</vt:lpwstr>
  </property>
</Properties>
</file>