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D6290C" w14:textId="7FBDD2DF" w:rsidR="00964C36" w:rsidRDefault="0060687B" w:rsidP="0060687B">
      <w:pPr>
        <w:pStyle w:val="Pagedecouverture"/>
        <w:rPr>
          <w:noProof/>
        </w:rPr>
      </w:pPr>
      <w:bookmarkStart w:id="0" w:name="LW_BM_COVERPAGE"/>
      <w:r>
        <w:rPr>
          <w:noProof/>
        </w:rPr>
        <w:pict w14:anchorId="21D985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7224BB68-6F0C-41B8-96D8-13D324A110E0" style="width:455.25pt;height:400.5pt">
            <v:imagedata r:id="rId7" o:title=""/>
          </v:shape>
        </w:pict>
      </w:r>
    </w:p>
    <w:bookmarkEnd w:id="0"/>
    <w:p w14:paraId="2F9D15D2" w14:textId="77777777" w:rsidR="00964C36" w:rsidRDefault="00964C36" w:rsidP="00964C36">
      <w:pPr>
        <w:rPr>
          <w:noProof/>
        </w:rPr>
        <w:sectPr w:rsidR="00964C36" w:rsidSect="0060687B">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283A516F" w14:textId="69F93794" w:rsidR="00964C36" w:rsidRDefault="00964C36" w:rsidP="00964C36">
      <w:pPr>
        <w:pStyle w:val="Annexetitre"/>
        <w:rPr>
          <w:noProof/>
        </w:rPr>
      </w:pPr>
      <w:bookmarkStart w:id="1" w:name="_GoBack"/>
      <w:bookmarkEnd w:id="1"/>
      <w:r>
        <w:rPr>
          <w:noProof/>
        </w:rPr>
        <w:lastRenderedPageBreak/>
        <w:t xml:space="preserve">PROIECT DE </w:t>
      </w:r>
    </w:p>
    <w:p w14:paraId="6052DC20" w14:textId="77777777" w:rsidR="00964C36" w:rsidRDefault="00964C36" w:rsidP="00964C36">
      <w:pPr>
        <w:rPr>
          <w:noProof/>
        </w:rPr>
      </w:pPr>
    </w:p>
    <w:p w14:paraId="65D3986E" w14:textId="77777777" w:rsidR="00964C36" w:rsidRDefault="00964C36" w:rsidP="00964C36">
      <w:pPr>
        <w:rPr>
          <w:noProof/>
        </w:rPr>
      </w:pPr>
    </w:p>
    <w:p w14:paraId="018BA7E1" w14:textId="77777777" w:rsidR="00964C36" w:rsidRDefault="00964C36" w:rsidP="00964C36">
      <w:pPr>
        <w:rPr>
          <w:noProof/>
        </w:rPr>
      </w:pPr>
      <w:r>
        <w:rPr>
          <w:noProof/>
        </w:rPr>
        <w:t>DECIZIE NR. …/2026 A COMITETULUI MIXT ÎNFIINȚAT PRIN ACORDUL PRIVIND RETRAGEREA REGATULUI UNIT AL MARII BRITANII ȘI IRLANDEI DE NORD DIN UNIUNEA EUROPEANĂ ȘI DIN COMUNITATEA EUROPEANĂ A ENERGIEI ATOMICE</w:t>
      </w:r>
    </w:p>
    <w:p w14:paraId="65B41623" w14:textId="77777777" w:rsidR="00964C36" w:rsidRDefault="00964C36" w:rsidP="00964C36">
      <w:pPr>
        <w:rPr>
          <w:noProof/>
        </w:rPr>
      </w:pPr>
    </w:p>
    <w:p w14:paraId="48C22DC8" w14:textId="77777777" w:rsidR="00964C36" w:rsidRDefault="00964C36" w:rsidP="00964C36">
      <w:pPr>
        <w:rPr>
          <w:noProof/>
        </w:rPr>
      </w:pPr>
      <w:r>
        <w:rPr>
          <w:noProof/>
        </w:rPr>
        <w:t>din...</w:t>
      </w:r>
    </w:p>
    <w:p w14:paraId="5C633AA1" w14:textId="77777777" w:rsidR="00964C36" w:rsidRDefault="00964C36" w:rsidP="00964C36">
      <w:pPr>
        <w:rPr>
          <w:noProof/>
        </w:rPr>
      </w:pPr>
    </w:p>
    <w:p w14:paraId="65CD1EAF" w14:textId="77777777" w:rsidR="00964C36" w:rsidRDefault="00964C36" w:rsidP="00964C36">
      <w:pPr>
        <w:rPr>
          <w:noProof/>
        </w:rPr>
      </w:pPr>
      <w:r>
        <w:rPr>
          <w:noProof/>
        </w:rPr>
        <w:t>de modificare a părții I din anexa I la Acordul privind retragerea Regatului Unit al Marii Britanii și Irlandei de Nord din Uniunea Europeană și din Comunitatea Europeană a Energiei Atomice</w:t>
      </w:r>
    </w:p>
    <w:p w14:paraId="091F0482" w14:textId="77777777" w:rsidR="00964C36" w:rsidRDefault="00964C36" w:rsidP="00964C36">
      <w:pPr>
        <w:rPr>
          <w:noProof/>
        </w:rPr>
      </w:pPr>
    </w:p>
    <w:p w14:paraId="05FC960B" w14:textId="77777777" w:rsidR="00964C36" w:rsidRDefault="00964C36" w:rsidP="00964C36">
      <w:pPr>
        <w:rPr>
          <w:noProof/>
        </w:rPr>
      </w:pPr>
      <w:r>
        <w:rPr>
          <w:noProof/>
        </w:rPr>
        <w:t>COMITETUL MIXT,</w:t>
      </w:r>
    </w:p>
    <w:p w14:paraId="4614DAEB" w14:textId="77777777" w:rsidR="00964C36" w:rsidRDefault="00964C36" w:rsidP="00964C36">
      <w:pPr>
        <w:rPr>
          <w:noProof/>
        </w:rPr>
      </w:pPr>
    </w:p>
    <w:p w14:paraId="291F48AE" w14:textId="77777777" w:rsidR="00964C36" w:rsidRDefault="00964C36" w:rsidP="00964C36">
      <w:pPr>
        <w:rPr>
          <w:noProof/>
        </w:rPr>
      </w:pPr>
      <w:r>
        <w:rPr>
          <w:noProof/>
        </w:rPr>
        <w:t>având în vedere Acordul privind retragerea Regatului Unit al Marii Britanii și Irlandei de Nord din Uniunea Europeană și din Comunitatea Europeană a Energiei Atomice („Acordul de retragere”)</w:t>
      </w:r>
      <w:r>
        <w:rPr>
          <w:rStyle w:val="FootnoteReference"/>
          <w:noProof/>
        </w:rPr>
        <w:footnoteReference w:id="1"/>
      </w:r>
      <w:r>
        <w:rPr>
          <w:noProof/>
        </w:rPr>
        <w:t>, în special articolul 36 alineatul (4),</w:t>
      </w:r>
    </w:p>
    <w:p w14:paraId="303416D9" w14:textId="77777777" w:rsidR="00964C36" w:rsidRDefault="00964C36" w:rsidP="00964C36">
      <w:pPr>
        <w:rPr>
          <w:noProof/>
        </w:rPr>
      </w:pPr>
    </w:p>
    <w:p w14:paraId="595D624A" w14:textId="77777777" w:rsidR="00964C36" w:rsidRDefault="00964C36" w:rsidP="00964C36">
      <w:pPr>
        <w:rPr>
          <w:noProof/>
        </w:rPr>
      </w:pPr>
      <w:r>
        <w:rPr>
          <w:noProof/>
        </w:rPr>
        <w:t>întrucât:</w:t>
      </w:r>
    </w:p>
    <w:p w14:paraId="6E909A74" w14:textId="77777777" w:rsidR="00964C36" w:rsidRDefault="00964C36" w:rsidP="00964C36">
      <w:pPr>
        <w:pStyle w:val="Point0number"/>
        <w:numPr>
          <w:ilvl w:val="0"/>
          <w:numId w:val="2"/>
        </w:numPr>
        <w:rPr>
          <w:noProof/>
        </w:rPr>
      </w:pPr>
      <w:r>
        <w:rPr>
          <w:noProof/>
        </w:rPr>
        <w:t>Articolul 36 alineatul (4) din Acordul de retragere permite Comitetului mixt instituit în temeiul articolului 164 alineatul (1) din acord (denumit în continuare „Comitetul mixt”) să adopte decizii de modificare a părții I din anexa I la acordul respectiv, pentru a reflecta orice nouă decizie sau recomandare aprobată de Comisia administrativă pentru coordonarea sistemelor de securitate socială. În temeiul articolului 166 alineatul (2) din Acordul de retragere, deciziile adoptate de Comitetul mixt sunt obligatorii pentru Uniune și pentru Regatul Unit. Uniunea și Regatul Unit trebuie să pună în aplicare astfel de decizii, care au același efect juridic ca și Acordul de retragere.</w:t>
      </w:r>
    </w:p>
    <w:p w14:paraId="3C8251B9" w14:textId="77777777" w:rsidR="00964C36" w:rsidRDefault="00964C36" w:rsidP="00964C36">
      <w:pPr>
        <w:pStyle w:val="Point0number"/>
        <w:numPr>
          <w:ilvl w:val="0"/>
          <w:numId w:val="3"/>
        </w:numPr>
        <w:rPr>
          <w:noProof/>
        </w:rPr>
      </w:pPr>
      <w:r>
        <w:rPr>
          <w:noProof/>
        </w:rPr>
        <w:t>Din motive de securitate juridică, partea I din anexa I la Acordul de retragere ar trebui modificată pentru a adăuga patru decizii ale Comisiei administrative pentru coordonarea sistemelor de securitate socială și pentru a elimina două decizii care au fost înlocuite de două dintre noile decizii,</w:t>
      </w:r>
    </w:p>
    <w:p w14:paraId="6E85EA2A" w14:textId="77777777" w:rsidR="00964C36" w:rsidRDefault="00964C36" w:rsidP="00964C36">
      <w:pPr>
        <w:rPr>
          <w:noProof/>
        </w:rPr>
      </w:pPr>
    </w:p>
    <w:p w14:paraId="227543CC" w14:textId="77777777" w:rsidR="00964C36" w:rsidRDefault="00964C36" w:rsidP="00964C36">
      <w:pPr>
        <w:rPr>
          <w:noProof/>
        </w:rPr>
      </w:pPr>
      <w:r>
        <w:rPr>
          <w:noProof/>
        </w:rPr>
        <w:t>ADOPTĂ PREZENTA DECIZIE:</w:t>
      </w:r>
    </w:p>
    <w:p w14:paraId="07B6AA60" w14:textId="77777777" w:rsidR="00964C36" w:rsidRDefault="00964C36" w:rsidP="00964C36">
      <w:pPr>
        <w:rPr>
          <w:noProof/>
        </w:rPr>
      </w:pPr>
    </w:p>
    <w:p w14:paraId="05B2E05F" w14:textId="77777777" w:rsidR="00964C36" w:rsidRPr="00443CEF" w:rsidRDefault="00964C36" w:rsidP="00964C36">
      <w:pPr>
        <w:pStyle w:val="Text6"/>
        <w:rPr>
          <w:i/>
          <w:iCs/>
          <w:noProof/>
        </w:rPr>
      </w:pPr>
      <w:r>
        <w:rPr>
          <w:i/>
          <w:noProof/>
        </w:rPr>
        <w:t>Articolul 1</w:t>
      </w:r>
    </w:p>
    <w:p w14:paraId="3A565888" w14:textId="77777777" w:rsidR="00964C36" w:rsidRDefault="00964C36" w:rsidP="00964C36">
      <w:pPr>
        <w:rPr>
          <w:noProof/>
        </w:rPr>
      </w:pPr>
      <w:r>
        <w:rPr>
          <w:noProof/>
        </w:rPr>
        <w:t>Partea I din anexa I la Acordul de retragere se modifică după cum urmează:</w:t>
      </w:r>
    </w:p>
    <w:p w14:paraId="1D8F1FD7" w14:textId="77777777" w:rsidR="00964C36" w:rsidRDefault="00964C36" w:rsidP="00964C36">
      <w:pPr>
        <w:rPr>
          <w:noProof/>
        </w:rPr>
      </w:pPr>
    </w:p>
    <w:p w14:paraId="16C54B0F" w14:textId="77777777" w:rsidR="00964C36" w:rsidRDefault="00964C36" w:rsidP="00964C36">
      <w:pPr>
        <w:pStyle w:val="Point0number"/>
        <w:rPr>
          <w:noProof/>
        </w:rPr>
      </w:pPr>
      <w:r>
        <w:rPr>
          <w:noProof/>
        </w:rPr>
        <w:t>Următorul act se adaugă la rubrica „Schimbul electronic de date (seria E)”:</w:t>
      </w:r>
    </w:p>
    <w:p w14:paraId="29DD2AA9" w14:textId="77777777" w:rsidR="00964C36" w:rsidRDefault="00964C36" w:rsidP="00964C36">
      <w:pPr>
        <w:pStyle w:val="Point0number"/>
        <w:numPr>
          <w:ilvl w:val="0"/>
          <w:numId w:val="4"/>
        </w:numPr>
        <w:rPr>
          <w:noProof/>
        </w:rPr>
      </w:pPr>
      <w:r>
        <w:rPr>
          <w:noProof/>
        </w:rPr>
        <w:t>Decizia nr. E8 din 14 martie 2024 privind stabilirea unei proceduri de gestionare a modificărilor care se aplică în cazul datelor de contact ale organismelor definite la articolul 1 din Regulamentul (CE) nr. 883/2004 al Parlamentului European și al Consiliului și incluse în repertoriul electronic care este parte integrantă din EESSI</w:t>
      </w:r>
      <w:r>
        <w:rPr>
          <w:rStyle w:val="FootnoteReference"/>
          <w:noProof/>
        </w:rPr>
        <w:footnoteReference w:id="2"/>
      </w:r>
      <w:r>
        <w:rPr>
          <w:noProof/>
        </w:rPr>
        <w:t>;</w:t>
      </w:r>
    </w:p>
    <w:p w14:paraId="24BA4F51" w14:textId="77777777" w:rsidR="00964C36" w:rsidRDefault="00964C36" w:rsidP="00964C36">
      <w:pPr>
        <w:pStyle w:val="Point0number"/>
        <w:rPr>
          <w:noProof/>
        </w:rPr>
      </w:pPr>
      <w:r>
        <w:rPr>
          <w:noProof/>
        </w:rPr>
        <w:t>Următoarele acte se adaugă la rubrica „Aspecte orizontale (seria H)”:</w:t>
      </w:r>
    </w:p>
    <w:p w14:paraId="1A819990" w14:textId="77777777" w:rsidR="00964C36" w:rsidRDefault="00964C36" w:rsidP="00964C36">
      <w:pPr>
        <w:pStyle w:val="Point0number"/>
        <w:numPr>
          <w:ilvl w:val="0"/>
          <w:numId w:val="4"/>
        </w:numPr>
        <w:rPr>
          <w:noProof/>
        </w:rPr>
      </w:pPr>
      <w:r>
        <w:rPr>
          <w:noProof/>
        </w:rPr>
        <w:t>Decizia nr. H14 din 21 iunie 2023 în ceea ce privește publicarea Notei de orientare privind pandemia de COVID-19, a Notei privind interpretarea aplicării titlului II din Regulamentul (CE) nr. 883/2004 și a articolelor 67 și 70 din Regulamentul (CE) nr. 987/2009 în timpul pandemiei de COVID-19, a Notei de orientare privind telemunca aplicabile pentru perioada 1 iulie 2022-30 iunie 2023 și a Notei de orientare privind telemunca aplicabile de la 1 iulie 2023</w:t>
      </w:r>
      <w:r>
        <w:rPr>
          <w:rStyle w:val="FootnoteReference"/>
          <w:noProof/>
        </w:rPr>
        <w:footnoteReference w:id="3"/>
      </w:r>
      <w:r>
        <w:rPr>
          <w:noProof/>
        </w:rPr>
        <w:t>;</w:t>
      </w:r>
    </w:p>
    <w:p w14:paraId="78ECF98F" w14:textId="77777777" w:rsidR="00964C36" w:rsidRDefault="00964C36" w:rsidP="00964C36">
      <w:pPr>
        <w:pStyle w:val="Point0number"/>
        <w:numPr>
          <w:ilvl w:val="0"/>
          <w:numId w:val="4"/>
        </w:numPr>
        <w:rPr>
          <w:noProof/>
        </w:rPr>
      </w:pPr>
      <w:r>
        <w:rPr>
          <w:noProof/>
        </w:rPr>
        <w:t>Decizia nr. H15 din 27 iunie 2024 privind modul de funcționare și componența Comisiei tehnice pentru prelucrarea datelor din cadrul Comisiei administrative pentru coordonarea sistemelor de securitate socială</w:t>
      </w:r>
      <w:r>
        <w:rPr>
          <w:rStyle w:val="FootnoteReference"/>
          <w:noProof/>
        </w:rPr>
        <w:footnoteReference w:id="4"/>
      </w:r>
      <w:r>
        <w:rPr>
          <w:noProof/>
        </w:rPr>
        <w:t>;</w:t>
      </w:r>
    </w:p>
    <w:p w14:paraId="362ED165" w14:textId="77777777" w:rsidR="00964C36" w:rsidRDefault="00964C36" w:rsidP="00964C36">
      <w:pPr>
        <w:pStyle w:val="Point0number"/>
        <w:rPr>
          <w:noProof/>
        </w:rPr>
      </w:pPr>
      <w:r>
        <w:rPr>
          <w:noProof/>
        </w:rPr>
        <w:t>Următorul act se adaugă la rubrica „Boală (seria S)”:</w:t>
      </w:r>
    </w:p>
    <w:p w14:paraId="3D23DFA4" w14:textId="77777777" w:rsidR="00964C36" w:rsidRDefault="00964C36" w:rsidP="00964C36">
      <w:pPr>
        <w:pStyle w:val="Point0number"/>
        <w:numPr>
          <w:ilvl w:val="0"/>
          <w:numId w:val="4"/>
        </w:numPr>
        <w:rPr>
          <w:noProof/>
        </w:rPr>
      </w:pPr>
      <w:bookmarkStart w:id="3" w:name="_Hlk231291082"/>
      <w:r>
        <w:rPr>
          <w:noProof/>
        </w:rPr>
        <w:t>Decizia nr. S12 din 16 octombrie 2024 privind rambursarea asistenței medicale în legătură cu transferul pacienților către un alt stat membru în cazul unor incidente cu victime în masă în urma dezastrelor</w:t>
      </w:r>
      <w:r>
        <w:rPr>
          <w:rStyle w:val="FootnoteReference"/>
          <w:noProof/>
        </w:rPr>
        <w:footnoteReference w:id="5"/>
      </w:r>
      <w:bookmarkEnd w:id="3"/>
      <w:r>
        <w:rPr>
          <w:noProof/>
        </w:rPr>
        <w:t>;</w:t>
      </w:r>
    </w:p>
    <w:p w14:paraId="24476927" w14:textId="77777777" w:rsidR="00964C36" w:rsidRDefault="00964C36" w:rsidP="00964C36">
      <w:pPr>
        <w:pStyle w:val="Point0number"/>
        <w:rPr>
          <w:noProof/>
        </w:rPr>
      </w:pPr>
      <w:r>
        <w:rPr>
          <w:noProof/>
        </w:rPr>
        <w:t>Se elimină următorul act de la rubrica „Schimbul electronic de date (seria E)”:</w:t>
      </w:r>
    </w:p>
    <w:p w14:paraId="6299B716" w14:textId="77777777" w:rsidR="00964C36" w:rsidRDefault="00964C36" w:rsidP="00964C36">
      <w:pPr>
        <w:pStyle w:val="Point0number"/>
        <w:numPr>
          <w:ilvl w:val="0"/>
          <w:numId w:val="4"/>
        </w:numPr>
        <w:rPr>
          <w:noProof/>
        </w:rPr>
      </w:pPr>
      <w:bookmarkStart w:id="5" w:name="_Hlk231291266"/>
      <w:r>
        <w:rPr>
          <w:noProof/>
        </w:rPr>
        <w:t>Decizia nr. E2 din 3 martie 2010 privind stabilirea unei proceduri de gestionare a modificărilor care se aplică în cazul datelor de contact ale organismelor definite la articolul 1 din Regulamentul (CE) nr. 883/2004 al Parlamentului European și al Consiliului și incluse în repertoriul electronic care este parte integrantă din EESSI</w:t>
      </w:r>
      <w:r>
        <w:rPr>
          <w:rStyle w:val="FootnoteReference"/>
          <w:noProof/>
        </w:rPr>
        <w:footnoteReference w:id="6"/>
      </w:r>
      <w:bookmarkEnd w:id="5"/>
      <w:r>
        <w:rPr>
          <w:noProof/>
        </w:rPr>
        <w:t>;</w:t>
      </w:r>
    </w:p>
    <w:p w14:paraId="3E11B07E" w14:textId="77777777" w:rsidR="00964C36" w:rsidRDefault="00964C36" w:rsidP="00964C36">
      <w:pPr>
        <w:pStyle w:val="Point0number"/>
        <w:rPr>
          <w:noProof/>
        </w:rPr>
      </w:pPr>
      <w:r>
        <w:rPr>
          <w:noProof/>
        </w:rPr>
        <w:t>Se elimină următorul act de la rubrica „Aspecte orizontale (seria H)”:</w:t>
      </w:r>
    </w:p>
    <w:p w14:paraId="47ACA206" w14:textId="77777777" w:rsidR="00964C36" w:rsidRDefault="00964C36" w:rsidP="00964C36">
      <w:pPr>
        <w:pStyle w:val="Point0number"/>
        <w:numPr>
          <w:ilvl w:val="0"/>
          <w:numId w:val="4"/>
        </w:numPr>
        <w:rPr>
          <w:noProof/>
        </w:rPr>
      </w:pPr>
      <w:bookmarkStart w:id="6" w:name="_Hlk231291292"/>
      <w:r>
        <w:rPr>
          <w:noProof/>
        </w:rPr>
        <w:t>Decizia nr. H10 din 21 octombrie 2020 privind modul de funcționare și componența Comisiei tehnice pentru prelucrarea datelor din cadrul Comisiei administrative pentru coordonarea sistemelor de securitate socială</w:t>
      </w:r>
      <w:r>
        <w:rPr>
          <w:rStyle w:val="FootnoteReference"/>
          <w:noProof/>
        </w:rPr>
        <w:footnoteReference w:id="7"/>
      </w:r>
      <w:bookmarkEnd w:id="6"/>
      <w:r>
        <w:rPr>
          <w:noProof/>
        </w:rPr>
        <w:t>.</w:t>
      </w:r>
    </w:p>
    <w:p w14:paraId="44D08843" w14:textId="77777777" w:rsidR="00964C36" w:rsidRDefault="00964C36" w:rsidP="00964C36">
      <w:pPr>
        <w:rPr>
          <w:noProof/>
        </w:rPr>
      </w:pPr>
    </w:p>
    <w:p w14:paraId="0F084224" w14:textId="77777777" w:rsidR="00964C36" w:rsidRPr="00443CEF" w:rsidRDefault="00964C36" w:rsidP="00964C36">
      <w:pPr>
        <w:pStyle w:val="Text6"/>
        <w:rPr>
          <w:i/>
          <w:iCs/>
          <w:noProof/>
        </w:rPr>
      </w:pPr>
      <w:r>
        <w:rPr>
          <w:i/>
          <w:noProof/>
        </w:rPr>
        <w:t>Articolul 2</w:t>
      </w:r>
    </w:p>
    <w:p w14:paraId="4ADE23B6" w14:textId="77777777" w:rsidR="00964C36" w:rsidRDefault="00964C36" w:rsidP="00964C36">
      <w:pPr>
        <w:rPr>
          <w:noProof/>
        </w:rPr>
      </w:pPr>
      <w:r>
        <w:rPr>
          <w:noProof/>
        </w:rPr>
        <w:t>Prezenta decizie intră în vigoare în ziua următoarea datei adoptării.</w:t>
      </w:r>
    </w:p>
    <w:p w14:paraId="470CE5A4" w14:textId="77777777" w:rsidR="00964C36" w:rsidRDefault="00964C36" w:rsidP="00964C36">
      <w:pPr>
        <w:rPr>
          <w:noProof/>
        </w:rPr>
      </w:pPr>
    </w:p>
    <w:p w14:paraId="54D2AD54" w14:textId="77777777" w:rsidR="00964C36" w:rsidRDefault="00964C36" w:rsidP="00964C36">
      <w:pPr>
        <w:rPr>
          <w:noProof/>
        </w:rPr>
      </w:pPr>
      <w:r>
        <w:rPr>
          <w:noProof/>
        </w:rPr>
        <w:t>Adoptată la …,</w:t>
      </w:r>
    </w:p>
    <w:p w14:paraId="315046CF" w14:textId="77777777" w:rsidR="00964C36" w:rsidRDefault="00964C36" w:rsidP="00964C36">
      <w:pPr>
        <w:rPr>
          <w:noProof/>
        </w:rPr>
      </w:pPr>
    </w:p>
    <w:p w14:paraId="6FB93E20" w14:textId="77777777" w:rsidR="00964C36" w:rsidRDefault="00964C36" w:rsidP="00964C36">
      <w:pPr>
        <w:rPr>
          <w:noProof/>
        </w:rPr>
      </w:pPr>
      <w:r>
        <w:rPr>
          <w:noProof/>
        </w:rPr>
        <w:t xml:space="preserve">Pentru Comitetul mixt </w:t>
      </w:r>
    </w:p>
    <w:p w14:paraId="25E90893" w14:textId="66A13E32" w:rsidR="00D26C5D" w:rsidRDefault="00964C36">
      <w:pPr>
        <w:rPr>
          <w:noProof/>
        </w:rPr>
      </w:pPr>
      <w:r>
        <w:rPr>
          <w:noProof/>
        </w:rPr>
        <w:t>Copreședinții</w:t>
      </w:r>
    </w:p>
    <w:sectPr w:rsidR="00D26C5D" w:rsidSect="00964C36">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A50F2" w14:textId="77777777" w:rsidR="00BA2083" w:rsidRDefault="00BA2083" w:rsidP="00964C36">
      <w:pPr>
        <w:spacing w:before="0" w:after="0"/>
      </w:pPr>
      <w:r>
        <w:separator/>
      </w:r>
    </w:p>
  </w:endnote>
  <w:endnote w:type="continuationSeparator" w:id="0">
    <w:p w14:paraId="006FFE09" w14:textId="77777777" w:rsidR="00BA2083" w:rsidRDefault="00BA2083" w:rsidP="00964C3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B28B9" w14:textId="4762FFD7" w:rsidR="0060687B" w:rsidRPr="0060687B" w:rsidRDefault="0060687B" w:rsidP="0060687B">
    <w:pPr>
      <w:pStyle w:val="FooterCoverPage"/>
      <w:rPr>
        <w:rFonts w:ascii="Arial" w:hAnsi="Arial" w:cs="Arial"/>
        <w:b/>
        <w:sz w:val="48"/>
      </w:rPr>
    </w:pPr>
    <w:r w:rsidRPr="0060687B">
      <w:rPr>
        <w:rFonts w:ascii="Arial" w:hAnsi="Arial" w:cs="Arial"/>
        <w:b/>
        <w:sz w:val="48"/>
      </w:rPr>
      <w:t>RO</w:t>
    </w:r>
    <w:r w:rsidRPr="0060687B">
      <w:rPr>
        <w:rFonts w:ascii="Arial" w:hAnsi="Arial" w:cs="Arial"/>
        <w:b/>
        <w:sz w:val="48"/>
      </w:rPr>
      <w:tab/>
    </w:r>
    <w:r w:rsidRPr="0060687B">
      <w:rPr>
        <w:rFonts w:ascii="Arial" w:hAnsi="Arial" w:cs="Arial"/>
        <w:b/>
        <w:sz w:val="48"/>
      </w:rPr>
      <w:tab/>
    </w:r>
    <w:r w:rsidRPr="0060687B">
      <w:tab/>
    </w:r>
    <w:r w:rsidRPr="0060687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633413" w14:textId="15C4877D" w:rsidR="0060687B" w:rsidRPr="0060687B" w:rsidRDefault="0060687B" w:rsidP="0060687B">
    <w:pPr>
      <w:pStyle w:val="FooterCoverPage"/>
      <w:rPr>
        <w:rFonts w:ascii="Arial" w:hAnsi="Arial" w:cs="Arial"/>
        <w:b/>
        <w:sz w:val="48"/>
      </w:rPr>
    </w:pPr>
    <w:r w:rsidRPr="0060687B">
      <w:rPr>
        <w:rFonts w:ascii="Arial" w:hAnsi="Arial" w:cs="Arial"/>
        <w:b/>
        <w:sz w:val="48"/>
      </w:rPr>
      <w:t>RO</w:t>
    </w:r>
    <w:r w:rsidRPr="0060687B">
      <w:rPr>
        <w:rFonts w:ascii="Arial" w:hAnsi="Arial" w:cs="Arial"/>
        <w:b/>
        <w:sz w:val="48"/>
      </w:rPr>
      <w:tab/>
    </w:r>
    <w:r w:rsidRPr="0060687B">
      <w:rPr>
        <w:rFonts w:ascii="Arial" w:hAnsi="Arial" w:cs="Arial"/>
        <w:b/>
        <w:sz w:val="48"/>
      </w:rPr>
      <w:tab/>
    </w:r>
    <w:r w:rsidRPr="0060687B">
      <w:tab/>
    </w:r>
    <w:r w:rsidRPr="0060687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0400F" w14:textId="77777777" w:rsidR="0060687B" w:rsidRPr="0060687B" w:rsidRDefault="0060687B" w:rsidP="0060687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D66F4" w14:textId="77777777" w:rsidR="00964C36" w:rsidRPr="009D310F" w:rsidRDefault="00964C36" w:rsidP="009D310F">
    <w:pPr>
      <w:pStyle w:val="Footer"/>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8FC3F4" w14:textId="77E490EE" w:rsidR="00964C36" w:rsidRPr="00BC4A76" w:rsidRDefault="00964C36" w:rsidP="00BC4A76">
    <w:pPr>
      <w:pStyle w:val="Footer"/>
      <w:rPr>
        <w:rFonts w:ascii="Arial" w:hAnsi="Arial" w:cs="Arial"/>
        <w:b/>
        <w:sz w:val="48"/>
      </w:rPr>
    </w:pPr>
    <w:r>
      <w:rPr>
        <w:rFonts w:ascii="Arial" w:hAnsi="Arial"/>
        <w:b/>
        <w:sz w:val="48"/>
      </w:rPr>
      <w:t>RO</w:t>
    </w:r>
    <w:r>
      <w:tab/>
    </w:r>
    <w:r>
      <w:fldChar w:fldCharType="begin"/>
    </w:r>
    <w:r>
      <w:instrText xml:space="preserve"> PAGE  \* MERGEFORMAT </w:instrText>
    </w:r>
    <w:r>
      <w:fldChar w:fldCharType="separate"/>
    </w:r>
    <w:r w:rsidR="0060687B">
      <w:rPr>
        <w:noProof/>
      </w:rPr>
      <w:t>2</w:t>
    </w:r>
    <w:r>
      <w:fldChar w:fldCharType="end"/>
    </w:r>
    <w:r>
      <w:tab/>
    </w:r>
    <w:r>
      <w:tab/>
    </w:r>
    <w:r>
      <w:rPr>
        <w:rFonts w:ascii="Arial" w:hAnsi="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FD27B2" w14:textId="77777777" w:rsidR="00964C36" w:rsidRDefault="00964C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DDBBF" w14:textId="77777777" w:rsidR="00BA2083" w:rsidRDefault="00BA2083" w:rsidP="00964C36">
      <w:pPr>
        <w:spacing w:before="0" w:after="0"/>
      </w:pPr>
      <w:r>
        <w:separator/>
      </w:r>
    </w:p>
  </w:footnote>
  <w:footnote w:type="continuationSeparator" w:id="0">
    <w:p w14:paraId="1C5B7650" w14:textId="77777777" w:rsidR="00BA2083" w:rsidRDefault="00BA2083" w:rsidP="00964C36">
      <w:pPr>
        <w:spacing w:before="0" w:after="0"/>
      </w:pPr>
      <w:r>
        <w:continuationSeparator/>
      </w:r>
    </w:p>
  </w:footnote>
  <w:footnote w:id="1">
    <w:p w14:paraId="4FEC1B8F" w14:textId="274C8061" w:rsidR="00964C36" w:rsidRPr="00443CEF" w:rsidRDefault="00964C36" w:rsidP="00964C36">
      <w:pPr>
        <w:pStyle w:val="FootnoteText"/>
      </w:pPr>
      <w:r>
        <w:rPr>
          <w:rStyle w:val="FootnoteReference"/>
        </w:rPr>
        <w:footnoteRef/>
      </w:r>
      <w:r>
        <w:t xml:space="preserve"> JO L 29, 31.1.2020, p. 7, ELI: </w:t>
      </w:r>
      <w:hyperlink r:id="rId1" w:history="1">
        <w:r>
          <w:rPr>
            <w:rStyle w:val="Hyperlink"/>
          </w:rPr>
          <w:t>http://data.europa.eu/eli/treaty/withd_2020/sign</w:t>
        </w:r>
      </w:hyperlink>
      <w:r>
        <w:t>.</w:t>
      </w:r>
    </w:p>
  </w:footnote>
  <w:footnote w:id="2">
    <w:p w14:paraId="2FEA1451" w14:textId="21720EB4" w:rsidR="00964C36" w:rsidRPr="00E80AEB" w:rsidRDefault="00964C36" w:rsidP="00964C36">
      <w:pPr>
        <w:pStyle w:val="FootnoteText"/>
      </w:pPr>
      <w:r>
        <w:rPr>
          <w:rStyle w:val="FootnoteReference"/>
        </w:rPr>
        <w:footnoteRef/>
      </w:r>
      <w:r>
        <w:t xml:space="preserve"> JO C, C/2024/6842, 12.11.2024, ELI: </w:t>
      </w:r>
      <w:hyperlink r:id="rId2" w:tgtFrame="_blank" w:tooltip="Oferă acces la acest document prin identificatorul său uniform de resurse ELI." w:history="1">
        <w:r>
          <w:rPr>
            <w:rStyle w:val="Hyperlink"/>
          </w:rPr>
          <w:t>http://data.europa.eu/eli/C/2024/6842/oj</w:t>
        </w:r>
      </w:hyperlink>
      <w:r>
        <w:t>.</w:t>
      </w:r>
    </w:p>
  </w:footnote>
  <w:footnote w:id="3">
    <w:p w14:paraId="421A3953" w14:textId="2FAACA36" w:rsidR="00964C36" w:rsidRPr="00AB0B65" w:rsidRDefault="00964C36" w:rsidP="00964C36">
      <w:pPr>
        <w:pStyle w:val="FootnoteText"/>
      </w:pPr>
      <w:r>
        <w:rPr>
          <w:rStyle w:val="FootnoteReference"/>
        </w:rPr>
        <w:footnoteRef/>
      </w:r>
      <w:r>
        <w:t xml:space="preserve"> JO C, C/2024/594, 11.1.2024, ELI: </w:t>
      </w:r>
      <w:hyperlink r:id="rId3" w:tgtFrame="_blank" w:tooltip="Oferă acces la acest document prin identificatorul său uniform de resurse ELI." w:history="1">
        <w:r>
          <w:rPr>
            <w:rStyle w:val="Hyperlink"/>
          </w:rPr>
          <w:t>http://data.europa.eu/eli/C/2024/594/oj</w:t>
        </w:r>
      </w:hyperlink>
      <w:r>
        <w:t>.</w:t>
      </w:r>
    </w:p>
  </w:footnote>
  <w:footnote w:id="4">
    <w:p w14:paraId="0315ED16" w14:textId="77777777" w:rsidR="00964C36" w:rsidRPr="000A52B8" w:rsidRDefault="00964C36" w:rsidP="00964C36">
      <w:pPr>
        <w:pStyle w:val="FootnoteText"/>
      </w:pPr>
      <w:r>
        <w:rPr>
          <w:rStyle w:val="FootnoteReference"/>
        </w:rPr>
        <w:footnoteRef/>
      </w:r>
      <w:r>
        <w:t xml:space="preserve"> </w:t>
      </w:r>
      <w:bookmarkStart w:id="2" w:name="_Hlk231291030"/>
      <w:r>
        <w:t>JO C, C/2024/6845, 14.11.2024, ELI: </w:t>
      </w:r>
      <w:hyperlink r:id="rId4" w:tgtFrame="_blank" w:tooltip="Oferă acces la acest document prin identificatorul său uniform de resurse ELI." w:history="1">
        <w:r>
          <w:rPr>
            <w:rStyle w:val="Hyperlink"/>
          </w:rPr>
          <w:t>http://data.europa.eu/eli/C/2024/6845/oj</w:t>
        </w:r>
      </w:hyperlink>
      <w:bookmarkEnd w:id="2"/>
      <w:r>
        <w:t xml:space="preserve">. </w:t>
      </w:r>
    </w:p>
  </w:footnote>
  <w:footnote w:id="5">
    <w:p w14:paraId="7B3526DA" w14:textId="77777777" w:rsidR="00964C36" w:rsidRPr="007D65F3" w:rsidRDefault="00964C36" w:rsidP="00964C36">
      <w:pPr>
        <w:pStyle w:val="FootnoteText"/>
      </w:pPr>
      <w:r>
        <w:rPr>
          <w:rStyle w:val="FootnoteReference"/>
        </w:rPr>
        <w:footnoteRef/>
      </w:r>
      <w:r>
        <w:t xml:space="preserve"> </w:t>
      </w:r>
      <w:bookmarkStart w:id="4" w:name="_Hlk231291124"/>
      <w:r>
        <w:t>JO C, C/2025/1598, 13.3.2025, ELI: </w:t>
      </w:r>
      <w:hyperlink r:id="rId5" w:tgtFrame="_blank" w:tooltip="Oferă acces la acest document prin identificatorul său uniform de resurse ELI." w:history="1">
        <w:r>
          <w:rPr>
            <w:rStyle w:val="Hyperlink"/>
          </w:rPr>
          <w:t>http://data.europa.eu/eli/C/2025/1598/oj</w:t>
        </w:r>
      </w:hyperlink>
      <w:bookmarkEnd w:id="4"/>
      <w:r>
        <w:t>.</w:t>
      </w:r>
    </w:p>
  </w:footnote>
  <w:footnote w:id="6">
    <w:p w14:paraId="41206C70" w14:textId="77777777" w:rsidR="00964C36" w:rsidRPr="008B248C" w:rsidRDefault="00964C36" w:rsidP="00964C36">
      <w:pPr>
        <w:pStyle w:val="FootnoteText"/>
      </w:pPr>
      <w:r>
        <w:rPr>
          <w:rStyle w:val="FootnoteReference"/>
        </w:rPr>
        <w:footnoteRef/>
      </w:r>
      <w:r>
        <w:t xml:space="preserve"> </w:t>
      </w:r>
      <w:hyperlink r:id="rId6" w:history="1">
        <w:r>
          <w:rPr>
            <w:rStyle w:val="Hyperlink"/>
          </w:rPr>
          <w:t>JO C 187, 10.7.2010, p. 5</w:t>
        </w:r>
      </w:hyperlink>
      <w:r>
        <w:t>.</w:t>
      </w:r>
    </w:p>
  </w:footnote>
  <w:footnote w:id="7">
    <w:p w14:paraId="13ECDD2E" w14:textId="77777777" w:rsidR="00964C36" w:rsidRPr="000E3B9A" w:rsidRDefault="00964C36" w:rsidP="00964C36">
      <w:pPr>
        <w:pStyle w:val="FootnoteText"/>
      </w:pPr>
      <w:r>
        <w:rPr>
          <w:rStyle w:val="FootnoteReference"/>
        </w:rPr>
        <w:footnoteRef/>
      </w:r>
      <w:r>
        <w:t xml:space="preserve"> </w:t>
      </w:r>
      <w:hyperlink r:id="rId7" w:history="1">
        <w:r>
          <w:rPr>
            <w:rStyle w:val="Hyperlink"/>
          </w:rPr>
          <w:t>JO C 89, 16.3.2021, p. 6</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D1416" w14:textId="77777777" w:rsidR="0060687B" w:rsidRPr="0060687B" w:rsidRDefault="0060687B" w:rsidP="0060687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2A024C" w14:textId="77777777" w:rsidR="0060687B" w:rsidRPr="0060687B" w:rsidRDefault="0060687B" w:rsidP="0060687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999F7" w14:textId="77777777" w:rsidR="0060687B" w:rsidRPr="0060687B" w:rsidRDefault="0060687B" w:rsidP="0060687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8083F" w14:textId="77777777" w:rsidR="00964C36" w:rsidRDefault="00964C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83CAD" w14:textId="77777777" w:rsidR="00964C36" w:rsidRDefault="00964C3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A729AF" w14:textId="77777777" w:rsidR="00964C36" w:rsidRDefault="00964C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49E52371"/>
    <w:multiLevelType w:val="hybridMultilevel"/>
    <w:tmpl w:val="F7784148"/>
    <w:lvl w:ilvl="0" w:tplc="67CA43C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la"/>
    <w:docVar w:name="LW_ANNEX_NBR_FIRST" w:val="1"/>
    <w:docVar w:name="LW_ANNEX_NBR_LAST" w:val="1"/>
    <w:docVar w:name="LW_ANNEX_UNIQUE" w:val="1"/>
    <w:docVar w:name="LW_CORRIGENDUM" w:val="&lt;UNUSED&gt;"/>
    <w:docVar w:name="LW_COVERPAGE_EXISTS" w:val="True"/>
    <w:docVar w:name="LW_COVERPAGE_GUID" w:val="7224BB68-6F0C-41B8-96D8-13D324A110E0"/>
    <w:docVar w:name="LW_COVERPAGE_TYPE" w:val="1"/>
    <w:docVar w:name="LW_CROSSREFERENCE" w:val="&lt;UNUSED&gt;"/>
    <w:docVar w:name="LW_DocType" w:val="NORMAL"/>
    <w:docVar w:name="LW_EMISSION" w:val="27.7.2026"/>
    <w:docVar w:name="LW_EMISSION_ISODATE" w:val="2026-07-2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pozi\u539?ia care urmeaz\u259? s\u259? fie adoptat\u259? în numele Uniunii Europene, în cadrul Comitetului mixt înfiin\u539?at prin Acordul privind retragerea Regatului Unit al Marii Britanii \u537?i Irlandei de Nord din Uniunea European\u259? \u537?i din Comunitatea European\u259? a Energiei Atomice, în ceea ce prive\u537?te adoptarea unei decizii de modificare a p\u259?r\u539?ii I a anexei I la respectivul acord"/>
    <w:docVar w:name="LW_PART_NBR" w:val="1"/>
    <w:docVar w:name="LW_PART_NBR_TOTAL" w:val="1"/>
    <w:docVar w:name="LW_REF.INST.NEW" w:val="COM"/>
    <w:docVar w:name="LW_REF.INST.NEW_ADOPTED" w:val="final"/>
    <w:docVar w:name="LW_REF.INST.NEW_TEXT" w:val="(2026) 40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4.5.0; LW 9.2, Build 20251112"/>
  </w:docVars>
  <w:rsids>
    <w:rsidRoot w:val="00964C36"/>
    <w:rsid w:val="00275EE4"/>
    <w:rsid w:val="004204E8"/>
    <w:rsid w:val="00423043"/>
    <w:rsid w:val="004711C2"/>
    <w:rsid w:val="005A0E5A"/>
    <w:rsid w:val="0060687B"/>
    <w:rsid w:val="0062555F"/>
    <w:rsid w:val="007019A5"/>
    <w:rsid w:val="00724F0B"/>
    <w:rsid w:val="007A4295"/>
    <w:rsid w:val="0081694C"/>
    <w:rsid w:val="00832CA9"/>
    <w:rsid w:val="0086652F"/>
    <w:rsid w:val="008B6186"/>
    <w:rsid w:val="00964C36"/>
    <w:rsid w:val="00A63B06"/>
    <w:rsid w:val="00A9429C"/>
    <w:rsid w:val="00AA2831"/>
    <w:rsid w:val="00B31E7A"/>
    <w:rsid w:val="00BA2083"/>
    <w:rsid w:val="00D00C3B"/>
    <w:rsid w:val="00D26C5D"/>
    <w:rsid w:val="00D37908"/>
    <w:rsid w:val="00DF1942"/>
    <w:rsid w:val="00E31DFF"/>
    <w:rsid w:val="00E33FCA"/>
    <w:rsid w:val="00F203AC"/>
    <w:rsid w:val="00F804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16B339"/>
  <w15:chartTrackingRefBased/>
  <w15:docId w15:val="{5E7DB153-88B2-4EAA-BE60-C4EE086D6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4C36"/>
    <w:pPr>
      <w:spacing w:before="120" w:after="120" w:line="240" w:lineRule="auto"/>
      <w:jc w:val="both"/>
    </w:pPr>
    <w:rPr>
      <w:rFonts w:ascii="Times New Roman" w:hAnsi="Times New Roman" w:cs="Times New Roman"/>
      <w:kern w:val="0"/>
      <w:sz w:val="24"/>
      <w14:ligatures w14:val="none"/>
    </w:rPr>
  </w:style>
  <w:style w:type="paragraph" w:styleId="Heading1">
    <w:name w:val="heading 1"/>
    <w:basedOn w:val="Normal"/>
    <w:next w:val="Normal"/>
    <w:link w:val="Heading1Char"/>
    <w:uiPriority w:val="9"/>
    <w:qFormat/>
    <w:rsid w:val="00964C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C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C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C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C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C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C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C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C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C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C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C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C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C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C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C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C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C36"/>
    <w:rPr>
      <w:rFonts w:eastAsiaTheme="majorEastAsia" w:cstheme="majorBidi"/>
      <w:color w:val="272727" w:themeColor="text1" w:themeTint="D8"/>
    </w:rPr>
  </w:style>
  <w:style w:type="paragraph" w:styleId="Title">
    <w:name w:val="Title"/>
    <w:basedOn w:val="Normal"/>
    <w:next w:val="Normal"/>
    <w:link w:val="TitleChar"/>
    <w:uiPriority w:val="10"/>
    <w:qFormat/>
    <w:rsid w:val="00964C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C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C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C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C36"/>
    <w:pPr>
      <w:spacing w:before="160"/>
      <w:jc w:val="center"/>
    </w:pPr>
    <w:rPr>
      <w:i/>
      <w:iCs/>
      <w:color w:val="404040" w:themeColor="text1" w:themeTint="BF"/>
    </w:rPr>
  </w:style>
  <w:style w:type="character" w:customStyle="1" w:styleId="QuoteChar">
    <w:name w:val="Quote Char"/>
    <w:basedOn w:val="DefaultParagraphFont"/>
    <w:link w:val="Quote"/>
    <w:uiPriority w:val="29"/>
    <w:rsid w:val="00964C36"/>
    <w:rPr>
      <w:i/>
      <w:iCs/>
      <w:color w:val="404040" w:themeColor="text1" w:themeTint="BF"/>
    </w:rPr>
  </w:style>
  <w:style w:type="paragraph" w:styleId="ListParagraph">
    <w:name w:val="List Paragraph"/>
    <w:basedOn w:val="Normal"/>
    <w:uiPriority w:val="34"/>
    <w:qFormat/>
    <w:rsid w:val="00964C36"/>
    <w:pPr>
      <w:ind w:left="720"/>
      <w:contextualSpacing/>
    </w:pPr>
  </w:style>
  <w:style w:type="character" w:styleId="IntenseEmphasis">
    <w:name w:val="Intense Emphasis"/>
    <w:basedOn w:val="DefaultParagraphFont"/>
    <w:uiPriority w:val="21"/>
    <w:qFormat/>
    <w:rsid w:val="00964C36"/>
    <w:rPr>
      <w:i/>
      <w:iCs/>
      <w:color w:val="0F4761" w:themeColor="accent1" w:themeShade="BF"/>
    </w:rPr>
  </w:style>
  <w:style w:type="paragraph" w:styleId="IntenseQuote">
    <w:name w:val="Intense Quote"/>
    <w:basedOn w:val="Normal"/>
    <w:next w:val="Normal"/>
    <w:link w:val="IntenseQuoteChar"/>
    <w:uiPriority w:val="30"/>
    <w:qFormat/>
    <w:rsid w:val="00964C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C36"/>
    <w:rPr>
      <w:i/>
      <w:iCs/>
      <w:color w:val="0F4761" w:themeColor="accent1" w:themeShade="BF"/>
    </w:rPr>
  </w:style>
  <w:style w:type="character" w:styleId="IntenseReference">
    <w:name w:val="Intense Reference"/>
    <w:basedOn w:val="DefaultParagraphFont"/>
    <w:uiPriority w:val="32"/>
    <w:qFormat/>
    <w:rsid w:val="00964C36"/>
    <w:rPr>
      <w:b/>
      <w:bCs/>
      <w:smallCaps/>
      <w:color w:val="0F4761" w:themeColor="accent1" w:themeShade="BF"/>
      <w:spacing w:val="5"/>
    </w:rPr>
  </w:style>
  <w:style w:type="character" w:styleId="Hyperlink">
    <w:name w:val="Hyperlink"/>
    <w:basedOn w:val="DefaultParagraphFont"/>
    <w:uiPriority w:val="99"/>
    <w:unhideWhenUsed/>
    <w:rsid w:val="00964C36"/>
    <w:rPr>
      <w:color w:val="467886" w:themeColor="hyperlink"/>
      <w:u w:val="single"/>
    </w:rPr>
  </w:style>
  <w:style w:type="paragraph" w:styleId="Header">
    <w:name w:val="header"/>
    <w:basedOn w:val="Normal"/>
    <w:link w:val="HeaderChar"/>
    <w:uiPriority w:val="99"/>
    <w:unhideWhenUsed/>
    <w:rsid w:val="00964C36"/>
    <w:pPr>
      <w:tabs>
        <w:tab w:val="center" w:pos="4535"/>
        <w:tab w:val="right" w:pos="9071"/>
      </w:tabs>
      <w:spacing w:before="0"/>
    </w:pPr>
  </w:style>
  <w:style w:type="character" w:customStyle="1" w:styleId="HeaderChar">
    <w:name w:val="Header Char"/>
    <w:basedOn w:val="DefaultParagraphFont"/>
    <w:link w:val="Header"/>
    <w:uiPriority w:val="99"/>
    <w:rsid w:val="00964C36"/>
    <w:rPr>
      <w:rFonts w:ascii="Times New Roman" w:hAnsi="Times New Roman" w:cs="Times New Roman"/>
      <w:kern w:val="0"/>
      <w:sz w:val="24"/>
      <w:lang w:val="ro-RO"/>
      <w14:ligatures w14:val="none"/>
    </w:rPr>
  </w:style>
  <w:style w:type="paragraph" w:styleId="Footer">
    <w:name w:val="footer"/>
    <w:basedOn w:val="Normal"/>
    <w:link w:val="FooterChar"/>
    <w:uiPriority w:val="99"/>
    <w:unhideWhenUsed/>
    <w:rsid w:val="00964C3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964C36"/>
    <w:rPr>
      <w:rFonts w:ascii="Times New Roman" w:hAnsi="Times New Roman" w:cs="Times New Roman"/>
      <w:kern w:val="0"/>
      <w:sz w:val="24"/>
      <w:lang w:val="ro-RO"/>
      <w14:ligatures w14:val="none"/>
    </w:rPr>
  </w:style>
  <w:style w:type="paragraph" w:styleId="FootnoteText">
    <w:name w:val="footnote text"/>
    <w:basedOn w:val="Normal"/>
    <w:link w:val="FootnoteTextChar"/>
    <w:uiPriority w:val="99"/>
    <w:semiHidden/>
    <w:unhideWhenUsed/>
    <w:rsid w:val="00964C3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964C36"/>
    <w:rPr>
      <w:rFonts w:ascii="Times New Roman" w:hAnsi="Times New Roman" w:cs="Times New Roman"/>
      <w:kern w:val="0"/>
      <w:sz w:val="20"/>
      <w:szCs w:val="20"/>
      <w:lang w:val="ro-RO"/>
      <w14:ligatures w14:val="none"/>
    </w:rPr>
  </w:style>
  <w:style w:type="character" w:styleId="FootnoteReference">
    <w:name w:val="footnote reference"/>
    <w:basedOn w:val="DefaultParagraphFont"/>
    <w:uiPriority w:val="99"/>
    <w:semiHidden/>
    <w:unhideWhenUsed/>
    <w:rsid w:val="00964C36"/>
    <w:rPr>
      <w:shd w:val="clear" w:color="auto" w:fill="auto"/>
      <w:vertAlign w:val="superscript"/>
    </w:rPr>
  </w:style>
  <w:style w:type="paragraph" w:customStyle="1" w:styleId="Text6">
    <w:name w:val="Text 6"/>
    <w:basedOn w:val="Normal"/>
    <w:rsid w:val="00964C36"/>
    <w:pPr>
      <w:ind w:left="3685"/>
    </w:pPr>
  </w:style>
  <w:style w:type="paragraph" w:customStyle="1" w:styleId="Point0number">
    <w:name w:val="Point 0 (number)"/>
    <w:basedOn w:val="Normal"/>
    <w:rsid w:val="00964C36"/>
    <w:pPr>
      <w:numPr>
        <w:numId w:val="1"/>
      </w:numPr>
    </w:pPr>
  </w:style>
  <w:style w:type="paragraph" w:customStyle="1" w:styleId="Point1number">
    <w:name w:val="Point 1 (number)"/>
    <w:basedOn w:val="Normal"/>
    <w:rsid w:val="00964C36"/>
    <w:pPr>
      <w:numPr>
        <w:ilvl w:val="2"/>
        <w:numId w:val="1"/>
      </w:numPr>
    </w:pPr>
  </w:style>
  <w:style w:type="paragraph" w:customStyle="1" w:styleId="Point2number">
    <w:name w:val="Point 2 (number)"/>
    <w:basedOn w:val="Normal"/>
    <w:rsid w:val="00964C36"/>
    <w:pPr>
      <w:numPr>
        <w:ilvl w:val="4"/>
        <w:numId w:val="1"/>
      </w:numPr>
    </w:pPr>
  </w:style>
  <w:style w:type="paragraph" w:customStyle="1" w:styleId="Point3number">
    <w:name w:val="Point 3 (number)"/>
    <w:basedOn w:val="Normal"/>
    <w:rsid w:val="00964C36"/>
    <w:pPr>
      <w:numPr>
        <w:ilvl w:val="6"/>
        <w:numId w:val="1"/>
      </w:numPr>
    </w:pPr>
  </w:style>
  <w:style w:type="paragraph" w:customStyle="1" w:styleId="Point0letter">
    <w:name w:val="Point 0 (letter)"/>
    <w:basedOn w:val="Normal"/>
    <w:rsid w:val="00964C36"/>
    <w:pPr>
      <w:numPr>
        <w:ilvl w:val="1"/>
        <w:numId w:val="1"/>
      </w:numPr>
    </w:pPr>
  </w:style>
  <w:style w:type="paragraph" w:customStyle="1" w:styleId="Point1letter">
    <w:name w:val="Point 1 (letter)"/>
    <w:basedOn w:val="Normal"/>
    <w:rsid w:val="00964C36"/>
    <w:pPr>
      <w:numPr>
        <w:ilvl w:val="3"/>
        <w:numId w:val="1"/>
      </w:numPr>
    </w:pPr>
  </w:style>
  <w:style w:type="paragraph" w:customStyle="1" w:styleId="Point2letter">
    <w:name w:val="Point 2 (letter)"/>
    <w:basedOn w:val="Normal"/>
    <w:rsid w:val="00964C36"/>
    <w:pPr>
      <w:numPr>
        <w:ilvl w:val="5"/>
        <w:numId w:val="1"/>
      </w:numPr>
    </w:pPr>
  </w:style>
  <w:style w:type="paragraph" w:customStyle="1" w:styleId="Point3letter">
    <w:name w:val="Point 3 (letter)"/>
    <w:basedOn w:val="Normal"/>
    <w:rsid w:val="00964C36"/>
    <w:pPr>
      <w:numPr>
        <w:ilvl w:val="7"/>
        <w:numId w:val="1"/>
      </w:numPr>
    </w:pPr>
  </w:style>
  <w:style w:type="paragraph" w:customStyle="1" w:styleId="Point4letter">
    <w:name w:val="Point 4 (letter)"/>
    <w:basedOn w:val="Normal"/>
    <w:rsid w:val="00964C36"/>
    <w:pPr>
      <w:numPr>
        <w:ilvl w:val="8"/>
        <w:numId w:val="1"/>
      </w:numPr>
    </w:pPr>
  </w:style>
  <w:style w:type="paragraph" w:customStyle="1" w:styleId="Annexetitre">
    <w:name w:val="Annexe titre"/>
    <w:basedOn w:val="Normal"/>
    <w:next w:val="Normal"/>
    <w:rsid w:val="00964C36"/>
    <w:pPr>
      <w:jc w:val="center"/>
    </w:pPr>
    <w:rPr>
      <w:b/>
      <w:u w:val="single"/>
    </w:rPr>
  </w:style>
  <w:style w:type="character" w:customStyle="1" w:styleId="Marker">
    <w:name w:val="Marker"/>
    <w:basedOn w:val="DefaultParagraphFont"/>
    <w:rsid w:val="00964C36"/>
    <w:rPr>
      <w:color w:val="0000FF"/>
      <w:shd w:val="clear" w:color="auto" w:fill="auto"/>
    </w:rPr>
  </w:style>
  <w:style w:type="paragraph" w:customStyle="1" w:styleId="Pagedecouverture">
    <w:name w:val="Page de couverture"/>
    <w:basedOn w:val="Normal"/>
    <w:next w:val="Normal"/>
    <w:link w:val="PagedecouvertureChar"/>
    <w:rsid w:val="00964C36"/>
    <w:pPr>
      <w:spacing w:before="0" w:after="0"/>
    </w:pPr>
  </w:style>
  <w:style w:type="paragraph" w:customStyle="1" w:styleId="FooterCoverPage">
    <w:name w:val="Footer Cover Page"/>
    <w:basedOn w:val="Normal"/>
    <w:link w:val="FooterCoverPageChar"/>
    <w:rsid w:val="00964C3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964C36"/>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964C36"/>
    <w:rPr>
      <w:rFonts w:ascii="Times New Roman" w:hAnsi="Times New Roman" w:cs="Times New Roman"/>
      <w:kern w:val="0"/>
      <w:sz w:val="24"/>
      <w:lang w:val="ro-RO"/>
      <w14:ligatures w14:val="none"/>
    </w:rPr>
  </w:style>
  <w:style w:type="paragraph" w:customStyle="1" w:styleId="FooterSensitivity">
    <w:name w:val="Footer Sensitivity"/>
    <w:basedOn w:val="Normal"/>
    <w:link w:val="FooterSensitivityChar"/>
    <w:rsid w:val="00964C3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964C36"/>
    <w:rPr>
      <w:rFonts w:ascii="Times New Roman" w:hAnsi="Times New Roman" w:cs="Times New Roman"/>
      <w:b/>
      <w:kern w:val="0"/>
      <w:sz w:val="32"/>
      <w:lang w:val="ro-RO"/>
      <w14:ligatures w14:val="none"/>
    </w:rPr>
  </w:style>
  <w:style w:type="paragraph" w:customStyle="1" w:styleId="HeaderCoverPage">
    <w:name w:val="Header Cover Page"/>
    <w:basedOn w:val="Normal"/>
    <w:link w:val="HeaderCoverPageChar"/>
    <w:rsid w:val="00964C36"/>
    <w:pPr>
      <w:tabs>
        <w:tab w:val="center" w:pos="4535"/>
        <w:tab w:val="right" w:pos="9071"/>
      </w:tabs>
      <w:spacing w:before="0"/>
    </w:pPr>
  </w:style>
  <w:style w:type="character" w:customStyle="1" w:styleId="HeaderCoverPageChar">
    <w:name w:val="Header Cover Page Char"/>
    <w:basedOn w:val="PagedecouvertureChar"/>
    <w:link w:val="HeaderCoverPage"/>
    <w:rsid w:val="00964C36"/>
    <w:rPr>
      <w:rFonts w:ascii="Times New Roman" w:hAnsi="Times New Roman" w:cs="Times New Roman"/>
      <w:kern w:val="0"/>
      <w:sz w:val="24"/>
      <w:lang w:val="ro-RO"/>
      <w14:ligatures w14:val="none"/>
    </w:rPr>
  </w:style>
  <w:style w:type="paragraph" w:customStyle="1" w:styleId="HeaderSensitivity">
    <w:name w:val="Header Sensitivity"/>
    <w:basedOn w:val="Normal"/>
    <w:link w:val="HeaderSensitivityChar"/>
    <w:rsid w:val="00964C36"/>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PagedecouvertureChar"/>
    <w:link w:val="HeaderSensitivity"/>
    <w:rsid w:val="00964C36"/>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964C36"/>
    <w:pPr>
      <w:spacing w:before="0"/>
      <w:jc w:val="right"/>
    </w:pPr>
    <w:rPr>
      <w:sz w:val="28"/>
    </w:rPr>
  </w:style>
  <w:style w:type="character" w:customStyle="1" w:styleId="HeaderSensitivityRightChar">
    <w:name w:val="Header Sensitivity Right Char"/>
    <w:basedOn w:val="PagedecouvertureChar"/>
    <w:link w:val="HeaderSensitivityRight"/>
    <w:rsid w:val="00964C36"/>
    <w:rPr>
      <w:rFonts w:ascii="Times New Roman" w:hAnsi="Times New Roman" w:cs="Times New Roman"/>
      <w:kern w:val="0"/>
      <w:sz w:val="28"/>
      <w:lang w:val="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94/oj" TargetMode="External"/><Relationship Id="rId7" Type="http://schemas.openxmlformats.org/officeDocument/2006/relationships/hyperlink" Target="https://eur-lex.europa.eu/legal-content/RO/TXT/?uri=OJ%3AC%3A2021%3A089%3ATOC" TargetMode="External"/><Relationship Id="rId2" Type="http://schemas.openxmlformats.org/officeDocument/2006/relationships/hyperlink" Target="http://data.europa.eu/eli/C/2024/6842/oj" TargetMode="External"/><Relationship Id="rId1" Type="http://schemas.openxmlformats.org/officeDocument/2006/relationships/hyperlink" Target="http://data.europa.eu/eli/treaty/withd_2020/sign" TargetMode="External"/><Relationship Id="rId6" Type="http://schemas.openxmlformats.org/officeDocument/2006/relationships/hyperlink" Target="https://eur-lex.europa.eu/legal-content/RO/TXT/?uri=OJ%3AC%3A2010%3A187%3ATOC" TargetMode="External"/><Relationship Id="rId5" Type="http://schemas.openxmlformats.org/officeDocument/2006/relationships/hyperlink" Target="http://data.europa.eu/eli/C/2025/1598/oj" TargetMode="External"/><Relationship Id="rId4" Type="http://schemas.openxmlformats.org/officeDocument/2006/relationships/hyperlink" Target="http://data.europa.eu/eli/C/2024/684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601</Words>
  <Characters>3429</Characters>
  <Application>Microsoft Office Word</Application>
  <DocSecurity>0</DocSecurity>
  <Lines>28</Lines>
  <Paragraphs>8</Paragraphs>
  <ScaleCrop>false</ScaleCrop>
  <Manager/>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2026-07-08T10:29:00Z</dcterms:created>
  <dcterms:modified xsi:type="dcterms:W3CDTF">2026-08-03T07:52:00Z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First annex">
    <vt:lpwstr>1</vt:lpwstr>
  </property>
  <property fmtid="{D5CDD505-2E9C-101B-9397-08002B2CF9AE}" pid="4" name="Last annex">
    <vt:lpwstr>1</vt:lpwstr>
  </property>
  <property fmtid="{D5CDD505-2E9C-101B-9397-08002B2CF9AE}" pid="5" name="Unique annex">
    <vt:lpwstr>1</vt:lpwstr>
  </property>
  <property fmtid="{D5CDD505-2E9C-101B-9397-08002B2CF9AE}" pid="6" name="Part">
    <vt:lpwstr>1</vt:lpwstr>
  </property>
  <property fmtid="{D5CDD505-2E9C-101B-9397-08002B2CF9AE}" pid="7" name="Total parts">
    <vt:lpwstr>1</vt:lpwstr>
  </property>
  <property fmtid="{D5CDD505-2E9C-101B-9397-08002B2CF9AE}" pid="8" name="DocStatus">
    <vt:lpwstr>Green</vt:lpwstr>
  </property>
  <property fmtid="{D5CDD505-2E9C-101B-9397-08002B2CF9AE}" pid="9" name="CPTemplateID">
    <vt:lpwstr>CP-036</vt:lpwstr>
  </property>
  <property fmtid="{D5CDD505-2E9C-101B-9397-08002B2CF9AE}" pid="10" name="Last edited using">
    <vt:lpwstr>LW 9.2, Build 20250828</vt:lpwstr>
  </property>
  <property fmtid="{D5CDD505-2E9C-101B-9397-08002B2CF9AE}" pid="11" name="Created using">
    <vt:lpwstr>LW 9.2, Build 20250828</vt:lpwstr>
  </property>
  <property fmtid="{D5CDD505-2E9C-101B-9397-08002B2CF9AE}" pid="12" name="MSIP_Label_6bd9ddd1-4d20-43f6-abfa-fc3c07406f94_Enabled">
    <vt:lpwstr>true</vt:lpwstr>
  </property>
  <property fmtid="{D5CDD505-2E9C-101B-9397-08002B2CF9AE}" pid="13" name="MSIP_Label_6bd9ddd1-4d20-43f6-abfa-fc3c07406f94_SetDate">
    <vt:lpwstr>2026-07-08T10:30:48Z</vt:lpwstr>
  </property>
  <property fmtid="{D5CDD505-2E9C-101B-9397-08002B2CF9AE}" pid="14" name="MSIP_Label_6bd9ddd1-4d20-43f6-abfa-fc3c07406f94_Method">
    <vt:lpwstr>Standard</vt:lpwstr>
  </property>
  <property fmtid="{D5CDD505-2E9C-101B-9397-08002B2CF9AE}" pid="15" name="MSIP_Label_6bd9ddd1-4d20-43f6-abfa-fc3c07406f94_Name">
    <vt:lpwstr>Commission Use</vt:lpwstr>
  </property>
  <property fmtid="{D5CDD505-2E9C-101B-9397-08002B2CF9AE}" pid="16" name="MSIP_Label_6bd9ddd1-4d20-43f6-abfa-fc3c07406f94_SiteId">
    <vt:lpwstr>b24c8b06-522c-46fe-9080-70926f8dddb1</vt:lpwstr>
  </property>
  <property fmtid="{D5CDD505-2E9C-101B-9397-08002B2CF9AE}" pid="17" name="MSIP_Label_6bd9ddd1-4d20-43f6-abfa-fc3c07406f94_ActionId">
    <vt:lpwstr>f1804ca2-11d0-4079-ad4d-8edc435e46fe</vt:lpwstr>
  </property>
  <property fmtid="{D5CDD505-2E9C-101B-9397-08002B2CF9AE}" pid="18" name="MSIP_Label_6bd9ddd1-4d20-43f6-abfa-fc3c07406f94_ContentBits">
    <vt:lpwstr>0</vt:lpwstr>
  </property>
  <property fmtid="{D5CDD505-2E9C-101B-9397-08002B2CF9AE}" pid="19" name="MSIP_Label_6bd9ddd1-4d20-43f6-abfa-fc3c07406f94_Tag">
    <vt:lpwstr>10, 3, 0, 1</vt:lpwstr>
  </property>
</Properties>
</file>