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3E3" w:rsidRDefault="00CA4AB5" w:rsidP="00CA4AB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4CCA29-3347-4BE0-92F3-8985B2A9578D" style="width:455.25pt;height:357.75pt">
            <v:imagedata r:id="rId8" o:title=""/>
          </v:shape>
        </w:pict>
      </w:r>
    </w:p>
    <w:p w:rsidR="001323E3" w:rsidRDefault="001323E3" w:rsidP="001323E3">
      <w:pPr>
        <w:rPr>
          <w:noProof/>
        </w:rPr>
        <w:sectPr w:rsidR="001323E3" w:rsidSect="00CA4AB5">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rsidR="001323E3" w:rsidRDefault="001323E3" w:rsidP="00BB6B30">
      <w:pPr>
        <w:pStyle w:val="Exposdesmotifstitre"/>
        <w:rPr>
          <w:noProof/>
        </w:rPr>
      </w:pPr>
      <w:bookmarkStart w:id="0" w:name="_GoBack"/>
      <w:bookmarkEnd w:id="0"/>
      <w:r w:rsidRPr="006F770D">
        <w:rPr>
          <w:noProof/>
        </w:rPr>
        <w:lastRenderedPageBreak/>
        <w:t>EXPLANATORY MEMORANDUM</w:t>
      </w:r>
    </w:p>
    <w:p w:rsidR="001323E3" w:rsidRDefault="001323E3" w:rsidP="00BB6B30">
      <w:pPr>
        <w:pStyle w:val="ManualHeading1"/>
        <w:rPr>
          <w:rFonts w:eastAsia="Times New Roman"/>
          <w:bCs/>
          <w:noProof/>
          <w:spacing w:val="-2"/>
          <w:szCs w:val="24"/>
        </w:rPr>
      </w:pPr>
      <w:r>
        <w:rPr>
          <w:noProof/>
        </w:rPr>
        <w:t>1.</w:t>
      </w:r>
      <w:r>
        <w:rPr>
          <w:noProof/>
        </w:rPr>
        <w:tab/>
      </w:r>
      <w:r w:rsidRPr="001323E3">
        <w:rPr>
          <w:caps/>
          <w:smallCaps w:val="0"/>
          <w:noProof/>
        </w:rPr>
        <w:t>Subject matter of the proposal</w:t>
      </w:r>
    </w:p>
    <w:p w:rsidR="001323E3" w:rsidRPr="001323E3" w:rsidRDefault="001323E3" w:rsidP="001323E3">
      <w:pPr>
        <w:pBdr>
          <w:top w:val="nil"/>
          <w:left w:val="nil"/>
          <w:bottom w:val="nil"/>
          <w:right w:val="nil"/>
          <w:between w:val="nil"/>
          <w:bar w:val="nil"/>
        </w:pBdr>
        <w:spacing w:before="0" w:after="240"/>
        <w:rPr>
          <w:noProof/>
        </w:rPr>
      </w:pPr>
      <w:r w:rsidRPr="00D77067">
        <w:rPr>
          <w:rFonts w:eastAsia="Times New Roman"/>
          <w:noProof/>
          <w:szCs w:val="24"/>
        </w:rPr>
        <w:t>This</w:t>
      </w:r>
      <w:r w:rsidRPr="00D77067">
        <w:rPr>
          <w:rFonts w:eastAsia="Times New Roman"/>
          <w:noProof/>
          <w:spacing w:val="-1"/>
          <w:szCs w:val="24"/>
        </w:rPr>
        <w:t xml:space="preserve"> </w:t>
      </w:r>
      <w:r w:rsidRPr="00D77067">
        <w:rPr>
          <w:rFonts w:eastAsia="Times New Roman"/>
          <w:noProof/>
          <w:szCs w:val="24"/>
        </w:rPr>
        <w:t>proposal</w:t>
      </w:r>
      <w:r w:rsidRPr="00D77067">
        <w:rPr>
          <w:rFonts w:eastAsia="Times New Roman"/>
          <w:noProof/>
          <w:spacing w:val="-1"/>
          <w:szCs w:val="24"/>
        </w:rPr>
        <w:t xml:space="preserve"> </w:t>
      </w:r>
      <w:r w:rsidRPr="00D77067">
        <w:rPr>
          <w:rFonts w:eastAsia="Times New Roman"/>
          <w:noProof/>
          <w:szCs w:val="24"/>
        </w:rPr>
        <w:t>concerns</w:t>
      </w:r>
      <w:r w:rsidRPr="00D77067">
        <w:rPr>
          <w:rFonts w:eastAsia="Times New Roman"/>
          <w:noProof/>
          <w:spacing w:val="-2"/>
          <w:szCs w:val="24"/>
        </w:rPr>
        <w:t xml:space="preserve"> </w:t>
      </w:r>
      <w:r w:rsidRPr="00D77067">
        <w:rPr>
          <w:rFonts w:eastAsia="Times New Roman"/>
          <w:noProof/>
          <w:szCs w:val="24"/>
        </w:rPr>
        <w:t>the</w:t>
      </w:r>
      <w:r w:rsidRPr="00D77067">
        <w:rPr>
          <w:rFonts w:eastAsia="Times New Roman"/>
          <w:noProof/>
          <w:spacing w:val="-2"/>
          <w:szCs w:val="24"/>
        </w:rPr>
        <w:t xml:space="preserve"> </w:t>
      </w:r>
      <w:r w:rsidRPr="00D77067">
        <w:rPr>
          <w:rFonts w:eastAsia="Times New Roman"/>
          <w:noProof/>
          <w:szCs w:val="24"/>
        </w:rPr>
        <w:t>decision</w:t>
      </w:r>
      <w:r w:rsidRPr="00D77067">
        <w:rPr>
          <w:rFonts w:eastAsia="Times New Roman"/>
          <w:noProof/>
          <w:spacing w:val="-1"/>
          <w:szCs w:val="24"/>
        </w:rPr>
        <w:t xml:space="preserve"> </w:t>
      </w:r>
      <w:r w:rsidRPr="00D77067">
        <w:rPr>
          <w:rFonts w:eastAsia="Times New Roman"/>
          <w:noProof/>
          <w:szCs w:val="24"/>
        </w:rPr>
        <w:t>establishing</w:t>
      </w:r>
      <w:r w:rsidRPr="00D77067">
        <w:rPr>
          <w:rFonts w:eastAsia="Times New Roman"/>
          <w:noProof/>
          <w:spacing w:val="-3"/>
          <w:szCs w:val="24"/>
        </w:rPr>
        <w:t xml:space="preserve"> </w:t>
      </w:r>
      <w:r w:rsidRPr="00D77067">
        <w:rPr>
          <w:rFonts w:eastAsia="Times New Roman"/>
          <w:noProof/>
          <w:szCs w:val="24"/>
        </w:rPr>
        <w:t>the</w:t>
      </w:r>
      <w:r w:rsidRPr="00D77067">
        <w:rPr>
          <w:rFonts w:eastAsia="Times New Roman"/>
          <w:noProof/>
          <w:spacing w:val="-2"/>
          <w:szCs w:val="24"/>
        </w:rPr>
        <w:t xml:space="preserve"> </w:t>
      </w:r>
      <w:r w:rsidRPr="00D77067">
        <w:rPr>
          <w:rFonts w:eastAsia="Times New Roman"/>
          <w:noProof/>
          <w:szCs w:val="24"/>
        </w:rPr>
        <w:t>position</w:t>
      </w:r>
      <w:r w:rsidRPr="00D77067">
        <w:rPr>
          <w:rFonts w:eastAsia="Times New Roman"/>
          <w:noProof/>
          <w:spacing w:val="-1"/>
          <w:szCs w:val="24"/>
        </w:rPr>
        <w:t xml:space="preserve"> </w:t>
      </w:r>
      <w:r w:rsidRPr="00D77067">
        <w:rPr>
          <w:rFonts w:eastAsia="Times New Roman"/>
          <w:noProof/>
          <w:szCs w:val="24"/>
        </w:rPr>
        <w:t>to</w:t>
      </w:r>
      <w:r w:rsidRPr="00D77067">
        <w:rPr>
          <w:rFonts w:eastAsia="Times New Roman"/>
          <w:noProof/>
          <w:spacing w:val="-3"/>
          <w:szCs w:val="24"/>
        </w:rPr>
        <w:t xml:space="preserve"> </w:t>
      </w:r>
      <w:r w:rsidRPr="00D77067">
        <w:rPr>
          <w:rFonts w:eastAsia="Times New Roman"/>
          <w:noProof/>
          <w:szCs w:val="24"/>
        </w:rPr>
        <w:t>be</w:t>
      </w:r>
      <w:r w:rsidRPr="00D77067">
        <w:rPr>
          <w:rFonts w:eastAsia="Times New Roman"/>
          <w:noProof/>
          <w:spacing w:val="-2"/>
          <w:szCs w:val="24"/>
        </w:rPr>
        <w:t xml:space="preserve"> </w:t>
      </w:r>
      <w:r w:rsidRPr="00D77067">
        <w:rPr>
          <w:rFonts w:eastAsia="Times New Roman"/>
          <w:noProof/>
          <w:szCs w:val="24"/>
        </w:rPr>
        <w:t>taken</w:t>
      </w:r>
      <w:r w:rsidRPr="00D77067">
        <w:rPr>
          <w:rFonts w:eastAsia="Times New Roman"/>
          <w:noProof/>
          <w:spacing w:val="-1"/>
          <w:szCs w:val="24"/>
        </w:rPr>
        <w:t xml:space="preserve"> </w:t>
      </w:r>
      <w:r w:rsidRPr="00D77067">
        <w:rPr>
          <w:rFonts w:eastAsia="Times New Roman"/>
          <w:noProof/>
          <w:szCs w:val="24"/>
        </w:rPr>
        <w:t>on</w:t>
      </w:r>
      <w:r w:rsidRPr="00D77067">
        <w:rPr>
          <w:rFonts w:eastAsia="Times New Roman"/>
          <w:noProof/>
          <w:spacing w:val="-1"/>
          <w:szCs w:val="24"/>
        </w:rPr>
        <w:t xml:space="preserve"> </w:t>
      </w:r>
      <w:r w:rsidRPr="00D77067">
        <w:rPr>
          <w:rFonts w:eastAsia="Times New Roman"/>
          <w:noProof/>
          <w:szCs w:val="24"/>
        </w:rPr>
        <w:t>the</w:t>
      </w:r>
      <w:r w:rsidRPr="00D77067">
        <w:rPr>
          <w:rFonts w:eastAsia="Times New Roman"/>
          <w:noProof/>
          <w:spacing w:val="-2"/>
          <w:szCs w:val="24"/>
        </w:rPr>
        <w:t xml:space="preserve"> </w:t>
      </w:r>
      <w:r w:rsidRPr="00D77067">
        <w:rPr>
          <w:rFonts w:eastAsia="Times New Roman"/>
          <w:noProof/>
          <w:szCs w:val="24"/>
        </w:rPr>
        <w:t>Union's</w:t>
      </w:r>
      <w:r w:rsidRPr="00D77067">
        <w:rPr>
          <w:rFonts w:eastAsia="Times New Roman"/>
          <w:noProof/>
          <w:spacing w:val="-1"/>
          <w:szCs w:val="24"/>
        </w:rPr>
        <w:t xml:space="preserve"> </w:t>
      </w:r>
      <w:r w:rsidRPr="00D77067">
        <w:rPr>
          <w:rFonts w:eastAsia="Times New Roman"/>
          <w:noProof/>
          <w:szCs w:val="24"/>
        </w:rPr>
        <w:t xml:space="preserve">behalf in the </w:t>
      </w:r>
      <w:r>
        <w:rPr>
          <w:rFonts w:eastAsia="Times New Roman"/>
          <w:noProof/>
          <w:szCs w:val="24"/>
        </w:rPr>
        <w:t>first meeting of the States Parties Committee for the Implementation of the International Health Regulations (2005)</w:t>
      </w:r>
      <w:r w:rsidRPr="00D77067">
        <w:rPr>
          <w:rFonts w:eastAsia="Times New Roman"/>
          <w:noProof/>
          <w:szCs w:val="24"/>
        </w:rPr>
        <w:t xml:space="preserve"> in connection with the envisaged adoption of </w:t>
      </w:r>
      <w:r>
        <w:rPr>
          <w:rFonts w:eastAsia="Times New Roman"/>
          <w:noProof/>
          <w:szCs w:val="24"/>
        </w:rPr>
        <w:t>the terms of reference for the Committee and its Subcommittee, which is to be established also during the meeting.</w:t>
      </w:r>
    </w:p>
    <w:p w:rsidR="001323E3" w:rsidRPr="006F770D" w:rsidRDefault="001323E3" w:rsidP="00BB6B30">
      <w:pPr>
        <w:pStyle w:val="ManualHeading1"/>
        <w:rPr>
          <w:noProof/>
        </w:rPr>
      </w:pPr>
      <w:r>
        <w:rPr>
          <w:noProof/>
        </w:rPr>
        <w:t>2</w:t>
      </w:r>
      <w:r w:rsidRPr="00C567EE">
        <w:rPr>
          <w:noProof/>
        </w:rPr>
        <w:t>.</w:t>
      </w:r>
      <w:r w:rsidRPr="00C567EE">
        <w:rPr>
          <w:noProof/>
        </w:rPr>
        <w:tab/>
      </w:r>
      <w:r w:rsidRPr="006F770D">
        <w:rPr>
          <w:noProof/>
        </w:rPr>
        <w:t>CONTEXT OF THE PROPOSAL</w:t>
      </w:r>
    </w:p>
    <w:p w:rsidR="001323E3" w:rsidRPr="00D77067" w:rsidRDefault="001323E3" w:rsidP="001323E3">
      <w:pPr>
        <w:pStyle w:val="ManualHeading2"/>
        <w:rPr>
          <w:rFonts w:eastAsia="Times New Roman"/>
          <w:b w:val="0"/>
          <w:noProof/>
        </w:rPr>
      </w:pPr>
      <w:r>
        <w:rPr>
          <w:rFonts w:eastAsia="Times New Roman"/>
          <w:noProof/>
        </w:rPr>
        <w:t>2.1.</w:t>
      </w:r>
      <w:r>
        <w:rPr>
          <w:rFonts w:eastAsia="Times New Roman"/>
          <w:noProof/>
        </w:rPr>
        <w:tab/>
      </w:r>
      <w:r w:rsidRPr="00D77067">
        <w:rPr>
          <w:rFonts w:eastAsia="Times New Roman"/>
          <w:noProof/>
        </w:rPr>
        <w:t>The</w:t>
      </w:r>
      <w:r w:rsidRPr="00D77067">
        <w:rPr>
          <w:rFonts w:eastAsia="Times New Roman"/>
          <w:noProof/>
          <w:spacing w:val="-4"/>
        </w:rPr>
        <w:t xml:space="preserve"> </w:t>
      </w:r>
      <w:r>
        <w:rPr>
          <w:rFonts w:eastAsia="Times New Roman"/>
          <w:noProof/>
          <w:spacing w:val="-4"/>
        </w:rPr>
        <w:t>International Health Regulations (2005)</w:t>
      </w:r>
    </w:p>
    <w:p w:rsidR="001323E3" w:rsidRDefault="001323E3" w:rsidP="001323E3">
      <w:pPr>
        <w:pBdr>
          <w:top w:val="nil"/>
          <w:left w:val="nil"/>
          <w:bottom w:val="nil"/>
          <w:right w:val="nil"/>
          <w:between w:val="nil"/>
          <w:bar w:val="nil"/>
        </w:pBdr>
        <w:spacing w:before="0" w:after="240"/>
        <w:rPr>
          <w:rFonts w:eastAsia="Times New Roman"/>
          <w:noProof/>
          <w:szCs w:val="24"/>
        </w:rPr>
      </w:pPr>
      <w:r w:rsidRPr="00241FFF">
        <w:rPr>
          <w:rFonts w:eastAsia="Times New Roman"/>
          <w:noProof/>
          <w:szCs w:val="24"/>
        </w:rPr>
        <w:t xml:space="preserve">The International Health Regulations (2005) </w:t>
      </w:r>
      <w:r w:rsidR="00363AC8">
        <w:rPr>
          <w:rFonts w:eastAsia="Times New Roman"/>
          <w:noProof/>
          <w:szCs w:val="24"/>
        </w:rPr>
        <w:t>constitute</w:t>
      </w:r>
      <w:r w:rsidRPr="00241FFF">
        <w:rPr>
          <w:rFonts w:eastAsia="Times New Roman"/>
          <w:noProof/>
          <w:szCs w:val="24"/>
        </w:rPr>
        <w:t xml:space="preserve"> an instrument of international law, adopted pursuant to Article 21 of the Constitution of the World Health Organization (WHO) in 2005, replacing the Regulations adopted in 1969. They entered into force in </w:t>
      </w:r>
      <w:r>
        <w:rPr>
          <w:rFonts w:eastAsia="Times New Roman"/>
          <w:noProof/>
          <w:szCs w:val="24"/>
        </w:rPr>
        <w:t xml:space="preserve">June </w:t>
      </w:r>
      <w:r w:rsidRPr="00241FFF">
        <w:rPr>
          <w:rFonts w:eastAsia="Times New Roman"/>
          <w:noProof/>
          <w:szCs w:val="24"/>
        </w:rPr>
        <w:t>2007. They are legally</w:t>
      </w:r>
      <w:r w:rsidR="00363AC8">
        <w:rPr>
          <w:rFonts w:eastAsia="Times New Roman"/>
          <w:noProof/>
          <w:szCs w:val="24"/>
        </w:rPr>
        <w:t xml:space="preserve"> </w:t>
      </w:r>
      <w:r w:rsidRPr="00241FFF">
        <w:rPr>
          <w:rFonts w:eastAsia="Times New Roman"/>
          <w:noProof/>
          <w:szCs w:val="24"/>
        </w:rPr>
        <w:t xml:space="preserve">binding on </w:t>
      </w:r>
      <w:r>
        <w:rPr>
          <w:rFonts w:eastAsia="Times New Roman"/>
          <w:noProof/>
          <w:szCs w:val="24"/>
        </w:rPr>
        <w:t>all</w:t>
      </w:r>
      <w:r w:rsidRPr="00241FFF">
        <w:rPr>
          <w:rFonts w:eastAsia="Times New Roman"/>
          <w:noProof/>
          <w:szCs w:val="24"/>
        </w:rPr>
        <w:t xml:space="preserve"> WHO Member States, as well as the Holy See</w:t>
      </w:r>
      <w:r>
        <w:rPr>
          <w:rFonts w:eastAsia="Times New Roman"/>
          <w:noProof/>
          <w:szCs w:val="24"/>
        </w:rPr>
        <w:t xml:space="preserve">, </w:t>
      </w:r>
      <w:r w:rsidRPr="00241FFF">
        <w:rPr>
          <w:rFonts w:eastAsia="Times New Roman"/>
          <w:noProof/>
          <w:szCs w:val="24"/>
        </w:rPr>
        <w:t>Liechtenstein</w:t>
      </w:r>
      <w:r>
        <w:rPr>
          <w:rFonts w:eastAsia="Times New Roman"/>
          <w:noProof/>
          <w:szCs w:val="24"/>
        </w:rPr>
        <w:t xml:space="preserve"> </w:t>
      </w:r>
      <w:r w:rsidRPr="009234A3">
        <w:rPr>
          <w:rFonts w:eastAsia="Times New Roman"/>
          <w:noProof/>
          <w:szCs w:val="24"/>
        </w:rPr>
        <w:t>and Palestine. The</w:t>
      </w:r>
      <w:r w:rsidRPr="00241FFF">
        <w:rPr>
          <w:rFonts w:eastAsia="Times New Roman"/>
          <w:noProof/>
          <w:szCs w:val="24"/>
        </w:rPr>
        <w:t xml:space="preserve"> Regulations provide an overarching legal framework in the field of global health security and define the Parties’ rights and obligations in handling public health events and emergencies that have a cross</w:t>
      </w:r>
      <w:r>
        <w:rPr>
          <w:rFonts w:eastAsia="Times New Roman"/>
          <w:noProof/>
          <w:szCs w:val="24"/>
        </w:rPr>
        <w:t>-</w:t>
      </w:r>
      <w:r w:rsidRPr="00241FFF">
        <w:rPr>
          <w:rFonts w:eastAsia="Times New Roman"/>
          <w:noProof/>
          <w:szCs w:val="24"/>
        </w:rPr>
        <w:t>border potential</w:t>
      </w:r>
      <w:r>
        <w:rPr>
          <w:rFonts w:eastAsia="Times New Roman"/>
          <w:noProof/>
          <w:szCs w:val="24"/>
        </w:rPr>
        <w:t>.</w:t>
      </w:r>
    </w:p>
    <w:p w:rsidR="001323E3" w:rsidRDefault="001323E3" w:rsidP="001323E3">
      <w:pPr>
        <w:pBdr>
          <w:top w:val="nil"/>
          <w:left w:val="nil"/>
          <w:bottom w:val="nil"/>
          <w:right w:val="nil"/>
          <w:between w:val="nil"/>
          <w:bar w:val="nil"/>
        </w:pBdr>
        <w:spacing w:before="0" w:after="240"/>
        <w:rPr>
          <w:rFonts w:eastAsia="Times New Roman"/>
          <w:noProof/>
          <w:szCs w:val="24"/>
        </w:rPr>
      </w:pPr>
      <w:r>
        <w:rPr>
          <w:rFonts w:eastAsia="Times New Roman"/>
          <w:noProof/>
          <w:szCs w:val="24"/>
        </w:rPr>
        <w:t xml:space="preserve">The International Health Regulations (2005) have been amended in 2014, 2022 and 2024. The </w:t>
      </w:r>
      <w:r w:rsidRPr="00577713">
        <w:rPr>
          <w:rFonts w:eastAsia="Times New Roman"/>
          <w:noProof/>
          <w:szCs w:val="24"/>
        </w:rPr>
        <w:t>amendments</w:t>
      </w:r>
      <w:r>
        <w:rPr>
          <w:rFonts w:eastAsia="Times New Roman"/>
          <w:noProof/>
          <w:szCs w:val="24"/>
        </w:rPr>
        <w:t xml:space="preserve"> adopted by the World Health Assembly on 1 June 2024, which led to the most substantial revision of the instrument since its entering into force</w:t>
      </w:r>
      <w:r w:rsidRPr="00577713">
        <w:rPr>
          <w:rFonts w:eastAsia="Times New Roman"/>
          <w:noProof/>
          <w:szCs w:val="24"/>
        </w:rPr>
        <w:t>, aim at strengthening the</w:t>
      </w:r>
      <w:r>
        <w:rPr>
          <w:rFonts w:eastAsia="Times New Roman"/>
          <w:noProof/>
          <w:szCs w:val="24"/>
        </w:rPr>
        <w:t xml:space="preserve"> International Health Regulations (2005) in light of the lessons learned from the COVID-19 crisis, as well as from previous outbreaks. </w:t>
      </w:r>
      <w:r w:rsidRPr="00577713">
        <w:rPr>
          <w:rFonts w:eastAsia="Times New Roman"/>
          <w:noProof/>
          <w:szCs w:val="24"/>
        </w:rPr>
        <w:t>They focus on improving international cooperation and collaboration in response to health threats and provide a framework for enhanced support to ensure stronger implementation</w:t>
      </w:r>
      <w:r>
        <w:rPr>
          <w:rFonts w:eastAsia="Times New Roman"/>
          <w:noProof/>
          <w:szCs w:val="24"/>
        </w:rPr>
        <w:t xml:space="preserve"> of the International Health Regulations (2005)</w:t>
      </w:r>
      <w:r w:rsidRPr="00577713">
        <w:rPr>
          <w:rFonts w:eastAsia="Times New Roman"/>
          <w:noProof/>
          <w:szCs w:val="24"/>
        </w:rPr>
        <w:t>.</w:t>
      </w:r>
    </w:p>
    <w:p w:rsidR="001323E3" w:rsidRDefault="001323E3" w:rsidP="001323E3">
      <w:pPr>
        <w:pBdr>
          <w:top w:val="nil"/>
          <w:left w:val="nil"/>
          <w:bottom w:val="nil"/>
          <w:right w:val="nil"/>
          <w:between w:val="nil"/>
          <w:bar w:val="nil"/>
        </w:pBdr>
        <w:spacing w:before="0" w:after="240"/>
        <w:rPr>
          <w:rFonts w:eastAsia="Times New Roman"/>
          <w:noProof/>
          <w:szCs w:val="24"/>
        </w:rPr>
      </w:pPr>
      <w:r w:rsidRPr="003B3AA8">
        <w:rPr>
          <w:rFonts w:eastAsia="Times New Roman"/>
          <w:noProof/>
          <w:szCs w:val="24"/>
        </w:rPr>
        <w:t>The Commission negotiated the</w:t>
      </w:r>
      <w:r>
        <w:rPr>
          <w:rFonts w:eastAsia="Times New Roman"/>
          <w:noProof/>
          <w:szCs w:val="24"/>
        </w:rPr>
        <w:t xml:space="preserve"> 2024</w:t>
      </w:r>
      <w:r w:rsidRPr="003B3AA8">
        <w:rPr>
          <w:rFonts w:eastAsia="Times New Roman"/>
          <w:noProof/>
          <w:szCs w:val="24"/>
        </w:rPr>
        <w:t xml:space="preserve"> amendments to the International Health Regulations (2005) on behalf of the Union, for matters falling within Union competence, based on an authorisation from the Council </w:t>
      </w:r>
      <w:r>
        <w:rPr>
          <w:rFonts w:eastAsia="Times New Roman"/>
          <w:noProof/>
          <w:szCs w:val="24"/>
        </w:rPr>
        <w:t>s</w:t>
      </w:r>
      <w:r w:rsidRPr="003B3AA8">
        <w:rPr>
          <w:rFonts w:eastAsia="Times New Roman"/>
          <w:noProof/>
          <w:szCs w:val="24"/>
        </w:rPr>
        <w:t>et out in Council Decision (EU) 2022/451 of 3 March 2022</w:t>
      </w:r>
      <w:r>
        <w:rPr>
          <w:rStyle w:val="FootnoteReference"/>
          <w:rFonts w:eastAsia="Times New Roman"/>
          <w:noProof/>
          <w:szCs w:val="24"/>
        </w:rPr>
        <w:footnoteReference w:id="1"/>
      </w:r>
      <w:r>
        <w:rPr>
          <w:rFonts w:eastAsia="Times New Roman"/>
          <w:noProof/>
          <w:szCs w:val="24"/>
        </w:rPr>
        <w:t xml:space="preserve">. On </w:t>
      </w:r>
      <w:r w:rsidRPr="00930823">
        <w:rPr>
          <w:rFonts w:eastAsia="Times New Roman"/>
          <w:noProof/>
          <w:szCs w:val="24"/>
        </w:rPr>
        <w:t xml:space="preserve">26 May 2025, the Council adopted </w:t>
      </w:r>
      <w:r>
        <w:rPr>
          <w:rFonts w:eastAsia="Times New Roman"/>
          <w:noProof/>
          <w:szCs w:val="24"/>
        </w:rPr>
        <w:t>a</w:t>
      </w:r>
      <w:r w:rsidRPr="00930823">
        <w:rPr>
          <w:rFonts w:eastAsia="Times New Roman"/>
          <w:noProof/>
          <w:szCs w:val="24"/>
        </w:rPr>
        <w:t xml:space="preserve"> Decision inviting Member States to accept, in the interest of the European Union, the amendments to the I</w:t>
      </w:r>
      <w:r>
        <w:rPr>
          <w:rFonts w:eastAsia="Times New Roman"/>
          <w:noProof/>
          <w:szCs w:val="24"/>
        </w:rPr>
        <w:t>nternational Health Regulations (2005)</w:t>
      </w:r>
      <w:r w:rsidRPr="00930823">
        <w:rPr>
          <w:rFonts w:eastAsia="Times New Roman"/>
          <w:noProof/>
          <w:szCs w:val="24"/>
        </w:rPr>
        <w:t xml:space="preserve"> contained in the Annex to Resolution WHA77.17 and adopted on 1 June 2024</w:t>
      </w:r>
      <w:r>
        <w:rPr>
          <w:rStyle w:val="FootnoteReference"/>
          <w:rFonts w:eastAsia="Times New Roman"/>
          <w:noProof/>
          <w:szCs w:val="24"/>
        </w:rPr>
        <w:footnoteReference w:id="2"/>
      </w:r>
      <w:r w:rsidRPr="00930823">
        <w:rPr>
          <w:rFonts w:eastAsia="Times New Roman"/>
          <w:noProof/>
          <w:szCs w:val="24"/>
        </w:rPr>
        <w:t>.</w:t>
      </w:r>
    </w:p>
    <w:p w:rsidR="001323E3" w:rsidRDefault="001323E3" w:rsidP="001323E3">
      <w:pPr>
        <w:pBdr>
          <w:top w:val="nil"/>
          <w:left w:val="nil"/>
          <w:bottom w:val="nil"/>
          <w:right w:val="nil"/>
          <w:between w:val="nil"/>
          <w:bar w:val="nil"/>
        </w:pBdr>
        <w:spacing w:before="0" w:after="240"/>
        <w:rPr>
          <w:rFonts w:eastAsia="Times New Roman"/>
          <w:noProof/>
          <w:spacing w:val="-3"/>
          <w:szCs w:val="24"/>
        </w:rPr>
      </w:pPr>
      <w:r w:rsidRPr="00324976">
        <w:rPr>
          <w:rFonts w:eastAsia="Times New Roman"/>
          <w:noProof/>
          <w:szCs w:val="24"/>
        </w:rPr>
        <w:t>The Union</w:t>
      </w:r>
      <w:r w:rsidRPr="00324976">
        <w:rPr>
          <w:rFonts w:eastAsia="Times New Roman"/>
          <w:noProof/>
          <w:spacing w:val="-2"/>
          <w:szCs w:val="24"/>
        </w:rPr>
        <w:t xml:space="preserve"> </w:t>
      </w:r>
      <w:r w:rsidRPr="00324976">
        <w:rPr>
          <w:rFonts w:eastAsia="Times New Roman"/>
          <w:noProof/>
          <w:szCs w:val="24"/>
        </w:rPr>
        <w:t>is not a</w:t>
      </w:r>
      <w:r w:rsidRPr="00324976">
        <w:rPr>
          <w:rFonts w:eastAsia="Times New Roman"/>
          <w:noProof/>
          <w:spacing w:val="-3"/>
          <w:szCs w:val="24"/>
        </w:rPr>
        <w:t xml:space="preserve"> </w:t>
      </w:r>
      <w:r w:rsidRPr="00324976">
        <w:rPr>
          <w:rFonts w:eastAsia="Times New Roman"/>
          <w:noProof/>
          <w:szCs w:val="24"/>
        </w:rPr>
        <w:t>party</w:t>
      </w:r>
      <w:r w:rsidRPr="00324976">
        <w:rPr>
          <w:rFonts w:eastAsia="Times New Roman"/>
          <w:noProof/>
          <w:spacing w:val="-5"/>
          <w:szCs w:val="24"/>
        </w:rPr>
        <w:t xml:space="preserve"> </w:t>
      </w:r>
      <w:r w:rsidRPr="00324976">
        <w:rPr>
          <w:rFonts w:eastAsia="Times New Roman"/>
          <w:noProof/>
          <w:szCs w:val="24"/>
        </w:rPr>
        <w:t>to</w:t>
      </w:r>
      <w:r w:rsidRPr="00324976">
        <w:rPr>
          <w:rFonts w:eastAsia="Times New Roman"/>
          <w:noProof/>
          <w:spacing w:val="-2"/>
          <w:szCs w:val="24"/>
        </w:rPr>
        <w:t xml:space="preserve"> </w:t>
      </w:r>
      <w:r w:rsidRPr="00324976">
        <w:rPr>
          <w:rFonts w:eastAsia="Times New Roman"/>
          <w:noProof/>
          <w:szCs w:val="24"/>
        </w:rPr>
        <w:t>the</w:t>
      </w:r>
      <w:r w:rsidRPr="00324976">
        <w:rPr>
          <w:rFonts w:eastAsia="Times New Roman"/>
          <w:noProof/>
          <w:spacing w:val="-3"/>
          <w:szCs w:val="24"/>
        </w:rPr>
        <w:t xml:space="preserve"> International Health Regulations (2005), as the Regulations do not provide for the possibility of accession by regional economic integration organisations</w:t>
      </w:r>
      <w:r w:rsidRPr="00324976">
        <w:rPr>
          <w:rStyle w:val="FootnoteReference"/>
          <w:rFonts w:eastAsia="Times New Roman"/>
          <w:noProof/>
          <w:spacing w:val="-3"/>
          <w:szCs w:val="24"/>
        </w:rPr>
        <w:footnoteReference w:id="3"/>
      </w:r>
      <w:r w:rsidRPr="00324976">
        <w:rPr>
          <w:rFonts w:eastAsia="Times New Roman"/>
          <w:noProof/>
          <w:spacing w:val="-3"/>
          <w:szCs w:val="24"/>
        </w:rPr>
        <w:t>.</w:t>
      </w:r>
    </w:p>
    <w:p w:rsidR="001323E3" w:rsidRDefault="001323E3" w:rsidP="001323E3">
      <w:pPr>
        <w:pBdr>
          <w:top w:val="nil"/>
          <w:left w:val="nil"/>
          <w:bottom w:val="nil"/>
          <w:right w:val="nil"/>
          <w:between w:val="nil"/>
          <w:bar w:val="nil"/>
        </w:pBdr>
        <w:spacing w:before="0" w:after="240"/>
        <w:rPr>
          <w:rFonts w:eastAsia="Times New Roman"/>
          <w:noProof/>
          <w:spacing w:val="-3"/>
          <w:szCs w:val="24"/>
        </w:rPr>
      </w:pPr>
      <w:r w:rsidRPr="00324976">
        <w:rPr>
          <w:rFonts w:eastAsia="Times New Roman"/>
          <w:noProof/>
          <w:spacing w:val="-3"/>
          <w:szCs w:val="24"/>
        </w:rPr>
        <w:t xml:space="preserve">All Member States are parties to the International Health Regulations (2005). The Netherlands and Slovakia have however rejected both the 2022 and 2024 amendments to the International </w:t>
      </w:r>
      <w:r w:rsidRPr="00324976">
        <w:rPr>
          <w:rFonts w:eastAsia="Times New Roman"/>
          <w:noProof/>
          <w:spacing w:val="-3"/>
          <w:szCs w:val="24"/>
        </w:rPr>
        <w:lastRenderedPageBreak/>
        <w:t>Health Regulations (2005), while Italy, the Czech Republic and Austria</w:t>
      </w:r>
      <w:r>
        <w:rPr>
          <w:rStyle w:val="FootnoteReference"/>
          <w:rFonts w:eastAsia="Times New Roman"/>
          <w:noProof/>
          <w:spacing w:val="-3"/>
          <w:szCs w:val="24"/>
        </w:rPr>
        <w:footnoteReference w:id="4"/>
      </w:r>
      <w:r w:rsidRPr="00324976">
        <w:rPr>
          <w:rFonts w:eastAsia="Times New Roman"/>
          <w:noProof/>
          <w:spacing w:val="-3"/>
          <w:szCs w:val="24"/>
        </w:rPr>
        <w:t xml:space="preserve"> rejected only the 2024 amendments.</w:t>
      </w:r>
      <w:r>
        <w:rPr>
          <w:rFonts w:eastAsia="Times New Roman"/>
          <w:noProof/>
          <w:spacing w:val="-3"/>
          <w:szCs w:val="24"/>
          <w:highlight w:val="lightGray"/>
        </w:rPr>
        <w:t xml:space="preserve"> </w:t>
      </w:r>
    </w:p>
    <w:p w:rsidR="001323E3" w:rsidRPr="00D77067" w:rsidRDefault="001323E3" w:rsidP="001323E3">
      <w:pPr>
        <w:pStyle w:val="ManualHeading2"/>
        <w:rPr>
          <w:rFonts w:eastAsia="Times New Roman"/>
          <w:b w:val="0"/>
          <w:bCs/>
          <w:noProof/>
          <w:szCs w:val="24"/>
        </w:rPr>
      </w:pPr>
      <w:r>
        <w:rPr>
          <w:rFonts w:eastAsia="Times New Roman"/>
          <w:bCs/>
          <w:noProof/>
          <w:szCs w:val="24"/>
        </w:rPr>
        <w:t>2.2.</w:t>
      </w:r>
      <w:r>
        <w:rPr>
          <w:rFonts w:eastAsia="Times New Roman"/>
          <w:bCs/>
          <w:noProof/>
          <w:szCs w:val="24"/>
        </w:rPr>
        <w:tab/>
      </w:r>
      <w:r w:rsidRPr="00D77067">
        <w:rPr>
          <w:rFonts w:eastAsia="Times New Roman"/>
          <w:bCs/>
          <w:noProof/>
          <w:szCs w:val="24"/>
        </w:rPr>
        <w:t>The</w:t>
      </w:r>
      <w:r w:rsidRPr="00D77067">
        <w:rPr>
          <w:rFonts w:eastAsia="Times New Roman"/>
          <w:bCs/>
          <w:noProof/>
          <w:spacing w:val="-2"/>
          <w:szCs w:val="24"/>
        </w:rPr>
        <w:t xml:space="preserve"> </w:t>
      </w:r>
      <w:r>
        <w:rPr>
          <w:rFonts w:eastAsia="Times New Roman"/>
          <w:bCs/>
          <w:noProof/>
          <w:spacing w:val="-2"/>
          <w:szCs w:val="24"/>
        </w:rPr>
        <w:t>States Parties Committee for the Implementation of the International Health Regulations (2005)</w:t>
      </w:r>
    </w:p>
    <w:p w:rsidR="001323E3" w:rsidRDefault="001323E3" w:rsidP="001323E3">
      <w:pPr>
        <w:pBdr>
          <w:top w:val="nil"/>
          <w:left w:val="nil"/>
          <w:bottom w:val="nil"/>
          <w:right w:val="nil"/>
          <w:between w:val="nil"/>
          <w:bar w:val="nil"/>
        </w:pBdr>
        <w:spacing w:before="0" w:after="240"/>
        <w:rPr>
          <w:rFonts w:eastAsia="Times New Roman"/>
          <w:noProof/>
          <w:szCs w:val="24"/>
        </w:rPr>
      </w:pPr>
      <w:r w:rsidRPr="00D77067">
        <w:rPr>
          <w:rFonts w:eastAsia="Times New Roman"/>
          <w:noProof/>
          <w:szCs w:val="24"/>
        </w:rPr>
        <w:t xml:space="preserve">The </w:t>
      </w:r>
      <w:r>
        <w:rPr>
          <w:rFonts w:eastAsia="Times New Roman"/>
          <w:noProof/>
          <w:szCs w:val="24"/>
        </w:rPr>
        <w:t>States Parties Committee for the Implementation of the International Health Regulations (2005) is established by Article 54 bis of the International Health Regulations (2005) to facilitate the effective implementation of the Regulations, in particular of Article 44 on Collaboration, assistance and financing and Article 44 bis on the Coordinating Financial Mechanism. Article 54 bis is a new article, introduced by the 2024 amendments to the International Health Regulations (2005).</w:t>
      </w:r>
    </w:p>
    <w:p w:rsidR="001323E3" w:rsidRDefault="001323E3" w:rsidP="001323E3">
      <w:pPr>
        <w:pBdr>
          <w:top w:val="nil"/>
          <w:left w:val="nil"/>
          <w:bottom w:val="nil"/>
          <w:right w:val="nil"/>
          <w:between w:val="nil"/>
          <w:bar w:val="nil"/>
        </w:pBdr>
        <w:spacing w:before="0" w:after="240"/>
        <w:rPr>
          <w:rFonts w:eastAsia="Times New Roman"/>
          <w:noProof/>
          <w:szCs w:val="24"/>
        </w:rPr>
      </w:pPr>
      <w:r>
        <w:rPr>
          <w:rFonts w:eastAsia="Times New Roman"/>
          <w:noProof/>
          <w:szCs w:val="24"/>
        </w:rPr>
        <w:t>Pursuant to Article 54 bis</w:t>
      </w:r>
      <w:r w:rsidR="007F43F7">
        <w:rPr>
          <w:rFonts w:eastAsia="Times New Roman"/>
          <w:noProof/>
          <w:szCs w:val="24"/>
        </w:rPr>
        <w:t>,</w:t>
      </w:r>
      <w:r>
        <w:rPr>
          <w:rFonts w:eastAsia="Times New Roman"/>
          <w:noProof/>
          <w:szCs w:val="24"/>
        </w:rPr>
        <w:t xml:space="preserve"> paragraphs 1 and 2, the Committee shall, at its first meeting, establish a Subcommittee to provide technical advice and report to the Committee itself. In addition, the Committee shall adopt, by consensus, its terms of reference, including the way that the Committee conducts its business, and the terms of reference for its Subcommittee.</w:t>
      </w:r>
    </w:p>
    <w:p w:rsidR="001323E3" w:rsidRDefault="001323E3" w:rsidP="001323E3">
      <w:pPr>
        <w:pBdr>
          <w:top w:val="nil"/>
          <w:left w:val="nil"/>
          <w:bottom w:val="nil"/>
          <w:right w:val="nil"/>
          <w:between w:val="nil"/>
          <w:bar w:val="nil"/>
        </w:pBdr>
        <w:spacing w:before="0" w:after="240"/>
        <w:rPr>
          <w:rFonts w:eastAsia="Times New Roman"/>
          <w:noProof/>
          <w:szCs w:val="24"/>
        </w:rPr>
      </w:pPr>
      <w:r w:rsidRPr="0033282D">
        <w:rPr>
          <w:rFonts w:eastAsia="Times New Roman"/>
          <w:noProof/>
          <w:szCs w:val="24"/>
        </w:rPr>
        <w:t>Pursuant to Article 54 bis</w:t>
      </w:r>
      <w:r w:rsidR="007F43F7">
        <w:rPr>
          <w:rFonts w:eastAsia="Times New Roman"/>
          <w:noProof/>
          <w:szCs w:val="24"/>
        </w:rPr>
        <w:t>,</w:t>
      </w:r>
      <w:r w:rsidRPr="0033282D">
        <w:rPr>
          <w:rFonts w:eastAsia="Times New Roman"/>
          <w:noProof/>
          <w:szCs w:val="24"/>
        </w:rPr>
        <w:t xml:space="preserve"> paragraph 4, the Committee shall also adopt, at its first meeting, by consensus, the terms of reference for the Coordinating Financial Mechanism, established in Article 44 bis of the Regulations, and modalities for its operationalization and governance. The Committee may also adopt necessary working arrangements with relevant international bodies, which may support the operation of the Coordinating Financial Mechanism.</w:t>
      </w:r>
    </w:p>
    <w:p w:rsidR="001323E3" w:rsidRDefault="001323E3" w:rsidP="001323E3">
      <w:pPr>
        <w:pBdr>
          <w:top w:val="nil"/>
          <w:left w:val="nil"/>
          <w:bottom w:val="nil"/>
          <w:right w:val="nil"/>
          <w:between w:val="nil"/>
          <w:bar w:val="nil"/>
        </w:pBdr>
        <w:spacing w:before="0" w:after="240"/>
        <w:rPr>
          <w:rFonts w:eastAsia="Times New Roman"/>
          <w:noProof/>
          <w:szCs w:val="24"/>
        </w:rPr>
      </w:pPr>
      <w:r>
        <w:rPr>
          <w:rFonts w:eastAsia="Times New Roman"/>
          <w:noProof/>
          <w:szCs w:val="24"/>
        </w:rPr>
        <w:t>No proposal for any such terms of reference is available. The first session of the Committee is scheduled to start on 31 August 2026.</w:t>
      </w:r>
    </w:p>
    <w:p w:rsidR="001323E3" w:rsidRPr="00D77067" w:rsidRDefault="001323E3" w:rsidP="001323E3">
      <w:pPr>
        <w:pStyle w:val="ManualHeading2"/>
        <w:rPr>
          <w:rFonts w:eastAsia="Times New Roman"/>
          <w:b w:val="0"/>
          <w:bCs/>
          <w:noProof/>
          <w:szCs w:val="24"/>
        </w:rPr>
      </w:pPr>
      <w:r>
        <w:rPr>
          <w:rFonts w:eastAsia="Times New Roman"/>
          <w:bCs/>
          <w:noProof/>
          <w:szCs w:val="24"/>
        </w:rPr>
        <w:t>2.3.</w:t>
      </w:r>
      <w:r>
        <w:rPr>
          <w:rFonts w:eastAsia="Times New Roman"/>
          <w:bCs/>
          <w:noProof/>
          <w:szCs w:val="24"/>
        </w:rPr>
        <w:tab/>
      </w:r>
      <w:r w:rsidRPr="00D77067">
        <w:rPr>
          <w:rFonts w:eastAsia="Times New Roman"/>
          <w:bCs/>
          <w:noProof/>
          <w:szCs w:val="24"/>
        </w:rPr>
        <w:t>The</w:t>
      </w:r>
      <w:r w:rsidRPr="00D77067">
        <w:rPr>
          <w:rFonts w:eastAsia="Times New Roman"/>
          <w:bCs/>
          <w:noProof/>
          <w:spacing w:val="-3"/>
          <w:szCs w:val="24"/>
        </w:rPr>
        <w:t xml:space="preserve"> </w:t>
      </w:r>
      <w:r w:rsidRPr="00D77067">
        <w:rPr>
          <w:rFonts w:eastAsia="Times New Roman"/>
          <w:bCs/>
          <w:noProof/>
          <w:szCs w:val="24"/>
        </w:rPr>
        <w:t>envisaged</w:t>
      </w:r>
      <w:r w:rsidRPr="00D77067">
        <w:rPr>
          <w:rFonts w:eastAsia="Times New Roman"/>
          <w:bCs/>
          <w:noProof/>
          <w:spacing w:val="-1"/>
          <w:szCs w:val="24"/>
        </w:rPr>
        <w:t xml:space="preserve"> </w:t>
      </w:r>
      <w:r w:rsidRPr="00D77067">
        <w:rPr>
          <w:rFonts w:eastAsia="Times New Roman"/>
          <w:bCs/>
          <w:noProof/>
          <w:szCs w:val="24"/>
        </w:rPr>
        <w:t>act</w:t>
      </w:r>
      <w:r w:rsidRPr="00D77067">
        <w:rPr>
          <w:rFonts w:eastAsia="Times New Roman"/>
          <w:bCs/>
          <w:noProof/>
          <w:spacing w:val="-1"/>
          <w:szCs w:val="24"/>
        </w:rPr>
        <w:t xml:space="preserve"> </w:t>
      </w:r>
      <w:r w:rsidRPr="00D77067">
        <w:rPr>
          <w:rFonts w:eastAsia="Times New Roman"/>
          <w:bCs/>
          <w:noProof/>
          <w:szCs w:val="24"/>
        </w:rPr>
        <w:t>of</w:t>
      </w:r>
      <w:r w:rsidRPr="00D77067">
        <w:rPr>
          <w:rFonts w:eastAsia="Times New Roman"/>
          <w:bCs/>
          <w:noProof/>
          <w:spacing w:val="-1"/>
          <w:szCs w:val="24"/>
        </w:rPr>
        <w:t xml:space="preserve"> </w:t>
      </w:r>
      <w:r w:rsidRPr="00D77067">
        <w:rPr>
          <w:rFonts w:eastAsia="Times New Roman"/>
          <w:bCs/>
          <w:noProof/>
          <w:szCs w:val="24"/>
        </w:rPr>
        <w:t xml:space="preserve">the </w:t>
      </w:r>
      <w:r>
        <w:rPr>
          <w:rFonts w:eastAsia="Times New Roman"/>
          <w:bCs/>
          <w:noProof/>
          <w:szCs w:val="24"/>
        </w:rPr>
        <w:t>States Parties Committee for the Implementation of the International Health Regulations (2005)</w:t>
      </w:r>
    </w:p>
    <w:p w:rsidR="001323E3" w:rsidRPr="00D77067" w:rsidRDefault="001323E3" w:rsidP="001323E3">
      <w:pPr>
        <w:pBdr>
          <w:top w:val="nil"/>
          <w:left w:val="nil"/>
          <w:bottom w:val="nil"/>
          <w:right w:val="nil"/>
          <w:between w:val="nil"/>
          <w:bar w:val="nil"/>
        </w:pBdr>
        <w:spacing w:before="0" w:after="240"/>
        <w:rPr>
          <w:rFonts w:eastAsia="Times New Roman"/>
          <w:noProof/>
          <w:szCs w:val="24"/>
        </w:rPr>
      </w:pPr>
      <w:r>
        <w:rPr>
          <w:rFonts w:eastAsia="Times New Roman"/>
          <w:noProof/>
          <w:szCs w:val="24"/>
        </w:rPr>
        <w:t>D</w:t>
      </w:r>
      <w:r w:rsidRPr="00D77067">
        <w:rPr>
          <w:rFonts w:eastAsia="Times New Roman"/>
          <w:noProof/>
          <w:szCs w:val="24"/>
        </w:rPr>
        <w:t>uring</w:t>
      </w:r>
      <w:r w:rsidRPr="00D77067">
        <w:rPr>
          <w:rFonts w:eastAsia="Times New Roman"/>
          <w:noProof/>
          <w:spacing w:val="-3"/>
          <w:szCs w:val="24"/>
        </w:rPr>
        <w:t xml:space="preserve"> </w:t>
      </w:r>
      <w:r w:rsidRPr="00D77067">
        <w:rPr>
          <w:rFonts w:eastAsia="Times New Roman"/>
          <w:noProof/>
          <w:szCs w:val="24"/>
        </w:rPr>
        <w:t>its</w:t>
      </w:r>
      <w:r w:rsidRPr="00D77067">
        <w:rPr>
          <w:rFonts w:eastAsia="Times New Roman"/>
          <w:noProof/>
          <w:spacing w:val="-2"/>
          <w:szCs w:val="24"/>
        </w:rPr>
        <w:t xml:space="preserve"> </w:t>
      </w:r>
      <w:r w:rsidRPr="00D77067">
        <w:rPr>
          <w:rFonts w:eastAsia="Times New Roman"/>
          <w:noProof/>
          <w:szCs w:val="24"/>
        </w:rPr>
        <w:t>first</w:t>
      </w:r>
      <w:r>
        <w:rPr>
          <w:rFonts w:eastAsia="Times New Roman"/>
          <w:noProof/>
          <w:szCs w:val="24"/>
        </w:rPr>
        <w:t xml:space="preserve"> </w:t>
      </w:r>
      <w:r w:rsidRPr="00D77067">
        <w:rPr>
          <w:rFonts w:eastAsia="Times New Roman"/>
          <w:noProof/>
          <w:szCs w:val="24"/>
        </w:rPr>
        <w:t>meeting,</w:t>
      </w:r>
      <w:r w:rsidRPr="00D77067">
        <w:rPr>
          <w:rFonts w:eastAsia="Times New Roman"/>
          <w:noProof/>
          <w:spacing w:val="-1"/>
          <w:szCs w:val="24"/>
        </w:rPr>
        <w:t xml:space="preserve"> </w:t>
      </w:r>
      <w:r w:rsidRPr="00D77067">
        <w:rPr>
          <w:rFonts w:eastAsia="Times New Roman"/>
          <w:noProof/>
          <w:szCs w:val="24"/>
        </w:rPr>
        <w:t xml:space="preserve">the </w:t>
      </w:r>
      <w:r>
        <w:rPr>
          <w:rFonts w:eastAsia="Times New Roman"/>
          <w:noProof/>
          <w:szCs w:val="24"/>
        </w:rPr>
        <w:t xml:space="preserve">States Parties Committee for the Implementation of the International Health Regulations (2005) </w:t>
      </w:r>
      <w:r w:rsidRPr="00D77067">
        <w:rPr>
          <w:rFonts w:eastAsia="Times New Roman"/>
          <w:noProof/>
          <w:szCs w:val="24"/>
        </w:rPr>
        <w:t>is</w:t>
      </w:r>
      <w:r w:rsidRPr="00D77067">
        <w:rPr>
          <w:rFonts w:eastAsia="Times New Roman"/>
          <w:noProof/>
          <w:spacing w:val="-1"/>
          <w:szCs w:val="24"/>
        </w:rPr>
        <w:t xml:space="preserve"> </w:t>
      </w:r>
      <w:r w:rsidRPr="00D77067">
        <w:rPr>
          <w:rFonts w:eastAsia="Times New Roman"/>
          <w:noProof/>
          <w:szCs w:val="24"/>
        </w:rPr>
        <w:t>to</w:t>
      </w:r>
      <w:r w:rsidRPr="00D77067">
        <w:rPr>
          <w:rFonts w:eastAsia="Times New Roman"/>
          <w:noProof/>
          <w:spacing w:val="-1"/>
          <w:szCs w:val="24"/>
        </w:rPr>
        <w:t xml:space="preserve"> </w:t>
      </w:r>
      <w:r w:rsidRPr="00D77067">
        <w:rPr>
          <w:rFonts w:eastAsia="Times New Roman"/>
          <w:noProof/>
          <w:szCs w:val="24"/>
        </w:rPr>
        <w:t>adopt</w:t>
      </w:r>
      <w:r w:rsidRPr="00D77067">
        <w:rPr>
          <w:rFonts w:eastAsia="Times New Roman"/>
          <w:noProof/>
          <w:spacing w:val="-2"/>
          <w:szCs w:val="24"/>
        </w:rPr>
        <w:t xml:space="preserve"> </w:t>
      </w:r>
      <w:r>
        <w:rPr>
          <w:rFonts w:eastAsia="Times New Roman"/>
          <w:noProof/>
          <w:spacing w:val="-2"/>
          <w:szCs w:val="24"/>
        </w:rPr>
        <w:t>its own terms of reference, including the way that the Committee conducts its business, as well as the terms of reference for its Subcommittee</w:t>
      </w:r>
      <w:r w:rsidRPr="00D77067">
        <w:rPr>
          <w:rFonts w:eastAsia="Times New Roman"/>
          <w:noProof/>
          <w:szCs w:val="24"/>
        </w:rPr>
        <w:t xml:space="preserve"> (‘the envisaged </w:t>
      </w:r>
      <w:r w:rsidRPr="00D77067">
        <w:rPr>
          <w:rFonts w:eastAsia="Times New Roman"/>
          <w:noProof/>
          <w:spacing w:val="-2"/>
          <w:szCs w:val="24"/>
        </w:rPr>
        <w:t>act</w:t>
      </w:r>
      <w:r>
        <w:rPr>
          <w:rFonts w:eastAsia="Times New Roman"/>
          <w:noProof/>
          <w:spacing w:val="-2"/>
          <w:szCs w:val="24"/>
        </w:rPr>
        <w:t>s</w:t>
      </w:r>
      <w:r w:rsidRPr="00D77067">
        <w:rPr>
          <w:rFonts w:eastAsia="Times New Roman"/>
          <w:noProof/>
          <w:spacing w:val="-2"/>
          <w:szCs w:val="24"/>
        </w:rPr>
        <w:t>’).</w:t>
      </w:r>
    </w:p>
    <w:p w:rsidR="001323E3" w:rsidRDefault="001323E3" w:rsidP="001323E3">
      <w:pPr>
        <w:pBdr>
          <w:top w:val="nil"/>
          <w:left w:val="nil"/>
          <w:bottom w:val="nil"/>
          <w:right w:val="nil"/>
          <w:between w:val="nil"/>
          <w:bar w:val="nil"/>
        </w:pBdr>
        <w:spacing w:before="0" w:after="240"/>
        <w:rPr>
          <w:rFonts w:eastAsia="Times New Roman"/>
          <w:noProof/>
          <w:szCs w:val="24"/>
        </w:rPr>
      </w:pPr>
      <w:r w:rsidRPr="00D77067">
        <w:rPr>
          <w:rFonts w:eastAsia="Times New Roman"/>
          <w:noProof/>
          <w:szCs w:val="24"/>
        </w:rPr>
        <w:t xml:space="preserve">The </w:t>
      </w:r>
      <w:r>
        <w:rPr>
          <w:rFonts w:eastAsia="Times New Roman"/>
          <w:noProof/>
          <w:szCs w:val="24"/>
        </w:rPr>
        <w:t>terms of reference of the Committee and of its Subcommittee are envisaged to address various issues, such as t</w:t>
      </w:r>
      <w:r w:rsidRPr="00D77067">
        <w:rPr>
          <w:rFonts w:eastAsia="Times New Roman"/>
          <w:noProof/>
          <w:szCs w:val="24"/>
        </w:rPr>
        <w:t xml:space="preserve">he </w:t>
      </w:r>
      <w:r>
        <w:rPr>
          <w:rFonts w:eastAsia="Times New Roman"/>
          <w:noProof/>
          <w:szCs w:val="24"/>
        </w:rPr>
        <w:t>organisation and conduct of the meetings, the participation of observers, the preparation of the agendas, representation, or decision-making modalities, and as such they will encompass the rules of procedure for the Committee and its Subcommittee.</w:t>
      </w:r>
    </w:p>
    <w:p w:rsidR="001323E3" w:rsidRPr="002D5EE2" w:rsidRDefault="001323E3" w:rsidP="001323E3">
      <w:pPr>
        <w:pStyle w:val="ManualHeading1"/>
        <w:rPr>
          <w:noProof/>
        </w:rPr>
      </w:pPr>
      <w:r>
        <w:rPr>
          <w:noProof/>
        </w:rPr>
        <w:t>3</w:t>
      </w:r>
      <w:r w:rsidRPr="002D5EE2">
        <w:rPr>
          <w:noProof/>
        </w:rPr>
        <w:t>.</w:t>
      </w:r>
      <w:r w:rsidRPr="002D5EE2">
        <w:rPr>
          <w:noProof/>
        </w:rPr>
        <w:tab/>
      </w:r>
      <w:r w:rsidRPr="001323E3">
        <w:rPr>
          <w:rFonts w:eastAsia="Times New Roman"/>
          <w:bCs/>
          <w:caps/>
          <w:smallCaps w:val="0"/>
          <w:noProof/>
          <w:szCs w:val="24"/>
        </w:rPr>
        <w:t>Position</w:t>
      </w:r>
      <w:r w:rsidRPr="001323E3">
        <w:rPr>
          <w:rFonts w:eastAsia="Times New Roman"/>
          <w:bCs/>
          <w:caps/>
          <w:smallCaps w:val="0"/>
          <w:noProof/>
          <w:spacing w:val="-7"/>
          <w:szCs w:val="24"/>
        </w:rPr>
        <w:t xml:space="preserve"> </w:t>
      </w:r>
      <w:r w:rsidRPr="001323E3">
        <w:rPr>
          <w:rFonts w:eastAsia="Times New Roman"/>
          <w:bCs/>
          <w:caps/>
          <w:smallCaps w:val="0"/>
          <w:noProof/>
          <w:szCs w:val="24"/>
        </w:rPr>
        <w:t>to</w:t>
      </w:r>
      <w:r w:rsidRPr="001323E3">
        <w:rPr>
          <w:rFonts w:eastAsia="Times New Roman"/>
          <w:bCs/>
          <w:caps/>
          <w:smallCaps w:val="0"/>
          <w:noProof/>
          <w:spacing w:val="-7"/>
          <w:szCs w:val="24"/>
        </w:rPr>
        <w:t xml:space="preserve"> </w:t>
      </w:r>
      <w:r w:rsidRPr="001323E3">
        <w:rPr>
          <w:rFonts w:eastAsia="Times New Roman"/>
          <w:bCs/>
          <w:caps/>
          <w:smallCaps w:val="0"/>
          <w:noProof/>
          <w:szCs w:val="24"/>
        </w:rPr>
        <w:t>be</w:t>
      </w:r>
      <w:r w:rsidRPr="001323E3">
        <w:rPr>
          <w:rFonts w:eastAsia="Times New Roman"/>
          <w:bCs/>
          <w:caps/>
          <w:smallCaps w:val="0"/>
          <w:noProof/>
          <w:spacing w:val="-7"/>
          <w:szCs w:val="24"/>
        </w:rPr>
        <w:t xml:space="preserve"> </w:t>
      </w:r>
      <w:r w:rsidRPr="001323E3">
        <w:rPr>
          <w:rFonts w:eastAsia="Times New Roman"/>
          <w:bCs/>
          <w:caps/>
          <w:smallCaps w:val="0"/>
          <w:noProof/>
          <w:szCs w:val="24"/>
        </w:rPr>
        <w:t>taken</w:t>
      </w:r>
      <w:r w:rsidRPr="001323E3">
        <w:rPr>
          <w:rFonts w:eastAsia="Times New Roman"/>
          <w:bCs/>
          <w:caps/>
          <w:smallCaps w:val="0"/>
          <w:noProof/>
          <w:spacing w:val="-1"/>
          <w:szCs w:val="24"/>
        </w:rPr>
        <w:t xml:space="preserve"> </w:t>
      </w:r>
      <w:r w:rsidRPr="001323E3">
        <w:rPr>
          <w:rFonts w:eastAsia="Times New Roman"/>
          <w:bCs/>
          <w:caps/>
          <w:smallCaps w:val="0"/>
          <w:noProof/>
          <w:szCs w:val="24"/>
        </w:rPr>
        <w:t>on</w:t>
      </w:r>
      <w:r w:rsidRPr="001323E3">
        <w:rPr>
          <w:rFonts w:eastAsia="Times New Roman"/>
          <w:bCs/>
          <w:caps/>
          <w:smallCaps w:val="0"/>
          <w:noProof/>
          <w:spacing w:val="-7"/>
          <w:szCs w:val="24"/>
        </w:rPr>
        <w:t xml:space="preserve"> </w:t>
      </w:r>
      <w:r w:rsidRPr="001323E3">
        <w:rPr>
          <w:rFonts w:eastAsia="Times New Roman"/>
          <w:bCs/>
          <w:caps/>
          <w:smallCaps w:val="0"/>
          <w:noProof/>
          <w:szCs w:val="24"/>
        </w:rPr>
        <w:t>the</w:t>
      </w:r>
      <w:r w:rsidRPr="001323E3">
        <w:rPr>
          <w:rFonts w:eastAsia="Times New Roman"/>
          <w:bCs/>
          <w:caps/>
          <w:smallCaps w:val="0"/>
          <w:noProof/>
          <w:spacing w:val="-5"/>
          <w:szCs w:val="24"/>
        </w:rPr>
        <w:t xml:space="preserve"> </w:t>
      </w:r>
      <w:r w:rsidRPr="001323E3">
        <w:rPr>
          <w:rFonts w:eastAsia="Times New Roman"/>
          <w:bCs/>
          <w:caps/>
          <w:smallCaps w:val="0"/>
          <w:noProof/>
          <w:szCs w:val="24"/>
        </w:rPr>
        <w:t>Union's</w:t>
      </w:r>
      <w:r w:rsidRPr="001323E3">
        <w:rPr>
          <w:rFonts w:eastAsia="Times New Roman"/>
          <w:bCs/>
          <w:caps/>
          <w:smallCaps w:val="0"/>
          <w:noProof/>
          <w:spacing w:val="-7"/>
          <w:szCs w:val="24"/>
        </w:rPr>
        <w:t xml:space="preserve"> </w:t>
      </w:r>
      <w:r w:rsidRPr="001323E3">
        <w:rPr>
          <w:rFonts w:eastAsia="Times New Roman"/>
          <w:bCs/>
          <w:caps/>
          <w:smallCaps w:val="0"/>
          <w:noProof/>
          <w:spacing w:val="-2"/>
          <w:szCs w:val="24"/>
        </w:rPr>
        <w:t>behalf</w:t>
      </w:r>
    </w:p>
    <w:p w:rsidR="001323E3" w:rsidRPr="00D77067" w:rsidRDefault="001323E3" w:rsidP="001323E3">
      <w:pPr>
        <w:pBdr>
          <w:top w:val="nil"/>
          <w:left w:val="nil"/>
          <w:bottom w:val="nil"/>
          <w:right w:val="nil"/>
          <w:between w:val="nil"/>
          <w:bar w:val="nil"/>
        </w:pBdr>
        <w:spacing w:before="0" w:after="240"/>
        <w:rPr>
          <w:rFonts w:eastAsia="Times New Roman"/>
          <w:noProof/>
          <w:szCs w:val="24"/>
          <w:highlight w:val="yellow"/>
        </w:rPr>
      </w:pPr>
      <w:r>
        <w:rPr>
          <w:rFonts w:eastAsia="Times New Roman"/>
          <w:noProof/>
          <w:spacing w:val="-5"/>
        </w:rPr>
        <w:t>To support the proper functioning of the States Parties Committee for the Implementation of the International Health Regulations (2005) and of its Subcommittee, the U</w:t>
      </w:r>
      <w:r w:rsidR="00DE0CF0">
        <w:rPr>
          <w:rFonts w:eastAsia="Times New Roman"/>
          <w:noProof/>
          <w:spacing w:val="-5"/>
        </w:rPr>
        <w:t>nion</w:t>
      </w:r>
      <w:r>
        <w:rPr>
          <w:rFonts w:eastAsia="Times New Roman"/>
          <w:noProof/>
          <w:spacing w:val="-5"/>
        </w:rPr>
        <w:t xml:space="preserve"> should support the adoption of terms of reference that provide for the efficient, cost effective, transparent and orderly functioning and organisation of the meetings of the Committee and Subcommittee and that allow for the participation of the Union as an observer. </w:t>
      </w:r>
    </w:p>
    <w:p w:rsidR="001323E3" w:rsidRPr="002D5EE2" w:rsidRDefault="001323E3" w:rsidP="001323E3">
      <w:pPr>
        <w:pBdr>
          <w:top w:val="nil"/>
          <w:left w:val="nil"/>
          <w:bottom w:val="nil"/>
          <w:right w:val="nil"/>
          <w:between w:val="nil"/>
          <w:bar w:val="nil"/>
        </w:pBdr>
        <w:spacing w:before="0" w:after="240"/>
        <w:rPr>
          <w:rFonts w:eastAsia="Arial Unicode MS"/>
          <w:noProof/>
        </w:rPr>
      </w:pPr>
      <w:r w:rsidRPr="00756714">
        <w:rPr>
          <w:rFonts w:eastAsia="Times New Roman"/>
          <w:noProof/>
          <w:szCs w:val="24"/>
        </w:rPr>
        <w:t>Allowing for the participation of the Union as an observer to the meetings of the States Parties Committee for the Implementation of the International Health Regulations (2005)</w:t>
      </w:r>
      <w:r>
        <w:rPr>
          <w:rFonts w:eastAsia="Times New Roman"/>
          <w:noProof/>
          <w:szCs w:val="24"/>
        </w:rPr>
        <w:t xml:space="preserve">, and of its </w:t>
      </w:r>
      <w:r>
        <w:rPr>
          <w:rFonts w:eastAsia="Times New Roman"/>
          <w:noProof/>
          <w:szCs w:val="24"/>
        </w:rPr>
        <w:lastRenderedPageBreak/>
        <w:t>Subcommittee</w:t>
      </w:r>
      <w:r w:rsidRPr="00756714">
        <w:rPr>
          <w:rFonts w:eastAsia="Times New Roman"/>
          <w:noProof/>
          <w:szCs w:val="24"/>
        </w:rPr>
        <w:t xml:space="preserve"> is of particular importance, as the International Health Regulations include a significant number of provisions that </w:t>
      </w:r>
      <w:r w:rsidRPr="00411D4D">
        <w:rPr>
          <w:rFonts w:eastAsia="Calibri"/>
          <w:noProof/>
          <w:szCs w:val="24"/>
        </w:rPr>
        <w:t>fall within matters for which the Union has competence</w:t>
      </w:r>
      <w:r>
        <w:rPr>
          <w:rFonts w:eastAsia="Calibri"/>
          <w:noProof/>
          <w:szCs w:val="24"/>
        </w:rPr>
        <w:t xml:space="preserve"> on the basis of Article 168(5) of the Treaty on the Functioning of the European Union (TFEU), read together with Article 6 and Article 168(1) TFEU, to support, coordinate or supplement the actions of the Member States and in relation to which Union rules exist, in particular in the field of serious cross-border threats to health under Regulation (EU) 2022/2371.</w:t>
      </w:r>
      <w:r w:rsidRPr="00411D4D">
        <w:rPr>
          <w:rFonts w:eastAsia="Calibri"/>
          <w:noProof/>
          <w:szCs w:val="24"/>
        </w:rPr>
        <w:t xml:space="preserve"> </w:t>
      </w:r>
    </w:p>
    <w:p w:rsidR="001323E3" w:rsidRDefault="001323E3" w:rsidP="00550536">
      <w:pPr>
        <w:pStyle w:val="ManualHeading1"/>
        <w:rPr>
          <w:noProof/>
        </w:rPr>
      </w:pPr>
      <w:r w:rsidRPr="00550536">
        <w:rPr>
          <w:noProof/>
        </w:rPr>
        <w:t>4.</w:t>
      </w:r>
      <w:r w:rsidRPr="00550536">
        <w:rPr>
          <w:noProof/>
        </w:rPr>
        <w:tab/>
      </w:r>
      <w:r w:rsidRPr="001323E3">
        <w:rPr>
          <w:noProof/>
        </w:rPr>
        <w:t>LEGAL BASIS</w:t>
      </w:r>
    </w:p>
    <w:p w:rsidR="001323E3" w:rsidRPr="001323E3" w:rsidRDefault="001323E3" w:rsidP="001323E3">
      <w:pPr>
        <w:pStyle w:val="ManualHeading2"/>
        <w:rPr>
          <w:rFonts w:eastAsia="Calibri"/>
          <w:noProof/>
          <w:szCs w:val="24"/>
        </w:rPr>
      </w:pPr>
      <w:r w:rsidRPr="001323E3">
        <w:rPr>
          <w:rFonts w:eastAsia="Calibri"/>
          <w:noProof/>
          <w:szCs w:val="24"/>
        </w:rPr>
        <w:t>4.1.</w:t>
      </w:r>
      <w:r w:rsidRPr="001323E3">
        <w:rPr>
          <w:rFonts w:eastAsia="Calibri"/>
          <w:noProof/>
          <w:szCs w:val="24"/>
        </w:rPr>
        <w:tab/>
        <w:t>Procedural legal basis</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The States Parties Committee for the Implementation of the International Health Regulations is a body set up by an agreement, namely the International Health Regulations (2005).</w:t>
      </w:r>
    </w:p>
    <w:p w:rsidR="00DE0CF0"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The envisaged acts which the States Parties Committee for the Implementation of the International Health Regulations (2005) is called upon to adopt will produce legal effects under the International Health Regulations (2005) for the Union.</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They will in particular determine whether regional economic integration organisations such as the Union can participate as observers to the States Parties Committee for the Implementation of the International Health Regulations (2005) and to its Subcommittee.</w:t>
      </w:r>
      <w:r w:rsidR="00DE0CF0">
        <w:rPr>
          <w:rFonts w:eastAsia="Calibri"/>
          <w:noProof/>
          <w:szCs w:val="24"/>
        </w:rPr>
        <w:t xml:space="preserve"> Such organisational acts determining the participation of the Union in the meetings of the Committee and Subcommittee produce legal effects within the meaning of Article 218(9) TFEU.</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 xml:space="preserve">In addition, the </w:t>
      </w:r>
      <w:r w:rsidR="00475BAF">
        <w:rPr>
          <w:rFonts w:eastAsia="Calibri"/>
          <w:noProof/>
          <w:szCs w:val="24"/>
        </w:rPr>
        <w:t xml:space="preserve">terms of reference to be adopted by the </w:t>
      </w:r>
      <w:r w:rsidRPr="001323E3">
        <w:rPr>
          <w:rFonts w:eastAsia="Calibri"/>
          <w:noProof/>
          <w:szCs w:val="24"/>
        </w:rPr>
        <w:t xml:space="preserve">States Parties </w:t>
      </w:r>
      <w:r w:rsidR="0015230F">
        <w:rPr>
          <w:rFonts w:eastAsia="Calibri"/>
          <w:noProof/>
          <w:szCs w:val="24"/>
        </w:rPr>
        <w:t xml:space="preserve">Committee </w:t>
      </w:r>
      <w:r w:rsidRPr="001323E3">
        <w:rPr>
          <w:rFonts w:eastAsia="Calibri"/>
          <w:noProof/>
          <w:szCs w:val="24"/>
        </w:rPr>
        <w:t>for the Implementation of the International Health Regulations (2005), whose role is to facilitate the effective implementation of the International Health Regulations (2005)</w:t>
      </w:r>
      <w:r w:rsidR="00475BAF">
        <w:rPr>
          <w:rFonts w:eastAsia="Calibri"/>
          <w:noProof/>
          <w:szCs w:val="24"/>
        </w:rPr>
        <w:t>, will determine the way in which</w:t>
      </w:r>
      <w:r w:rsidRPr="001323E3">
        <w:rPr>
          <w:rFonts w:eastAsia="Calibri"/>
          <w:noProof/>
          <w:szCs w:val="24"/>
        </w:rPr>
        <w:t xml:space="preserve"> decisions or recommendations</w:t>
      </w:r>
      <w:r w:rsidR="00475BAF">
        <w:rPr>
          <w:rFonts w:eastAsia="Calibri"/>
          <w:noProof/>
          <w:szCs w:val="24"/>
        </w:rPr>
        <w:t xml:space="preserve"> will be adopted. Such decisions or recommendations are capable of</w:t>
      </w:r>
      <w:r w:rsidRPr="001323E3">
        <w:rPr>
          <w:rFonts w:eastAsia="Calibri"/>
          <w:noProof/>
          <w:szCs w:val="24"/>
        </w:rPr>
        <w:t xml:space="preserve"> affect</w:t>
      </w:r>
      <w:r w:rsidR="00475BAF">
        <w:rPr>
          <w:rFonts w:eastAsia="Calibri"/>
          <w:noProof/>
          <w:szCs w:val="24"/>
        </w:rPr>
        <w:t>ing</w:t>
      </w:r>
      <w:r w:rsidRPr="001323E3">
        <w:rPr>
          <w:rFonts w:eastAsia="Calibri"/>
          <w:noProof/>
          <w:szCs w:val="24"/>
        </w:rPr>
        <w:t xml:space="preserve"> the interpretation or application of the provisions of the International Health Regulations (2005). </w:t>
      </w:r>
      <w:r w:rsidR="00475BAF">
        <w:rPr>
          <w:rFonts w:eastAsia="Calibri"/>
          <w:noProof/>
          <w:szCs w:val="24"/>
        </w:rPr>
        <w:t>In this regard, a</w:t>
      </w:r>
      <w:r w:rsidRPr="001323E3">
        <w:rPr>
          <w:rFonts w:eastAsia="Calibri"/>
          <w:noProof/>
          <w:szCs w:val="24"/>
        </w:rPr>
        <w:t xml:space="preserve">n important part of these provisions, which are legally binding </w:t>
      </w:r>
      <w:r w:rsidR="00475BAF">
        <w:rPr>
          <w:rFonts w:eastAsia="Calibri"/>
          <w:noProof/>
          <w:szCs w:val="24"/>
        </w:rPr>
        <w:t xml:space="preserve">for all Union Member States </w:t>
      </w:r>
      <w:r w:rsidRPr="001323E3">
        <w:rPr>
          <w:rFonts w:eastAsia="Calibri"/>
          <w:noProof/>
          <w:szCs w:val="24"/>
        </w:rPr>
        <w:t xml:space="preserve">under international law, falls within matters for which the Union has </w:t>
      </w:r>
      <w:r w:rsidR="00475BAF">
        <w:rPr>
          <w:rFonts w:eastAsia="Calibri"/>
          <w:noProof/>
          <w:szCs w:val="24"/>
        </w:rPr>
        <w:t xml:space="preserve">exercised its </w:t>
      </w:r>
      <w:r w:rsidRPr="001323E3">
        <w:rPr>
          <w:rFonts w:eastAsia="Calibri"/>
          <w:noProof/>
          <w:szCs w:val="24"/>
        </w:rPr>
        <w:t>competence</w:t>
      </w:r>
      <w:r w:rsidR="00475BAF">
        <w:rPr>
          <w:rFonts w:eastAsia="Calibri"/>
          <w:noProof/>
          <w:szCs w:val="24"/>
        </w:rPr>
        <w:t>s</w:t>
      </w:r>
      <w:r w:rsidRPr="001323E3">
        <w:rPr>
          <w:rFonts w:eastAsia="Calibri"/>
          <w:noProof/>
          <w:szCs w:val="24"/>
        </w:rPr>
        <w:t xml:space="preserve"> on the basis of Article 168(5) TFEU, read together with Article 6 and Article 168(1) TFEU, to support, coordinate or supplement the actions of the Member States and in relation to which Union rules exist, in particular in the field of serious cross-border threats to health under Regulation (EU) 2022/2371. The States Parties Committee for the Implementation of the International Health Regulations (2005) </w:t>
      </w:r>
      <w:r w:rsidR="00475BAF">
        <w:rPr>
          <w:rFonts w:eastAsia="Calibri"/>
          <w:noProof/>
          <w:szCs w:val="24"/>
        </w:rPr>
        <w:t xml:space="preserve">and its Subcommittee have the </w:t>
      </w:r>
      <w:r w:rsidR="00720CB5">
        <w:rPr>
          <w:rFonts w:eastAsia="Calibri"/>
          <w:noProof/>
          <w:szCs w:val="24"/>
        </w:rPr>
        <w:t>competence to</w:t>
      </w:r>
      <w:r w:rsidRPr="001323E3">
        <w:rPr>
          <w:rFonts w:eastAsia="Calibri"/>
          <w:noProof/>
          <w:szCs w:val="24"/>
        </w:rPr>
        <w:t xml:space="preserve"> take decisions, which </w:t>
      </w:r>
      <w:r w:rsidR="00720CB5">
        <w:rPr>
          <w:rFonts w:eastAsia="Calibri"/>
          <w:noProof/>
          <w:szCs w:val="24"/>
        </w:rPr>
        <w:t>are capable to</w:t>
      </w:r>
      <w:r w:rsidRPr="001323E3">
        <w:rPr>
          <w:rFonts w:eastAsia="Calibri"/>
          <w:noProof/>
          <w:szCs w:val="24"/>
        </w:rPr>
        <w:t xml:space="preserve"> have an influence on the content of Union rules, in particular Regulation (EU) 2022/2371</w:t>
      </w:r>
      <w:r w:rsidR="00720CB5">
        <w:rPr>
          <w:rFonts w:eastAsia="Calibri"/>
          <w:noProof/>
          <w:szCs w:val="24"/>
        </w:rPr>
        <w:t>.</w:t>
      </w:r>
      <w:r w:rsidRPr="001323E3">
        <w:rPr>
          <w:rFonts w:eastAsia="Calibri"/>
          <w:noProof/>
          <w:szCs w:val="24"/>
        </w:rPr>
        <w:t xml:space="preserve"> </w:t>
      </w:r>
      <w:r w:rsidR="00720CB5">
        <w:rPr>
          <w:rFonts w:eastAsia="Calibri"/>
          <w:noProof/>
          <w:szCs w:val="24"/>
        </w:rPr>
        <w:t xml:space="preserve">Thus, the envisaged acts produce </w:t>
      </w:r>
      <w:r w:rsidRPr="001323E3">
        <w:rPr>
          <w:rFonts w:eastAsia="Calibri"/>
          <w:noProof/>
          <w:szCs w:val="24"/>
        </w:rPr>
        <w:t>legal effect</w:t>
      </w:r>
      <w:r w:rsidR="00720CB5">
        <w:rPr>
          <w:rFonts w:eastAsia="Calibri"/>
          <w:noProof/>
          <w:szCs w:val="24"/>
        </w:rPr>
        <w:t>s</w:t>
      </w:r>
      <w:r w:rsidRPr="001323E3">
        <w:rPr>
          <w:rFonts w:eastAsia="Calibri"/>
          <w:noProof/>
          <w:szCs w:val="24"/>
        </w:rPr>
        <w:t xml:space="preserve"> within the meaning of Article 218(9) TFEU. </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The envisaged act</w:t>
      </w:r>
      <w:r w:rsidR="0015230F">
        <w:rPr>
          <w:rFonts w:eastAsia="Calibri"/>
          <w:noProof/>
          <w:szCs w:val="24"/>
        </w:rPr>
        <w:t>s</w:t>
      </w:r>
      <w:r w:rsidRPr="001323E3">
        <w:rPr>
          <w:rFonts w:eastAsia="Calibri"/>
          <w:noProof/>
          <w:szCs w:val="24"/>
        </w:rPr>
        <w:t xml:space="preserve"> do not supplement or amend the institutional framework of the </w:t>
      </w:r>
      <w:r w:rsidR="0015230F">
        <w:rPr>
          <w:rFonts w:eastAsia="Calibri"/>
          <w:noProof/>
          <w:szCs w:val="24"/>
        </w:rPr>
        <w:t>International Health Regulations (2005)</w:t>
      </w:r>
      <w:r w:rsidRPr="001323E3">
        <w:rPr>
          <w:rFonts w:eastAsia="Calibri"/>
          <w:noProof/>
          <w:szCs w:val="24"/>
        </w:rPr>
        <w:t>.</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Therefore, the procedural legal basis for the proposed decision is Article 218(9) TFEU.</w:t>
      </w:r>
    </w:p>
    <w:p w:rsidR="001323E3" w:rsidRPr="001323E3" w:rsidRDefault="001323E3" w:rsidP="001323E3">
      <w:pPr>
        <w:pStyle w:val="ManualHeading2"/>
        <w:rPr>
          <w:rFonts w:eastAsia="Calibri"/>
          <w:noProof/>
          <w:szCs w:val="24"/>
        </w:rPr>
      </w:pPr>
      <w:r w:rsidRPr="001323E3">
        <w:rPr>
          <w:rFonts w:eastAsia="Calibri"/>
          <w:noProof/>
          <w:szCs w:val="24"/>
        </w:rPr>
        <w:t>4.2.</w:t>
      </w:r>
      <w:r w:rsidRPr="001323E3">
        <w:rPr>
          <w:rFonts w:eastAsia="Calibri"/>
          <w:noProof/>
          <w:szCs w:val="24"/>
        </w:rPr>
        <w:tab/>
        <w:t>Substantive legal basis</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The main objective and content of the envisaged acts relate to the establishment of a structured framework and relevant methods of work for the States Parties Committee for the Implementation of the International Health (2005) and its Subcommittee.</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lastRenderedPageBreak/>
        <w:t>The purpose and scope of the International Health Regulations (2005) are “</w:t>
      </w:r>
      <w:r w:rsidRPr="000B27A1">
        <w:rPr>
          <w:rFonts w:eastAsia="Calibri"/>
          <w:i/>
          <w:iCs/>
          <w:noProof/>
          <w:szCs w:val="24"/>
        </w:rPr>
        <w:t>to prevent, prepare for, protect against, control and provide a public health response to the international spread of disease in ways that are commensurate and restricted to public health risks, and which avoid unnecessary interference with international traffic and trade</w:t>
      </w:r>
      <w:r w:rsidRPr="001323E3">
        <w:rPr>
          <w:rFonts w:eastAsia="Calibri"/>
          <w:noProof/>
          <w:szCs w:val="24"/>
        </w:rPr>
        <w:t xml:space="preserve">”. </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Considering the objectives and substantive provisions of the International Health Regulations (2005), the substantive legal basis of the proposed decision is Article 168(5) TFEU, which provides that “</w:t>
      </w:r>
      <w:r w:rsidRPr="000B27A1">
        <w:rPr>
          <w:rFonts w:eastAsia="Calibri"/>
          <w:i/>
          <w:iCs/>
          <w:noProof/>
          <w:szCs w:val="24"/>
        </w:rPr>
        <w:t>the European Parliament and the Council, acting in accordance with the ordinary legislative procedure, may also adopt incentive measures designed to protect and improve human health and in particular to combat the major cross-border health scourges, measures concerning monitoring, early warning of and combating serious cross-border threats to health</w:t>
      </w:r>
      <w:r w:rsidRPr="001323E3">
        <w:rPr>
          <w:rFonts w:eastAsia="Calibri"/>
          <w:noProof/>
          <w:szCs w:val="24"/>
        </w:rPr>
        <w:t xml:space="preserve">”. </w:t>
      </w:r>
    </w:p>
    <w:p w:rsidR="001323E3" w:rsidRPr="001323E3" w:rsidRDefault="001323E3" w:rsidP="001323E3">
      <w:pPr>
        <w:pStyle w:val="ManualHeading2"/>
        <w:rPr>
          <w:rFonts w:eastAsia="Calibri"/>
          <w:noProof/>
          <w:szCs w:val="24"/>
        </w:rPr>
      </w:pPr>
      <w:r w:rsidRPr="001323E3">
        <w:rPr>
          <w:rFonts w:eastAsia="Calibri"/>
          <w:noProof/>
          <w:szCs w:val="24"/>
        </w:rPr>
        <w:t>4.3.</w:t>
      </w:r>
      <w:r w:rsidRPr="001323E3">
        <w:rPr>
          <w:rFonts w:eastAsia="Calibri"/>
          <w:noProof/>
          <w:szCs w:val="24"/>
        </w:rPr>
        <w:tab/>
        <w:t>Conclusion</w:t>
      </w:r>
    </w:p>
    <w:p w:rsidR="001323E3" w:rsidRPr="001323E3" w:rsidRDefault="001323E3" w:rsidP="001323E3">
      <w:pPr>
        <w:pBdr>
          <w:top w:val="nil"/>
          <w:left w:val="nil"/>
          <w:bottom w:val="nil"/>
          <w:right w:val="nil"/>
          <w:between w:val="nil"/>
          <w:bar w:val="nil"/>
        </w:pBdr>
        <w:spacing w:before="0" w:after="240"/>
        <w:rPr>
          <w:rFonts w:eastAsia="Calibri"/>
          <w:noProof/>
          <w:szCs w:val="24"/>
        </w:rPr>
      </w:pPr>
      <w:r w:rsidRPr="001323E3">
        <w:rPr>
          <w:rFonts w:eastAsia="Calibri"/>
          <w:noProof/>
          <w:szCs w:val="24"/>
        </w:rPr>
        <w:t>The legal basis of the proposed decision should be Article 168(5) TFEU, in conjunction with Article 218(9) TFEU.</w:t>
      </w:r>
    </w:p>
    <w:p w:rsidR="001323E3" w:rsidRPr="00FD40BA" w:rsidRDefault="001323E3" w:rsidP="001323E3">
      <w:pPr>
        <w:pBdr>
          <w:top w:val="nil"/>
          <w:left w:val="nil"/>
          <w:bottom w:val="nil"/>
          <w:right w:val="nil"/>
          <w:between w:val="nil"/>
          <w:bar w:val="nil"/>
        </w:pBdr>
        <w:spacing w:before="0" w:after="240"/>
        <w:rPr>
          <w:noProof/>
        </w:rPr>
        <w:sectPr w:rsidR="001323E3" w:rsidRPr="00FD40BA" w:rsidSect="00CA4AB5">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C169E8" w:rsidRDefault="005326A9">
      <w:pPr>
        <w:pStyle w:val="Rfrenceinterinstitutionnelle"/>
        <w:rPr>
          <w:noProof/>
        </w:rPr>
      </w:pPr>
      <w:r>
        <w:rPr>
          <w:noProof/>
        </w:rPr>
        <w:lastRenderedPageBreak/>
        <w:t>2026/0226 (NLE)</w:t>
      </w:r>
    </w:p>
    <w:p w:rsidR="001323E3" w:rsidRPr="00FD40BA" w:rsidRDefault="00122ED2" w:rsidP="00122ED2">
      <w:pPr>
        <w:pStyle w:val="Statut"/>
        <w:rPr>
          <w:noProof/>
        </w:rPr>
      </w:pPr>
      <w:r w:rsidRPr="00122ED2">
        <w:rPr>
          <w:noProof/>
        </w:rPr>
        <w:t>Proposal for a</w:t>
      </w:r>
    </w:p>
    <w:p w:rsidR="001323E3" w:rsidRPr="00FD40BA" w:rsidRDefault="00122ED2" w:rsidP="00122ED2">
      <w:pPr>
        <w:pStyle w:val="Typedudocument"/>
        <w:rPr>
          <w:noProof/>
        </w:rPr>
      </w:pPr>
      <w:r w:rsidRPr="00122ED2">
        <w:rPr>
          <w:noProof/>
        </w:rPr>
        <w:t>COUNCIL DECISION</w:t>
      </w:r>
    </w:p>
    <w:p w:rsidR="001323E3" w:rsidRPr="00FD40BA" w:rsidRDefault="00122ED2" w:rsidP="00122ED2">
      <w:pPr>
        <w:pStyle w:val="Titreobjet"/>
        <w:rPr>
          <w:noProof/>
        </w:rPr>
      </w:pPr>
      <w:r w:rsidRPr="00122ED2">
        <w:rPr>
          <w:noProof/>
        </w:rPr>
        <w:t>on the position to be taken on behalf of the European Union in the first meeting of the States Parties Committee for the Implementation of the International Health Regulations (2005)</w:t>
      </w:r>
    </w:p>
    <w:p w:rsidR="001323E3" w:rsidRPr="00FD40BA" w:rsidRDefault="001323E3" w:rsidP="00197315">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1323E3" w:rsidRPr="00021DA7" w:rsidRDefault="001323E3" w:rsidP="001323E3">
      <w:pPr>
        <w:rPr>
          <w:rFonts w:eastAsia="Times New Roman"/>
          <w:noProof/>
          <w:szCs w:val="24"/>
        </w:rPr>
      </w:pPr>
      <w:r w:rsidRPr="00021DA7">
        <w:rPr>
          <w:rFonts w:eastAsia="Times New Roman"/>
          <w:noProof/>
          <w:szCs w:val="24"/>
        </w:rPr>
        <w:t>Having</w:t>
      </w:r>
      <w:r w:rsidRPr="00021DA7">
        <w:rPr>
          <w:rFonts w:eastAsia="Times New Roman"/>
          <w:noProof/>
          <w:spacing w:val="38"/>
          <w:szCs w:val="24"/>
        </w:rPr>
        <w:t xml:space="preserve"> </w:t>
      </w:r>
      <w:r w:rsidRPr="00021DA7">
        <w:rPr>
          <w:rFonts w:eastAsia="Times New Roman"/>
          <w:noProof/>
          <w:szCs w:val="24"/>
        </w:rPr>
        <w:t>regard</w:t>
      </w:r>
      <w:r w:rsidRPr="00021DA7">
        <w:rPr>
          <w:rFonts w:eastAsia="Times New Roman"/>
          <w:noProof/>
          <w:spacing w:val="39"/>
          <w:szCs w:val="24"/>
        </w:rPr>
        <w:t xml:space="preserve"> </w:t>
      </w:r>
      <w:r w:rsidRPr="00021DA7">
        <w:rPr>
          <w:rFonts w:eastAsia="Times New Roman"/>
          <w:noProof/>
          <w:szCs w:val="24"/>
        </w:rPr>
        <w:t>to</w:t>
      </w:r>
      <w:r w:rsidRPr="00021DA7">
        <w:rPr>
          <w:rFonts w:eastAsia="Times New Roman"/>
          <w:noProof/>
          <w:spacing w:val="40"/>
          <w:szCs w:val="24"/>
        </w:rPr>
        <w:t xml:space="preserve"> </w:t>
      </w:r>
      <w:r w:rsidRPr="00021DA7">
        <w:rPr>
          <w:rFonts w:eastAsia="Times New Roman"/>
          <w:noProof/>
          <w:szCs w:val="24"/>
        </w:rPr>
        <w:t>the</w:t>
      </w:r>
      <w:r w:rsidRPr="00021DA7">
        <w:rPr>
          <w:rFonts w:eastAsia="Times New Roman"/>
          <w:noProof/>
          <w:spacing w:val="39"/>
          <w:szCs w:val="24"/>
        </w:rPr>
        <w:t xml:space="preserve"> </w:t>
      </w:r>
      <w:r w:rsidRPr="00021DA7">
        <w:rPr>
          <w:rFonts w:eastAsia="Times New Roman"/>
          <w:noProof/>
          <w:szCs w:val="24"/>
        </w:rPr>
        <w:t>Treaty</w:t>
      </w:r>
      <w:r w:rsidRPr="00021DA7">
        <w:rPr>
          <w:rFonts w:eastAsia="Times New Roman"/>
          <w:noProof/>
          <w:spacing w:val="32"/>
          <w:szCs w:val="24"/>
        </w:rPr>
        <w:t xml:space="preserve"> </w:t>
      </w:r>
      <w:r w:rsidRPr="00021DA7">
        <w:rPr>
          <w:rFonts w:eastAsia="Times New Roman"/>
          <w:noProof/>
          <w:szCs w:val="24"/>
        </w:rPr>
        <w:t>on</w:t>
      </w:r>
      <w:r w:rsidRPr="00021DA7">
        <w:rPr>
          <w:rFonts w:eastAsia="Times New Roman"/>
          <w:noProof/>
          <w:spacing w:val="39"/>
          <w:szCs w:val="24"/>
        </w:rPr>
        <w:t xml:space="preserve"> </w:t>
      </w:r>
      <w:r w:rsidRPr="00021DA7">
        <w:rPr>
          <w:rFonts w:eastAsia="Times New Roman"/>
          <w:noProof/>
          <w:szCs w:val="24"/>
        </w:rPr>
        <w:t>the</w:t>
      </w:r>
      <w:r w:rsidRPr="00021DA7">
        <w:rPr>
          <w:rFonts w:eastAsia="Times New Roman"/>
          <w:noProof/>
          <w:spacing w:val="39"/>
          <w:szCs w:val="24"/>
        </w:rPr>
        <w:t xml:space="preserve"> </w:t>
      </w:r>
      <w:r w:rsidRPr="00021DA7">
        <w:rPr>
          <w:rFonts w:eastAsia="Times New Roman"/>
          <w:noProof/>
          <w:szCs w:val="24"/>
        </w:rPr>
        <w:t>Functioning</w:t>
      </w:r>
      <w:r w:rsidRPr="00021DA7">
        <w:rPr>
          <w:rFonts w:eastAsia="Times New Roman"/>
          <w:noProof/>
          <w:spacing w:val="39"/>
          <w:szCs w:val="24"/>
        </w:rPr>
        <w:t xml:space="preserve"> </w:t>
      </w:r>
      <w:r w:rsidRPr="00021DA7">
        <w:rPr>
          <w:rFonts w:eastAsia="Times New Roman"/>
          <w:noProof/>
          <w:szCs w:val="24"/>
        </w:rPr>
        <w:t>of</w:t>
      </w:r>
      <w:r w:rsidRPr="00021DA7">
        <w:rPr>
          <w:rFonts w:eastAsia="Times New Roman"/>
          <w:noProof/>
          <w:spacing w:val="39"/>
          <w:szCs w:val="24"/>
        </w:rPr>
        <w:t xml:space="preserve"> </w:t>
      </w:r>
      <w:r w:rsidRPr="00021DA7">
        <w:rPr>
          <w:rFonts w:eastAsia="Times New Roman"/>
          <w:noProof/>
          <w:szCs w:val="24"/>
        </w:rPr>
        <w:t>the</w:t>
      </w:r>
      <w:r w:rsidRPr="00021DA7">
        <w:rPr>
          <w:rFonts w:eastAsia="Times New Roman"/>
          <w:noProof/>
          <w:spacing w:val="39"/>
          <w:szCs w:val="24"/>
        </w:rPr>
        <w:t xml:space="preserve"> </w:t>
      </w:r>
      <w:r w:rsidRPr="00021DA7">
        <w:rPr>
          <w:rFonts w:eastAsia="Times New Roman"/>
          <w:noProof/>
          <w:szCs w:val="24"/>
        </w:rPr>
        <w:t>European</w:t>
      </w:r>
      <w:r w:rsidRPr="00021DA7">
        <w:rPr>
          <w:rFonts w:eastAsia="Times New Roman"/>
          <w:noProof/>
          <w:spacing w:val="39"/>
          <w:szCs w:val="24"/>
        </w:rPr>
        <w:t xml:space="preserve"> </w:t>
      </w:r>
      <w:r w:rsidRPr="00021DA7">
        <w:rPr>
          <w:rFonts w:eastAsia="Times New Roman"/>
          <w:noProof/>
          <w:szCs w:val="24"/>
        </w:rPr>
        <w:t>Union,</w:t>
      </w:r>
      <w:r w:rsidRPr="00021DA7">
        <w:rPr>
          <w:rFonts w:eastAsia="Times New Roman"/>
          <w:noProof/>
          <w:spacing w:val="39"/>
          <w:szCs w:val="24"/>
        </w:rPr>
        <w:t xml:space="preserve"> </w:t>
      </w:r>
      <w:r w:rsidRPr="00021DA7">
        <w:rPr>
          <w:rFonts w:eastAsia="Times New Roman"/>
          <w:noProof/>
          <w:szCs w:val="24"/>
        </w:rPr>
        <w:t>and</w:t>
      </w:r>
      <w:r w:rsidRPr="00021DA7">
        <w:rPr>
          <w:rFonts w:eastAsia="Times New Roman"/>
          <w:noProof/>
          <w:spacing w:val="39"/>
          <w:szCs w:val="24"/>
        </w:rPr>
        <w:t xml:space="preserve"> </w:t>
      </w:r>
      <w:r w:rsidRPr="00021DA7">
        <w:rPr>
          <w:rFonts w:eastAsia="Times New Roman"/>
          <w:noProof/>
          <w:szCs w:val="24"/>
        </w:rPr>
        <w:t>in</w:t>
      </w:r>
      <w:r w:rsidRPr="00021DA7">
        <w:rPr>
          <w:rFonts w:eastAsia="Times New Roman"/>
          <w:noProof/>
          <w:spacing w:val="40"/>
          <w:szCs w:val="24"/>
        </w:rPr>
        <w:t xml:space="preserve"> </w:t>
      </w:r>
      <w:r w:rsidRPr="00021DA7">
        <w:rPr>
          <w:rFonts w:eastAsia="Times New Roman"/>
          <w:noProof/>
          <w:szCs w:val="24"/>
        </w:rPr>
        <w:t>particular Article</w:t>
      </w:r>
      <w:r>
        <w:rPr>
          <w:rFonts w:eastAsia="Times New Roman"/>
          <w:noProof/>
          <w:szCs w:val="24"/>
        </w:rPr>
        <w:t xml:space="preserve"> 168(5) TFEU</w:t>
      </w:r>
      <w:r w:rsidRPr="00021DA7">
        <w:rPr>
          <w:rFonts w:eastAsia="Times New Roman"/>
          <w:noProof/>
          <w:szCs w:val="24"/>
        </w:rPr>
        <w:t>, in conjunction with Article 218(9)</w:t>
      </w:r>
      <w:r w:rsidRPr="00021DA7">
        <w:rPr>
          <w:rFonts w:eastAsia="Times New Roman"/>
          <w:noProof/>
          <w:szCs w:val="20"/>
          <w:lang w:eastAsia="fr-BE"/>
        </w:rPr>
        <w:t>,</w:t>
      </w:r>
      <w:r w:rsidRPr="00021DA7">
        <w:rPr>
          <w:rFonts w:eastAsia="Times New Roman"/>
          <w:noProof/>
          <w:szCs w:val="24"/>
        </w:rPr>
        <w:t xml:space="preserve"> thereof,</w:t>
      </w:r>
    </w:p>
    <w:p w:rsidR="001323E3" w:rsidRPr="00FD40BA" w:rsidRDefault="001323E3" w:rsidP="001323E3">
      <w:pPr>
        <w:rPr>
          <w:noProof/>
        </w:rPr>
      </w:pPr>
      <w:r w:rsidRPr="00021DA7">
        <w:rPr>
          <w:rFonts w:eastAsia="Times New Roman"/>
          <w:noProof/>
          <w:szCs w:val="24"/>
        </w:rPr>
        <w:t>Having</w:t>
      </w:r>
      <w:r w:rsidRPr="00021DA7">
        <w:rPr>
          <w:rFonts w:eastAsia="Times New Roman"/>
          <w:noProof/>
          <w:spacing w:val="-5"/>
          <w:szCs w:val="24"/>
        </w:rPr>
        <w:t xml:space="preserve"> </w:t>
      </w:r>
      <w:r w:rsidRPr="00021DA7">
        <w:rPr>
          <w:rFonts w:eastAsia="Times New Roman"/>
          <w:noProof/>
          <w:szCs w:val="24"/>
        </w:rPr>
        <w:t>regard</w:t>
      </w:r>
      <w:r w:rsidRPr="00021DA7">
        <w:rPr>
          <w:rFonts w:eastAsia="Times New Roman"/>
          <w:noProof/>
          <w:spacing w:val="-5"/>
          <w:szCs w:val="24"/>
        </w:rPr>
        <w:t xml:space="preserve"> </w:t>
      </w:r>
      <w:r w:rsidRPr="00021DA7">
        <w:rPr>
          <w:rFonts w:eastAsia="Times New Roman"/>
          <w:noProof/>
          <w:szCs w:val="24"/>
        </w:rPr>
        <w:t>to</w:t>
      </w:r>
      <w:r w:rsidRPr="00021DA7">
        <w:rPr>
          <w:rFonts w:eastAsia="Times New Roman"/>
          <w:noProof/>
          <w:spacing w:val="-5"/>
          <w:szCs w:val="24"/>
        </w:rPr>
        <w:t xml:space="preserve"> </w:t>
      </w:r>
      <w:r w:rsidRPr="00021DA7">
        <w:rPr>
          <w:rFonts w:eastAsia="Times New Roman"/>
          <w:noProof/>
          <w:szCs w:val="24"/>
        </w:rPr>
        <w:t>the</w:t>
      </w:r>
      <w:r w:rsidRPr="00021DA7">
        <w:rPr>
          <w:rFonts w:eastAsia="Times New Roman"/>
          <w:noProof/>
          <w:spacing w:val="-5"/>
          <w:szCs w:val="24"/>
        </w:rPr>
        <w:t xml:space="preserve"> </w:t>
      </w:r>
      <w:r w:rsidRPr="00021DA7">
        <w:rPr>
          <w:rFonts w:eastAsia="Times New Roman"/>
          <w:noProof/>
          <w:szCs w:val="24"/>
        </w:rPr>
        <w:t>proposal</w:t>
      </w:r>
      <w:r w:rsidRPr="00021DA7">
        <w:rPr>
          <w:rFonts w:eastAsia="Times New Roman"/>
          <w:noProof/>
          <w:spacing w:val="-5"/>
          <w:szCs w:val="24"/>
        </w:rPr>
        <w:t xml:space="preserve"> </w:t>
      </w:r>
      <w:r w:rsidRPr="00021DA7">
        <w:rPr>
          <w:rFonts w:eastAsia="Times New Roman"/>
          <w:noProof/>
          <w:szCs w:val="24"/>
        </w:rPr>
        <w:t>from</w:t>
      </w:r>
      <w:r w:rsidRPr="00021DA7">
        <w:rPr>
          <w:rFonts w:eastAsia="Times New Roman"/>
          <w:noProof/>
          <w:spacing w:val="-5"/>
          <w:szCs w:val="24"/>
        </w:rPr>
        <w:t xml:space="preserve"> </w:t>
      </w:r>
      <w:r w:rsidRPr="00021DA7">
        <w:rPr>
          <w:rFonts w:eastAsia="Times New Roman"/>
          <w:noProof/>
          <w:szCs w:val="24"/>
        </w:rPr>
        <w:t>the</w:t>
      </w:r>
      <w:r w:rsidRPr="00021DA7">
        <w:rPr>
          <w:rFonts w:eastAsia="Times New Roman"/>
          <w:noProof/>
          <w:spacing w:val="-5"/>
          <w:szCs w:val="24"/>
        </w:rPr>
        <w:t xml:space="preserve"> </w:t>
      </w:r>
      <w:r w:rsidRPr="00021DA7">
        <w:rPr>
          <w:rFonts w:eastAsia="Times New Roman"/>
          <w:noProof/>
          <w:szCs w:val="24"/>
        </w:rPr>
        <w:t>European</w:t>
      </w:r>
      <w:r w:rsidRPr="00021DA7">
        <w:rPr>
          <w:rFonts w:eastAsia="Times New Roman"/>
          <w:noProof/>
          <w:spacing w:val="-3"/>
          <w:szCs w:val="24"/>
        </w:rPr>
        <w:t xml:space="preserve"> </w:t>
      </w:r>
      <w:r w:rsidRPr="00021DA7">
        <w:rPr>
          <w:rFonts w:eastAsia="Times New Roman"/>
          <w:noProof/>
          <w:szCs w:val="24"/>
        </w:rPr>
        <w:t xml:space="preserve">Commission, </w:t>
      </w:r>
    </w:p>
    <w:p w:rsidR="001323E3" w:rsidRPr="00FD40BA" w:rsidRDefault="001323E3" w:rsidP="00197315">
      <w:pPr>
        <w:rPr>
          <w:noProof/>
        </w:rPr>
      </w:pPr>
      <w:r w:rsidRPr="00FD40BA">
        <w:rPr>
          <w:noProof/>
        </w:rPr>
        <w:t>Whereas:</w:t>
      </w:r>
    </w:p>
    <w:p w:rsidR="001323E3" w:rsidRDefault="001323E3" w:rsidP="007B4CC8">
      <w:pPr>
        <w:pStyle w:val="ManualConsidrant"/>
        <w:rPr>
          <w:noProof/>
        </w:rPr>
      </w:pPr>
      <w:r>
        <w:rPr>
          <w:noProof/>
        </w:rPr>
        <w:t>(1)</w:t>
      </w:r>
      <w:r>
        <w:rPr>
          <w:noProof/>
        </w:rPr>
        <w:tab/>
      </w:r>
      <w:r w:rsidRPr="000735CD">
        <w:rPr>
          <w:noProof/>
        </w:rPr>
        <w:t xml:space="preserve">The International Health Regulations (2005) entered into force </w:t>
      </w:r>
      <w:r>
        <w:rPr>
          <w:noProof/>
        </w:rPr>
        <w:t xml:space="preserve">in June </w:t>
      </w:r>
      <w:r w:rsidRPr="000735CD">
        <w:rPr>
          <w:noProof/>
        </w:rPr>
        <w:t>2007</w:t>
      </w:r>
      <w:r>
        <w:rPr>
          <w:noProof/>
        </w:rPr>
        <w:t>, while t</w:t>
      </w:r>
      <w:r w:rsidRPr="000735CD">
        <w:rPr>
          <w:noProof/>
        </w:rPr>
        <w:t>he amendments to the International Health Regulations (2005) adopted on 1 June</w:t>
      </w:r>
      <w:r>
        <w:rPr>
          <w:noProof/>
        </w:rPr>
        <w:t xml:space="preserve"> 2024 by the World Health Assembly entered into force on </w:t>
      </w:r>
      <w:r w:rsidRPr="000735CD">
        <w:rPr>
          <w:noProof/>
        </w:rPr>
        <w:t xml:space="preserve">19 September 2025, except </w:t>
      </w:r>
      <w:r w:rsidR="00720CB5">
        <w:rPr>
          <w:noProof/>
        </w:rPr>
        <w:t>for</w:t>
      </w:r>
      <w:r w:rsidRPr="000735CD">
        <w:rPr>
          <w:noProof/>
        </w:rPr>
        <w:t xml:space="preserve"> the States Parties that rejected </w:t>
      </w:r>
      <w:r w:rsidR="00720CB5">
        <w:rPr>
          <w:noProof/>
        </w:rPr>
        <w:t>those</w:t>
      </w:r>
      <w:r w:rsidRPr="000735CD">
        <w:rPr>
          <w:noProof/>
        </w:rPr>
        <w:t xml:space="preserve"> amendments</w:t>
      </w:r>
      <w:r>
        <w:rPr>
          <w:noProof/>
        </w:rPr>
        <w:t>.</w:t>
      </w:r>
    </w:p>
    <w:p w:rsidR="001323E3" w:rsidRDefault="001323E3" w:rsidP="001323E3">
      <w:pPr>
        <w:pStyle w:val="ManualConsidrant"/>
        <w:rPr>
          <w:noProof/>
        </w:rPr>
      </w:pPr>
      <w:r>
        <w:rPr>
          <w:noProof/>
        </w:rPr>
        <w:t>(2)</w:t>
      </w:r>
      <w:r>
        <w:rPr>
          <w:noProof/>
        </w:rPr>
        <w:tab/>
      </w:r>
      <w:r w:rsidRPr="0033165A">
        <w:rPr>
          <w:noProof/>
        </w:rPr>
        <w:t>The Union is not party to the International Health Regulations (2005), as only States can</w:t>
      </w:r>
      <w:r>
        <w:rPr>
          <w:noProof/>
        </w:rPr>
        <w:t xml:space="preserve"> </w:t>
      </w:r>
      <w:r w:rsidRPr="0033165A">
        <w:rPr>
          <w:noProof/>
        </w:rPr>
        <w:t>be</w:t>
      </w:r>
      <w:r>
        <w:rPr>
          <w:noProof/>
        </w:rPr>
        <w:t xml:space="preserve"> </w:t>
      </w:r>
      <w:r w:rsidRPr="0033165A">
        <w:rPr>
          <w:noProof/>
        </w:rPr>
        <w:t>Parties thereto. All Member States are parties to the International Health Regulations</w:t>
      </w:r>
      <w:r>
        <w:rPr>
          <w:noProof/>
        </w:rPr>
        <w:t xml:space="preserve"> </w:t>
      </w:r>
      <w:r w:rsidRPr="0033165A">
        <w:rPr>
          <w:noProof/>
        </w:rPr>
        <w:t>(2005).</w:t>
      </w:r>
    </w:p>
    <w:p w:rsidR="001323E3" w:rsidRPr="00021DA7" w:rsidRDefault="001323E3" w:rsidP="001323E3">
      <w:pPr>
        <w:pStyle w:val="ManualConsidrant"/>
        <w:rPr>
          <w:noProof/>
        </w:rPr>
      </w:pPr>
      <w:r>
        <w:rPr>
          <w:noProof/>
        </w:rPr>
        <w:t>(3)</w:t>
      </w:r>
      <w:r>
        <w:rPr>
          <w:noProof/>
        </w:rPr>
        <w:tab/>
        <w:t>Council Decision (EU) 2025/1129</w:t>
      </w:r>
      <w:r>
        <w:rPr>
          <w:rStyle w:val="FootnoteReference"/>
          <w:rFonts w:eastAsia="Times New Roman"/>
          <w:noProof/>
          <w:szCs w:val="24"/>
        </w:rPr>
        <w:footnoteReference w:id="5"/>
      </w:r>
      <w:r w:rsidR="00720CB5">
        <w:rPr>
          <w:noProof/>
        </w:rPr>
        <w:t xml:space="preserve"> invited</w:t>
      </w:r>
      <w:r>
        <w:rPr>
          <w:noProof/>
        </w:rPr>
        <w:t xml:space="preserve"> Member States to accept, in the interest of the Union, without reservations, the amendments to the International Health Regulations (2005) adopted on 1 June 2024, to the extent that the Union has adopted common rules regarding the matters addressed in those amendments. </w:t>
      </w:r>
    </w:p>
    <w:p w:rsidR="001323E3" w:rsidRPr="00021DA7" w:rsidRDefault="001323E3" w:rsidP="001323E3">
      <w:pPr>
        <w:pStyle w:val="ManualConsidrant"/>
        <w:rPr>
          <w:noProof/>
        </w:rPr>
      </w:pPr>
      <w:r>
        <w:rPr>
          <w:noProof/>
        </w:rPr>
        <w:t>(4)</w:t>
      </w:r>
      <w:r>
        <w:rPr>
          <w:noProof/>
        </w:rPr>
        <w:tab/>
        <w:t>T</w:t>
      </w:r>
      <w:r w:rsidRPr="00021DA7">
        <w:rPr>
          <w:noProof/>
        </w:rPr>
        <w:t>h</w:t>
      </w:r>
      <w:r w:rsidR="00720CB5">
        <w:rPr>
          <w:noProof/>
        </w:rPr>
        <w:t>ose amendments led, among others, to the establishment of th</w:t>
      </w:r>
      <w:r w:rsidRPr="00021DA7">
        <w:rPr>
          <w:noProof/>
        </w:rPr>
        <w:t>e</w:t>
      </w:r>
      <w:r w:rsidRPr="00E607BD">
        <w:rPr>
          <w:noProof/>
        </w:rPr>
        <w:t xml:space="preserve"> States Parties Committee for the Implementation of the International Health Regulations (2005)</w:t>
      </w:r>
      <w:r w:rsidR="00720CB5">
        <w:rPr>
          <w:noProof/>
        </w:rPr>
        <w:t>,</w:t>
      </w:r>
      <w:r>
        <w:rPr>
          <w:noProof/>
        </w:rPr>
        <w:t xml:space="preserve"> with the objective of facilitating the effective implementation of the Regulations</w:t>
      </w:r>
      <w:r w:rsidRPr="00021DA7">
        <w:rPr>
          <w:noProof/>
        </w:rPr>
        <w:t>.</w:t>
      </w:r>
    </w:p>
    <w:p w:rsidR="001323E3" w:rsidRPr="008C0F3E" w:rsidRDefault="001323E3" w:rsidP="001323E3">
      <w:pPr>
        <w:pStyle w:val="ManualConsidrant"/>
        <w:rPr>
          <w:noProof/>
        </w:rPr>
      </w:pPr>
      <w:r>
        <w:rPr>
          <w:noProof/>
        </w:rPr>
        <w:t>(5)</w:t>
      </w:r>
      <w:r>
        <w:rPr>
          <w:noProof/>
        </w:rPr>
        <w:tab/>
      </w:r>
      <w:r w:rsidRPr="008C0F3E">
        <w:rPr>
          <w:noProof/>
        </w:rPr>
        <w:t>The</w:t>
      </w:r>
      <w:r w:rsidRPr="008C0F3E">
        <w:rPr>
          <w:noProof/>
          <w:spacing w:val="71"/>
        </w:rPr>
        <w:t xml:space="preserve"> </w:t>
      </w:r>
      <w:r>
        <w:rPr>
          <w:noProof/>
        </w:rPr>
        <w:t xml:space="preserve">States Parties Committee for the Implementation of the International Health Regulations (2005) </w:t>
      </w:r>
      <w:r w:rsidR="00720CB5">
        <w:rPr>
          <w:noProof/>
        </w:rPr>
        <w:t xml:space="preserve">is scheduled to adopt </w:t>
      </w:r>
      <w:r>
        <w:rPr>
          <w:noProof/>
        </w:rPr>
        <w:t>at its first meeting</w:t>
      </w:r>
      <w:r w:rsidRPr="001F0708">
        <w:rPr>
          <w:noProof/>
        </w:rPr>
        <w:t xml:space="preserve"> </w:t>
      </w:r>
      <w:r>
        <w:rPr>
          <w:noProof/>
        </w:rPr>
        <w:t>its terms of reference</w:t>
      </w:r>
      <w:r w:rsidR="00F44524">
        <w:rPr>
          <w:noProof/>
        </w:rPr>
        <w:t xml:space="preserve"> </w:t>
      </w:r>
      <w:r w:rsidR="00720CB5">
        <w:rPr>
          <w:noProof/>
        </w:rPr>
        <w:t>and</w:t>
      </w:r>
      <w:r>
        <w:rPr>
          <w:noProof/>
        </w:rPr>
        <w:t xml:space="preserve"> the terms of reference for its Subcommittee.</w:t>
      </w:r>
    </w:p>
    <w:p w:rsidR="001323E3" w:rsidRPr="00A82264" w:rsidRDefault="001323E3" w:rsidP="001323E3">
      <w:pPr>
        <w:pStyle w:val="ManualConsidrant"/>
        <w:rPr>
          <w:noProof/>
        </w:rPr>
      </w:pPr>
      <w:r>
        <w:rPr>
          <w:noProof/>
        </w:rPr>
        <w:t>(6)</w:t>
      </w:r>
      <w:r>
        <w:rPr>
          <w:noProof/>
        </w:rPr>
        <w:tab/>
      </w:r>
      <w:r w:rsidRPr="00A82264">
        <w:rPr>
          <w:noProof/>
        </w:rPr>
        <w:t xml:space="preserve">The envisaged acts of the States Parties Committee for the Implementation of the International Health Regulations (2005) will, if adopted, produce legal effects for the Union, as they will determine whether regional economic integration organisations such as the Union can participate as observers to the States Parties Committee and to its Subcommittee. In addition, the </w:t>
      </w:r>
      <w:r w:rsidR="00BE1BD0">
        <w:rPr>
          <w:noProof/>
        </w:rPr>
        <w:t>envisaged acts will, if adopted, produce legal effects by determining the way in which future</w:t>
      </w:r>
      <w:r w:rsidRPr="00A82264">
        <w:rPr>
          <w:noProof/>
        </w:rPr>
        <w:t xml:space="preserve"> decisions</w:t>
      </w:r>
      <w:r w:rsidR="00BE1BD0">
        <w:rPr>
          <w:noProof/>
        </w:rPr>
        <w:t xml:space="preserve"> of the States Parties Committee for the Implementation of the International Health Regulations (2005) and its Subcommittee are taken. </w:t>
      </w:r>
      <w:r w:rsidR="00056E30">
        <w:rPr>
          <w:noProof/>
        </w:rPr>
        <w:t xml:space="preserve">Decisions and recommendations of the States Parties </w:t>
      </w:r>
      <w:r w:rsidR="00056E30">
        <w:rPr>
          <w:noProof/>
        </w:rPr>
        <w:lastRenderedPageBreak/>
        <w:t>Committee for the Implementation of the International Health Regulations (2005) and its Subcommittee concerning the application and interpretation of the International Health Regulations (2005), in particular of those amended provisions which were authorised pursuant to Council Decision (EU) 2025/1129</w:t>
      </w:r>
      <w:r w:rsidRPr="00A82264">
        <w:rPr>
          <w:noProof/>
        </w:rPr>
        <w:t>,</w:t>
      </w:r>
      <w:r w:rsidR="00056E30">
        <w:rPr>
          <w:noProof/>
        </w:rPr>
        <w:t xml:space="preserve"> are capable of decisively influencing</w:t>
      </w:r>
      <w:r w:rsidRPr="00A82264">
        <w:rPr>
          <w:noProof/>
        </w:rPr>
        <w:t xml:space="preserve"> the content of Union rules, </w:t>
      </w:r>
      <w:r w:rsidR="00056E30">
        <w:rPr>
          <w:noProof/>
        </w:rPr>
        <w:t xml:space="preserve">and </w:t>
      </w:r>
      <w:r w:rsidRPr="00A82264">
        <w:rPr>
          <w:noProof/>
        </w:rPr>
        <w:t>in particular Regulation (EU) 2022/2371</w:t>
      </w:r>
      <w:r w:rsidR="00056E30">
        <w:rPr>
          <w:noProof/>
        </w:rPr>
        <w:t xml:space="preserve"> </w:t>
      </w:r>
      <w:r w:rsidR="000D1476">
        <w:rPr>
          <w:noProof/>
        </w:rPr>
        <w:t>of the European Parliament and of the Council</w:t>
      </w:r>
      <w:r w:rsidR="000D1476">
        <w:rPr>
          <w:rStyle w:val="FootnoteReference"/>
          <w:noProof/>
        </w:rPr>
        <w:footnoteReference w:id="6"/>
      </w:r>
      <w:r w:rsidR="00C04C8C">
        <w:rPr>
          <w:noProof/>
        </w:rPr>
        <w:t xml:space="preserve">, which provides the framework and mechanisms at the level of the Union for coordinating and strengthening prevention, preparedness and response to serious cross-border threats to health of biological, </w:t>
      </w:r>
      <w:r w:rsidR="00C04C8C" w:rsidRPr="0015230F">
        <w:rPr>
          <w:noProof/>
        </w:rPr>
        <w:t>chemical</w:t>
      </w:r>
      <w:r w:rsidR="00E627A8" w:rsidRPr="0015230F">
        <w:rPr>
          <w:noProof/>
        </w:rPr>
        <w:t>,</w:t>
      </w:r>
      <w:r w:rsidR="00C04C8C">
        <w:rPr>
          <w:noProof/>
        </w:rPr>
        <w:t xml:space="preserve"> environmental and unknow</w:t>
      </w:r>
      <w:r w:rsidR="00E627A8" w:rsidRPr="0015230F">
        <w:rPr>
          <w:noProof/>
        </w:rPr>
        <w:t>n</w:t>
      </w:r>
      <w:r w:rsidR="00C04C8C">
        <w:rPr>
          <w:noProof/>
        </w:rPr>
        <w:t xml:space="preserve"> origin</w:t>
      </w:r>
      <w:r w:rsidRPr="00A82264">
        <w:rPr>
          <w:noProof/>
        </w:rPr>
        <w:t xml:space="preserve">. </w:t>
      </w:r>
    </w:p>
    <w:p w:rsidR="001323E3" w:rsidRPr="006C036C" w:rsidRDefault="001323E3" w:rsidP="001323E3">
      <w:pPr>
        <w:pStyle w:val="ManualConsidrant"/>
        <w:rPr>
          <w:noProof/>
          <w:lang w:eastAsia="fr-BE"/>
        </w:rPr>
      </w:pPr>
      <w:r>
        <w:rPr>
          <w:noProof/>
        </w:rPr>
        <w:t>(7)</w:t>
      </w:r>
      <w:r>
        <w:rPr>
          <w:noProof/>
        </w:rPr>
        <w:tab/>
      </w:r>
      <w:r w:rsidRPr="006C036C">
        <w:rPr>
          <w:noProof/>
        </w:rPr>
        <w:t xml:space="preserve">It is therefore appropriate to establish </w:t>
      </w:r>
      <w:r w:rsidRPr="006C036C">
        <w:rPr>
          <w:noProof/>
          <w:lang w:eastAsia="fr-BE"/>
        </w:rPr>
        <w:t xml:space="preserve">the position to be taken on the Union’s behalf </w:t>
      </w:r>
      <w:r w:rsidR="00BE1BD0">
        <w:rPr>
          <w:noProof/>
          <w:lang w:eastAsia="fr-BE"/>
        </w:rPr>
        <w:t>during</w:t>
      </w:r>
      <w:r w:rsidR="00BE1BD0" w:rsidRPr="006C036C">
        <w:rPr>
          <w:noProof/>
          <w:lang w:eastAsia="fr-BE"/>
        </w:rPr>
        <w:t xml:space="preserve"> </w:t>
      </w:r>
      <w:r w:rsidRPr="006C036C">
        <w:rPr>
          <w:noProof/>
          <w:lang w:eastAsia="fr-BE"/>
        </w:rPr>
        <w:t>the States Parties Committee for the Implementation of the International Health Regulations (2005) with regard to the terms of reference for the Committee and its Subcommittee</w:t>
      </w:r>
      <w:r>
        <w:rPr>
          <w:noProof/>
          <w:lang w:eastAsia="fr-BE"/>
        </w:rPr>
        <w:t>.</w:t>
      </w:r>
    </w:p>
    <w:p w:rsidR="001323E3" w:rsidRPr="00FD40BA" w:rsidRDefault="001323E3" w:rsidP="001323E3">
      <w:pPr>
        <w:pStyle w:val="ManualConsidrant"/>
        <w:rPr>
          <w:noProof/>
        </w:rPr>
      </w:pPr>
      <w:r>
        <w:rPr>
          <w:noProof/>
        </w:rPr>
        <w:t>(8)</w:t>
      </w:r>
      <w:r>
        <w:rPr>
          <w:noProof/>
        </w:rPr>
        <w:tab/>
      </w:r>
      <w:r w:rsidRPr="006C036C">
        <w:rPr>
          <w:noProof/>
        </w:rPr>
        <w:t xml:space="preserve">The Union's position is to be expressed by the Member States that are represented in the </w:t>
      </w:r>
      <w:r>
        <w:rPr>
          <w:noProof/>
        </w:rPr>
        <w:t>States Parties Committee for the Implementation of the International Health Regulations (2005)</w:t>
      </w:r>
      <w:r w:rsidRPr="006C036C">
        <w:rPr>
          <w:noProof/>
        </w:rPr>
        <w:t>, acting jointly, in the interest of the Union</w:t>
      </w:r>
      <w:r w:rsidR="00F44524">
        <w:rPr>
          <w:noProof/>
        </w:rPr>
        <w:t>,</w:t>
      </w:r>
    </w:p>
    <w:p w:rsidR="001323E3" w:rsidRPr="00FD40BA" w:rsidRDefault="001323E3" w:rsidP="00197315">
      <w:pPr>
        <w:pStyle w:val="Formuledadoption"/>
        <w:rPr>
          <w:noProof/>
        </w:rPr>
      </w:pPr>
      <w:r w:rsidRPr="00FD40BA">
        <w:rPr>
          <w:noProof/>
        </w:rPr>
        <w:t xml:space="preserve">HAS ADOPTED THIS DECISION: </w:t>
      </w:r>
    </w:p>
    <w:p w:rsidR="001323E3" w:rsidRPr="00FD40BA" w:rsidRDefault="001323E3" w:rsidP="00197315">
      <w:pPr>
        <w:pStyle w:val="Titrearticle"/>
        <w:rPr>
          <w:noProof/>
        </w:rPr>
      </w:pPr>
      <w:r w:rsidRPr="00FD40BA">
        <w:rPr>
          <w:noProof/>
        </w:rPr>
        <w:t>Article 1</w:t>
      </w:r>
    </w:p>
    <w:p w:rsidR="001323E3" w:rsidRPr="00140F61" w:rsidRDefault="001323E3" w:rsidP="001323E3">
      <w:pPr>
        <w:rPr>
          <w:noProof/>
        </w:rPr>
      </w:pPr>
      <w:r w:rsidRPr="00140F61">
        <w:rPr>
          <w:noProof/>
        </w:rPr>
        <w:t>The position to be taken on the Union's behalf in the first meeting of the States Parties Committee for the Implementation of the International Health Regulations (2005) shall be to support the adoption of the terms of reference for th</w:t>
      </w:r>
      <w:r w:rsidR="00BE1BD0">
        <w:rPr>
          <w:noProof/>
        </w:rPr>
        <w:t>at</w:t>
      </w:r>
      <w:r w:rsidRPr="00140F61">
        <w:rPr>
          <w:noProof/>
        </w:rPr>
        <w:t xml:space="preserve"> Committee and for its Subcommittee provided that the final text</w:t>
      </w:r>
      <w:r>
        <w:rPr>
          <w:noProof/>
        </w:rPr>
        <w:t>s</w:t>
      </w:r>
      <w:r w:rsidRPr="00140F61">
        <w:rPr>
          <w:noProof/>
        </w:rPr>
        <w:t xml:space="preserve"> fulfil the following conditions:</w:t>
      </w:r>
    </w:p>
    <w:p w:rsidR="001323E3" w:rsidRPr="00140F61" w:rsidRDefault="00FD1CBC" w:rsidP="00FD1CBC">
      <w:pPr>
        <w:pStyle w:val="Point0"/>
        <w:rPr>
          <w:noProof/>
        </w:rPr>
      </w:pPr>
      <w:r>
        <w:rPr>
          <w:noProof/>
        </w:rPr>
        <w:t>(a)</w:t>
      </w:r>
      <w:r>
        <w:rPr>
          <w:noProof/>
        </w:rPr>
        <w:tab/>
      </w:r>
      <w:r w:rsidR="00056E30">
        <w:rPr>
          <w:noProof/>
        </w:rPr>
        <w:t>they</w:t>
      </w:r>
      <w:r w:rsidR="001323E3" w:rsidRPr="00140F61">
        <w:rPr>
          <w:noProof/>
        </w:rPr>
        <w:t xml:space="preserve"> provide for the efficient, cost effective, transparent and orderly functioning and organisation of meetings of the Committee and its Subcommittee, </w:t>
      </w:r>
    </w:p>
    <w:p w:rsidR="00853E12" w:rsidRDefault="00FD1CBC" w:rsidP="00FD1CBC">
      <w:pPr>
        <w:pStyle w:val="Point0"/>
        <w:rPr>
          <w:rFonts w:eastAsia="Times New Roman"/>
          <w:noProof/>
          <w:szCs w:val="24"/>
        </w:rPr>
      </w:pPr>
      <w:r>
        <w:rPr>
          <w:noProof/>
        </w:rPr>
        <w:t>(b)</w:t>
      </w:r>
      <w:r>
        <w:rPr>
          <w:noProof/>
        </w:rPr>
        <w:tab/>
      </w:r>
      <w:r w:rsidR="00056E30">
        <w:rPr>
          <w:noProof/>
        </w:rPr>
        <w:t>they</w:t>
      </w:r>
      <w:r w:rsidR="001323E3" w:rsidRPr="00140F61">
        <w:rPr>
          <w:rFonts w:eastAsia="Times New Roman"/>
          <w:noProof/>
          <w:szCs w:val="24"/>
        </w:rPr>
        <w:t xml:space="preserve"> allow for the participation of the Union to the Committee and to its Subcommittee as an observer. </w:t>
      </w:r>
    </w:p>
    <w:p w:rsidR="00853E12" w:rsidRDefault="00853E12" w:rsidP="001323E3">
      <w:pPr>
        <w:pStyle w:val="Titrearticle"/>
        <w:keepNext w:val="0"/>
        <w:rPr>
          <w:noProof/>
        </w:rPr>
      </w:pPr>
      <w:bookmarkStart w:id="3" w:name="_Hlk126129799"/>
      <w:r w:rsidRPr="00FD40BA">
        <w:rPr>
          <w:noProof/>
        </w:rPr>
        <w:t xml:space="preserve">Article </w:t>
      </w:r>
      <w:r>
        <w:rPr>
          <w:noProof/>
        </w:rPr>
        <w:t>2</w:t>
      </w:r>
    </w:p>
    <w:bookmarkEnd w:id="3"/>
    <w:p w:rsidR="001323E3" w:rsidRPr="00FD40BA" w:rsidRDefault="00853E12" w:rsidP="00853E12">
      <w:pPr>
        <w:rPr>
          <w:noProof/>
        </w:rPr>
      </w:pPr>
      <w:r w:rsidRPr="00140F61">
        <w:rPr>
          <w:rFonts w:eastAsia="Times New Roman"/>
          <w:noProof/>
          <w:szCs w:val="24"/>
        </w:rPr>
        <w:t>The</w:t>
      </w:r>
      <w:r w:rsidRPr="00140F61">
        <w:rPr>
          <w:rFonts w:eastAsia="Times New Roman"/>
          <w:noProof/>
          <w:spacing w:val="20"/>
          <w:szCs w:val="24"/>
        </w:rPr>
        <w:t xml:space="preserve"> </w:t>
      </w:r>
      <w:r w:rsidRPr="00140F61">
        <w:rPr>
          <w:rFonts w:eastAsia="Times New Roman"/>
          <w:noProof/>
          <w:szCs w:val="24"/>
        </w:rPr>
        <w:t>position</w:t>
      </w:r>
      <w:r w:rsidRPr="00140F61">
        <w:rPr>
          <w:rFonts w:eastAsia="Times New Roman"/>
          <w:noProof/>
          <w:spacing w:val="21"/>
          <w:szCs w:val="24"/>
        </w:rPr>
        <w:t xml:space="preserve"> </w:t>
      </w:r>
      <w:r w:rsidRPr="00140F61">
        <w:rPr>
          <w:rFonts w:eastAsia="Times New Roman"/>
          <w:noProof/>
          <w:szCs w:val="24"/>
        </w:rPr>
        <w:t>set out</w:t>
      </w:r>
      <w:r w:rsidRPr="00140F61">
        <w:rPr>
          <w:rFonts w:eastAsia="Times New Roman"/>
          <w:noProof/>
          <w:spacing w:val="24"/>
          <w:szCs w:val="24"/>
        </w:rPr>
        <w:t xml:space="preserve"> </w:t>
      </w:r>
      <w:r w:rsidRPr="00140F61">
        <w:rPr>
          <w:rFonts w:eastAsia="Times New Roman"/>
          <w:noProof/>
          <w:szCs w:val="24"/>
        </w:rPr>
        <w:t>in</w:t>
      </w:r>
      <w:r w:rsidRPr="00140F61">
        <w:rPr>
          <w:rFonts w:eastAsia="Times New Roman"/>
          <w:noProof/>
          <w:spacing w:val="22"/>
          <w:szCs w:val="24"/>
        </w:rPr>
        <w:t xml:space="preserve"> </w:t>
      </w:r>
      <w:r w:rsidRPr="00140F61">
        <w:rPr>
          <w:rFonts w:eastAsia="Times New Roman"/>
          <w:noProof/>
          <w:szCs w:val="24"/>
        </w:rPr>
        <w:t>Article</w:t>
      </w:r>
      <w:r w:rsidRPr="00140F61">
        <w:rPr>
          <w:rFonts w:eastAsia="Times New Roman"/>
          <w:noProof/>
          <w:spacing w:val="21"/>
          <w:szCs w:val="24"/>
        </w:rPr>
        <w:t xml:space="preserve"> </w:t>
      </w:r>
      <w:r w:rsidRPr="00140F61">
        <w:rPr>
          <w:rFonts w:eastAsia="Times New Roman"/>
          <w:noProof/>
          <w:szCs w:val="24"/>
        </w:rPr>
        <w:t>1</w:t>
      </w:r>
      <w:r w:rsidRPr="00140F61">
        <w:rPr>
          <w:rFonts w:eastAsia="Times New Roman"/>
          <w:noProof/>
          <w:spacing w:val="21"/>
          <w:szCs w:val="24"/>
        </w:rPr>
        <w:t xml:space="preserve"> </w:t>
      </w:r>
      <w:r w:rsidRPr="00140F61">
        <w:rPr>
          <w:rFonts w:eastAsia="Times New Roman"/>
          <w:noProof/>
          <w:szCs w:val="24"/>
        </w:rPr>
        <w:t>shall</w:t>
      </w:r>
      <w:r w:rsidRPr="00140F61">
        <w:rPr>
          <w:rFonts w:eastAsia="Times New Roman"/>
          <w:noProof/>
          <w:spacing w:val="22"/>
          <w:szCs w:val="24"/>
        </w:rPr>
        <w:t xml:space="preserve"> </w:t>
      </w:r>
      <w:r w:rsidRPr="00140F61">
        <w:rPr>
          <w:rFonts w:eastAsia="Times New Roman"/>
          <w:noProof/>
          <w:szCs w:val="24"/>
        </w:rPr>
        <w:t>be</w:t>
      </w:r>
      <w:r w:rsidRPr="00140F61">
        <w:rPr>
          <w:rFonts w:eastAsia="Times New Roman"/>
          <w:noProof/>
          <w:spacing w:val="20"/>
          <w:szCs w:val="24"/>
        </w:rPr>
        <w:t xml:space="preserve"> </w:t>
      </w:r>
      <w:r w:rsidRPr="00140F61">
        <w:rPr>
          <w:rFonts w:eastAsia="Times New Roman"/>
          <w:noProof/>
          <w:szCs w:val="24"/>
        </w:rPr>
        <w:t>expressed</w:t>
      </w:r>
      <w:r w:rsidRPr="00140F61">
        <w:rPr>
          <w:rFonts w:eastAsia="Times New Roman"/>
          <w:noProof/>
          <w:spacing w:val="21"/>
          <w:szCs w:val="24"/>
        </w:rPr>
        <w:t xml:space="preserve"> </w:t>
      </w:r>
      <w:r w:rsidRPr="00140F61">
        <w:rPr>
          <w:rFonts w:eastAsia="Times New Roman"/>
          <w:noProof/>
          <w:szCs w:val="24"/>
        </w:rPr>
        <w:t>by</w:t>
      </w:r>
      <w:r w:rsidRPr="00140F61">
        <w:rPr>
          <w:rFonts w:eastAsia="Times New Roman"/>
          <w:noProof/>
          <w:spacing w:val="22"/>
          <w:szCs w:val="24"/>
        </w:rPr>
        <w:t xml:space="preserve"> </w:t>
      </w:r>
      <w:r w:rsidRPr="00140F61">
        <w:rPr>
          <w:rFonts w:eastAsia="Times New Roman"/>
          <w:noProof/>
          <w:szCs w:val="24"/>
        </w:rPr>
        <w:t>the</w:t>
      </w:r>
      <w:r w:rsidRPr="00140F61">
        <w:rPr>
          <w:rFonts w:eastAsia="Times New Roman"/>
          <w:noProof/>
          <w:spacing w:val="21"/>
          <w:szCs w:val="24"/>
        </w:rPr>
        <w:t xml:space="preserve"> </w:t>
      </w:r>
      <w:r w:rsidRPr="00140F61">
        <w:rPr>
          <w:rFonts w:eastAsia="Times New Roman"/>
          <w:noProof/>
          <w:szCs w:val="24"/>
        </w:rPr>
        <w:t>Member</w:t>
      </w:r>
      <w:r w:rsidRPr="00140F61">
        <w:rPr>
          <w:rFonts w:eastAsia="Times New Roman"/>
          <w:noProof/>
          <w:spacing w:val="23"/>
          <w:szCs w:val="24"/>
        </w:rPr>
        <w:t xml:space="preserve"> </w:t>
      </w:r>
      <w:r w:rsidRPr="00140F61">
        <w:rPr>
          <w:rFonts w:eastAsia="Times New Roman"/>
          <w:noProof/>
          <w:szCs w:val="24"/>
        </w:rPr>
        <w:t>States</w:t>
      </w:r>
      <w:r w:rsidRPr="00140F61">
        <w:rPr>
          <w:rFonts w:eastAsia="Times New Roman"/>
          <w:noProof/>
          <w:spacing w:val="25"/>
          <w:szCs w:val="24"/>
        </w:rPr>
        <w:t xml:space="preserve"> </w:t>
      </w:r>
      <w:r w:rsidRPr="00140F61">
        <w:rPr>
          <w:rFonts w:eastAsia="Times New Roman"/>
          <w:noProof/>
          <w:szCs w:val="24"/>
        </w:rPr>
        <w:t>that are represented in the States Parties Committee for the Implementation of the International Health Regulations (2005), acting jointly, in the interest of the Union.</w:t>
      </w:r>
    </w:p>
    <w:p w:rsidR="00853E12" w:rsidRDefault="001323E3" w:rsidP="00197315">
      <w:pPr>
        <w:pStyle w:val="Titrearticle"/>
        <w:keepNext w:val="0"/>
        <w:rPr>
          <w:noProof/>
        </w:rPr>
      </w:pPr>
      <w:r w:rsidRPr="00FD40BA">
        <w:rPr>
          <w:noProof/>
        </w:rPr>
        <w:t xml:space="preserve">Article </w:t>
      </w:r>
      <w:r w:rsidR="00853E12" w:rsidRPr="00853E12">
        <w:rPr>
          <w:noProof/>
        </w:rPr>
        <w:t>3</w:t>
      </w:r>
    </w:p>
    <w:p w:rsidR="00853E12" w:rsidRDefault="00853E12" w:rsidP="00853E12">
      <w:pPr>
        <w:rPr>
          <w:rFonts w:eastAsia="Times New Roman"/>
          <w:noProof/>
          <w:szCs w:val="24"/>
        </w:rPr>
      </w:pPr>
      <w:r w:rsidRPr="00D875FD">
        <w:rPr>
          <w:rFonts w:eastAsia="Times New Roman"/>
          <w:noProof/>
          <w:szCs w:val="24"/>
        </w:rPr>
        <w:t>Minor technical changes to the position set out in Article 1 may be agreed upon without a further decision of the Council.</w:t>
      </w:r>
    </w:p>
    <w:p w:rsidR="00853E12" w:rsidRDefault="00853E12" w:rsidP="001D2504">
      <w:pPr>
        <w:pStyle w:val="Titrearticle"/>
        <w:rPr>
          <w:noProof/>
        </w:rPr>
      </w:pPr>
      <w:r w:rsidRPr="00FD40BA">
        <w:rPr>
          <w:noProof/>
        </w:rPr>
        <w:lastRenderedPageBreak/>
        <w:t xml:space="preserve">Article </w:t>
      </w:r>
      <w:r>
        <w:rPr>
          <w:noProof/>
        </w:rPr>
        <w:t>4</w:t>
      </w:r>
    </w:p>
    <w:p w:rsidR="00853E12" w:rsidRPr="00853E12" w:rsidRDefault="00853E12" w:rsidP="001D2504">
      <w:pPr>
        <w:keepNext/>
        <w:keepLines/>
        <w:rPr>
          <w:noProof/>
        </w:rPr>
      </w:pPr>
      <w:r w:rsidRPr="00B22BFA">
        <w:rPr>
          <w:noProof/>
          <w:szCs w:val="24"/>
        </w:rPr>
        <w:t xml:space="preserve">This Decision </w:t>
      </w:r>
      <w:r>
        <w:rPr>
          <w:noProof/>
          <w:szCs w:val="24"/>
        </w:rPr>
        <w:t>is addressed to the Member States</w:t>
      </w:r>
      <w:r w:rsidRPr="00B22BFA">
        <w:rPr>
          <w:noProof/>
          <w:szCs w:val="24"/>
        </w:rPr>
        <w:t>.</w:t>
      </w:r>
    </w:p>
    <w:p w:rsidR="001323E3" w:rsidRDefault="00122ED2" w:rsidP="001D2504">
      <w:pPr>
        <w:pStyle w:val="Fait"/>
        <w:rPr>
          <w:noProof/>
        </w:rPr>
      </w:pPr>
      <w:r>
        <w:rPr>
          <w:noProof/>
        </w:rPr>
        <w:t>Done at Brussels,</w:t>
      </w:r>
    </w:p>
    <w:p w:rsidR="001323E3" w:rsidRDefault="001323E3" w:rsidP="001D2504">
      <w:pPr>
        <w:pStyle w:val="Institutionquisigne"/>
        <w:rPr>
          <w:noProof/>
        </w:rPr>
      </w:pPr>
      <w:r w:rsidRPr="001323E3">
        <w:rPr>
          <w:noProof/>
        </w:rPr>
        <w:tab/>
        <w:t>For the Council</w:t>
      </w:r>
    </w:p>
    <w:p w:rsidR="001323E3" w:rsidRPr="001323E3" w:rsidRDefault="001323E3" w:rsidP="001323E3">
      <w:pPr>
        <w:pStyle w:val="Personnequisigne"/>
        <w:rPr>
          <w:noProof/>
        </w:rPr>
      </w:pPr>
      <w:r w:rsidRPr="001323E3">
        <w:rPr>
          <w:noProof/>
        </w:rPr>
        <w:tab/>
        <w:t>The President</w:t>
      </w:r>
    </w:p>
    <w:sectPr w:rsidR="001323E3" w:rsidRPr="001323E3" w:rsidSect="00CA4AB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3E3" w:rsidRDefault="001323E3" w:rsidP="001323E3">
      <w:pPr>
        <w:spacing w:before="0" w:after="0"/>
      </w:pPr>
      <w:r>
        <w:separator/>
      </w:r>
    </w:p>
  </w:endnote>
  <w:endnote w:type="continuationSeparator" w:id="0">
    <w:p w:rsidR="001323E3" w:rsidRDefault="001323E3" w:rsidP="001323E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B5" w:rsidRPr="00CA4AB5" w:rsidRDefault="00CA4AB5" w:rsidP="00CA4AB5">
    <w:pPr>
      <w:pStyle w:val="Footer"/>
      <w:rPr>
        <w:rFonts w:ascii="Arial" w:hAnsi="Arial" w:cs="Arial"/>
        <w:b/>
        <w:sz w:val="48"/>
      </w:rPr>
    </w:pPr>
    <w:r w:rsidRPr="00CA4AB5">
      <w:rPr>
        <w:rFonts w:ascii="Arial" w:hAnsi="Arial" w:cs="Arial"/>
        <w:b/>
        <w:sz w:val="48"/>
      </w:rPr>
      <w:t>EN</w:t>
    </w:r>
    <w:r w:rsidRPr="00CA4AB5">
      <w:rPr>
        <w:rFonts w:ascii="Arial" w:hAnsi="Arial" w:cs="Arial"/>
        <w:b/>
        <w:sz w:val="48"/>
      </w:rPr>
      <w:tab/>
    </w:r>
    <w:r w:rsidRPr="00CA4AB5">
      <w:rPr>
        <w:rFonts w:ascii="Arial" w:hAnsi="Arial" w:cs="Arial"/>
        <w:b/>
        <w:sz w:val="48"/>
      </w:rPr>
      <w:tab/>
    </w:r>
    <w:r w:rsidRPr="00CA4AB5">
      <w:tab/>
    </w:r>
    <w:r w:rsidRPr="00CA4AB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B5" w:rsidRPr="00CA4AB5" w:rsidRDefault="00CA4AB5" w:rsidP="00CA4AB5">
    <w:pPr>
      <w:pStyle w:val="Footer"/>
      <w:rPr>
        <w:rFonts w:ascii="Arial" w:hAnsi="Arial" w:cs="Arial"/>
        <w:b/>
        <w:sz w:val="48"/>
      </w:rPr>
    </w:pPr>
    <w:r w:rsidRPr="00CA4AB5">
      <w:rPr>
        <w:rFonts w:ascii="Arial" w:hAnsi="Arial" w:cs="Arial"/>
        <w:b/>
        <w:sz w:val="48"/>
      </w:rPr>
      <w:t>EN</w:t>
    </w:r>
    <w:r w:rsidRPr="00CA4AB5">
      <w:rPr>
        <w:rFonts w:ascii="Arial" w:hAnsi="Arial" w:cs="Arial"/>
        <w:b/>
        <w:sz w:val="48"/>
      </w:rPr>
      <w:tab/>
    </w:r>
    <w:r w:rsidRPr="00CA4AB5">
      <w:rPr>
        <w:rFonts w:ascii="Arial" w:hAnsi="Arial" w:cs="Arial"/>
        <w:b/>
        <w:sz w:val="48"/>
      </w:rPr>
      <w:tab/>
    </w:r>
    <w:r w:rsidRPr="00CA4AB5">
      <w:tab/>
    </w:r>
    <w:r w:rsidRPr="00CA4AB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B5" w:rsidRDefault="00CA4A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B5" w:rsidRPr="00CA4AB5" w:rsidRDefault="00CA4AB5" w:rsidP="00CA4AB5">
    <w:pPr>
      <w:pStyle w:val="Footer"/>
      <w:rPr>
        <w:rFonts w:ascii="Arial" w:hAnsi="Arial" w:cs="Arial"/>
        <w:b/>
        <w:sz w:val="48"/>
      </w:rPr>
    </w:pPr>
    <w:r w:rsidRPr="00CA4AB5">
      <w:rPr>
        <w:rFonts w:ascii="Arial" w:hAnsi="Arial" w:cs="Arial"/>
        <w:b/>
        <w:sz w:val="48"/>
      </w:rPr>
      <w:t>EN</w:t>
    </w:r>
    <w:r w:rsidRPr="00CA4AB5">
      <w:rPr>
        <w:rFonts w:ascii="Arial" w:hAnsi="Arial" w:cs="Arial"/>
        <w:b/>
        <w:sz w:val="48"/>
      </w:rPr>
      <w:tab/>
    </w:r>
    <w:r>
      <w:fldChar w:fldCharType="begin"/>
    </w:r>
    <w:r>
      <w:instrText xml:space="preserve"> PAGE  \* MERGEFORMAT </w:instrText>
    </w:r>
    <w:r>
      <w:fldChar w:fldCharType="separate"/>
    </w:r>
    <w:r w:rsidR="001D2504">
      <w:rPr>
        <w:noProof/>
      </w:rPr>
      <w:t>7</w:t>
    </w:r>
    <w:r>
      <w:fldChar w:fldCharType="end"/>
    </w:r>
    <w:r>
      <w:tab/>
    </w:r>
    <w:r w:rsidRPr="00CA4AB5">
      <w:tab/>
    </w:r>
    <w:r w:rsidRPr="00CA4AB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B5" w:rsidRDefault="00CA4AB5" w:rsidP="00CA4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3E3" w:rsidRDefault="001323E3" w:rsidP="001323E3">
      <w:pPr>
        <w:spacing w:before="0" w:after="0"/>
      </w:pPr>
      <w:r>
        <w:separator/>
      </w:r>
    </w:p>
  </w:footnote>
  <w:footnote w:type="continuationSeparator" w:id="0">
    <w:p w:rsidR="001323E3" w:rsidRDefault="001323E3" w:rsidP="001323E3">
      <w:pPr>
        <w:spacing w:before="0" w:after="0"/>
      </w:pPr>
      <w:r>
        <w:continuationSeparator/>
      </w:r>
    </w:p>
  </w:footnote>
  <w:footnote w:id="1">
    <w:p w:rsidR="001323E3" w:rsidRPr="003B3AA8" w:rsidRDefault="001323E3" w:rsidP="001323E3">
      <w:pPr>
        <w:pStyle w:val="FootnoteText"/>
        <w:ind w:left="426" w:hanging="426"/>
      </w:pPr>
      <w:r>
        <w:rPr>
          <w:rStyle w:val="FootnoteReference"/>
        </w:rPr>
        <w:footnoteRef/>
      </w:r>
      <w:r>
        <w:tab/>
        <w:t>OJ L92, 21.3.2022, p. 1.</w:t>
      </w:r>
    </w:p>
  </w:footnote>
  <w:footnote w:id="2">
    <w:p w:rsidR="001323E3" w:rsidRPr="00930823" w:rsidRDefault="001323E3" w:rsidP="001323E3">
      <w:pPr>
        <w:pStyle w:val="FootnoteText"/>
        <w:ind w:left="426" w:hanging="426"/>
      </w:pPr>
      <w:r>
        <w:rPr>
          <w:rStyle w:val="FootnoteReference"/>
        </w:rPr>
        <w:footnoteRef/>
      </w:r>
      <w:r>
        <w:tab/>
      </w:r>
      <w:bookmarkStart w:id="1" w:name="_Hlk234251830"/>
      <w:r>
        <w:t>OJ L, 2025/1129, 4.6.2025.</w:t>
      </w:r>
      <w:bookmarkEnd w:id="1"/>
    </w:p>
  </w:footnote>
  <w:footnote w:id="3">
    <w:p w:rsidR="001323E3" w:rsidRPr="00572647" w:rsidRDefault="001323E3" w:rsidP="001323E3">
      <w:pPr>
        <w:pStyle w:val="FootnoteText"/>
        <w:ind w:left="426" w:hanging="426"/>
      </w:pPr>
      <w:r>
        <w:rPr>
          <w:rStyle w:val="FootnoteReference"/>
        </w:rPr>
        <w:footnoteRef/>
      </w:r>
      <w:r>
        <w:tab/>
        <w:t xml:space="preserve">It should be noted that the Commission had put forward in 2022 a proposal to amend Article 64 of the International Health Regulations (2005) to allow </w:t>
      </w:r>
      <w:bookmarkStart w:id="2" w:name="_Hlk234245666"/>
      <w:r>
        <w:t xml:space="preserve">regional economic integration organisation </w:t>
      </w:r>
      <w:bookmarkEnd w:id="2"/>
      <w:r>
        <w:t>to become parties. Such proposal did not meet the agreement of some EU Member States and was therefore not included in the package of proposed amendments to the International Health Regulations (2005) submitted by the Czech Republic to the W</w:t>
      </w:r>
      <w:r w:rsidR="007F43F7">
        <w:t>HO</w:t>
      </w:r>
      <w:r>
        <w:t xml:space="preserve"> on behalf of the U</w:t>
      </w:r>
      <w:r w:rsidR="007F43F7">
        <w:t>nion</w:t>
      </w:r>
      <w:r>
        <w:t xml:space="preserve"> and its Member States, on 30 September 2022. </w:t>
      </w:r>
    </w:p>
  </w:footnote>
  <w:footnote w:id="4">
    <w:p w:rsidR="001323E3" w:rsidRPr="00324976" w:rsidRDefault="001323E3" w:rsidP="001323E3">
      <w:pPr>
        <w:pStyle w:val="FootnoteText"/>
        <w:ind w:left="426" w:hanging="426"/>
      </w:pPr>
      <w:r>
        <w:rPr>
          <w:rStyle w:val="FootnoteReference"/>
        </w:rPr>
        <w:footnoteRef/>
      </w:r>
      <w:r>
        <w:tab/>
        <w:t>The Netherlands, the Czech Republic and Austria indicated that they were not in a position to finalise their domestic procedure for the acceptation of the amendments by the time of their entering into force.</w:t>
      </w:r>
    </w:p>
  </w:footnote>
  <w:footnote w:id="5">
    <w:p w:rsidR="001323E3" w:rsidRPr="000D16D6" w:rsidRDefault="001323E3" w:rsidP="001323E3">
      <w:pPr>
        <w:pStyle w:val="FootnoteText"/>
        <w:rPr>
          <w:lang w:val="en-IE"/>
        </w:rPr>
      </w:pPr>
      <w:r>
        <w:rPr>
          <w:rStyle w:val="FootnoteReference"/>
        </w:rPr>
        <w:footnoteRef/>
      </w:r>
      <w:r w:rsidR="00762297">
        <w:tab/>
      </w:r>
      <w:r w:rsidR="00720CB5" w:rsidRPr="00161C1E">
        <w:t>Council Decision (EU) 2025/1129 of 26 May 2025 inviting Member States to accept, in the interest of the European Union, the amendments to the International Health Regulations (2005) contained in the Annex to Resolution WHA77.17 and adopted on 1 June 2024</w:t>
      </w:r>
      <w:r w:rsidR="00720CB5">
        <w:t xml:space="preserve"> (</w:t>
      </w:r>
      <w:r>
        <w:t>OJ L, 2025/1129, 4.6.2025</w:t>
      </w:r>
      <w:r w:rsidR="00720CB5">
        <w:t xml:space="preserve">, </w:t>
      </w:r>
      <w:r w:rsidR="00720CB5" w:rsidRPr="00666A47">
        <w:t>ELI: </w:t>
      </w:r>
      <w:hyperlink r:id="rId1" w:tooltip="Gives access to this document through its ELI URI." w:history="1">
        <w:r w:rsidR="00720CB5" w:rsidRPr="00666A47">
          <w:rPr>
            <w:rStyle w:val="Hyperlink"/>
          </w:rPr>
          <w:t>http://data.europa.eu/eli/dec/2025/1129/oj</w:t>
        </w:r>
      </w:hyperlink>
      <w:r w:rsidR="00720CB5">
        <w:t>)</w:t>
      </w:r>
      <w:r>
        <w:t>.</w:t>
      </w:r>
    </w:p>
  </w:footnote>
  <w:footnote w:id="6">
    <w:p w:rsidR="000D1476" w:rsidRPr="00E23094" w:rsidRDefault="000D1476">
      <w:pPr>
        <w:pStyle w:val="FootnoteText"/>
        <w:rPr>
          <w:lang w:val="en-IE"/>
        </w:rPr>
      </w:pPr>
      <w:r>
        <w:rPr>
          <w:rStyle w:val="FootnoteReference"/>
        </w:rPr>
        <w:footnoteRef/>
      </w:r>
      <w:r>
        <w:tab/>
      </w:r>
      <w:r w:rsidRPr="00107068">
        <w:rPr>
          <w:lang w:val="en-US"/>
        </w:rPr>
        <w:t>Regulation (EU) 2022/2371 of the European Parliament and of the Council of 23 November 2022 on serious cross-border threats to health and repealing Decision No 1082/2013/EU</w:t>
      </w:r>
      <w:r>
        <w:rPr>
          <w:lang w:val="en-US"/>
        </w:rPr>
        <w:t xml:space="preserve"> (</w:t>
      </w:r>
      <w:r w:rsidRPr="0005530D">
        <w:rPr>
          <w:lang w:val="en-US"/>
        </w:rPr>
        <w:t>OJ L 314, 6.12.2022, p. 26</w:t>
      </w:r>
      <w:r>
        <w:rPr>
          <w:lang w:val="en-US"/>
        </w:rPr>
        <w:t xml:space="preserve">, </w:t>
      </w:r>
      <w:r w:rsidRPr="0005530D">
        <w:t>ELI: </w:t>
      </w:r>
      <w:hyperlink r:id="rId2" w:tooltip="Gives access to this document through its ELI URI." w:history="1">
        <w:r w:rsidRPr="0005530D">
          <w:rPr>
            <w:rStyle w:val="Hyperlink"/>
          </w:rPr>
          <w:t>http://data.europa.eu/eli/reg/2022/2371/oj</w:t>
        </w:r>
      </w:hyperlink>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B5" w:rsidRDefault="00CA4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AB5" w:rsidRDefault="00CA4A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3682E00"/>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D8E8E64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14CAD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6CC6436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17:15: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24CCA29-3347-4BE0-92F3-8985B2A9578D"/>
    <w:docVar w:name="LW_COVERPAGE_TYPE" w:val="1"/>
    <w:docVar w:name="LW_CreatedUtc" w:val="2026-07-08T06:42:23.9510006Z"/>
    <w:docVar w:name="LW_CROSSREFERENCE" w:val="&lt;UNUSED&gt;"/>
    <w:docVar w:name="LW_DocType" w:val="COM"/>
    <w:docVar w:name="LW_EMISSION" w:val="20.7.2026"/>
    <w:docVar w:name="LW_EMISSION_ISODATE" w:val="2026-07-20"/>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26"/>
    <w:docVar w:name="LW_REF.II.NEW.CP_YEAR" w:val="2026"/>
    <w:docVar w:name="LW_REF.INST.NEW" w:val="COM"/>
    <w:docVar w:name="LW_REF.INST.NEW_ADOPTED" w:val="final"/>
    <w:docVar w:name="LW_REF.INST.NEW_TEXT" w:val="(2026) 4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first meeting of the States Parties Committee for the Implementation of the International Health Regulations (2005)"/>
    <w:docVar w:name="LW_TYPE.DOC.CP" w:val="COUNCIL DECISION"/>
    <w:docVar w:name="LwApiVersions" w:val="LW4CoDe 1.24.5.0; LW 9.2, Build 20251112"/>
  </w:docVars>
  <w:rsids>
    <w:rsidRoot w:val="001323E3"/>
    <w:rsid w:val="00056E30"/>
    <w:rsid w:val="000765AF"/>
    <w:rsid w:val="000865EA"/>
    <w:rsid w:val="000B27A1"/>
    <w:rsid w:val="000D1476"/>
    <w:rsid w:val="000F1CB6"/>
    <w:rsid w:val="001065F5"/>
    <w:rsid w:val="00122ED2"/>
    <w:rsid w:val="001238EF"/>
    <w:rsid w:val="001323E3"/>
    <w:rsid w:val="001369A9"/>
    <w:rsid w:val="0015230F"/>
    <w:rsid w:val="00197613"/>
    <w:rsid w:val="001D2504"/>
    <w:rsid w:val="00233DC7"/>
    <w:rsid w:val="00247779"/>
    <w:rsid w:val="00285BEE"/>
    <w:rsid w:val="0029533F"/>
    <w:rsid w:val="002A35FC"/>
    <w:rsid w:val="002B30AF"/>
    <w:rsid w:val="0033344A"/>
    <w:rsid w:val="00363AC8"/>
    <w:rsid w:val="00403693"/>
    <w:rsid w:val="00406AA1"/>
    <w:rsid w:val="0042648E"/>
    <w:rsid w:val="004361EE"/>
    <w:rsid w:val="00475BAF"/>
    <w:rsid w:val="00485784"/>
    <w:rsid w:val="004936D2"/>
    <w:rsid w:val="0059475F"/>
    <w:rsid w:val="005B1EB6"/>
    <w:rsid w:val="005D1F90"/>
    <w:rsid w:val="00617576"/>
    <w:rsid w:val="006732CF"/>
    <w:rsid w:val="006F7EF3"/>
    <w:rsid w:val="00720CB5"/>
    <w:rsid w:val="00745FEF"/>
    <w:rsid w:val="00762297"/>
    <w:rsid w:val="0076520B"/>
    <w:rsid w:val="00773331"/>
    <w:rsid w:val="007932EF"/>
    <w:rsid w:val="007B4CC8"/>
    <w:rsid w:val="007E05B0"/>
    <w:rsid w:val="007F43F7"/>
    <w:rsid w:val="00853E12"/>
    <w:rsid w:val="00874D22"/>
    <w:rsid w:val="008A2914"/>
    <w:rsid w:val="008E4D8E"/>
    <w:rsid w:val="00915498"/>
    <w:rsid w:val="0096601D"/>
    <w:rsid w:val="0099552A"/>
    <w:rsid w:val="00A16E71"/>
    <w:rsid w:val="00BE1BD0"/>
    <w:rsid w:val="00C00018"/>
    <w:rsid w:val="00C04C8C"/>
    <w:rsid w:val="00C12301"/>
    <w:rsid w:val="00C169E8"/>
    <w:rsid w:val="00C56137"/>
    <w:rsid w:val="00C759C0"/>
    <w:rsid w:val="00CA4AB5"/>
    <w:rsid w:val="00CD104D"/>
    <w:rsid w:val="00CD3D3F"/>
    <w:rsid w:val="00D13AA2"/>
    <w:rsid w:val="00D20381"/>
    <w:rsid w:val="00D50BC1"/>
    <w:rsid w:val="00D66BC9"/>
    <w:rsid w:val="00D952DF"/>
    <w:rsid w:val="00DB18C5"/>
    <w:rsid w:val="00DE0CF0"/>
    <w:rsid w:val="00DF011E"/>
    <w:rsid w:val="00E23094"/>
    <w:rsid w:val="00E627A8"/>
    <w:rsid w:val="00E664ED"/>
    <w:rsid w:val="00EC138B"/>
    <w:rsid w:val="00F44524"/>
    <w:rsid w:val="00FC38F8"/>
    <w:rsid w:val="00FD1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4577"/>
    <o:shapelayout v:ext="edit">
      <o:idmap v:ext="edit" data="1"/>
    </o:shapelayout>
  </w:shapeDefaults>
  <w:decimalSymbol w:val=","/>
  <w:listSeparator w:val=";"/>
  <w15:docId w15:val="{26439319-3538-458F-860F-5D4CF828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3E3"/>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CommentReference">
    <w:name w:val="annotation reference"/>
    <w:basedOn w:val="DefaultParagraphFont"/>
    <w:uiPriority w:val="99"/>
    <w:semiHidden/>
    <w:unhideWhenUsed/>
    <w:rsid w:val="00122ED2"/>
    <w:rPr>
      <w:sz w:val="16"/>
      <w:szCs w:val="16"/>
    </w:rPr>
  </w:style>
  <w:style w:type="paragraph" w:styleId="CommentText">
    <w:name w:val="annotation text"/>
    <w:basedOn w:val="Normal"/>
    <w:link w:val="CommentTextChar"/>
    <w:uiPriority w:val="99"/>
    <w:unhideWhenUsed/>
    <w:rsid w:val="00122ED2"/>
    <w:rPr>
      <w:sz w:val="20"/>
      <w:szCs w:val="20"/>
    </w:rPr>
  </w:style>
  <w:style w:type="character" w:customStyle="1" w:styleId="CommentTextChar">
    <w:name w:val="Comment Text Char"/>
    <w:basedOn w:val="DefaultParagraphFont"/>
    <w:link w:val="CommentText"/>
    <w:uiPriority w:val="99"/>
    <w:rsid w:val="00122ED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22ED2"/>
    <w:rPr>
      <w:b/>
      <w:bCs/>
    </w:rPr>
  </w:style>
  <w:style w:type="character" w:customStyle="1" w:styleId="CommentSubjectChar">
    <w:name w:val="Comment Subject Char"/>
    <w:basedOn w:val="CommentTextChar"/>
    <w:link w:val="CommentSubject"/>
    <w:uiPriority w:val="99"/>
    <w:semiHidden/>
    <w:rsid w:val="00122ED2"/>
    <w:rPr>
      <w:rFonts w:ascii="Times New Roman" w:hAnsi="Times New Roman" w:cs="Times New Roman"/>
      <w:b/>
      <w:bCs/>
      <w:sz w:val="20"/>
      <w:szCs w:val="20"/>
      <w:lang w:val="en-GB"/>
    </w:rPr>
  </w:style>
  <w:style w:type="character" w:styleId="Hyperlink">
    <w:name w:val="Hyperlink"/>
    <w:basedOn w:val="DefaultParagraphFont"/>
    <w:uiPriority w:val="99"/>
    <w:unhideWhenUsed/>
    <w:rsid w:val="00122ED2"/>
    <w:rPr>
      <w:color w:val="0000FF" w:themeColor="hyperlink"/>
      <w:u w:val="single"/>
    </w:rPr>
  </w:style>
  <w:style w:type="character" w:customStyle="1" w:styleId="UnresolvedMention">
    <w:name w:val="Unresolved Mention"/>
    <w:basedOn w:val="DefaultParagraphFont"/>
    <w:uiPriority w:val="99"/>
    <w:semiHidden/>
    <w:unhideWhenUsed/>
    <w:rsid w:val="00122ED2"/>
    <w:rPr>
      <w:color w:val="605E5C"/>
      <w:shd w:val="clear" w:color="auto" w:fill="E1DFDD"/>
    </w:rPr>
  </w:style>
  <w:style w:type="paragraph" w:styleId="Revision">
    <w:name w:val="Revision"/>
    <w:hidden/>
    <w:uiPriority w:val="99"/>
    <w:semiHidden/>
    <w:rsid w:val="00363AC8"/>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FD1CBC"/>
    <w:pPr>
      <w:numPr>
        <w:numId w:val="2"/>
      </w:numPr>
      <w:contextualSpacing/>
    </w:pPr>
  </w:style>
  <w:style w:type="paragraph" w:styleId="ListBullet2">
    <w:name w:val="List Bullet 2"/>
    <w:basedOn w:val="Normal"/>
    <w:uiPriority w:val="99"/>
    <w:semiHidden/>
    <w:unhideWhenUsed/>
    <w:rsid w:val="00FD1CBC"/>
    <w:pPr>
      <w:numPr>
        <w:numId w:val="3"/>
      </w:numPr>
      <w:contextualSpacing/>
    </w:pPr>
  </w:style>
  <w:style w:type="paragraph" w:styleId="ListBullet3">
    <w:name w:val="List Bullet 3"/>
    <w:basedOn w:val="Normal"/>
    <w:uiPriority w:val="99"/>
    <w:semiHidden/>
    <w:unhideWhenUsed/>
    <w:rsid w:val="00FD1CBC"/>
    <w:pPr>
      <w:numPr>
        <w:numId w:val="4"/>
      </w:numPr>
      <w:contextualSpacing/>
    </w:pPr>
  </w:style>
  <w:style w:type="paragraph" w:styleId="ListBullet4">
    <w:name w:val="List Bullet 4"/>
    <w:basedOn w:val="Normal"/>
    <w:uiPriority w:val="99"/>
    <w:semiHidden/>
    <w:unhideWhenUsed/>
    <w:rsid w:val="00FD1CBC"/>
    <w:pPr>
      <w:numPr>
        <w:numId w:val="5"/>
      </w:numPr>
      <w:contextualSpacing/>
    </w:pPr>
  </w:style>
  <w:style w:type="character" w:customStyle="1" w:styleId="HeaderChar">
    <w:name w:val="Header Char"/>
    <w:basedOn w:val="DefaultParagraphFont"/>
    <w:link w:val="Header"/>
    <w:uiPriority w:val="99"/>
    <w:rsid w:val="00CA4AB5"/>
    <w:rPr>
      <w:rFonts w:ascii="Times New Roman" w:hAnsi="Times New Roman" w:cs="Times New Roman"/>
      <w:sz w:val="24"/>
      <w:lang w:val="en-GB"/>
    </w:rPr>
  </w:style>
  <w:style w:type="character" w:customStyle="1" w:styleId="FooterChar">
    <w:name w:val="Footer Char"/>
    <w:basedOn w:val="DefaultParagraphFont"/>
    <w:link w:val="Footer"/>
    <w:uiPriority w:val="99"/>
    <w:rsid w:val="00CA4AB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A4AB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A4AB5"/>
    <w:pPr>
      <w:spacing w:before="0"/>
      <w:jc w:val="right"/>
    </w:pPr>
    <w:rPr>
      <w:sz w:val="28"/>
    </w:rPr>
  </w:style>
  <w:style w:type="paragraph" w:customStyle="1" w:styleId="FooterSensitivity">
    <w:name w:val="Footer Sensitivity"/>
    <w:basedOn w:val="Normal"/>
    <w:rsid w:val="00CA4AB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A4AB5"/>
    <w:pPr>
      <w:tabs>
        <w:tab w:val="center" w:pos="4535"/>
        <w:tab w:val="right" w:pos="9071"/>
      </w:tabs>
      <w:spacing w:before="0"/>
    </w:pPr>
  </w:style>
  <w:style w:type="paragraph" w:customStyle="1" w:styleId="HeaderLandscape">
    <w:name w:val="HeaderLandscape"/>
    <w:basedOn w:val="Normal"/>
    <w:rsid w:val="00CA4AB5"/>
    <w:pPr>
      <w:tabs>
        <w:tab w:val="center" w:pos="7285"/>
        <w:tab w:val="right" w:pos="14003"/>
      </w:tabs>
      <w:spacing w:before="0"/>
    </w:pPr>
  </w:style>
  <w:style w:type="paragraph" w:styleId="Footer">
    <w:name w:val="footer"/>
    <w:basedOn w:val="Normal"/>
    <w:link w:val="FooterChar"/>
    <w:uiPriority w:val="99"/>
    <w:unhideWhenUsed/>
    <w:rsid w:val="00CA4AB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A4AB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2/2371/oj" TargetMode="External"/><Relationship Id="rId1" Type="http://schemas.openxmlformats.org/officeDocument/2006/relationships/hyperlink" Target="http://data.europa.eu/eli/dec/2025/11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8A7F4-C38A-442E-81D4-F2F7C2209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8</Pages>
  <Words>2222</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2026-07-16T13:39:00Z</dcterms:created>
  <dcterms:modified xsi:type="dcterms:W3CDTF">2026-07-20T15:15:00Z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2026-07-08T06:59:01Z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ed8beb7a-59b9-423a-a767-34cd781e59ae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