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FB1" w:rsidRDefault="00FB1D2F" w:rsidP="00FB1D2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85CF7A5-924A-4693-922D-0E395B2ECD01" style="width:455.25pt;height:342.75pt">
            <v:imagedata r:id="rId12" o:title=""/>
          </v:shape>
        </w:pict>
      </w:r>
    </w:p>
    <w:p w:rsidR="00AE2FB1" w:rsidRDefault="00AE2FB1" w:rsidP="00AE2FB1">
      <w:pPr>
        <w:rPr>
          <w:noProof/>
        </w:rPr>
        <w:sectPr w:rsidR="00AE2FB1" w:rsidSect="00FB1D2F">
          <w:footerReference w:type="even" r:id="rId13"/>
          <w:footerReference w:type="default" r:id="rId14"/>
          <w:pgSz w:w="11907" w:h="16839"/>
          <w:pgMar w:top="1134" w:right="1417" w:bottom="1134" w:left="1417" w:header="709" w:footer="709" w:gutter="0"/>
          <w:pgNumType w:start="0"/>
          <w:cols w:space="720"/>
          <w:docGrid w:linePitch="360"/>
        </w:sectPr>
      </w:pPr>
    </w:p>
    <w:p w:rsidR="00AE2FB1" w:rsidRDefault="00AE2FB1" w:rsidP="00974B16">
      <w:pPr>
        <w:pStyle w:val="Exposdesmotifstitre"/>
        <w:rPr>
          <w:noProof/>
        </w:rPr>
      </w:pPr>
      <w:bookmarkStart w:id="0" w:name="_GoBack"/>
      <w:bookmarkEnd w:id="0"/>
      <w:r w:rsidRPr="006F770D">
        <w:rPr>
          <w:noProof/>
        </w:rPr>
        <w:lastRenderedPageBreak/>
        <w:t>EXPLANATORY MEMORANDUM</w:t>
      </w:r>
    </w:p>
    <w:p w:rsidR="00AE2FB1" w:rsidRPr="00E34F04" w:rsidRDefault="00AE2FB1" w:rsidP="0001643A">
      <w:pPr>
        <w:pStyle w:val="ManualHeading1"/>
        <w:rPr>
          <w:rFonts w:eastAsia="Arial Unicode MS"/>
          <w:noProof/>
        </w:rPr>
      </w:pPr>
      <w:r>
        <w:rPr>
          <w:noProof/>
        </w:rPr>
        <w:t>1.</w:t>
      </w:r>
      <w:r>
        <w:rPr>
          <w:noProof/>
        </w:rPr>
        <w:tab/>
      </w:r>
      <w:r w:rsidRPr="00E34F04">
        <w:rPr>
          <w:rFonts w:eastAsia="Arial Unicode MS"/>
          <w:noProof/>
        </w:rPr>
        <w:t>Subject matter of the proposal</w:t>
      </w:r>
    </w:p>
    <w:p w:rsidR="00AE2FB1" w:rsidRPr="00E34F04" w:rsidRDefault="00AE2FB1" w:rsidP="00974B16">
      <w:pPr>
        <w:rPr>
          <w:rFonts w:eastAsia="Arial Unicode MS"/>
          <w:noProof/>
        </w:rPr>
      </w:pPr>
      <w:r>
        <w:rPr>
          <w:rFonts w:eastAsia="Arial Unicode MS"/>
          <w:noProof/>
          <w:color w:val="000000" w:themeColor="text1"/>
        </w:rPr>
        <w:t xml:space="preserve">This proposal concerns the decision establishing the position to be taken on the Union's behalf in the </w:t>
      </w:r>
      <w:r>
        <w:rPr>
          <w:noProof/>
        </w:rPr>
        <w:t xml:space="preserve">General Assembly of the OIV on </w:t>
      </w:r>
      <w:r w:rsidR="0010129A">
        <w:rPr>
          <w:noProof/>
        </w:rPr>
        <w:t>16 October 2026</w:t>
      </w:r>
      <w:r>
        <w:rPr>
          <w:noProof/>
        </w:rPr>
        <w:t xml:space="preserve"> </w:t>
      </w:r>
      <w:r w:rsidR="009E3508">
        <w:rPr>
          <w:rFonts w:eastAsia="Arial Unicode MS"/>
          <w:noProof/>
          <w:color w:val="000000" w:themeColor="text1"/>
        </w:rPr>
        <w:t>concerning</w:t>
      </w:r>
      <w:r>
        <w:rPr>
          <w:rFonts w:eastAsia="Arial Unicode MS"/>
          <w:noProof/>
          <w:color w:val="000000" w:themeColor="text1"/>
        </w:rPr>
        <w:t xml:space="preserve"> the envisaged adoption of </w:t>
      </w:r>
      <w:r>
        <w:rPr>
          <w:noProof/>
        </w:rPr>
        <w:t>OIV resolutions that may produce legal effects on Union law.</w:t>
      </w:r>
    </w:p>
    <w:p w:rsidR="00AE2FB1" w:rsidRPr="00E34F04" w:rsidRDefault="00AE2FB1" w:rsidP="00974B16">
      <w:pPr>
        <w:pStyle w:val="ManualHeading1"/>
        <w:rPr>
          <w:noProof/>
        </w:rPr>
      </w:pPr>
      <w:r>
        <w:rPr>
          <w:noProof/>
        </w:rPr>
        <w:t>2.</w:t>
      </w:r>
      <w:r>
        <w:rPr>
          <w:noProof/>
        </w:rPr>
        <w:tab/>
      </w:r>
      <w:r w:rsidRPr="00E34F04">
        <w:rPr>
          <w:noProof/>
        </w:rPr>
        <w:t>Context of the proposal</w:t>
      </w:r>
    </w:p>
    <w:p w:rsidR="00AE2FB1" w:rsidRPr="00E34F04" w:rsidRDefault="00AE2FB1" w:rsidP="00974B16">
      <w:pPr>
        <w:pStyle w:val="ManualHeading2"/>
        <w:rPr>
          <w:noProof/>
        </w:rPr>
      </w:pPr>
      <w:r>
        <w:rPr>
          <w:noProof/>
        </w:rPr>
        <w:t>2.1.</w:t>
      </w:r>
      <w:r>
        <w:rPr>
          <w:noProof/>
        </w:rPr>
        <w:tab/>
        <w:t>Particular status of the EU within OIV</w:t>
      </w:r>
    </w:p>
    <w:p w:rsidR="00AE2FB1" w:rsidRPr="00E34F04" w:rsidRDefault="00AE2FB1" w:rsidP="00974B16">
      <w:pPr>
        <w:rPr>
          <w:rFonts w:eastAsia="Arial Unicode MS"/>
          <w:noProof/>
        </w:rPr>
      </w:pPr>
      <w:r>
        <w:rPr>
          <w:noProof/>
          <w:szCs w:val="24"/>
        </w:rPr>
        <w:t xml:space="preserve">Currently </w:t>
      </w:r>
      <w:r w:rsidR="00BD2F5B">
        <w:rPr>
          <w:noProof/>
          <w:szCs w:val="24"/>
        </w:rPr>
        <w:t>50</w:t>
      </w:r>
      <w:r>
        <w:rPr>
          <w:noProof/>
          <w:szCs w:val="24"/>
        </w:rPr>
        <w:t xml:space="preserve"> States are members of the OIV, among which 20 are Member States of the Union. The EU is not a member of the OIV. However, since 20 October 2017, the OIV has granted to the Union </w:t>
      </w:r>
      <w:r>
        <w:rPr>
          <w:rFonts w:eastAsia="Times New Roman"/>
          <w:noProof/>
          <w:color w:val="000000" w:themeColor="text1"/>
          <w:szCs w:val="24"/>
          <w:lang w:eastAsia="en-GB"/>
        </w:rPr>
        <w:t xml:space="preserve">the particular status provided for in Article 4 of the Rules of Procedure of the OIV, </w:t>
      </w:r>
      <w:r>
        <w:rPr>
          <w:rFonts w:eastAsia="Times New Roman"/>
          <w:noProof/>
          <w:szCs w:val="24"/>
          <w:lang w:eastAsia="en-GB"/>
        </w:rPr>
        <w:t>enabling it to intervene in the works of the Commissions, Sub-Commissions and groups of experts and attend the meetings of the General Assembly and the Executive Committee.</w:t>
      </w:r>
    </w:p>
    <w:p w:rsidR="00AE2FB1" w:rsidRPr="00E34F04" w:rsidRDefault="00AE2FB1" w:rsidP="00974B16">
      <w:pPr>
        <w:pStyle w:val="ManualHeading2"/>
        <w:rPr>
          <w:noProof/>
        </w:rPr>
      </w:pPr>
      <w:r>
        <w:rPr>
          <w:noProof/>
        </w:rPr>
        <w:t>2.2.</w:t>
      </w:r>
      <w:r>
        <w:rPr>
          <w:noProof/>
        </w:rPr>
        <w:tab/>
      </w:r>
      <w:r w:rsidRPr="00E34F04">
        <w:rPr>
          <w:noProof/>
        </w:rPr>
        <w:t>The</w:t>
      </w:r>
      <w:r>
        <w:rPr>
          <w:noProof/>
        </w:rPr>
        <w:t xml:space="preserve"> OIV</w:t>
      </w:r>
    </w:p>
    <w:p w:rsidR="00AE2FB1" w:rsidRPr="00E34F04" w:rsidRDefault="00AE2FB1" w:rsidP="00974B16">
      <w:pPr>
        <w:rPr>
          <w:rFonts w:eastAsia="Arial Unicode MS"/>
          <w:noProof/>
        </w:rPr>
      </w:pPr>
      <w:r>
        <w:rPr>
          <w:noProof/>
        </w:rPr>
        <w:t xml:space="preserve">The International Organisation of Vine and Wine (OIV) is an intergovernmental scientific and technical organisation active in the sector of vine, wine, wine-based drinks, table grapes, raisins and other vine products. The objectives of the OIV are (i) to inform of measures whereby the concerns of producers, consumers and other players in the vine and wine products sector may be taken into consideration, (ii) to assist other international organisations involved in standardisation activities and (iii) to contribute to international harmonisation of </w:t>
      </w:r>
      <w:r>
        <w:rPr>
          <w:noProof/>
          <w:szCs w:val="24"/>
        </w:rPr>
        <w:t>existing practices and standards.</w:t>
      </w:r>
    </w:p>
    <w:p w:rsidR="00AE2FB1" w:rsidRPr="00E34F04" w:rsidRDefault="00AE2FB1" w:rsidP="00974B16">
      <w:pPr>
        <w:pStyle w:val="ManualHeading2"/>
        <w:rPr>
          <w:noProof/>
        </w:rPr>
      </w:pPr>
      <w:r>
        <w:rPr>
          <w:noProof/>
        </w:rPr>
        <w:t>2.3.</w:t>
      </w:r>
      <w:r>
        <w:rPr>
          <w:noProof/>
        </w:rPr>
        <w:tab/>
      </w:r>
      <w:r w:rsidRPr="00E34F04">
        <w:rPr>
          <w:noProof/>
        </w:rPr>
        <w:t>The envisaged act of the</w:t>
      </w:r>
      <w:r>
        <w:rPr>
          <w:noProof/>
        </w:rPr>
        <w:t xml:space="preserve"> OIV</w:t>
      </w:r>
    </w:p>
    <w:p w:rsidR="00AE2FB1" w:rsidRDefault="00AE2FB1" w:rsidP="00AE2FB1">
      <w:pPr>
        <w:rPr>
          <w:noProof/>
        </w:rPr>
      </w:pPr>
      <w:r>
        <w:rPr>
          <w:noProof/>
        </w:rPr>
        <w:t xml:space="preserve">The next General Assembly of OIV will be held on </w:t>
      </w:r>
      <w:r w:rsidR="0010129A">
        <w:rPr>
          <w:noProof/>
        </w:rPr>
        <w:t>16 October 2026</w:t>
      </w:r>
      <w:r>
        <w:rPr>
          <w:noProof/>
        </w:rPr>
        <w:t xml:space="preserve">. In that context and on the basis of discussions held </w:t>
      </w:r>
      <w:r w:rsidR="009E3508">
        <w:rPr>
          <w:noProof/>
        </w:rPr>
        <w:t xml:space="preserve">at the technical OIV meetings </w:t>
      </w:r>
      <w:r w:rsidR="00BD2F5B">
        <w:rPr>
          <w:noProof/>
        </w:rPr>
        <w:t xml:space="preserve">in </w:t>
      </w:r>
      <w:r w:rsidR="0010129A">
        <w:rPr>
          <w:noProof/>
        </w:rPr>
        <w:t>April 2026</w:t>
      </w:r>
      <w:r>
        <w:rPr>
          <w:noProof/>
        </w:rPr>
        <w:t>, it can be expected that the following resolutions, producing legal effect</w:t>
      </w:r>
      <w:r w:rsidR="00051B27">
        <w:rPr>
          <w:noProof/>
        </w:rPr>
        <w:t>s</w:t>
      </w:r>
      <w:r>
        <w:rPr>
          <w:noProof/>
        </w:rPr>
        <w:t>, will be on the agenda of the General Assembly for adoption:</w:t>
      </w:r>
    </w:p>
    <w:p w:rsidR="000740D7" w:rsidRDefault="000740D7" w:rsidP="002B12D3">
      <w:pPr>
        <w:ind w:left="426"/>
        <w:rPr>
          <w:noProof/>
        </w:rPr>
      </w:pPr>
      <w:r>
        <w:rPr>
          <w:noProof/>
        </w:rPr>
        <w:t>–</w:t>
      </w:r>
      <w:r>
        <w:rPr>
          <w:noProof/>
        </w:rPr>
        <w:tab/>
      </w:r>
      <w:r w:rsidRPr="000740D7">
        <w:rPr>
          <w:noProof/>
        </w:rPr>
        <w:t xml:space="preserve">Draft Resolution </w:t>
      </w:r>
      <w:r>
        <w:rPr>
          <w:noProof/>
        </w:rPr>
        <w:t>OENO-MICRO 20-669A</w:t>
      </w:r>
      <w:r w:rsidR="002B12D3">
        <w:rPr>
          <w:noProof/>
        </w:rPr>
        <w:t xml:space="preserve"> and B on</w:t>
      </w:r>
      <w:r>
        <w:rPr>
          <w:noProof/>
        </w:rPr>
        <w:t xml:space="preserve"> </w:t>
      </w:r>
      <w:r w:rsidR="00526714">
        <w:rPr>
          <w:noProof/>
        </w:rPr>
        <w:t>m</w:t>
      </w:r>
      <w:r>
        <w:rPr>
          <w:noProof/>
        </w:rPr>
        <w:t xml:space="preserve">icrobiological stabilization of must </w:t>
      </w:r>
      <w:r w:rsidR="002B12D3">
        <w:rPr>
          <w:noProof/>
        </w:rPr>
        <w:t xml:space="preserve">and wine, respectively, </w:t>
      </w:r>
      <w:r>
        <w:rPr>
          <w:noProof/>
        </w:rPr>
        <w:t>by pulsed electric fields (PEF);</w:t>
      </w:r>
    </w:p>
    <w:p w:rsidR="000740D7" w:rsidRDefault="000740D7" w:rsidP="002B12D3">
      <w:pPr>
        <w:ind w:left="426"/>
        <w:rPr>
          <w:noProof/>
        </w:rPr>
      </w:pPr>
      <w:r>
        <w:rPr>
          <w:noProof/>
        </w:rPr>
        <w:t>–</w:t>
      </w:r>
      <w:r>
        <w:rPr>
          <w:noProof/>
        </w:rPr>
        <w:tab/>
      </w:r>
      <w:r w:rsidRPr="000740D7">
        <w:rPr>
          <w:noProof/>
        </w:rPr>
        <w:t xml:space="preserve">Draft Resolution </w:t>
      </w:r>
      <w:r>
        <w:rPr>
          <w:noProof/>
        </w:rPr>
        <w:t>OENO-TECHNO 14-540A</w:t>
      </w:r>
      <w:r w:rsidR="002B12D3">
        <w:rPr>
          <w:noProof/>
        </w:rPr>
        <w:t xml:space="preserve"> and B on</w:t>
      </w:r>
      <w:r>
        <w:rPr>
          <w:noProof/>
        </w:rPr>
        <w:t xml:space="preserve"> </w:t>
      </w:r>
      <w:r w:rsidR="002B12D3">
        <w:rPr>
          <w:noProof/>
        </w:rPr>
        <w:t>s</w:t>
      </w:r>
      <w:r>
        <w:rPr>
          <w:noProof/>
        </w:rPr>
        <w:t xml:space="preserve">pecific oenological practices for de-alcoholised </w:t>
      </w:r>
      <w:r w:rsidR="002B12D3">
        <w:rPr>
          <w:noProof/>
        </w:rPr>
        <w:t>and for partially de-alcoholised wine, repsectively</w:t>
      </w:r>
      <w:r>
        <w:rPr>
          <w:noProof/>
        </w:rPr>
        <w:t>;</w:t>
      </w:r>
    </w:p>
    <w:p w:rsidR="000740D7" w:rsidRDefault="000740D7" w:rsidP="002B12D3">
      <w:pPr>
        <w:ind w:left="426"/>
        <w:rPr>
          <w:noProof/>
        </w:rPr>
      </w:pPr>
      <w:r>
        <w:rPr>
          <w:noProof/>
        </w:rPr>
        <w:t>–</w:t>
      </w:r>
      <w:r>
        <w:rPr>
          <w:noProof/>
        </w:rPr>
        <w:tab/>
      </w:r>
      <w:r w:rsidRPr="000740D7">
        <w:rPr>
          <w:noProof/>
        </w:rPr>
        <w:t xml:space="preserve">Draft Resolution </w:t>
      </w:r>
      <w:r>
        <w:rPr>
          <w:noProof/>
        </w:rPr>
        <w:t>OENO-TECHNO 14-544</w:t>
      </w:r>
      <w:r w:rsidR="002B12D3">
        <w:rPr>
          <w:noProof/>
        </w:rPr>
        <w:t xml:space="preserve"> on the t</w:t>
      </w:r>
      <w:r>
        <w:rPr>
          <w:noProof/>
        </w:rPr>
        <w:t>reatment with polydimethylsiloxane</w:t>
      </w:r>
      <w:r w:rsidR="002B12D3">
        <w:rPr>
          <w:noProof/>
        </w:rPr>
        <w:t>;</w:t>
      </w:r>
    </w:p>
    <w:p w:rsidR="000740D7" w:rsidRDefault="000740D7" w:rsidP="002B12D3">
      <w:pPr>
        <w:ind w:left="426"/>
        <w:rPr>
          <w:noProof/>
        </w:rPr>
      </w:pPr>
      <w:r>
        <w:rPr>
          <w:noProof/>
        </w:rPr>
        <w:t>–</w:t>
      </w:r>
      <w:r>
        <w:rPr>
          <w:noProof/>
        </w:rPr>
        <w:tab/>
      </w:r>
      <w:r w:rsidRPr="000740D7">
        <w:rPr>
          <w:noProof/>
        </w:rPr>
        <w:t xml:space="preserve">Draft Resolution </w:t>
      </w:r>
      <w:r>
        <w:rPr>
          <w:noProof/>
        </w:rPr>
        <w:t>OENO-TECHNO 20-672A</w:t>
      </w:r>
      <w:r w:rsidR="002B12D3">
        <w:rPr>
          <w:noProof/>
        </w:rPr>
        <w:t xml:space="preserve"> on the t</w:t>
      </w:r>
      <w:r>
        <w:rPr>
          <w:noProof/>
        </w:rPr>
        <w:t>reatment with a functionalised mesoporous silica (FMS) for the protein stabilisation of musts;</w:t>
      </w:r>
    </w:p>
    <w:p w:rsidR="000740D7" w:rsidRDefault="000740D7" w:rsidP="002B12D3">
      <w:pPr>
        <w:ind w:left="426"/>
        <w:rPr>
          <w:noProof/>
        </w:rPr>
      </w:pPr>
      <w:r>
        <w:rPr>
          <w:noProof/>
        </w:rPr>
        <w:t>–</w:t>
      </w:r>
      <w:r>
        <w:rPr>
          <w:noProof/>
        </w:rPr>
        <w:tab/>
      </w:r>
      <w:r w:rsidRPr="000740D7">
        <w:rPr>
          <w:noProof/>
        </w:rPr>
        <w:t xml:space="preserve">Draft Resolution </w:t>
      </w:r>
      <w:r>
        <w:rPr>
          <w:noProof/>
        </w:rPr>
        <w:t>OENO-TECHNO 21-706</w:t>
      </w:r>
      <w:r w:rsidR="002B12D3">
        <w:rPr>
          <w:noProof/>
        </w:rPr>
        <w:t>, u</w:t>
      </w:r>
      <w:r>
        <w:rPr>
          <w:noProof/>
        </w:rPr>
        <w:t>pdat</w:t>
      </w:r>
      <w:r w:rsidR="002B12D3">
        <w:rPr>
          <w:noProof/>
        </w:rPr>
        <w:t>in</w:t>
      </w:r>
      <w:r w:rsidR="00526714">
        <w:rPr>
          <w:noProof/>
        </w:rPr>
        <w:t>g</w:t>
      </w:r>
      <w:r>
        <w:rPr>
          <w:noProof/>
        </w:rPr>
        <w:t xml:space="preserve"> file 3.3.13 “Treatment of wines with yeast mannoproteins”;</w:t>
      </w:r>
    </w:p>
    <w:p w:rsidR="000740D7" w:rsidRDefault="000740D7" w:rsidP="002B12D3">
      <w:pPr>
        <w:ind w:left="426"/>
        <w:rPr>
          <w:noProof/>
        </w:rPr>
      </w:pPr>
      <w:r>
        <w:rPr>
          <w:noProof/>
        </w:rPr>
        <w:t>–</w:t>
      </w:r>
      <w:r>
        <w:rPr>
          <w:noProof/>
        </w:rPr>
        <w:tab/>
      </w:r>
      <w:r w:rsidRPr="000740D7">
        <w:rPr>
          <w:noProof/>
        </w:rPr>
        <w:t xml:space="preserve">Draft Resolution </w:t>
      </w:r>
      <w:r>
        <w:rPr>
          <w:noProof/>
        </w:rPr>
        <w:t>OENO-TECHNO 23-730</w:t>
      </w:r>
      <w:r w:rsidR="002B12D3">
        <w:rPr>
          <w:noProof/>
        </w:rPr>
        <w:t xml:space="preserve"> on</w:t>
      </w:r>
      <w:r>
        <w:rPr>
          <w:noProof/>
        </w:rPr>
        <w:t xml:space="preserve"> </w:t>
      </w:r>
      <w:r w:rsidR="002B12D3">
        <w:rPr>
          <w:noProof/>
        </w:rPr>
        <w:t>l</w:t>
      </w:r>
      <w:r>
        <w:rPr>
          <w:noProof/>
        </w:rPr>
        <w:t>imit of sorbic acid in wine;</w:t>
      </w:r>
    </w:p>
    <w:p w:rsidR="000740D7" w:rsidRDefault="000740D7" w:rsidP="002B12D3">
      <w:pPr>
        <w:ind w:left="426"/>
        <w:rPr>
          <w:noProof/>
        </w:rPr>
      </w:pPr>
      <w:r>
        <w:rPr>
          <w:noProof/>
        </w:rPr>
        <w:t>–</w:t>
      </w:r>
      <w:r>
        <w:rPr>
          <w:noProof/>
        </w:rPr>
        <w:tab/>
      </w:r>
      <w:r w:rsidRPr="000740D7">
        <w:rPr>
          <w:noProof/>
        </w:rPr>
        <w:t xml:space="preserve">Draft Resolution </w:t>
      </w:r>
      <w:r>
        <w:rPr>
          <w:noProof/>
        </w:rPr>
        <w:t>OENO-TECHNO 23-734</w:t>
      </w:r>
      <w:r w:rsidR="002B12D3">
        <w:rPr>
          <w:noProof/>
        </w:rPr>
        <w:t xml:space="preserve"> on t</w:t>
      </w:r>
      <w:r>
        <w:rPr>
          <w:noProof/>
        </w:rPr>
        <w:t xml:space="preserve">reatment of white must with adsorbent styrene-divinylbenzene beads to eliminate polyphenolic compounds responsible for browning; </w:t>
      </w:r>
    </w:p>
    <w:p w:rsidR="000740D7" w:rsidRDefault="000740D7" w:rsidP="002B12D3">
      <w:pPr>
        <w:ind w:left="426"/>
        <w:rPr>
          <w:noProof/>
        </w:rPr>
      </w:pPr>
      <w:r>
        <w:rPr>
          <w:noProof/>
        </w:rPr>
        <w:lastRenderedPageBreak/>
        <w:t>–</w:t>
      </w:r>
      <w:r>
        <w:rPr>
          <w:noProof/>
        </w:rPr>
        <w:tab/>
      </w:r>
      <w:r w:rsidRPr="000740D7">
        <w:rPr>
          <w:noProof/>
        </w:rPr>
        <w:t xml:space="preserve">Draft Resolution </w:t>
      </w:r>
      <w:r>
        <w:rPr>
          <w:noProof/>
        </w:rPr>
        <w:t>OENO-TECHNO 23-735</w:t>
      </w:r>
      <w:r w:rsidR="002B12D3">
        <w:rPr>
          <w:noProof/>
        </w:rPr>
        <w:t xml:space="preserve"> on the t</w:t>
      </w:r>
      <w:r>
        <w:rPr>
          <w:noProof/>
        </w:rPr>
        <w:t>reatment of white wine with adsorbent styrene-divinylbenzene beads to eliminate polyphenolic compounds responsible for browning;</w:t>
      </w:r>
    </w:p>
    <w:p w:rsidR="000740D7" w:rsidRDefault="000740D7" w:rsidP="002B12D3">
      <w:pPr>
        <w:ind w:left="426"/>
        <w:rPr>
          <w:noProof/>
        </w:rPr>
      </w:pPr>
      <w:r>
        <w:rPr>
          <w:noProof/>
        </w:rPr>
        <w:t>–</w:t>
      </w:r>
      <w:r>
        <w:rPr>
          <w:noProof/>
        </w:rPr>
        <w:tab/>
      </w:r>
      <w:r w:rsidRPr="000740D7">
        <w:rPr>
          <w:noProof/>
        </w:rPr>
        <w:t xml:space="preserve">Draft Resolution </w:t>
      </w:r>
      <w:r>
        <w:rPr>
          <w:noProof/>
        </w:rPr>
        <w:t>OENO-TECHNO 25-761</w:t>
      </w:r>
      <w:r w:rsidR="002B12D3">
        <w:rPr>
          <w:noProof/>
        </w:rPr>
        <w:t>, u</w:t>
      </w:r>
      <w:r>
        <w:rPr>
          <w:noProof/>
        </w:rPr>
        <w:t>pdat</w:t>
      </w:r>
      <w:r w:rsidR="002B12D3">
        <w:rPr>
          <w:noProof/>
        </w:rPr>
        <w:t>ing</w:t>
      </w:r>
      <w:r>
        <w:rPr>
          <w:noProof/>
        </w:rPr>
        <w:t xml:space="preserve"> file 3.4.21 “Malolactic fermentation activators”;</w:t>
      </w:r>
    </w:p>
    <w:p w:rsidR="000740D7" w:rsidRDefault="000740D7" w:rsidP="002B12D3">
      <w:pPr>
        <w:ind w:left="426"/>
        <w:rPr>
          <w:noProof/>
        </w:rPr>
      </w:pPr>
      <w:r>
        <w:rPr>
          <w:noProof/>
        </w:rPr>
        <w:t>–</w:t>
      </w:r>
      <w:r>
        <w:rPr>
          <w:noProof/>
        </w:rPr>
        <w:tab/>
      </w:r>
      <w:r w:rsidRPr="000740D7">
        <w:rPr>
          <w:noProof/>
        </w:rPr>
        <w:t xml:space="preserve">Draft Resolution </w:t>
      </w:r>
      <w:r>
        <w:rPr>
          <w:noProof/>
        </w:rPr>
        <w:t>OENO-SPECIF 21-695</w:t>
      </w:r>
      <w:r w:rsidR="002B12D3">
        <w:rPr>
          <w:noProof/>
        </w:rPr>
        <w:t>, defining the m</w:t>
      </w:r>
      <w:r>
        <w:rPr>
          <w:noProof/>
        </w:rPr>
        <w:t xml:space="preserve">onograph on chelating resins of styrene-divinylbenzene with iminodiacetic functional group; </w:t>
      </w:r>
    </w:p>
    <w:p w:rsidR="000740D7" w:rsidRDefault="000740D7" w:rsidP="002B12D3">
      <w:pPr>
        <w:ind w:left="426"/>
        <w:rPr>
          <w:noProof/>
        </w:rPr>
      </w:pPr>
      <w:r>
        <w:rPr>
          <w:noProof/>
        </w:rPr>
        <w:t>–</w:t>
      </w:r>
      <w:r>
        <w:rPr>
          <w:noProof/>
        </w:rPr>
        <w:tab/>
      </w:r>
      <w:r w:rsidRPr="000740D7">
        <w:rPr>
          <w:noProof/>
        </w:rPr>
        <w:t xml:space="preserve">Draft Resolution </w:t>
      </w:r>
      <w:r>
        <w:rPr>
          <w:noProof/>
        </w:rPr>
        <w:t>OENO-SPECIF 23-727</w:t>
      </w:r>
      <w:r w:rsidR="002B12D3">
        <w:rPr>
          <w:noProof/>
        </w:rPr>
        <w:t>,</w:t>
      </w:r>
      <w:r>
        <w:rPr>
          <w:noProof/>
        </w:rPr>
        <w:t xml:space="preserve"> </w:t>
      </w:r>
      <w:r w:rsidR="002B12D3">
        <w:rPr>
          <w:noProof/>
        </w:rPr>
        <w:t>u</w:t>
      </w:r>
      <w:r>
        <w:rPr>
          <w:noProof/>
        </w:rPr>
        <w:t>pdat</w:t>
      </w:r>
      <w:r w:rsidR="002B12D3">
        <w:rPr>
          <w:noProof/>
        </w:rPr>
        <w:t>ing</w:t>
      </w:r>
      <w:r>
        <w:rPr>
          <w:noProof/>
        </w:rPr>
        <w:t xml:space="preserve"> of monograph of citric acid;</w:t>
      </w:r>
    </w:p>
    <w:p w:rsidR="000740D7" w:rsidRDefault="000740D7" w:rsidP="002B12D3">
      <w:pPr>
        <w:ind w:left="426"/>
        <w:rPr>
          <w:noProof/>
        </w:rPr>
      </w:pPr>
      <w:r>
        <w:rPr>
          <w:noProof/>
        </w:rPr>
        <w:t>–</w:t>
      </w:r>
      <w:r>
        <w:rPr>
          <w:noProof/>
        </w:rPr>
        <w:tab/>
      </w:r>
      <w:r w:rsidRPr="000740D7">
        <w:rPr>
          <w:noProof/>
        </w:rPr>
        <w:t xml:space="preserve">Draft Resolution </w:t>
      </w:r>
      <w:r>
        <w:rPr>
          <w:noProof/>
        </w:rPr>
        <w:t>OENO-SCMA 24-754</w:t>
      </w:r>
      <w:r w:rsidR="002B12D3">
        <w:rPr>
          <w:noProof/>
        </w:rPr>
        <w:t>, on  the a</w:t>
      </w:r>
      <w:r>
        <w:rPr>
          <w:noProof/>
        </w:rPr>
        <w:t>nalytical method for the determination of strontium isotopic ratio (87Sr/86Sr) in wines (Method type IV);</w:t>
      </w:r>
    </w:p>
    <w:p w:rsidR="000740D7" w:rsidRDefault="000740D7" w:rsidP="002B12D3">
      <w:pPr>
        <w:ind w:left="426"/>
        <w:rPr>
          <w:noProof/>
        </w:rPr>
      </w:pPr>
      <w:r>
        <w:rPr>
          <w:noProof/>
        </w:rPr>
        <w:t>–</w:t>
      </w:r>
      <w:r>
        <w:rPr>
          <w:noProof/>
        </w:rPr>
        <w:tab/>
      </w:r>
      <w:r w:rsidRPr="000740D7">
        <w:rPr>
          <w:noProof/>
        </w:rPr>
        <w:t xml:space="preserve">Draft Resolution </w:t>
      </w:r>
      <w:r>
        <w:rPr>
          <w:noProof/>
        </w:rPr>
        <w:t>SECSAN-SECUAL 23-722</w:t>
      </w:r>
      <w:r w:rsidR="002B12D3">
        <w:rPr>
          <w:noProof/>
        </w:rPr>
        <w:t>, u</w:t>
      </w:r>
      <w:r>
        <w:rPr>
          <w:noProof/>
        </w:rPr>
        <w:t>pdat</w:t>
      </w:r>
      <w:r w:rsidR="002B12D3">
        <w:rPr>
          <w:noProof/>
        </w:rPr>
        <w:t>ing</w:t>
      </w:r>
      <w:r>
        <w:rPr>
          <w:noProof/>
        </w:rPr>
        <w:t xml:space="preserve"> of the classification of oenological tannins as additive or processing aid.</w:t>
      </w:r>
    </w:p>
    <w:p w:rsidR="00AE2FB1" w:rsidRPr="00E34F04" w:rsidRDefault="001B6501" w:rsidP="00AE2FB1">
      <w:pPr>
        <w:rPr>
          <w:rFonts w:eastAsia="Arial Unicode MS"/>
          <w:noProof/>
        </w:rPr>
      </w:pPr>
      <w:r>
        <w:rPr>
          <w:noProof/>
        </w:rPr>
        <w:t>I</w:t>
      </w:r>
      <w:r w:rsidR="00AE2FB1">
        <w:rPr>
          <w:noProof/>
        </w:rPr>
        <w:t>t can be expected that the agenda of the meeting of the General Assembly of the OIV will still evolve and that further resolutions producing legal effects on Union law will be added to the agenda. In order to ensure efficiency of the work of the General Assembly while respecting the rules of the Treaties, the Commission will in due time supplement or amend the present proposal to enable the Council to adopt the position to be taken also for these resolutions.</w:t>
      </w:r>
    </w:p>
    <w:p w:rsidR="00AE2FB1" w:rsidRPr="00E34F04" w:rsidRDefault="00AE2FB1" w:rsidP="00AE2FB1">
      <w:pPr>
        <w:pStyle w:val="ManualHeading1"/>
        <w:rPr>
          <w:rFonts w:eastAsia="Arial Unicode MS"/>
          <w:noProof/>
        </w:rPr>
      </w:pPr>
      <w:r>
        <w:rPr>
          <w:noProof/>
        </w:rPr>
        <w:t>3.</w:t>
      </w:r>
      <w:r>
        <w:rPr>
          <w:noProof/>
        </w:rPr>
        <w:tab/>
      </w:r>
      <w:r w:rsidRPr="00E34F04">
        <w:rPr>
          <w:rFonts w:eastAsia="Arial Unicode MS"/>
          <w:noProof/>
        </w:rPr>
        <w:t>Position to be taken on the Union's behalf</w:t>
      </w:r>
    </w:p>
    <w:p w:rsidR="009741CC" w:rsidRDefault="009741CC" w:rsidP="00130B34">
      <w:pPr>
        <w:rPr>
          <w:noProof/>
        </w:rPr>
      </w:pPr>
      <w:r w:rsidRPr="00116566">
        <w:rPr>
          <w:noProof/>
        </w:rPr>
        <w:t>Most of t</w:t>
      </w:r>
      <w:r w:rsidR="00AE2FB1" w:rsidRPr="00116566">
        <w:rPr>
          <w:noProof/>
        </w:rPr>
        <w:t>he</w:t>
      </w:r>
      <w:r w:rsidR="00AE2FB1">
        <w:rPr>
          <w:noProof/>
        </w:rPr>
        <w:t xml:space="preserve"> draft resolutions that will be submitted to the vote of the next General Assembly of OIV </w:t>
      </w:r>
      <w:r w:rsidR="00E230BB">
        <w:rPr>
          <w:noProof/>
        </w:rPr>
        <w:t xml:space="preserve">have been extensively discussed between scientific and technical experts of the wine sector. They </w:t>
      </w:r>
      <w:r w:rsidR="00AE2FB1">
        <w:rPr>
          <w:noProof/>
        </w:rPr>
        <w:t>contribute to the international harmonisation of the wine standards and they will set a framework which will ensure fair competition in the trading of wine sector products.</w:t>
      </w:r>
      <w:r w:rsidR="00EA2F42">
        <w:rPr>
          <w:noProof/>
        </w:rPr>
        <w:t xml:space="preserve"> </w:t>
      </w:r>
      <w:r w:rsidR="00AE2FB1" w:rsidRPr="0076518C">
        <w:rPr>
          <w:noProof/>
        </w:rPr>
        <w:t>They should therefore be supported</w:t>
      </w:r>
      <w:r>
        <w:rPr>
          <w:noProof/>
        </w:rPr>
        <w:t xml:space="preserve">. </w:t>
      </w:r>
    </w:p>
    <w:p w:rsidR="00AE2FB1" w:rsidRDefault="009741CC" w:rsidP="00130B34">
      <w:pPr>
        <w:rPr>
          <w:noProof/>
          <w:highlight w:val="yellow"/>
        </w:rPr>
      </w:pPr>
      <w:bookmarkStart w:id="1" w:name="_Hlk232695595"/>
      <w:r w:rsidRPr="00A82D01">
        <w:rPr>
          <w:noProof/>
        </w:rPr>
        <w:t>How</w:t>
      </w:r>
      <w:r w:rsidR="00DA3825" w:rsidRPr="00A82D01">
        <w:rPr>
          <w:noProof/>
        </w:rPr>
        <w:t>e</w:t>
      </w:r>
      <w:r w:rsidRPr="00A82D01">
        <w:rPr>
          <w:noProof/>
        </w:rPr>
        <w:t xml:space="preserve">ver, </w:t>
      </w:r>
      <w:r w:rsidR="00150135" w:rsidRPr="00A82D01">
        <w:rPr>
          <w:noProof/>
        </w:rPr>
        <w:t xml:space="preserve">the </w:t>
      </w:r>
      <w:r w:rsidR="00122200" w:rsidRPr="00A82D01">
        <w:rPr>
          <w:noProof/>
        </w:rPr>
        <w:t>d</w:t>
      </w:r>
      <w:r w:rsidR="00122200" w:rsidRPr="00A82D01">
        <w:rPr>
          <w:noProof/>
          <w:lang w:val="en-US"/>
        </w:rPr>
        <w:t xml:space="preserve">raft </w:t>
      </w:r>
      <w:r w:rsidR="00495B54" w:rsidRPr="00A82D01">
        <w:rPr>
          <w:noProof/>
          <w:lang w:val="en-US"/>
        </w:rPr>
        <w:t>r</w:t>
      </w:r>
      <w:r w:rsidR="00122200" w:rsidRPr="00A82D01">
        <w:rPr>
          <w:noProof/>
          <w:lang w:val="en-US"/>
        </w:rPr>
        <w:t xml:space="preserve">esolution </w:t>
      </w:r>
      <w:r w:rsidR="00122200" w:rsidRPr="00A82D01">
        <w:rPr>
          <w:noProof/>
        </w:rPr>
        <w:t>OENO-TECHNO 14-540A</w:t>
      </w:r>
      <w:r w:rsidR="00EA2F42" w:rsidRPr="00A82D01">
        <w:rPr>
          <w:noProof/>
        </w:rPr>
        <w:t xml:space="preserve"> </w:t>
      </w:r>
      <w:r w:rsidR="00150135" w:rsidRPr="00A82D01">
        <w:rPr>
          <w:noProof/>
        </w:rPr>
        <w:t>that</w:t>
      </w:r>
      <w:r w:rsidR="00122200" w:rsidRPr="00A82D01">
        <w:rPr>
          <w:noProof/>
        </w:rPr>
        <w:t xml:space="preserve"> would allow the addition of glycerol </w:t>
      </w:r>
      <w:r w:rsidR="00764C6A" w:rsidRPr="00A82D01">
        <w:rPr>
          <w:noProof/>
        </w:rPr>
        <w:t xml:space="preserve">(E 422) </w:t>
      </w:r>
      <w:r w:rsidR="00122200" w:rsidRPr="00A82D01">
        <w:rPr>
          <w:noProof/>
        </w:rPr>
        <w:t>in de-alcoholised</w:t>
      </w:r>
      <w:r w:rsidR="00495B54" w:rsidRPr="00A82D01">
        <w:rPr>
          <w:noProof/>
        </w:rPr>
        <w:t xml:space="preserve"> </w:t>
      </w:r>
      <w:r w:rsidR="00150135" w:rsidRPr="00A82D01">
        <w:rPr>
          <w:noProof/>
        </w:rPr>
        <w:t xml:space="preserve">wine </w:t>
      </w:r>
      <w:r w:rsidR="00764C6A" w:rsidRPr="00A82D01">
        <w:rPr>
          <w:noProof/>
        </w:rPr>
        <w:t>at</w:t>
      </w:r>
      <w:r w:rsidR="00A82D01" w:rsidRPr="00A82D01">
        <w:rPr>
          <w:noProof/>
        </w:rPr>
        <w:t xml:space="preserve"> a</w:t>
      </w:r>
      <w:r w:rsidR="00122200" w:rsidRPr="00A82D01">
        <w:rPr>
          <w:noProof/>
        </w:rPr>
        <w:t xml:space="preserve"> </w:t>
      </w:r>
      <w:r w:rsidR="00764C6A" w:rsidRPr="00A82D01">
        <w:rPr>
          <w:noProof/>
        </w:rPr>
        <w:t>maximum concentration level</w:t>
      </w:r>
      <w:r w:rsidRPr="00A82D01">
        <w:rPr>
          <w:noProof/>
        </w:rPr>
        <w:t xml:space="preserve"> </w:t>
      </w:r>
      <w:r w:rsidR="00A82D01" w:rsidRPr="00A82D01">
        <w:rPr>
          <w:noProof/>
        </w:rPr>
        <w:t xml:space="preserve">of 50 g/L, has been considered </w:t>
      </w:r>
      <w:r w:rsidR="000D7C23">
        <w:rPr>
          <w:noProof/>
        </w:rPr>
        <w:t>in</w:t>
      </w:r>
      <w:r w:rsidR="00A82D01" w:rsidRPr="00A82D01">
        <w:rPr>
          <w:noProof/>
        </w:rPr>
        <w:t xml:space="preserve"> a recent scientific opinion</w:t>
      </w:r>
      <w:r w:rsidR="00A82D01" w:rsidRPr="00A82D01">
        <w:rPr>
          <w:rStyle w:val="FootnoteReference"/>
          <w:noProof/>
        </w:rPr>
        <w:footnoteReference w:id="2"/>
      </w:r>
      <w:r w:rsidR="00A82D01" w:rsidRPr="00A82D01">
        <w:rPr>
          <w:noProof/>
        </w:rPr>
        <w:t xml:space="preserve"> </w:t>
      </w:r>
      <w:r w:rsidR="000D7C23">
        <w:rPr>
          <w:noProof/>
        </w:rPr>
        <w:t>adopted</w:t>
      </w:r>
      <w:r w:rsidR="00A82D01" w:rsidRPr="00A82D01">
        <w:rPr>
          <w:noProof/>
        </w:rPr>
        <w:t xml:space="preserve"> by the European Food Safety Authority (</w:t>
      </w:r>
      <w:r w:rsidR="000D7C23">
        <w:rPr>
          <w:noProof/>
        </w:rPr>
        <w:t>‘the Authority’</w:t>
      </w:r>
      <w:r w:rsidR="00A82D01" w:rsidRPr="00A82D01">
        <w:rPr>
          <w:noProof/>
        </w:rPr>
        <w:t xml:space="preserve">) </w:t>
      </w:r>
      <w:r w:rsidR="000D7C23">
        <w:rPr>
          <w:noProof/>
        </w:rPr>
        <w:t>concluding that</w:t>
      </w:r>
      <w:r w:rsidR="00A82D01" w:rsidRPr="00A82D01">
        <w:rPr>
          <w:noProof/>
        </w:rPr>
        <w:t xml:space="preserve"> the acute reference dose (ARfD) </w:t>
      </w:r>
      <w:r w:rsidR="000D7C23">
        <w:rPr>
          <w:noProof/>
        </w:rPr>
        <w:t xml:space="preserve">would be exeeded </w:t>
      </w:r>
      <w:r w:rsidR="00A82D01" w:rsidRPr="00A82D01">
        <w:rPr>
          <w:noProof/>
        </w:rPr>
        <w:t>in all po</w:t>
      </w:r>
      <w:r w:rsidR="00131A8D">
        <w:rPr>
          <w:noProof/>
        </w:rPr>
        <w:t>p</w:t>
      </w:r>
      <w:r w:rsidR="00A82D01" w:rsidRPr="00A82D01">
        <w:rPr>
          <w:noProof/>
        </w:rPr>
        <w:t xml:space="preserve">ulation groups. The </w:t>
      </w:r>
      <w:r w:rsidR="000D7C23">
        <w:rPr>
          <w:noProof/>
        </w:rPr>
        <w:t xml:space="preserve">scientific opinion further provides for the </w:t>
      </w:r>
      <w:r w:rsidR="00A82D01" w:rsidRPr="00A82D01">
        <w:rPr>
          <w:noProof/>
        </w:rPr>
        <w:t>theoretical maximum concentrations of glycerol (E 422) in de-alcoholised wine</w:t>
      </w:r>
      <w:r w:rsidR="00131A8D">
        <w:rPr>
          <w:noProof/>
        </w:rPr>
        <w:t xml:space="preserve"> </w:t>
      </w:r>
      <w:r w:rsidR="000D7C23">
        <w:rPr>
          <w:noProof/>
        </w:rPr>
        <w:t xml:space="preserve">at which exposure does </w:t>
      </w:r>
      <w:r w:rsidR="00A82D01" w:rsidRPr="00A82D01">
        <w:rPr>
          <w:noProof/>
        </w:rPr>
        <w:t>not exceed</w:t>
      </w:r>
      <w:r w:rsidR="000D7C23">
        <w:rPr>
          <w:noProof/>
        </w:rPr>
        <w:t xml:space="preserve"> the </w:t>
      </w:r>
      <w:r w:rsidR="00A82D01" w:rsidRPr="00A82D01">
        <w:rPr>
          <w:noProof/>
        </w:rPr>
        <w:t>ARfD</w:t>
      </w:r>
      <w:r w:rsidR="00131A8D">
        <w:rPr>
          <w:noProof/>
        </w:rPr>
        <w:t xml:space="preserve"> </w:t>
      </w:r>
      <w:r w:rsidR="00131A8D" w:rsidRPr="00131A8D">
        <w:rPr>
          <w:noProof/>
        </w:rPr>
        <w:t>for different population groups</w:t>
      </w:r>
      <w:r w:rsidR="00A82D01" w:rsidRPr="00131A8D">
        <w:rPr>
          <w:noProof/>
        </w:rPr>
        <w:t>.</w:t>
      </w:r>
      <w:r w:rsidR="00A82D01" w:rsidRPr="00A82D01">
        <w:rPr>
          <w:noProof/>
        </w:rPr>
        <w:t xml:space="preserve"> </w:t>
      </w:r>
      <w:r w:rsidR="008D3D5E">
        <w:rPr>
          <w:noProof/>
        </w:rPr>
        <w:t>In the light of thi</w:t>
      </w:r>
      <w:r w:rsidR="00970C37">
        <w:rPr>
          <w:noProof/>
        </w:rPr>
        <w:t xml:space="preserve">s new evidence, there is the necessity to </w:t>
      </w:r>
      <w:r w:rsidR="00533107">
        <w:rPr>
          <w:noProof/>
        </w:rPr>
        <w:t xml:space="preserve">define a proper risk management and </w:t>
      </w:r>
      <w:r w:rsidR="002013D6">
        <w:rPr>
          <w:noProof/>
        </w:rPr>
        <w:t>scientifically assess</w:t>
      </w:r>
      <w:r w:rsidR="00970C37">
        <w:rPr>
          <w:noProof/>
        </w:rPr>
        <w:t xml:space="preserve"> the </w:t>
      </w:r>
      <w:r w:rsidR="002013D6">
        <w:rPr>
          <w:noProof/>
        </w:rPr>
        <w:t xml:space="preserve">quantity of exogenous </w:t>
      </w:r>
      <w:r w:rsidR="00533107">
        <w:rPr>
          <w:noProof/>
        </w:rPr>
        <w:t xml:space="preserve">glycerol (E 422) </w:t>
      </w:r>
      <w:r w:rsidR="002013D6">
        <w:rPr>
          <w:noProof/>
        </w:rPr>
        <w:t xml:space="preserve">in relation to its technological </w:t>
      </w:r>
      <w:r w:rsidR="00970C37">
        <w:rPr>
          <w:noProof/>
        </w:rPr>
        <w:t xml:space="preserve">function </w:t>
      </w:r>
      <w:r w:rsidR="002013D6">
        <w:rPr>
          <w:noProof/>
        </w:rPr>
        <w:t>within the new safety range</w:t>
      </w:r>
      <w:r w:rsidR="00970C37">
        <w:rPr>
          <w:noProof/>
        </w:rPr>
        <w:t xml:space="preserve">. </w:t>
      </w:r>
      <w:r w:rsidR="00A82D01" w:rsidRPr="00A82D01">
        <w:rPr>
          <w:noProof/>
        </w:rPr>
        <w:t xml:space="preserve">Therefore this resolution should only be supported if </w:t>
      </w:r>
      <w:r w:rsidR="00970C37">
        <w:rPr>
          <w:noProof/>
        </w:rPr>
        <w:t xml:space="preserve">the specific treatment referring to the addition of glycerol is removed from the resolution so </w:t>
      </w:r>
      <w:r w:rsidR="008D3D5E">
        <w:rPr>
          <w:noProof/>
        </w:rPr>
        <w:t xml:space="preserve">as </w:t>
      </w:r>
      <w:r w:rsidR="00970C37">
        <w:rPr>
          <w:noProof/>
        </w:rPr>
        <w:t xml:space="preserve">to allow for </w:t>
      </w:r>
      <w:r w:rsidR="002013D6">
        <w:rPr>
          <w:noProof/>
        </w:rPr>
        <w:t>proper</w:t>
      </w:r>
      <w:r w:rsidR="00970C37">
        <w:rPr>
          <w:noProof/>
        </w:rPr>
        <w:t xml:space="preserve"> scientific assessment of the technological function of glycerol </w:t>
      </w:r>
      <w:r w:rsidR="000D7C23">
        <w:rPr>
          <w:noProof/>
        </w:rPr>
        <w:t>(E 422) while taking into account the scientific opinion of the Authority</w:t>
      </w:r>
      <w:r w:rsidR="00A82D01">
        <w:rPr>
          <w:noProof/>
        </w:rPr>
        <w:t>.</w:t>
      </w:r>
    </w:p>
    <w:bookmarkEnd w:id="1"/>
    <w:p w:rsidR="00AE2FB1" w:rsidRPr="00E34F04" w:rsidRDefault="00AE2FB1" w:rsidP="00974B16">
      <w:pPr>
        <w:pStyle w:val="ManualHeading1"/>
        <w:rPr>
          <w:noProof/>
        </w:rPr>
      </w:pPr>
      <w:r>
        <w:rPr>
          <w:noProof/>
        </w:rPr>
        <w:lastRenderedPageBreak/>
        <w:t>4.</w:t>
      </w:r>
      <w:r>
        <w:rPr>
          <w:noProof/>
        </w:rPr>
        <w:tab/>
      </w:r>
      <w:r w:rsidRPr="00E34F04">
        <w:rPr>
          <w:noProof/>
        </w:rPr>
        <w:t>Legal basis</w:t>
      </w:r>
    </w:p>
    <w:p w:rsidR="00AE2FB1" w:rsidRPr="00E34F04" w:rsidRDefault="00AE2FB1" w:rsidP="00974B16">
      <w:pPr>
        <w:pStyle w:val="ManualHeading2"/>
        <w:rPr>
          <w:noProof/>
        </w:rPr>
      </w:pPr>
      <w:r>
        <w:rPr>
          <w:noProof/>
        </w:rPr>
        <w:t>4.1.</w:t>
      </w:r>
      <w:r>
        <w:rPr>
          <w:noProof/>
        </w:rPr>
        <w:tab/>
      </w:r>
      <w:r w:rsidRPr="00E34F04">
        <w:rPr>
          <w:noProof/>
        </w:rPr>
        <w:t>Procedural legal basis</w:t>
      </w:r>
    </w:p>
    <w:p w:rsidR="00AE2FB1" w:rsidRPr="00E34F04" w:rsidRDefault="00AE2FB1" w:rsidP="00974B16">
      <w:pPr>
        <w:pStyle w:val="ManualHeading3"/>
        <w:rPr>
          <w:noProof/>
        </w:rPr>
      </w:pPr>
      <w:r>
        <w:rPr>
          <w:noProof/>
        </w:rPr>
        <w:t>4.1.1.</w:t>
      </w:r>
      <w:r>
        <w:rPr>
          <w:noProof/>
        </w:rPr>
        <w:tab/>
      </w:r>
      <w:r w:rsidRPr="00E34F04">
        <w:rPr>
          <w:noProof/>
        </w:rPr>
        <w:t>Principles</w:t>
      </w:r>
    </w:p>
    <w:p w:rsidR="00AE2FB1" w:rsidRPr="00E34F04" w:rsidRDefault="00AE2FB1" w:rsidP="00974B16">
      <w:pPr>
        <w:rPr>
          <w:noProof/>
        </w:rPr>
      </w:pPr>
      <w:r w:rsidRPr="00E34F04">
        <w:rPr>
          <w:noProof/>
        </w:rPr>
        <w:t>Article 218(9) of the Treaty on the Functioning of the European Union (TFEU) provides for decisions establishing ‘</w:t>
      </w:r>
      <w:r w:rsidRPr="00E34F04">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E34F04">
        <w:rPr>
          <w:noProof/>
        </w:rPr>
        <w:t>.’</w:t>
      </w:r>
    </w:p>
    <w:p w:rsidR="00AE2FB1" w:rsidRPr="00E34F04" w:rsidRDefault="00AE2FB1" w:rsidP="00974B16">
      <w:pPr>
        <w:rPr>
          <w:noProof/>
        </w:rPr>
      </w:pPr>
      <w:r w:rsidRPr="00E34F04">
        <w:rPr>
          <w:noProof/>
        </w:rPr>
        <w:t>Article 218(9) TFEU applies regardless of whether the Union is a member of the body or a party to the agreement</w:t>
      </w:r>
      <w:r w:rsidRPr="00E34F04">
        <w:rPr>
          <w:rStyle w:val="FootnoteReference"/>
          <w:noProof/>
        </w:rPr>
        <w:footnoteReference w:id="3"/>
      </w:r>
      <w:r w:rsidRPr="00E34F04">
        <w:rPr>
          <w:noProof/>
        </w:rPr>
        <w:t>.</w:t>
      </w:r>
    </w:p>
    <w:p w:rsidR="00AE2FB1" w:rsidRPr="008E3863" w:rsidRDefault="00AE2FB1" w:rsidP="00974B16">
      <w:pPr>
        <w:rPr>
          <w:i/>
          <w:noProof/>
        </w:rPr>
      </w:pPr>
      <w:r w:rsidRPr="00E34F04">
        <w:rPr>
          <w:noProof/>
        </w:rPr>
        <w:t>The concept of ‘</w:t>
      </w:r>
      <w:r w:rsidRPr="00E34F04">
        <w:rPr>
          <w:i/>
          <w:noProof/>
        </w:rPr>
        <w:t>acts having legal effects</w:t>
      </w:r>
      <w:r w:rsidRPr="00E34F04">
        <w:rPr>
          <w:noProof/>
        </w:rPr>
        <w:t xml:space="preserve">’ includes acts that have legal effects by virtue of the rules of international law governing the body in </w:t>
      </w:r>
      <w:r w:rsidRPr="008E3863">
        <w:rPr>
          <w:noProof/>
        </w:rPr>
        <w:t>question. It also includes instruments that do not have a binding effect under international law, but that are ‘</w:t>
      </w:r>
      <w:r w:rsidRPr="008E3863">
        <w:rPr>
          <w:i/>
          <w:noProof/>
        </w:rPr>
        <w:t>capable of decisively influencing the content of the legislation adopted by the EU legislature</w:t>
      </w:r>
      <w:r w:rsidRPr="008E3863">
        <w:rPr>
          <w:noProof/>
        </w:rPr>
        <w:t>’</w:t>
      </w:r>
      <w:r w:rsidRPr="008E3863">
        <w:rPr>
          <w:rStyle w:val="FootnoteReference"/>
          <w:noProof/>
        </w:rPr>
        <w:footnoteReference w:id="4"/>
      </w:r>
      <w:r w:rsidRPr="008E3863">
        <w:rPr>
          <w:noProof/>
        </w:rPr>
        <w:t>.</w:t>
      </w:r>
      <w:r w:rsidR="00964748" w:rsidRPr="008E3863">
        <w:rPr>
          <w:i/>
          <w:iCs/>
          <w:noProof/>
        </w:rPr>
        <w:t xml:space="preserve">  </w:t>
      </w:r>
      <w:r w:rsidR="00C97320" w:rsidRPr="008E3863">
        <w:rPr>
          <w:i/>
          <w:iCs/>
          <w:noProof/>
        </w:rPr>
        <w:t xml:space="preserve"> </w:t>
      </w:r>
    </w:p>
    <w:p w:rsidR="00AE2FB1" w:rsidRPr="00E34F04" w:rsidRDefault="00AE2FB1" w:rsidP="00974B16">
      <w:pPr>
        <w:pStyle w:val="ManualHeading3"/>
        <w:rPr>
          <w:noProof/>
        </w:rPr>
      </w:pPr>
      <w:r>
        <w:rPr>
          <w:noProof/>
        </w:rPr>
        <w:t>4.1.2.</w:t>
      </w:r>
      <w:r>
        <w:rPr>
          <w:noProof/>
        </w:rPr>
        <w:tab/>
      </w:r>
      <w:r w:rsidRPr="00E34F04">
        <w:rPr>
          <w:noProof/>
        </w:rPr>
        <w:t>Application to the present case</w:t>
      </w:r>
    </w:p>
    <w:p w:rsidR="00AE2FB1" w:rsidRDefault="00AE2FB1" w:rsidP="001B6501">
      <w:pPr>
        <w:rPr>
          <w:noProof/>
        </w:rPr>
      </w:pPr>
      <w:r>
        <w:rPr>
          <w:noProof/>
        </w:rPr>
        <w:t xml:space="preserve">Pursuant to Regulation (EU) No 1308/2013 of the European Parliament and of the Council and Commission Delegated Regulation (EU) 2019/934, certain resolutions adopted and published by the OIV </w:t>
      </w:r>
      <w:r w:rsidR="00841807">
        <w:rPr>
          <w:noProof/>
        </w:rPr>
        <w:t xml:space="preserve">may </w:t>
      </w:r>
      <w:r>
        <w:rPr>
          <w:noProof/>
        </w:rPr>
        <w:t>have legal effect on EU law</w:t>
      </w:r>
      <w:r w:rsidR="001B6501">
        <w:rPr>
          <w:noProof/>
        </w:rPr>
        <w:t>, in particular those concerning</w:t>
      </w:r>
      <w:r w:rsidR="001B6501" w:rsidRPr="001B6501">
        <w:rPr>
          <w:noProof/>
        </w:rPr>
        <w:t xml:space="preserve"> </w:t>
      </w:r>
      <w:r w:rsidR="001B6501">
        <w:rPr>
          <w:noProof/>
        </w:rPr>
        <w:t>the oenological practices and methods of  analyses recommended</w:t>
      </w:r>
      <w:r>
        <w:rPr>
          <w:noProof/>
        </w:rPr>
        <w:t xml:space="preserve">. The Union position with regard to those resolutions in relation to matters within its competence should therefore be adopted by the Council and expressed at the OIV meetings by the Member States which are members of the OIV, acting jointly in the interest of the Union. </w:t>
      </w:r>
    </w:p>
    <w:p w:rsidR="00AE2FB1" w:rsidRPr="00E34F04" w:rsidRDefault="00AE2FB1" w:rsidP="00AE2FB1">
      <w:pPr>
        <w:rPr>
          <w:noProof/>
        </w:rPr>
      </w:pPr>
      <w:r>
        <w:rPr>
          <w:noProof/>
        </w:rPr>
        <w:t>Therefore, the procedural legal basis for the proposed decision is Article 218(9) TFEU</w:t>
      </w:r>
      <w:r w:rsidRPr="00E34F04">
        <w:rPr>
          <w:noProof/>
        </w:rPr>
        <w:t>.</w:t>
      </w:r>
    </w:p>
    <w:p w:rsidR="00AE2FB1" w:rsidRPr="00E34F04" w:rsidRDefault="00AE2FB1" w:rsidP="00974B16">
      <w:pPr>
        <w:pStyle w:val="ManualHeading2"/>
        <w:rPr>
          <w:noProof/>
        </w:rPr>
      </w:pPr>
      <w:r>
        <w:rPr>
          <w:noProof/>
        </w:rPr>
        <w:t>4.2.</w:t>
      </w:r>
      <w:r>
        <w:rPr>
          <w:noProof/>
        </w:rPr>
        <w:tab/>
      </w:r>
      <w:r w:rsidRPr="00E34F04">
        <w:rPr>
          <w:noProof/>
        </w:rPr>
        <w:t>Substantive legal basis</w:t>
      </w:r>
    </w:p>
    <w:p w:rsidR="00AE2FB1" w:rsidRPr="00E34F04" w:rsidRDefault="00AE2FB1" w:rsidP="00974B16">
      <w:pPr>
        <w:pStyle w:val="ManualHeading3"/>
        <w:rPr>
          <w:noProof/>
        </w:rPr>
      </w:pPr>
      <w:r>
        <w:rPr>
          <w:noProof/>
        </w:rPr>
        <w:t>4.2.1.</w:t>
      </w:r>
      <w:r>
        <w:rPr>
          <w:noProof/>
        </w:rPr>
        <w:tab/>
      </w:r>
      <w:r w:rsidRPr="00E34F04">
        <w:rPr>
          <w:noProof/>
        </w:rPr>
        <w:t>Principles</w:t>
      </w:r>
    </w:p>
    <w:p w:rsidR="00AE2FB1" w:rsidRPr="00E34F04" w:rsidRDefault="00AE2FB1" w:rsidP="00974B16">
      <w:pPr>
        <w:rPr>
          <w:noProof/>
        </w:rPr>
      </w:pPr>
      <w:r w:rsidRPr="00E34F04">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AE2FB1" w:rsidRPr="00E34F04" w:rsidRDefault="00AE2FB1" w:rsidP="00974B16">
      <w:pPr>
        <w:pStyle w:val="ManualHeading3"/>
        <w:rPr>
          <w:noProof/>
        </w:rPr>
      </w:pPr>
      <w:r>
        <w:rPr>
          <w:noProof/>
        </w:rPr>
        <w:t>4.2.2.</w:t>
      </w:r>
      <w:r>
        <w:rPr>
          <w:noProof/>
        </w:rPr>
        <w:tab/>
      </w:r>
      <w:r w:rsidRPr="00E34F04">
        <w:rPr>
          <w:noProof/>
        </w:rPr>
        <w:t>Application to the present case</w:t>
      </w:r>
    </w:p>
    <w:p w:rsidR="00AE2FB1" w:rsidRPr="00526714" w:rsidRDefault="00AE2FB1" w:rsidP="00974B16">
      <w:pPr>
        <w:rPr>
          <w:noProof/>
        </w:rPr>
      </w:pPr>
      <w:r w:rsidRPr="00526714">
        <w:rPr>
          <w:noProof/>
          <w:color w:val="000000" w:themeColor="text1"/>
        </w:rPr>
        <w:t xml:space="preserve">The main objective of the envisaged draft resolutions relates to the harmonisation of wine standards and thus to the implementation of a common </w:t>
      </w:r>
      <w:r w:rsidR="00BC140D" w:rsidRPr="00526714">
        <w:rPr>
          <w:noProof/>
          <w:color w:val="000000" w:themeColor="text1"/>
        </w:rPr>
        <w:t xml:space="preserve">agricultural </w:t>
      </w:r>
      <w:r w:rsidRPr="00526714">
        <w:rPr>
          <w:noProof/>
          <w:color w:val="000000" w:themeColor="text1"/>
        </w:rPr>
        <w:t>policy. Therefore, the substantive legal basis of the proposed decision comprises Article 43 of the TFEU.</w:t>
      </w:r>
    </w:p>
    <w:p w:rsidR="00AE2FB1" w:rsidRPr="00526714" w:rsidRDefault="00AE2FB1" w:rsidP="00974B16">
      <w:pPr>
        <w:pStyle w:val="ManualHeading2"/>
        <w:rPr>
          <w:noProof/>
        </w:rPr>
      </w:pPr>
      <w:r>
        <w:rPr>
          <w:noProof/>
        </w:rPr>
        <w:t>4.3.</w:t>
      </w:r>
      <w:r>
        <w:rPr>
          <w:noProof/>
        </w:rPr>
        <w:tab/>
      </w:r>
      <w:r w:rsidRPr="00526714">
        <w:rPr>
          <w:noProof/>
        </w:rPr>
        <w:t>Conclusion</w:t>
      </w:r>
    </w:p>
    <w:p w:rsidR="00AE2FB1" w:rsidRPr="00E34F04" w:rsidRDefault="00AE2FB1" w:rsidP="00974B16">
      <w:pPr>
        <w:rPr>
          <w:noProof/>
        </w:rPr>
      </w:pPr>
      <w:r w:rsidRPr="00526714">
        <w:rPr>
          <w:noProof/>
        </w:rPr>
        <w:t>The legal basis of the proposed decision should be Article 43, in conjunction with Article 218(9) TFEU.</w:t>
      </w:r>
    </w:p>
    <w:p w:rsidR="00AE2FB1" w:rsidRPr="00E34F04" w:rsidRDefault="00AE2FB1" w:rsidP="00974B16">
      <w:pPr>
        <w:pStyle w:val="ManualHeading1"/>
        <w:rPr>
          <w:noProof/>
        </w:rPr>
      </w:pPr>
      <w:r>
        <w:rPr>
          <w:noProof/>
        </w:rPr>
        <w:lastRenderedPageBreak/>
        <w:t>5.</w:t>
      </w:r>
      <w:r>
        <w:rPr>
          <w:noProof/>
        </w:rPr>
        <w:tab/>
      </w:r>
      <w:r w:rsidRPr="00E34F04">
        <w:rPr>
          <w:noProof/>
        </w:rPr>
        <w:t>Publication of the envisaged act</w:t>
      </w:r>
    </w:p>
    <w:p w:rsidR="00AE2FB1" w:rsidRDefault="00AE2FB1" w:rsidP="00974B16">
      <w:pPr>
        <w:rPr>
          <w:noProof/>
        </w:rPr>
      </w:pPr>
      <w:r>
        <w:rPr>
          <w:noProof/>
        </w:rPr>
        <w:t>Not applicable.</w:t>
      </w:r>
    </w:p>
    <w:p w:rsidR="00AE2FB1" w:rsidRPr="00FD40BA" w:rsidRDefault="00AE2FB1" w:rsidP="00974B16">
      <w:pPr>
        <w:rPr>
          <w:noProof/>
        </w:rPr>
        <w:sectPr w:rsidR="00AE2FB1" w:rsidRPr="00FD40BA" w:rsidSect="00FB1D2F">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rsidR="00586093" w:rsidRDefault="00A66BCB">
      <w:pPr>
        <w:pStyle w:val="Rfrenceinterinstitutionnelle"/>
        <w:rPr>
          <w:noProof/>
        </w:rPr>
      </w:pPr>
      <w:r>
        <w:rPr>
          <w:noProof/>
        </w:rPr>
        <w:lastRenderedPageBreak/>
        <w:t>2026/0227 (NLE)</w:t>
      </w:r>
    </w:p>
    <w:p w:rsidR="00AE2FB1" w:rsidRPr="00E34F04" w:rsidRDefault="0076518C" w:rsidP="0076518C">
      <w:pPr>
        <w:pStyle w:val="Statut"/>
        <w:rPr>
          <w:noProof/>
        </w:rPr>
      </w:pPr>
      <w:r w:rsidRPr="0076518C">
        <w:rPr>
          <w:noProof/>
        </w:rPr>
        <w:t>Proposal for a</w:t>
      </w:r>
    </w:p>
    <w:p w:rsidR="00AE2FB1" w:rsidRPr="00E34F04" w:rsidRDefault="0076518C" w:rsidP="0076518C">
      <w:pPr>
        <w:pStyle w:val="Typedudocument"/>
        <w:rPr>
          <w:noProof/>
        </w:rPr>
      </w:pPr>
      <w:r w:rsidRPr="0076518C">
        <w:rPr>
          <w:noProof/>
        </w:rPr>
        <w:t>COUNCIL DECISION</w:t>
      </w:r>
    </w:p>
    <w:p w:rsidR="00AE2FB1" w:rsidRPr="00E34F04" w:rsidRDefault="0076518C" w:rsidP="0076518C">
      <w:pPr>
        <w:pStyle w:val="Titreobjet"/>
        <w:rPr>
          <w:noProof/>
        </w:rPr>
      </w:pPr>
      <w:r w:rsidRPr="0076518C">
        <w:rPr>
          <w:noProof/>
        </w:rPr>
        <w:t>on the position to be taken on behalf of the European Union in the International Organisation of Vine and Wine (OIV)</w:t>
      </w:r>
    </w:p>
    <w:p w:rsidR="00AE2FB1" w:rsidRPr="00AD2A67" w:rsidRDefault="00AE2FB1" w:rsidP="00974B16">
      <w:pPr>
        <w:pStyle w:val="Institutionquiagit"/>
        <w:rPr>
          <w:noProof/>
        </w:rPr>
      </w:pPr>
      <w:r w:rsidRPr="00AD2A67">
        <w:rPr>
          <w:noProof/>
        </w:rPr>
        <w:t>THE COUNCIL OF THE EUROPEAN UNION,</w:t>
      </w:r>
    </w:p>
    <w:p w:rsidR="004676B9" w:rsidRDefault="004676B9" w:rsidP="004676B9">
      <w:pPr>
        <w:rPr>
          <w:noProof/>
        </w:rPr>
      </w:pPr>
      <w:r>
        <w:rPr>
          <w:noProof/>
        </w:rPr>
        <w:t>Having regard to the Treaty on the Functioning of the European Union, and in particular Article 43, in conjunction with Article 218(9) thereof,</w:t>
      </w:r>
    </w:p>
    <w:p w:rsidR="004676B9" w:rsidRDefault="004676B9" w:rsidP="004676B9">
      <w:pPr>
        <w:rPr>
          <w:noProof/>
        </w:rPr>
      </w:pPr>
      <w:r>
        <w:rPr>
          <w:noProof/>
        </w:rPr>
        <w:t>Having regard to the proposal from the European Commission,</w:t>
      </w:r>
    </w:p>
    <w:p w:rsidR="004676B9" w:rsidRDefault="004676B9" w:rsidP="004676B9">
      <w:pPr>
        <w:rPr>
          <w:noProof/>
        </w:rPr>
      </w:pPr>
      <w:r>
        <w:rPr>
          <w:noProof/>
        </w:rPr>
        <w:t>Whereas:</w:t>
      </w:r>
    </w:p>
    <w:p w:rsidR="004676B9" w:rsidRDefault="004676B9" w:rsidP="0001643A">
      <w:pPr>
        <w:pStyle w:val="ManualConsidrant"/>
        <w:rPr>
          <w:noProof/>
        </w:rPr>
      </w:pPr>
      <w:r>
        <w:rPr>
          <w:noProof/>
        </w:rPr>
        <w:t>(1)</w:t>
      </w:r>
      <w:r>
        <w:rPr>
          <w:noProof/>
        </w:rPr>
        <w:tab/>
        <w:t xml:space="preserve">The International Organisation of Vine and Wine (OIV) will examine and </w:t>
      </w:r>
      <w:r w:rsidR="00BC19F3">
        <w:rPr>
          <w:noProof/>
        </w:rPr>
        <w:t>possibly adopt</w:t>
      </w:r>
      <w:r w:rsidR="00051B27">
        <w:rPr>
          <w:noProof/>
        </w:rPr>
        <w:t xml:space="preserve"> </w:t>
      </w:r>
      <w:r>
        <w:rPr>
          <w:noProof/>
        </w:rPr>
        <w:t xml:space="preserve">resolutions </w:t>
      </w:r>
      <w:r w:rsidR="00BC19F3" w:rsidRPr="00BC19F3">
        <w:rPr>
          <w:noProof/>
        </w:rPr>
        <w:t xml:space="preserve">(‘draft OIV resolutions’) at its next General Assembly </w:t>
      </w:r>
      <w:r w:rsidR="00BC19F3">
        <w:rPr>
          <w:noProof/>
        </w:rPr>
        <w:t xml:space="preserve">on 16 October 2026. Those </w:t>
      </w:r>
      <w:r w:rsidR="00BC19F3" w:rsidRPr="00BC19F3">
        <w:rPr>
          <w:noProof/>
        </w:rPr>
        <w:t>resolutions</w:t>
      </w:r>
      <w:r w:rsidR="00BC19F3">
        <w:rPr>
          <w:noProof/>
        </w:rPr>
        <w:t xml:space="preserve"> will </w:t>
      </w:r>
      <w:r>
        <w:rPr>
          <w:noProof/>
        </w:rPr>
        <w:t xml:space="preserve">have legal effects for the purposes of Article 218(9) </w:t>
      </w:r>
      <w:r w:rsidR="00BC19F3">
        <w:rPr>
          <w:noProof/>
        </w:rPr>
        <w:t>of the Treaty</w:t>
      </w:r>
      <w:r w:rsidRPr="00D66E94">
        <w:rPr>
          <w:noProof/>
        </w:rPr>
        <w:t>.</w:t>
      </w:r>
      <w:r>
        <w:rPr>
          <w:noProof/>
        </w:rPr>
        <w:t xml:space="preserve"> </w:t>
      </w:r>
    </w:p>
    <w:p w:rsidR="004676B9" w:rsidRDefault="004676B9" w:rsidP="004676B9">
      <w:pPr>
        <w:pStyle w:val="ManualConsidrant"/>
        <w:rPr>
          <w:noProof/>
        </w:rPr>
      </w:pPr>
      <w:r>
        <w:rPr>
          <w:noProof/>
        </w:rPr>
        <w:t>(2)</w:t>
      </w:r>
      <w:r>
        <w:rPr>
          <w:noProof/>
        </w:rPr>
        <w:tab/>
      </w:r>
      <w:r w:rsidRPr="1E19B69E">
        <w:rPr>
          <w:noProof/>
        </w:rPr>
        <w:t>The Union is not a member of the OIV. However, on 20 October 2017, the OIV granted</w:t>
      </w:r>
      <w:r w:rsidRPr="1E19B69E">
        <w:rPr>
          <w:noProof/>
          <w:lang w:eastAsia="en-GB"/>
        </w:rPr>
        <w:t xml:space="preserve"> to the Union the particular status provided for in Article 4 of the Rules of Procedure of the OIV. </w:t>
      </w:r>
    </w:p>
    <w:p w:rsidR="004676B9" w:rsidRDefault="004676B9" w:rsidP="005E1AD3">
      <w:pPr>
        <w:pStyle w:val="ManualConsidrant"/>
        <w:rPr>
          <w:noProof/>
        </w:rPr>
      </w:pPr>
      <w:r>
        <w:rPr>
          <w:noProof/>
        </w:rPr>
        <w:t>(3)</w:t>
      </w:r>
      <w:r>
        <w:rPr>
          <w:noProof/>
        </w:rPr>
        <w:tab/>
      </w:r>
      <w:r w:rsidRPr="1E19B69E">
        <w:rPr>
          <w:noProof/>
        </w:rPr>
        <w:t xml:space="preserve">20 Member States are members of the OIV. Those Member States have the possibility to propose amendments to the draft OIV resolutions and will be asked to adopt those resolutions in the next OIV General Assembly on </w:t>
      </w:r>
      <w:r w:rsidR="00BC72B5">
        <w:rPr>
          <w:noProof/>
        </w:rPr>
        <w:t>16 October 2026</w:t>
      </w:r>
      <w:r w:rsidRPr="1E19B69E">
        <w:rPr>
          <w:noProof/>
        </w:rPr>
        <w:t>.</w:t>
      </w:r>
    </w:p>
    <w:p w:rsidR="00D415EB" w:rsidRPr="00D415EB" w:rsidRDefault="00BC19F3" w:rsidP="00BC19F3">
      <w:pPr>
        <w:pStyle w:val="ManualConsidrant"/>
        <w:rPr>
          <w:noProof/>
        </w:rPr>
      </w:pPr>
      <w:r>
        <w:rPr>
          <w:noProof/>
        </w:rPr>
        <w:t>(4)</w:t>
      </w:r>
      <w:r>
        <w:rPr>
          <w:noProof/>
        </w:rPr>
        <w:tab/>
        <w:t xml:space="preserve">It is approriate to establish the position to be taken on the Union’s behalf at the OIV meetings with regard to the draft OIV resolutions in </w:t>
      </w:r>
      <w:r w:rsidR="00D415EB" w:rsidRPr="00D415EB">
        <w:rPr>
          <w:noProof/>
        </w:rPr>
        <w:t>relation to matters within its competence</w:t>
      </w:r>
      <w:r>
        <w:rPr>
          <w:noProof/>
        </w:rPr>
        <w:t>. That position s</w:t>
      </w:r>
      <w:r w:rsidR="00D415EB" w:rsidRPr="00D415EB">
        <w:rPr>
          <w:noProof/>
        </w:rPr>
        <w:t xml:space="preserve">hould </w:t>
      </w:r>
      <w:r>
        <w:rPr>
          <w:noProof/>
        </w:rPr>
        <w:t>be expressed</w:t>
      </w:r>
      <w:r w:rsidR="00D415EB" w:rsidRPr="00D415EB">
        <w:rPr>
          <w:noProof/>
        </w:rPr>
        <w:t xml:space="preserve"> at the OIV meetings </w:t>
      </w:r>
      <w:r w:rsidR="00380090" w:rsidRPr="00380090">
        <w:rPr>
          <w:noProof/>
        </w:rPr>
        <w:t>by the Member States which are members of the OIV, acting jointly in the interest of the Union</w:t>
      </w:r>
      <w:r w:rsidR="00E458CA">
        <w:rPr>
          <w:noProof/>
        </w:rPr>
        <w:t>.</w:t>
      </w:r>
    </w:p>
    <w:p w:rsidR="004676B9" w:rsidRPr="00FB3CDD" w:rsidRDefault="004676B9" w:rsidP="002F34D8">
      <w:pPr>
        <w:pStyle w:val="ManualConsidrant"/>
        <w:rPr>
          <w:noProof/>
        </w:rPr>
      </w:pPr>
      <w:r>
        <w:rPr>
          <w:noProof/>
        </w:rPr>
        <w:t>(5)</w:t>
      </w:r>
      <w:r>
        <w:rPr>
          <w:noProof/>
        </w:rPr>
        <w:tab/>
        <w:t xml:space="preserve">Pursuant to Regulation (EU) No 1308/2013 of the European Parliament and of the </w:t>
      </w:r>
      <w:r w:rsidRPr="00FB3CDD">
        <w:rPr>
          <w:noProof/>
        </w:rPr>
        <w:t>Council</w:t>
      </w:r>
      <w:r w:rsidRPr="00FB3CDD">
        <w:rPr>
          <w:rStyle w:val="FootnoteReference"/>
          <w:noProof/>
        </w:rPr>
        <w:footnoteReference w:id="5"/>
      </w:r>
      <w:r w:rsidRPr="00FB3CDD">
        <w:rPr>
          <w:noProof/>
        </w:rPr>
        <w:t xml:space="preserve"> and Commission Delegated Regulation (EU) 2019/934</w:t>
      </w:r>
      <w:r w:rsidRPr="00FB3CDD">
        <w:rPr>
          <w:rStyle w:val="FootnoteReference"/>
          <w:noProof/>
        </w:rPr>
        <w:footnoteReference w:id="6"/>
      </w:r>
      <w:r w:rsidRPr="00FB3CDD">
        <w:rPr>
          <w:noProof/>
        </w:rPr>
        <w:t>,</w:t>
      </w:r>
      <w:r>
        <w:rPr>
          <w:noProof/>
        </w:rPr>
        <w:t xml:space="preserve"> certain resolutions adopted and published by the OIV will have legal effects</w:t>
      </w:r>
      <w:r w:rsidR="00D94ACE">
        <w:rPr>
          <w:noProof/>
        </w:rPr>
        <w:t>.</w:t>
      </w:r>
      <w:r w:rsidR="03210E86">
        <w:rPr>
          <w:noProof/>
        </w:rPr>
        <w:t xml:space="preserve"> </w:t>
      </w:r>
    </w:p>
    <w:p w:rsidR="002977CD" w:rsidRDefault="002977CD" w:rsidP="002977CD">
      <w:pPr>
        <w:pStyle w:val="ManualConsidrant"/>
        <w:rPr>
          <w:noProof/>
        </w:rPr>
      </w:pPr>
      <w:r>
        <w:rPr>
          <w:noProof/>
        </w:rPr>
        <w:t>(6)</w:t>
      </w:r>
      <w:r>
        <w:rPr>
          <w:noProof/>
        </w:rPr>
        <w:tab/>
      </w:r>
      <w:r w:rsidRPr="1E19B69E">
        <w:rPr>
          <w:noProof/>
        </w:rPr>
        <w:t>Article 80(3)</w:t>
      </w:r>
      <w:r>
        <w:rPr>
          <w:noProof/>
        </w:rPr>
        <w:t xml:space="preserve">, point </w:t>
      </w:r>
      <w:r w:rsidRPr="1E19B69E">
        <w:rPr>
          <w:noProof/>
        </w:rPr>
        <w:t>(a)</w:t>
      </w:r>
      <w:r>
        <w:rPr>
          <w:noProof/>
        </w:rPr>
        <w:t>,</w:t>
      </w:r>
      <w:r w:rsidRPr="1E19B69E">
        <w:rPr>
          <w:noProof/>
        </w:rPr>
        <w:t xml:space="preserve"> of Regulation (EU) No 1308/2013 provides that the Commission is to take into account the oenological practices and methods of analysis recommended and published by the OIV when authorising oenological practices.</w:t>
      </w:r>
    </w:p>
    <w:p w:rsidR="00DC4F70" w:rsidRPr="00DC4F70" w:rsidRDefault="00DC4F70" w:rsidP="00DC4F70">
      <w:pPr>
        <w:pStyle w:val="ManualConsidrant"/>
        <w:rPr>
          <w:noProof/>
        </w:rPr>
      </w:pPr>
      <w:r>
        <w:rPr>
          <w:noProof/>
        </w:rPr>
        <w:lastRenderedPageBreak/>
        <w:t>(7)</w:t>
      </w:r>
      <w:r>
        <w:rPr>
          <w:noProof/>
        </w:rPr>
        <w:tab/>
      </w:r>
      <w:r w:rsidRPr="00DC4F70">
        <w:rPr>
          <w:noProof/>
        </w:rPr>
        <w:t>Article 80(5) of Regulation (EU) No 1308/2013 provides that the Commission, when laying down methods of analysis for determining the composition of the products of the wine sector, is to base those methods on any relevant methods recommended and published by the OIV unless they would be ineffective or inappropriate in view of the objective pursued by the Union.</w:t>
      </w:r>
    </w:p>
    <w:p w:rsidR="002977CD" w:rsidRDefault="002977CD" w:rsidP="002977CD">
      <w:pPr>
        <w:pStyle w:val="ManualConsidrant"/>
        <w:rPr>
          <w:noProof/>
        </w:rPr>
      </w:pPr>
      <w:r>
        <w:rPr>
          <w:noProof/>
        </w:rPr>
        <w:t>(8)</w:t>
      </w:r>
      <w:r>
        <w:rPr>
          <w:noProof/>
        </w:rPr>
        <w:tab/>
      </w:r>
      <w:r w:rsidRPr="1E19B69E">
        <w:rPr>
          <w:noProof/>
        </w:rPr>
        <w:t>Article 90(2) of Regulation (EU) No 1308/2013 provides that products of the wine sector imported into the Union are to be produced in accordance with oenological practices authorised by the Union pursuant to that Regulation or, prior to that authorisation, produced in accordance with oenological practices recommended and published by the OIV.</w:t>
      </w:r>
    </w:p>
    <w:p w:rsidR="002977CD" w:rsidRPr="007036AC" w:rsidRDefault="002977CD" w:rsidP="002977CD">
      <w:pPr>
        <w:pStyle w:val="ManualConsidrant"/>
        <w:rPr>
          <w:noProof/>
        </w:rPr>
      </w:pPr>
      <w:r>
        <w:rPr>
          <w:noProof/>
        </w:rPr>
        <w:t>(9)</w:t>
      </w:r>
      <w:r>
        <w:rPr>
          <w:noProof/>
        </w:rPr>
        <w:tab/>
      </w:r>
      <w:r w:rsidRPr="1E19B69E">
        <w:rPr>
          <w:noProof/>
        </w:rPr>
        <w:t>Article 9(1) of Delegated Regulation (EU) 2019/934 provides that, where they are not laid down by the Commission, the purity and identification</w:t>
      </w:r>
      <w:r w:rsidR="008E3863">
        <w:rPr>
          <w:noProof/>
        </w:rPr>
        <w:t xml:space="preserve"> </w:t>
      </w:r>
      <w:r w:rsidRPr="1E19B69E">
        <w:rPr>
          <w:noProof/>
        </w:rPr>
        <w:t xml:space="preserve">specifications of </w:t>
      </w:r>
      <w:r w:rsidRPr="007036AC">
        <w:rPr>
          <w:noProof/>
        </w:rPr>
        <w:t>substances used in oenological practices are to be those referred to in column 4 of Table 2 of Part A of Annex I to that Regulation, which refer to OIV recommendations.</w:t>
      </w:r>
    </w:p>
    <w:p w:rsidR="00120D24" w:rsidRPr="00526714" w:rsidRDefault="00653349" w:rsidP="00526714">
      <w:pPr>
        <w:pStyle w:val="ManualConsidrant"/>
        <w:rPr>
          <w:noProof/>
          <w:lang w:val="en-US"/>
        </w:rPr>
      </w:pPr>
      <w:r>
        <w:rPr>
          <w:noProof/>
        </w:rPr>
        <w:t>(10)</w:t>
      </w:r>
      <w:r>
        <w:rPr>
          <w:noProof/>
        </w:rPr>
        <w:tab/>
      </w:r>
      <w:bookmarkStart w:id="2" w:name="_Hlk195524822"/>
      <w:r w:rsidRPr="00526714">
        <w:rPr>
          <w:noProof/>
          <w:lang w:val="en-US"/>
        </w:rPr>
        <w:t>D</w:t>
      </w:r>
      <w:r w:rsidR="00D31F9C" w:rsidRPr="00526714">
        <w:rPr>
          <w:noProof/>
          <w:lang w:val="en-US"/>
        </w:rPr>
        <w:t xml:space="preserve">raft </w:t>
      </w:r>
      <w:r w:rsidR="00F81D88" w:rsidRPr="000C75C5">
        <w:rPr>
          <w:noProof/>
        </w:rPr>
        <w:t>Resolution</w:t>
      </w:r>
      <w:r w:rsidR="00044AE4" w:rsidRPr="000C75C5">
        <w:rPr>
          <w:noProof/>
        </w:rPr>
        <w:t>s</w:t>
      </w:r>
      <w:r w:rsidR="00F81D88" w:rsidRPr="000C75C5">
        <w:rPr>
          <w:noProof/>
        </w:rPr>
        <w:t xml:space="preserve"> </w:t>
      </w:r>
      <w:r w:rsidR="0035537D" w:rsidRPr="000C75C5">
        <w:rPr>
          <w:noProof/>
        </w:rPr>
        <w:t xml:space="preserve">OENO-MICRO </w:t>
      </w:r>
      <w:r w:rsidR="000C75C5" w:rsidRPr="000C75C5">
        <w:rPr>
          <w:noProof/>
        </w:rPr>
        <w:t>20</w:t>
      </w:r>
      <w:r w:rsidR="0035537D" w:rsidRPr="000C75C5">
        <w:rPr>
          <w:noProof/>
        </w:rPr>
        <w:t>-</w:t>
      </w:r>
      <w:r w:rsidR="000C75C5" w:rsidRPr="000C75C5">
        <w:rPr>
          <w:noProof/>
        </w:rPr>
        <w:t>669A</w:t>
      </w:r>
      <w:r w:rsidR="008C2C02" w:rsidRPr="000C75C5">
        <w:rPr>
          <w:noProof/>
        </w:rPr>
        <w:t xml:space="preserve"> and </w:t>
      </w:r>
      <w:r w:rsidR="00D2155B" w:rsidRPr="000C75C5">
        <w:rPr>
          <w:noProof/>
        </w:rPr>
        <w:t xml:space="preserve">OENO-MICRO </w:t>
      </w:r>
      <w:r w:rsidR="000C75C5" w:rsidRPr="000C75C5">
        <w:rPr>
          <w:noProof/>
        </w:rPr>
        <w:t>20</w:t>
      </w:r>
      <w:r w:rsidR="00D2155B" w:rsidRPr="000C75C5">
        <w:rPr>
          <w:noProof/>
        </w:rPr>
        <w:t>-</w:t>
      </w:r>
      <w:r w:rsidR="000C75C5" w:rsidRPr="000C75C5">
        <w:rPr>
          <w:noProof/>
        </w:rPr>
        <w:t>669B</w:t>
      </w:r>
      <w:r w:rsidR="008C2C02" w:rsidRPr="000C75C5">
        <w:rPr>
          <w:noProof/>
        </w:rPr>
        <w:t xml:space="preserve"> </w:t>
      </w:r>
      <w:r w:rsidR="00A61595" w:rsidRPr="000C75C5">
        <w:rPr>
          <w:noProof/>
        </w:rPr>
        <w:t xml:space="preserve">propose </w:t>
      </w:r>
      <w:r w:rsidR="000C75C5" w:rsidRPr="000C75C5">
        <w:rPr>
          <w:noProof/>
        </w:rPr>
        <w:t>to expand the application of pulsed electric fields, currently allo</w:t>
      </w:r>
      <w:r w:rsidR="00526714">
        <w:rPr>
          <w:noProof/>
        </w:rPr>
        <w:t>w</w:t>
      </w:r>
      <w:r w:rsidR="000C75C5" w:rsidRPr="000C75C5">
        <w:rPr>
          <w:noProof/>
        </w:rPr>
        <w:t xml:space="preserve">ed for grapes, also to </w:t>
      </w:r>
      <w:r w:rsidR="000C75C5" w:rsidRPr="00526714">
        <w:rPr>
          <w:noProof/>
        </w:rPr>
        <w:t>must and wine res</w:t>
      </w:r>
      <w:r w:rsidR="00131A8D">
        <w:rPr>
          <w:noProof/>
        </w:rPr>
        <w:t>p</w:t>
      </w:r>
      <w:r w:rsidR="000C75C5" w:rsidRPr="00526714">
        <w:rPr>
          <w:noProof/>
        </w:rPr>
        <w:t>ectively, for microbiological stabilisation</w:t>
      </w:r>
      <w:r w:rsidR="00526714">
        <w:rPr>
          <w:noProof/>
        </w:rPr>
        <w:t xml:space="preserve">. </w:t>
      </w:r>
      <w:r w:rsidR="0076518C" w:rsidRPr="0020533B">
        <w:rPr>
          <w:noProof/>
        </w:rPr>
        <w:t xml:space="preserve">Draft </w:t>
      </w:r>
      <w:r w:rsidR="00D26C43">
        <w:rPr>
          <w:noProof/>
        </w:rPr>
        <w:t>r</w:t>
      </w:r>
      <w:r w:rsidR="0076518C" w:rsidRPr="0020533B">
        <w:rPr>
          <w:noProof/>
        </w:rPr>
        <w:t xml:space="preserve">esolution </w:t>
      </w:r>
      <w:r w:rsidR="00D2155B" w:rsidRPr="0020533B">
        <w:rPr>
          <w:noProof/>
        </w:rPr>
        <w:t>OENO-TECHNO 14-540</w:t>
      </w:r>
      <w:r w:rsidR="0076518C" w:rsidRPr="0020533B">
        <w:rPr>
          <w:noProof/>
        </w:rPr>
        <w:t>B establish</w:t>
      </w:r>
      <w:r w:rsidR="00965DA4" w:rsidRPr="0020533B">
        <w:rPr>
          <w:noProof/>
        </w:rPr>
        <w:t>es</w:t>
      </w:r>
      <w:r w:rsidR="0076518C" w:rsidRPr="0020533B">
        <w:rPr>
          <w:noProof/>
        </w:rPr>
        <w:t xml:space="preserve"> specific oenological </w:t>
      </w:r>
      <w:r w:rsidR="002977CD" w:rsidRPr="0020533B">
        <w:rPr>
          <w:noProof/>
        </w:rPr>
        <w:t xml:space="preserve">practices </w:t>
      </w:r>
      <w:r w:rsidR="0076518C" w:rsidRPr="0020533B">
        <w:rPr>
          <w:noProof/>
        </w:rPr>
        <w:t>for partially de-alcoholised wine</w:t>
      </w:r>
      <w:r w:rsidR="002977CD" w:rsidRPr="0020533B">
        <w:rPr>
          <w:noProof/>
        </w:rPr>
        <w:t>s</w:t>
      </w:r>
      <w:r w:rsidR="0076518C" w:rsidRPr="0020533B">
        <w:rPr>
          <w:noProof/>
        </w:rPr>
        <w:t>.</w:t>
      </w:r>
      <w:r w:rsidR="00321371">
        <w:rPr>
          <w:noProof/>
        </w:rPr>
        <w:t xml:space="preserve"> </w:t>
      </w:r>
      <w:r w:rsidR="00D75149">
        <w:rPr>
          <w:noProof/>
        </w:rPr>
        <w:t xml:space="preserve">Draft resolutions </w:t>
      </w:r>
      <w:r w:rsidR="00321371" w:rsidRPr="00B03446">
        <w:rPr>
          <w:noProof/>
        </w:rPr>
        <w:t>OENO-TECHNO 23-734</w:t>
      </w:r>
      <w:r w:rsidR="00321371">
        <w:rPr>
          <w:noProof/>
        </w:rPr>
        <w:t xml:space="preserve"> and </w:t>
      </w:r>
      <w:r w:rsidR="00321371" w:rsidRPr="00B03446">
        <w:rPr>
          <w:noProof/>
        </w:rPr>
        <w:t>OENO-TECHNO 23-735</w:t>
      </w:r>
      <w:r w:rsidR="00321371">
        <w:rPr>
          <w:noProof/>
        </w:rPr>
        <w:t xml:space="preserve"> propose to extend the treatment with </w:t>
      </w:r>
      <w:r w:rsidR="00321371" w:rsidRPr="00321371">
        <w:rPr>
          <w:noProof/>
        </w:rPr>
        <w:t xml:space="preserve">styrene-divinylbenzene adsorbent </w:t>
      </w:r>
      <w:r w:rsidR="000A3641">
        <w:rPr>
          <w:noProof/>
        </w:rPr>
        <w:t>bed</w:t>
      </w:r>
      <w:r w:rsidR="00321371">
        <w:rPr>
          <w:noProof/>
        </w:rPr>
        <w:t xml:space="preserve"> for white must and white wine respectively, to the removal of oxidised and oxidisable polyphenolic compounds</w:t>
      </w:r>
      <w:r w:rsidR="000A3641">
        <w:rPr>
          <w:noProof/>
        </w:rPr>
        <w:t xml:space="preserve"> responsible for browning.</w:t>
      </w:r>
      <w:r w:rsidR="00526714" w:rsidRPr="00526714">
        <w:rPr>
          <w:noProof/>
        </w:rPr>
        <w:t xml:space="preserve"> </w:t>
      </w:r>
      <w:r w:rsidR="00120D24">
        <w:rPr>
          <w:noProof/>
        </w:rPr>
        <w:t xml:space="preserve">Draft resolution </w:t>
      </w:r>
      <w:r w:rsidR="00120D24" w:rsidRPr="00231448">
        <w:rPr>
          <w:noProof/>
        </w:rPr>
        <w:t>OENO-TECHNO 14-544</w:t>
      </w:r>
      <w:r w:rsidR="00120D24">
        <w:rPr>
          <w:noProof/>
        </w:rPr>
        <w:t xml:space="preserve"> </w:t>
      </w:r>
      <w:r w:rsidR="00D26C43">
        <w:rPr>
          <w:noProof/>
        </w:rPr>
        <w:t>proposes the addtion of dimethyl polysiloxane during alcoholic fermentation of must to prevent the formation of foam. Draft resolution</w:t>
      </w:r>
      <w:r w:rsidR="00D26C43" w:rsidRPr="00D26C43">
        <w:rPr>
          <w:noProof/>
        </w:rPr>
        <w:t xml:space="preserve"> </w:t>
      </w:r>
      <w:r w:rsidR="00D26C43" w:rsidRPr="00B03446">
        <w:rPr>
          <w:noProof/>
        </w:rPr>
        <w:t>OENO-TECHNO 20-672A</w:t>
      </w:r>
      <w:r w:rsidR="00D26C43">
        <w:rPr>
          <w:noProof/>
        </w:rPr>
        <w:t xml:space="preserve"> proposes the use of </w:t>
      </w:r>
      <w:r w:rsidR="00D26C43" w:rsidRPr="00D26C43">
        <w:rPr>
          <w:noProof/>
        </w:rPr>
        <w:t>functionalised mesoporous silica</w:t>
      </w:r>
      <w:r w:rsidR="00D26C43">
        <w:rPr>
          <w:noProof/>
        </w:rPr>
        <w:t xml:space="preserve"> </w:t>
      </w:r>
      <w:r w:rsidR="000D7B01">
        <w:rPr>
          <w:noProof/>
        </w:rPr>
        <w:t xml:space="preserve">in must in order to remove unstable proteins in a selective way. Draft resolution </w:t>
      </w:r>
      <w:r w:rsidR="000D7B01" w:rsidRPr="000D7B01">
        <w:rPr>
          <w:noProof/>
        </w:rPr>
        <w:t>OENO-TECHNO 21-706</w:t>
      </w:r>
      <w:r w:rsidR="000D7B01">
        <w:rPr>
          <w:noProof/>
        </w:rPr>
        <w:t xml:space="preserve"> updates the treatment of wines with yeast mannoproteins by defining the objectives for white and rosé wines and </w:t>
      </w:r>
      <w:r w:rsidR="00526714">
        <w:rPr>
          <w:noProof/>
        </w:rPr>
        <w:t>its</w:t>
      </w:r>
      <w:r w:rsidR="000D7B01">
        <w:rPr>
          <w:noProof/>
        </w:rPr>
        <w:t xml:space="preserve"> maximimum dose</w:t>
      </w:r>
      <w:r w:rsidR="00321371">
        <w:rPr>
          <w:noProof/>
        </w:rPr>
        <w:t xml:space="preserve">. </w:t>
      </w:r>
      <w:r w:rsidR="0076518C" w:rsidRPr="0020533B">
        <w:rPr>
          <w:noProof/>
        </w:rPr>
        <w:t xml:space="preserve">Draft Resolution OENO-TECHNO 23-730 </w:t>
      </w:r>
      <w:r w:rsidR="00120D24">
        <w:rPr>
          <w:noProof/>
        </w:rPr>
        <w:t xml:space="preserve">increases the </w:t>
      </w:r>
      <w:r w:rsidR="002977CD" w:rsidRPr="0020533B">
        <w:rPr>
          <w:noProof/>
        </w:rPr>
        <w:t xml:space="preserve">maximum  acceptable </w:t>
      </w:r>
      <w:r w:rsidR="0076518C" w:rsidRPr="0020533B">
        <w:rPr>
          <w:noProof/>
        </w:rPr>
        <w:t>limit of sorbic acid concentration in wine</w:t>
      </w:r>
      <w:r w:rsidR="00120D24">
        <w:rPr>
          <w:noProof/>
        </w:rPr>
        <w:t xml:space="preserve"> from 200 to 250 mg/L specifically </w:t>
      </w:r>
      <w:r w:rsidR="00120D24" w:rsidRPr="00120D24">
        <w:rPr>
          <w:noProof/>
        </w:rPr>
        <w:t xml:space="preserve">for </w:t>
      </w:r>
      <w:r w:rsidR="00120D24" w:rsidRPr="00526714">
        <w:rPr>
          <w:i/>
          <w:iCs/>
          <w:noProof/>
        </w:rPr>
        <w:t>Vitis labrusca</w:t>
      </w:r>
      <w:r w:rsidR="00120D24" w:rsidRPr="00120D24">
        <w:rPr>
          <w:noProof/>
        </w:rPr>
        <w:t xml:space="preserve"> and their hybrids thereof and for special qualitative factors or traditions specific to certain countries, as established by national legislation.</w:t>
      </w:r>
      <w:r w:rsidR="000A3641">
        <w:rPr>
          <w:noProof/>
        </w:rPr>
        <w:t xml:space="preserve"> Draft resolu</w:t>
      </w:r>
      <w:r w:rsidR="00D75149">
        <w:rPr>
          <w:noProof/>
        </w:rPr>
        <w:t>ti</w:t>
      </w:r>
      <w:r w:rsidR="000A3641">
        <w:rPr>
          <w:noProof/>
        </w:rPr>
        <w:t xml:space="preserve">on </w:t>
      </w:r>
      <w:r w:rsidR="000A3641" w:rsidRPr="000A3641">
        <w:rPr>
          <w:noProof/>
        </w:rPr>
        <w:t>OENO-TECHNO 25-761</w:t>
      </w:r>
      <w:r w:rsidR="000A3641">
        <w:rPr>
          <w:noProof/>
        </w:rPr>
        <w:t xml:space="preserve"> updates the file 3.4.21 on malolactic fermentation activato</w:t>
      </w:r>
      <w:r w:rsidR="00526714">
        <w:rPr>
          <w:noProof/>
        </w:rPr>
        <w:t>r</w:t>
      </w:r>
      <w:r w:rsidR="000A3641">
        <w:rPr>
          <w:noProof/>
        </w:rPr>
        <w:t xml:space="preserve"> by specifying the nature of </w:t>
      </w:r>
      <w:r w:rsidR="000A3641" w:rsidRPr="00734958">
        <w:rPr>
          <w:noProof/>
        </w:rPr>
        <w:t xml:space="preserve">the cellulose activator. </w:t>
      </w:r>
      <w:r w:rsidR="00321371" w:rsidRPr="00734958">
        <w:rPr>
          <w:noProof/>
        </w:rPr>
        <w:t>In accordance with Article 80(3), point (a) of Regulation (EU) No 1308/2013</w:t>
      </w:r>
      <w:r w:rsidR="00526714" w:rsidRPr="00734958">
        <w:rPr>
          <w:noProof/>
        </w:rPr>
        <w:t xml:space="preserve"> and Article 9(1) of Delegated Regulation (EU) 2019/934</w:t>
      </w:r>
      <w:r w:rsidR="00321371" w:rsidRPr="00734958">
        <w:rPr>
          <w:noProof/>
        </w:rPr>
        <w:t>, th</w:t>
      </w:r>
      <w:r w:rsidR="00D75149">
        <w:rPr>
          <w:noProof/>
        </w:rPr>
        <w:t>e</w:t>
      </w:r>
      <w:r w:rsidR="00321371" w:rsidRPr="00734958">
        <w:rPr>
          <w:noProof/>
        </w:rPr>
        <w:t>s</w:t>
      </w:r>
      <w:r w:rsidR="00D75149">
        <w:rPr>
          <w:noProof/>
        </w:rPr>
        <w:t>e</w:t>
      </w:r>
      <w:r w:rsidR="00321371" w:rsidRPr="00734958">
        <w:rPr>
          <w:noProof/>
        </w:rPr>
        <w:t xml:space="preserve"> resolution</w:t>
      </w:r>
      <w:r w:rsidR="00D75149">
        <w:rPr>
          <w:noProof/>
        </w:rPr>
        <w:t>s</w:t>
      </w:r>
      <w:r w:rsidR="00321371" w:rsidRPr="00734958">
        <w:rPr>
          <w:noProof/>
        </w:rPr>
        <w:t xml:space="preserve"> will have legal effects</w:t>
      </w:r>
      <w:r w:rsidR="00AD2471" w:rsidRPr="00734958">
        <w:rPr>
          <w:noProof/>
        </w:rPr>
        <w:t>.</w:t>
      </w:r>
    </w:p>
    <w:p w:rsidR="00AD2471" w:rsidRPr="00734958" w:rsidRDefault="00AD2471" w:rsidP="005808BB">
      <w:pPr>
        <w:pStyle w:val="ManualConsidrant"/>
        <w:rPr>
          <w:noProof/>
        </w:rPr>
      </w:pPr>
      <w:r>
        <w:rPr>
          <w:noProof/>
        </w:rPr>
        <w:t>(11)</w:t>
      </w:r>
      <w:r>
        <w:rPr>
          <w:noProof/>
        </w:rPr>
        <w:tab/>
      </w:r>
      <w:r w:rsidRPr="00734958">
        <w:rPr>
          <w:noProof/>
        </w:rPr>
        <w:t>Draft resolution OENO-SPECIF 21-695 add</w:t>
      </w:r>
      <w:r w:rsidR="00734958">
        <w:rPr>
          <w:noProof/>
        </w:rPr>
        <w:t>s</w:t>
      </w:r>
      <w:r w:rsidRPr="00734958">
        <w:rPr>
          <w:noProof/>
        </w:rPr>
        <w:t xml:space="preserve"> the monograph on chelating resins of styrene-divinylbenzeneith iminodiacetic functional group to the International Oenological Codex</w:t>
      </w:r>
      <w:r w:rsidR="00D75149">
        <w:rPr>
          <w:noProof/>
        </w:rPr>
        <w:t>;</w:t>
      </w:r>
      <w:r w:rsidRPr="00734958">
        <w:rPr>
          <w:noProof/>
        </w:rPr>
        <w:t xml:space="preserve"> and </w:t>
      </w:r>
      <w:r w:rsidR="00D75149">
        <w:rPr>
          <w:noProof/>
        </w:rPr>
        <w:t>dra</w:t>
      </w:r>
      <w:r w:rsidR="00B34BB8">
        <w:rPr>
          <w:noProof/>
        </w:rPr>
        <w:t>f</w:t>
      </w:r>
      <w:r w:rsidR="00D75149">
        <w:rPr>
          <w:noProof/>
        </w:rPr>
        <w:t xml:space="preserve">t resolution </w:t>
      </w:r>
      <w:r w:rsidRPr="00734958">
        <w:rPr>
          <w:noProof/>
        </w:rPr>
        <w:t>OENO-SPECIF 23-727 update</w:t>
      </w:r>
      <w:r w:rsidR="00734958">
        <w:rPr>
          <w:noProof/>
        </w:rPr>
        <w:t>s</w:t>
      </w:r>
      <w:r w:rsidRPr="00734958">
        <w:rPr>
          <w:noProof/>
        </w:rPr>
        <w:t xml:space="preserve"> </w:t>
      </w:r>
      <w:r w:rsidR="00840A00" w:rsidRPr="00734958">
        <w:rPr>
          <w:noProof/>
        </w:rPr>
        <w:t>the</w:t>
      </w:r>
      <w:r w:rsidRPr="00734958">
        <w:rPr>
          <w:noProof/>
        </w:rPr>
        <w:t xml:space="preserve"> monograph of citric acid</w:t>
      </w:r>
      <w:r w:rsidR="00840A00" w:rsidRPr="00734958">
        <w:rPr>
          <w:noProof/>
        </w:rPr>
        <w:t>, mainly by distinguishing the two forms monohydrate and anhydrous.</w:t>
      </w:r>
      <w:r w:rsidR="005808BB" w:rsidRPr="00734958">
        <w:rPr>
          <w:noProof/>
        </w:rPr>
        <w:t xml:space="preserve"> </w:t>
      </w:r>
      <w:r w:rsidRPr="00734958">
        <w:rPr>
          <w:noProof/>
        </w:rPr>
        <w:t xml:space="preserve">In accordance with Article 9 of Delegated Regulation (EU) 2019/934, these </w:t>
      </w:r>
      <w:r w:rsidR="00734958">
        <w:rPr>
          <w:noProof/>
        </w:rPr>
        <w:t>r</w:t>
      </w:r>
      <w:r w:rsidRPr="00734958">
        <w:rPr>
          <w:noProof/>
        </w:rPr>
        <w:t>esolutions will have legal effects.</w:t>
      </w:r>
    </w:p>
    <w:p w:rsidR="005808BB" w:rsidRPr="00734958" w:rsidRDefault="005808BB" w:rsidP="005808BB">
      <w:pPr>
        <w:pStyle w:val="ManualConsidrant"/>
        <w:rPr>
          <w:noProof/>
        </w:rPr>
      </w:pPr>
      <w:r>
        <w:rPr>
          <w:noProof/>
        </w:rPr>
        <w:t>(12)</w:t>
      </w:r>
      <w:r>
        <w:rPr>
          <w:noProof/>
        </w:rPr>
        <w:tab/>
      </w:r>
      <w:r w:rsidRPr="00734958">
        <w:rPr>
          <w:noProof/>
        </w:rPr>
        <w:t xml:space="preserve">Draft resolution OENO-SCMA 24-754 proposes to add </w:t>
      </w:r>
      <w:r w:rsidR="00734958" w:rsidRPr="00734958">
        <w:rPr>
          <w:noProof/>
        </w:rPr>
        <w:t xml:space="preserve">a methodology </w:t>
      </w:r>
      <w:r w:rsidRPr="00734958">
        <w:rPr>
          <w:noProof/>
        </w:rPr>
        <w:t xml:space="preserve">for the determination of strontium isotopic ratio (87Sr/86Sr) in wines to the Compendium of International Methods of Wine and Must Analysis. In accordance with </w:t>
      </w:r>
      <w:r w:rsidR="00734958" w:rsidRPr="00734958">
        <w:rPr>
          <w:noProof/>
        </w:rPr>
        <w:t>Article 80(5) of Regulation (EU) No 1308/2013</w:t>
      </w:r>
      <w:r w:rsidRPr="00734958">
        <w:rPr>
          <w:noProof/>
        </w:rPr>
        <w:t xml:space="preserve">, </w:t>
      </w:r>
      <w:r w:rsidR="00734958" w:rsidRPr="00734958">
        <w:rPr>
          <w:noProof/>
        </w:rPr>
        <w:t>this r</w:t>
      </w:r>
      <w:r w:rsidRPr="00734958">
        <w:rPr>
          <w:noProof/>
        </w:rPr>
        <w:t>esolution will have legal effects.</w:t>
      </w:r>
    </w:p>
    <w:p w:rsidR="005808BB" w:rsidRPr="00734958" w:rsidRDefault="005808BB" w:rsidP="000954EC">
      <w:pPr>
        <w:pStyle w:val="ManualConsidrant"/>
        <w:rPr>
          <w:noProof/>
        </w:rPr>
      </w:pPr>
      <w:r>
        <w:rPr>
          <w:noProof/>
        </w:rPr>
        <w:t>(13)</w:t>
      </w:r>
      <w:r>
        <w:rPr>
          <w:noProof/>
        </w:rPr>
        <w:tab/>
      </w:r>
      <w:r w:rsidRPr="00734958">
        <w:rPr>
          <w:noProof/>
        </w:rPr>
        <w:t>Draft resolution SECSAN-SECUAL 23-722</w:t>
      </w:r>
      <w:r w:rsidR="000954EC" w:rsidRPr="00734958">
        <w:rPr>
          <w:noProof/>
        </w:rPr>
        <w:t xml:space="preserve"> update</w:t>
      </w:r>
      <w:r w:rsidR="00734958">
        <w:rPr>
          <w:noProof/>
        </w:rPr>
        <w:t>s</w:t>
      </w:r>
      <w:r w:rsidR="000954EC" w:rsidRPr="00734958">
        <w:rPr>
          <w:noProof/>
        </w:rPr>
        <w:t xml:space="preserve"> the classification of oenological tannins by definig the cases in which they can be considered as additive or as </w:t>
      </w:r>
      <w:r w:rsidR="000954EC" w:rsidRPr="00734958">
        <w:rPr>
          <w:noProof/>
        </w:rPr>
        <w:lastRenderedPageBreak/>
        <w:t>processing aid. In accordance with Article 80(3), point (a) of Regulation (EU) No 1308/2013, and with Article 9 of Delegated Regulation (EU) 2019/934,</w:t>
      </w:r>
      <w:r w:rsidR="00734958">
        <w:rPr>
          <w:noProof/>
        </w:rPr>
        <w:t xml:space="preserve"> </w:t>
      </w:r>
      <w:r w:rsidR="000954EC" w:rsidRPr="00734958">
        <w:rPr>
          <w:noProof/>
        </w:rPr>
        <w:t>th</w:t>
      </w:r>
      <w:r w:rsidR="00734958">
        <w:rPr>
          <w:noProof/>
        </w:rPr>
        <w:t>is</w:t>
      </w:r>
      <w:r w:rsidR="000954EC" w:rsidRPr="00734958">
        <w:rPr>
          <w:noProof/>
        </w:rPr>
        <w:t xml:space="preserve"> </w:t>
      </w:r>
      <w:r w:rsidR="00734958">
        <w:rPr>
          <w:noProof/>
        </w:rPr>
        <w:t>r</w:t>
      </w:r>
      <w:r w:rsidR="000954EC" w:rsidRPr="00734958">
        <w:rPr>
          <w:noProof/>
        </w:rPr>
        <w:t>esolution will have legal effects.</w:t>
      </w:r>
    </w:p>
    <w:bookmarkEnd w:id="2"/>
    <w:p w:rsidR="009741CC" w:rsidRDefault="004676B9" w:rsidP="005E1AD3">
      <w:pPr>
        <w:pStyle w:val="ManualConsidrant"/>
        <w:rPr>
          <w:noProof/>
        </w:rPr>
      </w:pPr>
      <w:r>
        <w:rPr>
          <w:noProof/>
        </w:rPr>
        <w:t>(14)</w:t>
      </w:r>
      <w:r>
        <w:rPr>
          <w:noProof/>
        </w:rPr>
        <w:tab/>
      </w:r>
      <w:r w:rsidRPr="1E19B69E">
        <w:rPr>
          <w:noProof/>
        </w:rPr>
        <w:t>Those draft OIV resolutions have been extensively discussed between scientific and technical experts of the wine sector. They contribute to the international harmonisation of the wine standards and will set a framework which will ensure fair competition in the trading of products of the wine sector. They should therefore be supported</w:t>
      </w:r>
      <w:r w:rsidR="009741CC">
        <w:rPr>
          <w:noProof/>
        </w:rPr>
        <w:t>.</w:t>
      </w:r>
    </w:p>
    <w:p w:rsidR="001D63C6" w:rsidRDefault="001D63C6" w:rsidP="006730F7">
      <w:pPr>
        <w:pStyle w:val="ManualConsidrant"/>
        <w:rPr>
          <w:noProof/>
        </w:rPr>
      </w:pPr>
      <w:r>
        <w:rPr>
          <w:noProof/>
        </w:rPr>
        <w:t>(15)</w:t>
      </w:r>
      <w:r>
        <w:rPr>
          <w:noProof/>
        </w:rPr>
        <w:tab/>
      </w:r>
      <w:r w:rsidRPr="00527B43">
        <w:rPr>
          <w:noProof/>
        </w:rPr>
        <w:t xml:space="preserve">Another </w:t>
      </w:r>
      <w:r>
        <w:rPr>
          <w:noProof/>
        </w:rPr>
        <w:t xml:space="preserve">draft </w:t>
      </w:r>
      <w:r w:rsidRPr="00527B43">
        <w:rPr>
          <w:noProof/>
        </w:rPr>
        <w:t xml:space="preserve">resolution producing legal </w:t>
      </w:r>
      <w:r w:rsidRPr="00734958">
        <w:rPr>
          <w:noProof/>
        </w:rPr>
        <w:t>effects on Union law in accordance with Article 80(3), point (a) of Regulation (EU) No 1308/2013 to be submitted for adoption of the General Assembly</w:t>
      </w:r>
      <w:r>
        <w:rPr>
          <w:noProof/>
        </w:rPr>
        <w:t>,</w:t>
      </w:r>
      <w:r w:rsidRPr="00734958">
        <w:rPr>
          <w:noProof/>
        </w:rPr>
        <w:t xml:space="preserve"> is draft resolution OENO-TECHNO 14-540A</w:t>
      </w:r>
      <w:r>
        <w:rPr>
          <w:noProof/>
        </w:rPr>
        <w:t xml:space="preserve">. This resolution </w:t>
      </w:r>
      <w:r w:rsidRPr="00734958">
        <w:rPr>
          <w:noProof/>
        </w:rPr>
        <w:t>lists oenological practices allowed for the production</w:t>
      </w:r>
      <w:r>
        <w:rPr>
          <w:noProof/>
        </w:rPr>
        <w:t xml:space="preserve"> of de-alcoholised wine. Specifically for the treatment “</w:t>
      </w:r>
      <w:bookmarkStart w:id="3" w:name="_Hlk233624956"/>
      <w:r>
        <w:rPr>
          <w:noProof/>
        </w:rPr>
        <w:t>6.34 Addition of glycerol</w:t>
      </w:r>
      <w:bookmarkEnd w:id="3"/>
      <w:r>
        <w:rPr>
          <w:noProof/>
        </w:rPr>
        <w:t xml:space="preserve">”, the draft resolution recommends </w:t>
      </w:r>
      <w:r w:rsidRPr="00BF404F">
        <w:rPr>
          <w:noProof/>
        </w:rPr>
        <w:t xml:space="preserve">that the total concentration </w:t>
      </w:r>
      <w:r>
        <w:rPr>
          <w:noProof/>
        </w:rPr>
        <w:t xml:space="preserve">of glycerol </w:t>
      </w:r>
      <w:r w:rsidRPr="00BF404F">
        <w:rPr>
          <w:noProof/>
        </w:rPr>
        <w:t>in the de-alcoholised wine must not exceed 50 g/L</w:t>
      </w:r>
      <w:r>
        <w:rPr>
          <w:noProof/>
        </w:rPr>
        <w:t xml:space="preserve">. </w:t>
      </w:r>
      <w:r w:rsidR="003518D8">
        <w:rPr>
          <w:noProof/>
        </w:rPr>
        <w:t xml:space="preserve">The </w:t>
      </w:r>
      <w:r w:rsidR="003518D8" w:rsidRPr="00A82D01">
        <w:rPr>
          <w:noProof/>
        </w:rPr>
        <w:t>European Food Safety Authority (</w:t>
      </w:r>
      <w:r w:rsidR="003518D8">
        <w:rPr>
          <w:noProof/>
        </w:rPr>
        <w:t>‘the Authority’</w:t>
      </w:r>
      <w:r w:rsidR="003518D8" w:rsidRPr="00A82D01">
        <w:rPr>
          <w:noProof/>
        </w:rPr>
        <w:t>)</w:t>
      </w:r>
      <w:r w:rsidR="003518D8">
        <w:rPr>
          <w:noProof/>
        </w:rPr>
        <w:t xml:space="preserve"> </w:t>
      </w:r>
      <w:r>
        <w:rPr>
          <w:noProof/>
        </w:rPr>
        <w:t>published recently a scientific opinion</w:t>
      </w:r>
      <w:r>
        <w:rPr>
          <w:rStyle w:val="FootnoteReference"/>
          <w:noProof/>
        </w:rPr>
        <w:footnoteReference w:id="7"/>
      </w:r>
      <w:r>
        <w:rPr>
          <w:noProof/>
        </w:rPr>
        <w:t xml:space="preserve"> on the safety of acute exposure to the food additive glycerol (E 422) from beverages, including de-alcoholised wines. The </w:t>
      </w:r>
      <w:r w:rsidR="000D7C23">
        <w:rPr>
          <w:noProof/>
        </w:rPr>
        <w:t>opinion</w:t>
      </w:r>
      <w:r>
        <w:rPr>
          <w:noProof/>
        </w:rPr>
        <w:t xml:space="preserve"> concludes that a concentration of 50 g/L in de-alcoholised wines would exc</w:t>
      </w:r>
      <w:r w:rsidR="008D3D5E">
        <w:rPr>
          <w:noProof/>
        </w:rPr>
        <w:t>e</w:t>
      </w:r>
      <w:r>
        <w:rPr>
          <w:noProof/>
        </w:rPr>
        <w:t xml:space="preserve">ed the </w:t>
      </w:r>
      <w:r w:rsidRPr="001D033B">
        <w:rPr>
          <w:noProof/>
        </w:rPr>
        <w:t xml:space="preserve">acute reference dose </w:t>
      </w:r>
      <w:r>
        <w:rPr>
          <w:noProof/>
        </w:rPr>
        <w:t xml:space="preserve">(ARfD) in all polulation groups. The </w:t>
      </w:r>
      <w:r w:rsidR="000D7C23">
        <w:rPr>
          <w:noProof/>
        </w:rPr>
        <w:t>opinion</w:t>
      </w:r>
      <w:r>
        <w:rPr>
          <w:noProof/>
        </w:rPr>
        <w:t xml:space="preserve"> also </w:t>
      </w:r>
      <w:r w:rsidR="000D7C23">
        <w:rPr>
          <w:noProof/>
        </w:rPr>
        <w:t>provides for the</w:t>
      </w:r>
      <w:r w:rsidR="0073324A">
        <w:rPr>
          <w:noProof/>
        </w:rPr>
        <w:t xml:space="preserve"> </w:t>
      </w:r>
      <w:r>
        <w:rPr>
          <w:noProof/>
        </w:rPr>
        <w:t xml:space="preserve">theoretical </w:t>
      </w:r>
      <w:r w:rsidRPr="001D033B">
        <w:rPr>
          <w:noProof/>
        </w:rPr>
        <w:t>maximum concentration</w:t>
      </w:r>
      <w:r>
        <w:rPr>
          <w:noProof/>
        </w:rPr>
        <w:t>s</w:t>
      </w:r>
      <w:r w:rsidRPr="001D033B">
        <w:rPr>
          <w:noProof/>
        </w:rPr>
        <w:t xml:space="preserve"> of </w:t>
      </w:r>
      <w:r w:rsidR="0073324A">
        <w:rPr>
          <w:noProof/>
        </w:rPr>
        <w:t xml:space="preserve">total </w:t>
      </w:r>
      <w:r w:rsidRPr="001D033B">
        <w:rPr>
          <w:noProof/>
        </w:rPr>
        <w:t xml:space="preserve">glycerol (E 422) </w:t>
      </w:r>
      <w:r>
        <w:rPr>
          <w:noProof/>
        </w:rPr>
        <w:t xml:space="preserve">in </w:t>
      </w:r>
      <w:r w:rsidRPr="001D033B">
        <w:rPr>
          <w:noProof/>
        </w:rPr>
        <w:t>de-alcoholised wine, at which exposure does not exceed the ARfD</w:t>
      </w:r>
      <w:r>
        <w:rPr>
          <w:noProof/>
        </w:rPr>
        <w:t xml:space="preserve">, </w:t>
      </w:r>
      <w:r w:rsidR="0073324A">
        <w:rPr>
          <w:noProof/>
        </w:rPr>
        <w:t xml:space="preserve">for different </w:t>
      </w:r>
      <w:r>
        <w:rPr>
          <w:noProof/>
        </w:rPr>
        <w:t>population group</w:t>
      </w:r>
      <w:r w:rsidR="0073324A">
        <w:rPr>
          <w:noProof/>
        </w:rPr>
        <w:t>s</w:t>
      </w:r>
      <w:r>
        <w:rPr>
          <w:noProof/>
        </w:rPr>
        <w:t xml:space="preserve"> and associated volume</w:t>
      </w:r>
      <w:r w:rsidR="0073324A">
        <w:rPr>
          <w:noProof/>
        </w:rPr>
        <w:t>s</w:t>
      </w:r>
      <w:r>
        <w:rPr>
          <w:noProof/>
        </w:rPr>
        <w:t xml:space="preserve"> of single consumption event</w:t>
      </w:r>
      <w:r w:rsidR="00AD613A">
        <w:rPr>
          <w:noProof/>
        </w:rPr>
        <w:t xml:space="preserve">. </w:t>
      </w:r>
      <w:r w:rsidR="008D3D5E">
        <w:rPr>
          <w:noProof/>
        </w:rPr>
        <w:t xml:space="preserve">In the light of these findings, before fixing any level of glycerol in the resolution, </w:t>
      </w:r>
      <w:r w:rsidR="00AD613A">
        <w:rPr>
          <w:noProof/>
        </w:rPr>
        <w:t>there is the need for a</w:t>
      </w:r>
      <w:r w:rsidR="008D3D5E">
        <w:rPr>
          <w:noProof/>
        </w:rPr>
        <w:t>n additional</w:t>
      </w:r>
      <w:r w:rsidR="00AD613A">
        <w:rPr>
          <w:noProof/>
        </w:rPr>
        <w:t xml:space="preserve"> comprehensive assessment based on experimental data, including the identification of </w:t>
      </w:r>
      <w:r w:rsidR="003518D8">
        <w:rPr>
          <w:noProof/>
        </w:rPr>
        <w:t xml:space="preserve">the </w:t>
      </w:r>
      <w:r w:rsidR="00AD613A">
        <w:rPr>
          <w:noProof/>
        </w:rPr>
        <w:t xml:space="preserve">method of analysis, </w:t>
      </w:r>
      <w:r w:rsidR="006730F7">
        <w:rPr>
          <w:noProof/>
        </w:rPr>
        <w:t xml:space="preserve">the relation with the initial presence of glycerol in the product, the impact of the de-alcoholisation process </w:t>
      </w:r>
      <w:r w:rsidR="003518D8">
        <w:rPr>
          <w:noProof/>
        </w:rPr>
        <w:t xml:space="preserve">on </w:t>
      </w:r>
      <w:r w:rsidR="006730F7">
        <w:rPr>
          <w:noProof/>
        </w:rPr>
        <w:t xml:space="preserve">its concentration, </w:t>
      </w:r>
      <w:r w:rsidR="003518D8">
        <w:rPr>
          <w:noProof/>
        </w:rPr>
        <w:t xml:space="preserve">the </w:t>
      </w:r>
      <w:r w:rsidR="006730F7">
        <w:rPr>
          <w:noProof/>
        </w:rPr>
        <w:t>minimum level of exogenous glycerol in relation to its technologic</w:t>
      </w:r>
      <w:r w:rsidR="00B075EF">
        <w:rPr>
          <w:noProof/>
        </w:rPr>
        <w:t>a</w:t>
      </w:r>
      <w:r w:rsidR="006730F7">
        <w:rPr>
          <w:noProof/>
        </w:rPr>
        <w:t>l function</w:t>
      </w:r>
      <w:r w:rsidR="003518D8">
        <w:rPr>
          <w:noProof/>
        </w:rPr>
        <w:t xml:space="preserve"> and the </w:t>
      </w:r>
      <w:r w:rsidR="00B075EF">
        <w:rPr>
          <w:noProof/>
        </w:rPr>
        <w:t>defin</w:t>
      </w:r>
      <w:r w:rsidR="008D3D5E">
        <w:rPr>
          <w:noProof/>
        </w:rPr>
        <w:t>ition</w:t>
      </w:r>
      <w:r w:rsidR="00B075EF">
        <w:rPr>
          <w:noProof/>
        </w:rPr>
        <w:t xml:space="preserve"> </w:t>
      </w:r>
      <w:r w:rsidR="008D3D5E">
        <w:rPr>
          <w:noProof/>
        </w:rPr>
        <w:t xml:space="preserve">of </w:t>
      </w:r>
      <w:r w:rsidR="00B075EF">
        <w:rPr>
          <w:noProof/>
        </w:rPr>
        <w:t>a proper risk management strategy</w:t>
      </w:r>
      <w:r w:rsidR="008D3D5E">
        <w:rPr>
          <w:noProof/>
        </w:rPr>
        <w:t>.</w:t>
      </w:r>
      <w:r w:rsidR="000D7C23">
        <w:rPr>
          <w:noProof/>
        </w:rPr>
        <w:t xml:space="preserve"> </w:t>
      </w:r>
      <w:r>
        <w:rPr>
          <w:noProof/>
        </w:rPr>
        <w:t xml:space="preserve">This resolution should therefore be supported only if </w:t>
      </w:r>
      <w:r w:rsidR="006730F7">
        <w:rPr>
          <w:noProof/>
        </w:rPr>
        <w:t>the specific treatment “</w:t>
      </w:r>
      <w:r w:rsidR="00B075EF">
        <w:rPr>
          <w:noProof/>
        </w:rPr>
        <w:t>6.34 Addition of glycerol</w:t>
      </w:r>
      <w:r w:rsidR="006730F7">
        <w:rPr>
          <w:noProof/>
        </w:rPr>
        <w:t>” is removed from the resolution</w:t>
      </w:r>
      <w:r w:rsidR="00286C02">
        <w:rPr>
          <w:noProof/>
        </w:rPr>
        <w:t xml:space="preserve">, </w:t>
      </w:r>
      <w:r w:rsidR="006730F7">
        <w:rPr>
          <w:noProof/>
        </w:rPr>
        <w:t xml:space="preserve">so </w:t>
      </w:r>
      <w:r w:rsidR="008D3D5E">
        <w:rPr>
          <w:noProof/>
        </w:rPr>
        <w:t xml:space="preserve">as </w:t>
      </w:r>
      <w:r w:rsidR="006730F7">
        <w:rPr>
          <w:noProof/>
        </w:rPr>
        <w:t xml:space="preserve">to allow </w:t>
      </w:r>
      <w:r w:rsidR="00B075EF">
        <w:rPr>
          <w:noProof/>
        </w:rPr>
        <w:t xml:space="preserve">for </w:t>
      </w:r>
      <w:r w:rsidR="00A41BC4">
        <w:rPr>
          <w:noProof/>
        </w:rPr>
        <w:t xml:space="preserve">the comprehensive </w:t>
      </w:r>
      <w:r w:rsidR="006730F7">
        <w:rPr>
          <w:noProof/>
        </w:rPr>
        <w:t xml:space="preserve">scientific assessment </w:t>
      </w:r>
      <w:r w:rsidR="00A41BC4">
        <w:rPr>
          <w:noProof/>
        </w:rPr>
        <w:t>mentioned above</w:t>
      </w:r>
      <w:r w:rsidR="006730F7">
        <w:rPr>
          <w:noProof/>
        </w:rPr>
        <w:t>.</w:t>
      </w:r>
      <w:r w:rsidR="008D3D5E">
        <w:rPr>
          <w:noProof/>
        </w:rPr>
        <w:t xml:space="preserve"> </w:t>
      </w:r>
    </w:p>
    <w:p w:rsidR="00AE2FB1" w:rsidRPr="00E34F04" w:rsidRDefault="004676B9" w:rsidP="005E1AD3">
      <w:pPr>
        <w:pStyle w:val="ManualConsidrant"/>
        <w:rPr>
          <w:noProof/>
        </w:rPr>
      </w:pPr>
      <w:r>
        <w:rPr>
          <w:noProof/>
        </w:rPr>
        <w:t>(16)</w:t>
      </w:r>
      <w:r>
        <w:rPr>
          <w:noProof/>
        </w:rPr>
        <w:tab/>
      </w:r>
      <w:r w:rsidRPr="1E19B69E">
        <w:rPr>
          <w:noProof/>
        </w:rPr>
        <w:t xml:space="preserve">In order to allow for the necessary flexibility during the negotiations ahead of the OIV General Assembly on </w:t>
      </w:r>
      <w:r w:rsidR="00134BC2">
        <w:rPr>
          <w:noProof/>
        </w:rPr>
        <w:t>16 October 2026</w:t>
      </w:r>
      <w:r w:rsidRPr="1E19B69E">
        <w:rPr>
          <w:noProof/>
        </w:rPr>
        <w:t>, Member States which are members of the OIV should be authorised to agree changes to those draft OIV resolutions provided that such changes do not alter the substance thereof,</w:t>
      </w:r>
    </w:p>
    <w:p w:rsidR="00AE2FB1" w:rsidRPr="00E34F04" w:rsidRDefault="00AE2FB1" w:rsidP="00974B16">
      <w:pPr>
        <w:pStyle w:val="Formuledadoption"/>
        <w:rPr>
          <w:noProof/>
        </w:rPr>
      </w:pPr>
      <w:r w:rsidRPr="00E34F04">
        <w:rPr>
          <w:noProof/>
        </w:rPr>
        <w:t>HAS ADOPTED THIS DECISION:</w:t>
      </w:r>
    </w:p>
    <w:p w:rsidR="00AE2FB1" w:rsidRPr="00E34F04" w:rsidRDefault="00AE2FB1" w:rsidP="00974B16">
      <w:pPr>
        <w:pStyle w:val="Titrearticle"/>
        <w:rPr>
          <w:noProof/>
        </w:rPr>
      </w:pPr>
      <w:r w:rsidRPr="00E34F04">
        <w:rPr>
          <w:noProof/>
        </w:rPr>
        <w:t>Article 1</w:t>
      </w:r>
    </w:p>
    <w:p w:rsidR="00F020D7" w:rsidRDefault="004676B9" w:rsidP="00974B16">
      <w:pPr>
        <w:jc w:val="left"/>
        <w:rPr>
          <w:noProof/>
        </w:rPr>
      </w:pPr>
      <w:r>
        <w:rPr>
          <w:noProof/>
        </w:rPr>
        <w:t xml:space="preserve">The position </w:t>
      </w:r>
      <w:r w:rsidR="00F020D7">
        <w:rPr>
          <w:noProof/>
        </w:rPr>
        <w:t xml:space="preserve">to be taken on the Union’s behalf in the OIV General Assembly scheduled for </w:t>
      </w:r>
      <w:r w:rsidR="00134BC2">
        <w:rPr>
          <w:noProof/>
        </w:rPr>
        <w:t>16</w:t>
      </w:r>
      <w:r w:rsidR="00A27060">
        <w:rPr>
          <w:noProof/>
        </w:rPr>
        <w:t xml:space="preserve"> </w:t>
      </w:r>
      <w:r w:rsidR="00134BC2">
        <w:rPr>
          <w:noProof/>
        </w:rPr>
        <w:t>October 2026</w:t>
      </w:r>
      <w:r w:rsidR="00F020D7">
        <w:rPr>
          <w:noProof/>
        </w:rPr>
        <w:t xml:space="preserve"> </w:t>
      </w:r>
      <w:r>
        <w:rPr>
          <w:noProof/>
        </w:rPr>
        <w:t>is set out in the Annex</w:t>
      </w:r>
      <w:r w:rsidR="00134BC2">
        <w:rPr>
          <w:noProof/>
        </w:rPr>
        <w:t xml:space="preserve"> to this Decision.</w:t>
      </w:r>
    </w:p>
    <w:p w:rsidR="00F020D7" w:rsidRDefault="00F020D7" w:rsidP="00F020D7">
      <w:pPr>
        <w:pStyle w:val="Titrearticle"/>
        <w:rPr>
          <w:noProof/>
        </w:rPr>
      </w:pPr>
      <w:r>
        <w:rPr>
          <w:noProof/>
        </w:rPr>
        <w:t>Article 2</w:t>
      </w:r>
    </w:p>
    <w:p w:rsidR="00AE2FB1" w:rsidRPr="00E34F04" w:rsidRDefault="00F020D7" w:rsidP="00974B16">
      <w:pPr>
        <w:jc w:val="left"/>
        <w:rPr>
          <w:i/>
          <w:noProof/>
        </w:rPr>
      </w:pPr>
      <w:r>
        <w:rPr>
          <w:noProof/>
        </w:rPr>
        <w:t xml:space="preserve">The position referred to in Article 1 shall be expressed by the </w:t>
      </w:r>
      <w:r w:rsidR="004676B9">
        <w:rPr>
          <w:noProof/>
        </w:rPr>
        <w:t xml:space="preserve">Member States </w:t>
      </w:r>
      <w:r>
        <w:rPr>
          <w:noProof/>
        </w:rPr>
        <w:t xml:space="preserve">of the Union which </w:t>
      </w:r>
      <w:r w:rsidR="004676B9">
        <w:rPr>
          <w:noProof/>
        </w:rPr>
        <w:t>are Members of the OIV, acting jointly</w:t>
      </w:r>
      <w:r w:rsidR="00134BC2">
        <w:rPr>
          <w:noProof/>
        </w:rPr>
        <w:t xml:space="preserve"> in the interest of the Union.</w:t>
      </w:r>
    </w:p>
    <w:p w:rsidR="00AE2FB1" w:rsidRPr="00E34F04" w:rsidRDefault="00AE2FB1" w:rsidP="00974B16">
      <w:pPr>
        <w:pStyle w:val="Titrearticle"/>
        <w:rPr>
          <w:noProof/>
        </w:rPr>
      </w:pPr>
      <w:r w:rsidRPr="00E34F04">
        <w:rPr>
          <w:noProof/>
        </w:rPr>
        <w:lastRenderedPageBreak/>
        <w:t>Article</w:t>
      </w:r>
      <w:r w:rsidR="004676B9">
        <w:rPr>
          <w:noProof/>
        </w:rPr>
        <w:t xml:space="preserve"> </w:t>
      </w:r>
      <w:r w:rsidR="00F020D7">
        <w:rPr>
          <w:noProof/>
        </w:rPr>
        <w:t>3</w:t>
      </w:r>
    </w:p>
    <w:p w:rsidR="004676B9" w:rsidRDefault="004676B9" w:rsidP="005E1AD3">
      <w:pPr>
        <w:pStyle w:val="Point0"/>
        <w:rPr>
          <w:noProof/>
        </w:rPr>
      </w:pPr>
      <w:r>
        <w:rPr>
          <w:noProof/>
        </w:rPr>
        <w:t>1.</w:t>
      </w:r>
      <w:r>
        <w:rPr>
          <w:noProof/>
        </w:rPr>
        <w:tab/>
        <w:t>Where the position referred to in Article 1 is likely to be affected by new scientific or technical information presented before or during the OIV meetings, Member States which are Members of the OIV shall request that the voting in the OIV General Assembly be postponed until the position of the Union is established on the basis of the new information.</w:t>
      </w:r>
    </w:p>
    <w:p w:rsidR="00AE2FB1" w:rsidRPr="00E34F04" w:rsidRDefault="004676B9" w:rsidP="005E1AD3">
      <w:pPr>
        <w:pStyle w:val="Point0"/>
        <w:rPr>
          <w:noProof/>
        </w:rPr>
      </w:pPr>
      <w:r>
        <w:rPr>
          <w:noProof/>
        </w:rPr>
        <w:t>2.</w:t>
      </w:r>
      <w:r>
        <w:rPr>
          <w:noProof/>
        </w:rPr>
        <w:tab/>
        <w:t xml:space="preserve">Following coordination and without further decision of the Council establishing the position </w:t>
      </w:r>
      <w:r w:rsidR="00134BC2">
        <w:rPr>
          <w:noProof/>
        </w:rPr>
        <w:t>to be taken on the</w:t>
      </w:r>
      <w:r>
        <w:rPr>
          <w:noProof/>
        </w:rPr>
        <w:t xml:space="preserve"> Union</w:t>
      </w:r>
      <w:r w:rsidR="00134BC2">
        <w:rPr>
          <w:noProof/>
        </w:rPr>
        <w:t>’s behalf</w:t>
      </w:r>
      <w:r>
        <w:rPr>
          <w:noProof/>
        </w:rPr>
        <w:t xml:space="preserve">, the Member States which are Members of the OIV, acting jointly </w:t>
      </w:r>
      <w:r w:rsidR="00134BC2">
        <w:rPr>
          <w:noProof/>
        </w:rPr>
        <w:t>in the interest of</w:t>
      </w:r>
      <w:r>
        <w:rPr>
          <w:noProof/>
        </w:rPr>
        <w:t xml:space="preserve"> the Union, may agree to </w:t>
      </w:r>
      <w:r w:rsidR="00F020D7">
        <w:rPr>
          <w:noProof/>
        </w:rPr>
        <w:t xml:space="preserve">technical </w:t>
      </w:r>
      <w:r>
        <w:rPr>
          <w:noProof/>
        </w:rPr>
        <w:t xml:space="preserve">changes to the draft </w:t>
      </w:r>
      <w:r w:rsidR="00134BC2">
        <w:rPr>
          <w:noProof/>
        </w:rPr>
        <w:t xml:space="preserve">OIV </w:t>
      </w:r>
      <w:r>
        <w:rPr>
          <w:noProof/>
        </w:rPr>
        <w:t xml:space="preserve">resolutions referred to in the Annex </w:t>
      </w:r>
      <w:r w:rsidR="00134BC2">
        <w:rPr>
          <w:noProof/>
        </w:rPr>
        <w:t xml:space="preserve">to this Decision </w:t>
      </w:r>
      <w:r>
        <w:rPr>
          <w:noProof/>
        </w:rPr>
        <w:t>which do not alter the substance thereof</w:t>
      </w:r>
      <w:r w:rsidR="00AE2FB1" w:rsidRPr="00E34F04">
        <w:rPr>
          <w:noProof/>
        </w:rPr>
        <w:t>.</w:t>
      </w:r>
    </w:p>
    <w:p w:rsidR="00AE2FB1" w:rsidRPr="00E34F04" w:rsidRDefault="00AE2FB1" w:rsidP="00974B16">
      <w:pPr>
        <w:pStyle w:val="Titrearticle"/>
        <w:rPr>
          <w:noProof/>
        </w:rPr>
      </w:pPr>
      <w:r w:rsidRPr="00E34F04">
        <w:rPr>
          <w:noProof/>
        </w:rPr>
        <w:t>Article</w:t>
      </w:r>
      <w:r w:rsidR="004676B9">
        <w:rPr>
          <w:noProof/>
        </w:rPr>
        <w:t xml:space="preserve"> </w:t>
      </w:r>
      <w:r w:rsidR="00F52B32">
        <w:rPr>
          <w:noProof/>
        </w:rPr>
        <w:t>4</w:t>
      </w:r>
    </w:p>
    <w:p w:rsidR="00AE2FB1" w:rsidRDefault="00134BC2" w:rsidP="00974B16">
      <w:pPr>
        <w:rPr>
          <w:noProof/>
        </w:rPr>
      </w:pPr>
      <w:r>
        <w:rPr>
          <w:noProof/>
        </w:rPr>
        <w:t>This Decision shall enter into force on the date of its adoption</w:t>
      </w:r>
    </w:p>
    <w:p w:rsidR="00134BC2" w:rsidRPr="00E34F04" w:rsidRDefault="00134BC2" w:rsidP="00974B16">
      <w:pPr>
        <w:rPr>
          <w:noProof/>
        </w:rPr>
      </w:pPr>
    </w:p>
    <w:p w:rsidR="00AE2FB1" w:rsidRDefault="0076518C" w:rsidP="00306A5B">
      <w:pPr>
        <w:pStyle w:val="Fait"/>
        <w:rPr>
          <w:noProof/>
        </w:rPr>
      </w:pPr>
      <w:r>
        <w:rPr>
          <w:noProof/>
        </w:rPr>
        <w:t>Done at Brussels,</w:t>
      </w:r>
    </w:p>
    <w:p w:rsidR="00AE2FB1" w:rsidRPr="00237743" w:rsidRDefault="00AE2FB1" w:rsidP="00306A5B">
      <w:pPr>
        <w:pStyle w:val="Institutionquisigne"/>
        <w:rPr>
          <w:noProof/>
        </w:rPr>
      </w:pPr>
      <w:r w:rsidRPr="00AE2FB1">
        <w:rPr>
          <w:noProof/>
        </w:rPr>
        <w:tab/>
        <w:t xml:space="preserve">For </w:t>
      </w:r>
      <w:r w:rsidRPr="00237743">
        <w:rPr>
          <w:noProof/>
        </w:rPr>
        <w:t>the Council</w:t>
      </w:r>
    </w:p>
    <w:p w:rsidR="00AE2FB1" w:rsidRPr="00AE2FB1" w:rsidRDefault="00AE2FB1" w:rsidP="00AE2FB1">
      <w:pPr>
        <w:pStyle w:val="Personnequisigne"/>
        <w:rPr>
          <w:noProof/>
        </w:rPr>
      </w:pPr>
      <w:r w:rsidRPr="00237743">
        <w:rPr>
          <w:noProof/>
        </w:rPr>
        <w:tab/>
        <w:t>The President</w:t>
      </w:r>
      <w:r w:rsidR="004676B9" w:rsidRPr="00C17584">
        <w:rPr>
          <w:noProof/>
        </w:rPr>
        <w:br/>
      </w:r>
      <w:r w:rsidR="004676B9" w:rsidRPr="00C17584">
        <w:rPr>
          <w:noProof/>
        </w:rPr>
        <w:tab/>
      </w:r>
    </w:p>
    <w:sectPr w:rsidR="00AE2FB1" w:rsidRPr="00AE2FB1" w:rsidSect="00FB1D2F">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BE7" w:rsidRDefault="002E7BE7" w:rsidP="00AE2FB1">
      <w:pPr>
        <w:spacing w:before="0" w:after="0"/>
      </w:pPr>
      <w:r>
        <w:separator/>
      </w:r>
    </w:p>
  </w:endnote>
  <w:endnote w:type="continuationSeparator" w:id="0">
    <w:p w:rsidR="002E7BE7" w:rsidRDefault="002E7BE7" w:rsidP="00AE2FB1">
      <w:pPr>
        <w:spacing w:before="0" w:after="0"/>
      </w:pPr>
      <w:r>
        <w:continuationSeparator/>
      </w:r>
    </w:p>
  </w:endnote>
  <w:endnote w:type="continuationNotice" w:id="1">
    <w:p w:rsidR="002E7BE7" w:rsidRDefault="002E7BE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D2F" w:rsidRPr="00FB1D2F" w:rsidRDefault="00FB1D2F" w:rsidP="00FB1D2F">
    <w:pPr>
      <w:pStyle w:val="Footer"/>
      <w:rPr>
        <w:rFonts w:ascii="Arial" w:hAnsi="Arial" w:cs="Arial"/>
        <w:b/>
        <w:sz w:val="48"/>
      </w:rPr>
    </w:pPr>
    <w:r w:rsidRPr="00FB1D2F">
      <w:rPr>
        <w:rFonts w:ascii="Arial" w:hAnsi="Arial" w:cs="Arial"/>
        <w:b/>
        <w:sz w:val="48"/>
      </w:rPr>
      <w:t>EN</w:t>
    </w:r>
    <w:r w:rsidRPr="00FB1D2F">
      <w:rPr>
        <w:rFonts w:ascii="Arial" w:hAnsi="Arial" w:cs="Arial"/>
        <w:b/>
        <w:sz w:val="48"/>
      </w:rPr>
      <w:tab/>
    </w:r>
    <w:r w:rsidRPr="00FB1D2F">
      <w:rPr>
        <w:rFonts w:ascii="Arial" w:hAnsi="Arial" w:cs="Arial"/>
        <w:b/>
        <w:sz w:val="48"/>
      </w:rPr>
      <w:tab/>
    </w:r>
    <w:r w:rsidRPr="00FB1D2F">
      <w:tab/>
    </w:r>
    <w:r w:rsidRPr="00FB1D2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D2F" w:rsidRPr="00FB1D2F" w:rsidRDefault="00FB1D2F" w:rsidP="00FB1D2F">
    <w:pPr>
      <w:pStyle w:val="Footer"/>
      <w:rPr>
        <w:rFonts w:ascii="Arial" w:hAnsi="Arial" w:cs="Arial"/>
        <w:b/>
        <w:sz w:val="48"/>
      </w:rPr>
    </w:pPr>
    <w:r w:rsidRPr="00FB1D2F">
      <w:rPr>
        <w:rFonts w:ascii="Arial" w:hAnsi="Arial" w:cs="Arial"/>
        <w:b/>
        <w:sz w:val="48"/>
      </w:rPr>
      <w:t>EN</w:t>
    </w:r>
    <w:r w:rsidRPr="00FB1D2F">
      <w:rPr>
        <w:rFonts w:ascii="Arial" w:hAnsi="Arial" w:cs="Arial"/>
        <w:b/>
        <w:sz w:val="48"/>
      </w:rPr>
      <w:tab/>
    </w:r>
    <w:r w:rsidRPr="00FB1D2F">
      <w:rPr>
        <w:rFonts w:ascii="Arial" w:hAnsi="Arial" w:cs="Arial"/>
        <w:b/>
        <w:sz w:val="48"/>
      </w:rPr>
      <w:tab/>
    </w:r>
    <w:r w:rsidRPr="00FB1D2F">
      <w:tab/>
    </w:r>
    <w:r w:rsidRPr="00FB1D2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D2F" w:rsidRDefault="00FB1D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D2F" w:rsidRPr="00FB1D2F" w:rsidRDefault="00FB1D2F" w:rsidP="00FB1D2F">
    <w:pPr>
      <w:pStyle w:val="Footer"/>
      <w:rPr>
        <w:rFonts w:ascii="Arial" w:hAnsi="Arial" w:cs="Arial"/>
        <w:b/>
        <w:sz w:val="48"/>
      </w:rPr>
    </w:pPr>
    <w:r w:rsidRPr="00FB1D2F">
      <w:rPr>
        <w:rFonts w:ascii="Arial" w:hAnsi="Arial" w:cs="Arial"/>
        <w:b/>
        <w:sz w:val="48"/>
      </w:rPr>
      <w:t>EN</w:t>
    </w:r>
    <w:r w:rsidRPr="00FB1D2F">
      <w:rPr>
        <w:rFonts w:ascii="Arial" w:hAnsi="Arial" w:cs="Arial"/>
        <w:b/>
        <w:sz w:val="48"/>
      </w:rPr>
      <w:tab/>
    </w:r>
    <w:r>
      <w:fldChar w:fldCharType="begin"/>
    </w:r>
    <w:r>
      <w:instrText xml:space="preserve"> PAGE  \* MERGEFORMAT </w:instrText>
    </w:r>
    <w:r>
      <w:fldChar w:fldCharType="separate"/>
    </w:r>
    <w:r w:rsidR="00306A5B">
      <w:rPr>
        <w:noProof/>
      </w:rPr>
      <w:t>8</w:t>
    </w:r>
    <w:r>
      <w:fldChar w:fldCharType="end"/>
    </w:r>
    <w:r>
      <w:tab/>
    </w:r>
    <w:r w:rsidRPr="00FB1D2F">
      <w:tab/>
    </w:r>
    <w:r w:rsidRPr="00FB1D2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D2F" w:rsidRDefault="00FB1D2F" w:rsidP="00FB1D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BE7" w:rsidRDefault="002E7BE7" w:rsidP="00AE2FB1">
      <w:pPr>
        <w:spacing w:before="0" w:after="0"/>
      </w:pPr>
      <w:r>
        <w:separator/>
      </w:r>
    </w:p>
  </w:footnote>
  <w:footnote w:type="continuationSeparator" w:id="0">
    <w:p w:rsidR="002E7BE7" w:rsidRDefault="002E7BE7" w:rsidP="00AE2FB1">
      <w:pPr>
        <w:spacing w:before="0" w:after="0"/>
      </w:pPr>
      <w:r>
        <w:continuationSeparator/>
      </w:r>
    </w:p>
  </w:footnote>
  <w:footnote w:type="continuationNotice" w:id="1">
    <w:p w:rsidR="002E7BE7" w:rsidRDefault="002E7BE7">
      <w:pPr>
        <w:spacing w:before="0" w:after="0"/>
      </w:pPr>
    </w:p>
  </w:footnote>
  <w:footnote w:id="2">
    <w:p w:rsidR="00A82D01" w:rsidRPr="00BF404F" w:rsidRDefault="00A82D01" w:rsidP="00A82D01">
      <w:pPr>
        <w:pStyle w:val="FootnoteText"/>
        <w:jc w:val="left"/>
      </w:pPr>
      <w:r w:rsidRPr="00A47319">
        <w:rPr>
          <w:rStyle w:val="FootnoteReference"/>
        </w:rPr>
        <w:footnoteRef/>
      </w:r>
      <w:r w:rsidR="00A47319">
        <w:tab/>
      </w:r>
      <w:r w:rsidRPr="00BF404F">
        <w:t>Safety of acute exposure to the food additive glycerol (E 422) from beverages</w:t>
      </w:r>
      <w:r>
        <w:t xml:space="preserve">. </w:t>
      </w:r>
      <w:hyperlink r:id="rId1" w:history="1">
        <w:r w:rsidRPr="000506C0">
          <w:rPr>
            <w:rStyle w:val="Hyperlink"/>
          </w:rPr>
          <w:t>https://efsa.onlinelibrary.wiley.com/doi/10.2903/j.efsa.2026.10057</w:t>
        </w:r>
      </w:hyperlink>
      <w:r>
        <w:t xml:space="preserve"> </w:t>
      </w:r>
    </w:p>
  </w:footnote>
  <w:footnote w:id="3">
    <w:p w:rsidR="00AE2FB1" w:rsidRPr="00B035F8" w:rsidRDefault="00AE2FB1" w:rsidP="00974B16">
      <w:pPr>
        <w:pStyle w:val="FootnoteText"/>
      </w:pPr>
      <w:r w:rsidRPr="00B035F8">
        <w:rPr>
          <w:rStyle w:val="FootnoteReference"/>
        </w:rPr>
        <w:footnoteRef/>
      </w:r>
      <w:r w:rsidRPr="00B035F8">
        <w:tab/>
        <w:t xml:space="preserve">Judgment of the Court of Justice of 7 October 2014, Germany v Council, C-399/12, ECLI:EU:C:2014:2258, paragraph 64. </w:t>
      </w:r>
    </w:p>
  </w:footnote>
  <w:footnote w:id="4">
    <w:p w:rsidR="00AE2FB1" w:rsidRPr="00B035F8" w:rsidRDefault="00AE2FB1" w:rsidP="00974B16">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5">
    <w:p w:rsidR="004676B9" w:rsidRDefault="004676B9" w:rsidP="004676B9">
      <w:pPr>
        <w:pStyle w:val="FootnoteText"/>
      </w:pPr>
      <w:r>
        <w:rPr>
          <w:rStyle w:val="FootnoteReference"/>
        </w:rPr>
        <w:footnoteRef/>
      </w:r>
      <w:r>
        <w:tab/>
        <w:t>Regulation (EU) No 1308/2013 of the European Parliament and of the Council of 17 December 2013 establishing a common organisation of the markets in agricultural products and repealing Council Regulations (EEC) No 922/72, (EEC) No 234/79, (EC) No 1037/2001 and (EC) No 1234/2007 (OJ L 347, 20.12.2013, p. 671</w:t>
      </w:r>
      <w:r w:rsidR="00F60FB5">
        <w:t xml:space="preserve">, </w:t>
      </w:r>
      <w:r w:rsidR="00F60FB5" w:rsidRPr="00F60FB5">
        <w:t xml:space="preserve">ELI: </w:t>
      </w:r>
      <w:hyperlink r:id="rId2" w:history="1">
        <w:r w:rsidR="00B1270C" w:rsidRPr="00D1592B">
          <w:rPr>
            <w:rStyle w:val="Hyperlink"/>
          </w:rPr>
          <w:t>http://data.europa.eu/eli/reg/2013/1308/oj</w:t>
        </w:r>
      </w:hyperlink>
      <w:r>
        <w:t>).</w:t>
      </w:r>
    </w:p>
  </w:footnote>
  <w:footnote w:id="6">
    <w:p w:rsidR="004676B9" w:rsidRDefault="004676B9" w:rsidP="004676B9">
      <w:pPr>
        <w:pStyle w:val="FootnoteText"/>
      </w:pPr>
      <w:r>
        <w:rPr>
          <w:rStyle w:val="FootnoteReference"/>
        </w:rPr>
        <w:footnoteRef/>
      </w:r>
      <w:r>
        <w:tab/>
        <w:t>Commission Delegated Regulation (EU) 2019/934 of 12 March 2019 supplementing Regulation (EU) No 1308/2013 of the European Parliament and of the Council as regards wine-growing areas where the alcoholic strength may be increased, authorised oenological practices and restrictions applicable to the production and conservation of grapevine products, the minimum percentage of alcohol for by-products and their disposal, and publication of OIV files (</w:t>
      </w:r>
      <w:r>
        <w:rPr>
          <w:iCs/>
        </w:rPr>
        <w:t>OJ L 149, 7.6.2019, p. 1</w:t>
      </w:r>
      <w:r w:rsidR="00F60FB5">
        <w:rPr>
          <w:iCs/>
        </w:rPr>
        <w:t xml:space="preserve">, </w:t>
      </w:r>
      <w:r w:rsidR="00F60FB5" w:rsidRPr="00F60FB5">
        <w:rPr>
          <w:iCs/>
        </w:rPr>
        <w:t xml:space="preserve">ELI: </w:t>
      </w:r>
      <w:hyperlink r:id="rId3" w:history="1">
        <w:r w:rsidR="00B1270C" w:rsidRPr="00D1592B">
          <w:rPr>
            <w:rStyle w:val="Hyperlink"/>
            <w:iCs/>
          </w:rPr>
          <w:t>http://data.europa.eu/eli/reg_del/2019/934/oj</w:t>
        </w:r>
      </w:hyperlink>
      <w:r>
        <w:t>).</w:t>
      </w:r>
    </w:p>
  </w:footnote>
  <w:footnote w:id="7">
    <w:p w:rsidR="001D63C6" w:rsidRPr="00BF404F" w:rsidRDefault="001D63C6" w:rsidP="001D63C6">
      <w:pPr>
        <w:pStyle w:val="FootnoteText"/>
        <w:jc w:val="left"/>
      </w:pPr>
      <w:r w:rsidRPr="00A47319">
        <w:rPr>
          <w:rStyle w:val="FootnoteReference"/>
        </w:rPr>
        <w:footnoteRef/>
      </w:r>
      <w:r w:rsidR="00A47319">
        <w:tab/>
      </w:r>
      <w:r w:rsidRPr="00BF404F">
        <w:t>Safety of acute exposure to the food additive glycerol (E 422) from beverages</w:t>
      </w:r>
      <w:r>
        <w:t xml:space="preserve">. </w:t>
      </w:r>
      <w:hyperlink r:id="rId4" w:history="1">
        <w:r w:rsidRPr="000506C0">
          <w:rPr>
            <w:rStyle w:val="Hyperlink"/>
          </w:rPr>
          <w:t>https://efsa.onlinelibrary.wiley.com/doi/10.2903/j.efsa.2026.10057</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D2F" w:rsidRDefault="00FB1D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D2F" w:rsidRDefault="00FB1D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A82845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8BAA82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6502542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7029A2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01C7CD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730806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91CA1D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9EC0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8 14:50: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85CF7A5-924A-4693-922D-0E395B2ECD01"/>
    <w:docVar w:name="LW_COVERPAGE_TYPE" w:val="1"/>
    <w:docVar w:name="LW_CROSSREFERENCE" w:val="&lt;UNUSED&gt;"/>
    <w:docVar w:name="LW_DocType" w:val="COM"/>
    <w:docVar w:name="LW_EMISSION" w:val="29.7.2026"/>
    <w:docVar w:name="LW_EMISSION_ISODATE" w:val="2026-07-29"/>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27"/>
    <w:docVar w:name="LW_REF.II.NEW.CP_YEAR" w:val="2026"/>
    <w:docVar w:name="LW_REF.INST.NEW" w:val="COM"/>
    <w:docVar w:name="LW_REF.INST.NEW_ADOPTED" w:val="final"/>
    <w:docVar w:name="LW_REF.INST.NEW_TEXT" w:val="(2026) 40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Proposal for a"/>
    <w:docVar w:name="LW_STATUT.CP" w:val="Proposal for a"/>
    <w:docVar w:name="LW_SUPERTITRE" w:val="&lt;UNUSED&gt;"/>
    <w:docVar w:name="LW_TITRE.OBJ" w:val="on the position to be taken on behalf of the European Union in the International Organisation of Vine and Wine (OIV)"/>
    <w:docVar w:name="LW_TITRE.OBJ.CP" w:val="on the position to be taken on behalf of the European Union in the International Organisation of Vine and Wine (OIV)"/>
    <w:docVar w:name="LW_TYPE.DOC" w:val="COUNCIL DECISION"/>
    <w:docVar w:name="LW_TYPE.DOC.CP" w:val="COUNCIL DECISION"/>
    <w:docVar w:name="LwApiVersions" w:val="LW4CoDe 1.24.5.0; LW 9.2, Build 20251112"/>
  </w:docVars>
  <w:rsids>
    <w:rsidRoot w:val="00AE2FB1"/>
    <w:rsid w:val="000052AE"/>
    <w:rsid w:val="000071BA"/>
    <w:rsid w:val="00011169"/>
    <w:rsid w:val="00011D88"/>
    <w:rsid w:val="00012E1C"/>
    <w:rsid w:val="0001643A"/>
    <w:rsid w:val="00027242"/>
    <w:rsid w:val="000437C4"/>
    <w:rsid w:val="00043D40"/>
    <w:rsid w:val="00044AE4"/>
    <w:rsid w:val="00051B27"/>
    <w:rsid w:val="000541D7"/>
    <w:rsid w:val="000675C8"/>
    <w:rsid w:val="000740D7"/>
    <w:rsid w:val="000764BF"/>
    <w:rsid w:val="0008238F"/>
    <w:rsid w:val="0009342A"/>
    <w:rsid w:val="000954EC"/>
    <w:rsid w:val="000A3641"/>
    <w:rsid w:val="000A53F9"/>
    <w:rsid w:val="000B0A04"/>
    <w:rsid w:val="000B42F3"/>
    <w:rsid w:val="000B4D94"/>
    <w:rsid w:val="000B7A7D"/>
    <w:rsid w:val="000C75C5"/>
    <w:rsid w:val="000D0A27"/>
    <w:rsid w:val="000D7B01"/>
    <w:rsid w:val="000D7C23"/>
    <w:rsid w:val="000E0285"/>
    <w:rsid w:val="000E4FF9"/>
    <w:rsid w:val="000E5811"/>
    <w:rsid w:val="000F18F8"/>
    <w:rsid w:val="0010129A"/>
    <w:rsid w:val="001028A9"/>
    <w:rsid w:val="00115205"/>
    <w:rsid w:val="00116566"/>
    <w:rsid w:val="00120D24"/>
    <w:rsid w:val="00122200"/>
    <w:rsid w:val="00127BAD"/>
    <w:rsid w:val="00130A97"/>
    <w:rsid w:val="00130B34"/>
    <w:rsid w:val="00131A8D"/>
    <w:rsid w:val="00134BC2"/>
    <w:rsid w:val="0014701E"/>
    <w:rsid w:val="00150135"/>
    <w:rsid w:val="00152894"/>
    <w:rsid w:val="001608A0"/>
    <w:rsid w:val="00174736"/>
    <w:rsid w:val="0017682E"/>
    <w:rsid w:val="00176E45"/>
    <w:rsid w:val="001816F8"/>
    <w:rsid w:val="001834AB"/>
    <w:rsid w:val="00194418"/>
    <w:rsid w:val="001A4DDB"/>
    <w:rsid w:val="001B6501"/>
    <w:rsid w:val="001C1F75"/>
    <w:rsid w:val="001C4781"/>
    <w:rsid w:val="001D033B"/>
    <w:rsid w:val="001D63C6"/>
    <w:rsid w:val="001E0D0F"/>
    <w:rsid w:val="001E20D3"/>
    <w:rsid w:val="001E6441"/>
    <w:rsid w:val="002013D6"/>
    <w:rsid w:val="00202A79"/>
    <w:rsid w:val="0020533B"/>
    <w:rsid w:val="00214E6D"/>
    <w:rsid w:val="00225B53"/>
    <w:rsid w:val="00231789"/>
    <w:rsid w:val="00237743"/>
    <w:rsid w:val="00246E60"/>
    <w:rsid w:val="00250E85"/>
    <w:rsid w:val="00252E6B"/>
    <w:rsid w:val="00264C4C"/>
    <w:rsid w:val="00284C35"/>
    <w:rsid w:val="00286C02"/>
    <w:rsid w:val="002902F6"/>
    <w:rsid w:val="002977CD"/>
    <w:rsid w:val="002A13CD"/>
    <w:rsid w:val="002A5FB4"/>
    <w:rsid w:val="002A7892"/>
    <w:rsid w:val="002B04C4"/>
    <w:rsid w:val="002B12D3"/>
    <w:rsid w:val="002C2237"/>
    <w:rsid w:val="002C749E"/>
    <w:rsid w:val="002C7E1C"/>
    <w:rsid w:val="002D4DB9"/>
    <w:rsid w:val="002E7BE7"/>
    <w:rsid w:val="002F0454"/>
    <w:rsid w:val="002F2735"/>
    <w:rsid w:val="002F34D8"/>
    <w:rsid w:val="002F486B"/>
    <w:rsid w:val="002F4E3A"/>
    <w:rsid w:val="0030111D"/>
    <w:rsid w:val="0030321F"/>
    <w:rsid w:val="00303C36"/>
    <w:rsid w:val="00306A5B"/>
    <w:rsid w:val="00321371"/>
    <w:rsid w:val="00333651"/>
    <w:rsid w:val="003433E9"/>
    <w:rsid w:val="00344473"/>
    <w:rsid w:val="003518D8"/>
    <w:rsid w:val="0035537D"/>
    <w:rsid w:val="0036047B"/>
    <w:rsid w:val="003637B1"/>
    <w:rsid w:val="00371857"/>
    <w:rsid w:val="0037700C"/>
    <w:rsid w:val="00380090"/>
    <w:rsid w:val="00382A51"/>
    <w:rsid w:val="003836BF"/>
    <w:rsid w:val="00387FBE"/>
    <w:rsid w:val="00391E02"/>
    <w:rsid w:val="003939D6"/>
    <w:rsid w:val="00396ACD"/>
    <w:rsid w:val="0039706F"/>
    <w:rsid w:val="003A784C"/>
    <w:rsid w:val="003D32CB"/>
    <w:rsid w:val="003D3FA4"/>
    <w:rsid w:val="003D772B"/>
    <w:rsid w:val="003E1602"/>
    <w:rsid w:val="003E1933"/>
    <w:rsid w:val="003F0190"/>
    <w:rsid w:val="003F72B0"/>
    <w:rsid w:val="0040796B"/>
    <w:rsid w:val="00424BC9"/>
    <w:rsid w:val="0043148A"/>
    <w:rsid w:val="0043387D"/>
    <w:rsid w:val="00437AA5"/>
    <w:rsid w:val="00444865"/>
    <w:rsid w:val="00457F81"/>
    <w:rsid w:val="004610C8"/>
    <w:rsid w:val="004676B9"/>
    <w:rsid w:val="00492396"/>
    <w:rsid w:val="00495B54"/>
    <w:rsid w:val="004A0228"/>
    <w:rsid w:val="004A6D3E"/>
    <w:rsid w:val="004B5A48"/>
    <w:rsid w:val="004C198E"/>
    <w:rsid w:val="004D41C4"/>
    <w:rsid w:val="004D48EB"/>
    <w:rsid w:val="004E07FA"/>
    <w:rsid w:val="004E19F9"/>
    <w:rsid w:val="004F2A7E"/>
    <w:rsid w:val="00501D36"/>
    <w:rsid w:val="0050261B"/>
    <w:rsid w:val="00503924"/>
    <w:rsid w:val="00505654"/>
    <w:rsid w:val="00517205"/>
    <w:rsid w:val="00517282"/>
    <w:rsid w:val="00521367"/>
    <w:rsid w:val="00526714"/>
    <w:rsid w:val="00527B43"/>
    <w:rsid w:val="00527F85"/>
    <w:rsid w:val="0053054E"/>
    <w:rsid w:val="00533107"/>
    <w:rsid w:val="00535D7D"/>
    <w:rsid w:val="00537C2E"/>
    <w:rsid w:val="00542487"/>
    <w:rsid w:val="005434C0"/>
    <w:rsid w:val="00552D66"/>
    <w:rsid w:val="005531B8"/>
    <w:rsid w:val="005628CF"/>
    <w:rsid w:val="005808BB"/>
    <w:rsid w:val="00581B9A"/>
    <w:rsid w:val="00582810"/>
    <w:rsid w:val="00586093"/>
    <w:rsid w:val="005954EC"/>
    <w:rsid w:val="00595540"/>
    <w:rsid w:val="00595A9C"/>
    <w:rsid w:val="005A2073"/>
    <w:rsid w:val="005A3871"/>
    <w:rsid w:val="005A3F0A"/>
    <w:rsid w:val="005B510E"/>
    <w:rsid w:val="005B5FA6"/>
    <w:rsid w:val="005B635D"/>
    <w:rsid w:val="005B7E75"/>
    <w:rsid w:val="005D020B"/>
    <w:rsid w:val="005D239A"/>
    <w:rsid w:val="005D4E64"/>
    <w:rsid w:val="005D7EC5"/>
    <w:rsid w:val="005E1AD3"/>
    <w:rsid w:val="005F64B4"/>
    <w:rsid w:val="005F6BD2"/>
    <w:rsid w:val="00607CE6"/>
    <w:rsid w:val="006101FD"/>
    <w:rsid w:val="0061132E"/>
    <w:rsid w:val="006163C6"/>
    <w:rsid w:val="00622192"/>
    <w:rsid w:val="006271AD"/>
    <w:rsid w:val="00632A1F"/>
    <w:rsid w:val="00632AB6"/>
    <w:rsid w:val="00640A5A"/>
    <w:rsid w:val="006415A0"/>
    <w:rsid w:val="00641BE1"/>
    <w:rsid w:val="00647002"/>
    <w:rsid w:val="00652253"/>
    <w:rsid w:val="00653349"/>
    <w:rsid w:val="00660778"/>
    <w:rsid w:val="006652B8"/>
    <w:rsid w:val="006654AB"/>
    <w:rsid w:val="00671CD7"/>
    <w:rsid w:val="00672808"/>
    <w:rsid w:val="006730F7"/>
    <w:rsid w:val="006857D7"/>
    <w:rsid w:val="006B3D5C"/>
    <w:rsid w:val="006B46A0"/>
    <w:rsid w:val="006B51DD"/>
    <w:rsid w:val="006B5B7D"/>
    <w:rsid w:val="006C0804"/>
    <w:rsid w:val="006C4110"/>
    <w:rsid w:val="006C467E"/>
    <w:rsid w:val="006E1228"/>
    <w:rsid w:val="006E1814"/>
    <w:rsid w:val="006F05D9"/>
    <w:rsid w:val="006F298C"/>
    <w:rsid w:val="006F5DE0"/>
    <w:rsid w:val="006F7EFE"/>
    <w:rsid w:val="007021DB"/>
    <w:rsid w:val="007036AC"/>
    <w:rsid w:val="00703D2D"/>
    <w:rsid w:val="0072431E"/>
    <w:rsid w:val="00731DC4"/>
    <w:rsid w:val="0073324A"/>
    <w:rsid w:val="00734958"/>
    <w:rsid w:val="0074066F"/>
    <w:rsid w:val="00743D63"/>
    <w:rsid w:val="00747FC6"/>
    <w:rsid w:val="00750957"/>
    <w:rsid w:val="007629A3"/>
    <w:rsid w:val="00764C6A"/>
    <w:rsid w:val="0076518C"/>
    <w:rsid w:val="0077128B"/>
    <w:rsid w:val="007725C4"/>
    <w:rsid w:val="007768A4"/>
    <w:rsid w:val="00787678"/>
    <w:rsid w:val="007915D7"/>
    <w:rsid w:val="0079569F"/>
    <w:rsid w:val="007A1319"/>
    <w:rsid w:val="007A628C"/>
    <w:rsid w:val="007A6973"/>
    <w:rsid w:val="007B3675"/>
    <w:rsid w:val="007B785A"/>
    <w:rsid w:val="007C3AB5"/>
    <w:rsid w:val="007C461D"/>
    <w:rsid w:val="007D0861"/>
    <w:rsid w:val="007D42D2"/>
    <w:rsid w:val="007E010B"/>
    <w:rsid w:val="007E7A50"/>
    <w:rsid w:val="007E7DB3"/>
    <w:rsid w:val="007F7CA7"/>
    <w:rsid w:val="00802FC2"/>
    <w:rsid w:val="00803544"/>
    <w:rsid w:val="00813107"/>
    <w:rsid w:val="00813119"/>
    <w:rsid w:val="00822C36"/>
    <w:rsid w:val="00827758"/>
    <w:rsid w:val="00832DEC"/>
    <w:rsid w:val="00840A00"/>
    <w:rsid w:val="00841807"/>
    <w:rsid w:val="00852A0F"/>
    <w:rsid w:val="00862DC3"/>
    <w:rsid w:val="00874939"/>
    <w:rsid w:val="00875867"/>
    <w:rsid w:val="00877DEA"/>
    <w:rsid w:val="00895F98"/>
    <w:rsid w:val="008A17E0"/>
    <w:rsid w:val="008B0305"/>
    <w:rsid w:val="008B12DF"/>
    <w:rsid w:val="008B7752"/>
    <w:rsid w:val="008C1324"/>
    <w:rsid w:val="008C2C02"/>
    <w:rsid w:val="008C2CFE"/>
    <w:rsid w:val="008C389E"/>
    <w:rsid w:val="008D3D5E"/>
    <w:rsid w:val="008D635E"/>
    <w:rsid w:val="008D63A2"/>
    <w:rsid w:val="008E217C"/>
    <w:rsid w:val="008E2694"/>
    <w:rsid w:val="008E308C"/>
    <w:rsid w:val="008E3863"/>
    <w:rsid w:val="008F077A"/>
    <w:rsid w:val="0090069F"/>
    <w:rsid w:val="00905B56"/>
    <w:rsid w:val="00931B8B"/>
    <w:rsid w:val="009352E6"/>
    <w:rsid w:val="00936EE9"/>
    <w:rsid w:val="00940731"/>
    <w:rsid w:val="009417BC"/>
    <w:rsid w:val="009427D9"/>
    <w:rsid w:val="00942ED0"/>
    <w:rsid w:val="00943A44"/>
    <w:rsid w:val="00953090"/>
    <w:rsid w:val="009533AF"/>
    <w:rsid w:val="00954267"/>
    <w:rsid w:val="00961791"/>
    <w:rsid w:val="00964193"/>
    <w:rsid w:val="00964748"/>
    <w:rsid w:val="00965DA4"/>
    <w:rsid w:val="0096702F"/>
    <w:rsid w:val="009678F3"/>
    <w:rsid w:val="00970C37"/>
    <w:rsid w:val="009733F8"/>
    <w:rsid w:val="009741CC"/>
    <w:rsid w:val="00974B16"/>
    <w:rsid w:val="00975728"/>
    <w:rsid w:val="00984550"/>
    <w:rsid w:val="009957C5"/>
    <w:rsid w:val="009A4D54"/>
    <w:rsid w:val="009B3E63"/>
    <w:rsid w:val="009C30DC"/>
    <w:rsid w:val="009C67B4"/>
    <w:rsid w:val="009E3508"/>
    <w:rsid w:val="009E3509"/>
    <w:rsid w:val="009F6B81"/>
    <w:rsid w:val="00A03FB1"/>
    <w:rsid w:val="00A06C47"/>
    <w:rsid w:val="00A12875"/>
    <w:rsid w:val="00A15345"/>
    <w:rsid w:val="00A21AA9"/>
    <w:rsid w:val="00A27060"/>
    <w:rsid w:val="00A41BC4"/>
    <w:rsid w:val="00A47319"/>
    <w:rsid w:val="00A47EC3"/>
    <w:rsid w:val="00A565C7"/>
    <w:rsid w:val="00A57022"/>
    <w:rsid w:val="00A61595"/>
    <w:rsid w:val="00A70EAE"/>
    <w:rsid w:val="00A76405"/>
    <w:rsid w:val="00A76B5F"/>
    <w:rsid w:val="00A81E87"/>
    <w:rsid w:val="00A82D01"/>
    <w:rsid w:val="00AD2471"/>
    <w:rsid w:val="00AD613A"/>
    <w:rsid w:val="00AD7638"/>
    <w:rsid w:val="00AE2FB1"/>
    <w:rsid w:val="00AF48F1"/>
    <w:rsid w:val="00B075EF"/>
    <w:rsid w:val="00B1266C"/>
    <w:rsid w:val="00B1270C"/>
    <w:rsid w:val="00B22B98"/>
    <w:rsid w:val="00B22C43"/>
    <w:rsid w:val="00B34BB8"/>
    <w:rsid w:val="00B37225"/>
    <w:rsid w:val="00B4229B"/>
    <w:rsid w:val="00B44959"/>
    <w:rsid w:val="00B460DB"/>
    <w:rsid w:val="00B4643A"/>
    <w:rsid w:val="00B554B8"/>
    <w:rsid w:val="00B6061C"/>
    <w:rsid w:val="00B67D3E"/>
    <w:rsid w:val="00B7095A"/>
    <w:rsid w:val="00B74AA2"/>
    <w:rsid w:val="00B770BF"/>
    <w:rsid w:val="00B85954"/>
    <w:rsid w:val="00B93CCD"/>
    <w:rsid w:val="00B97DED"/>
    <w:rsid w:val="00BA2EE8"/>
    <w:rsid w:val="00BA344D"/>
    <w:rsid w:val="00BA6142"/>
    <w:rsid w:val="00BB2DE2"/>
    <w:rsid w:val="00BC032D"/>
    <w:rsid w:val="00BC140D"/>
    <w:rsid w:val="00BC19F3"/>
    <w:rsid w:val="00BC72B5"/>
    <w:rsid w:val="00BD2F5B"/>
    <w:rsid w:val="00BD378F"/>
    <w:rsid w:val="00BE403D"/>
    <w:rsid w:val="00BF404F"/>
    <w:rsid w:val="00C153F0"/>
    <w:rsid w:val="00C17584"/>
    <w:rsid w:val="00C20848"/>
    <w:rsid w:val="00C22DE1"/>
    <w:rsid w:val="00C3596D"/>
    <w:rsid w:val="00C3731F"/>
    <w:rsid w:val="00C40576"/>
    <w:rsid w:val="00C43FF5"/>
    <w:rsid w:val="00C51E4C"/>
    <w:rsid w:val="00C64939"/>
    <w:rsid w:val="00C736DC"/>
    <w:rsid w:val="00C80298"/>
    <w:rsid w:val="00C816EB"/>
    <w:rsid w:val="00C97320"/>
    <w:rsid w:val="00CA1745"/>
    <w:rsid w:val="00CA734C"/>
    <w:rsid w:val="00CC385A"/>
    <w:rsid w:val="00CD67FC"/>
    <w:rsid w:val="00CD7E62"/>
    <w:rsid w:val="00CE0BC6"/>
    <w:rsid w:val="00CE3770"/>
    <w:rsid w:val="00CE528B"/>
    <w:rsid w:val="00CE551B"/>
    <w:rsid w:val="00CE71D6"/>
    <w:rsid w:val="00CF6E0D"/>
    <w:rsid w:val="00D10572"/>
    <w:rsid w:val="00D2155B"/>
    <w:rsid w:val="00D26C43"/>
    <w:rsid w:val="00D30234"/>
    <w:rsid w:val="00D31F9C"/>
    <w:rsid w:val="00D415EB"/>
    <w:rsid w:val="00D44DAA"/>
    <w:rsid w:val="00D4625E"/>
    <w:rsid w:val="00D52374"/>
    <w:rsid w:val="00D54C0E"/>
    <w:rsid w:val="00D57470"/>
    <w:rsid w:val="00D61DA1"/>
    <w:rsid w:val="00D63DCB"/>
    <w:rsid w:val="00D66E94"/>
    <w:rsid w:val="00D7362D"/>
    <w:rsid w:val="00D75149"/>
    <w:rsid w:val="00D7688C"/>
    <w:rsid w:val="00D76B3C"/>
    <w:rsid w:val="00D910F4"/>
    <w:rsid w:val="00D9431A"/>
    <w:rsid w:val="00D945C5"/>
    <w:rsid w:val="00D94ACE"/>
    <w:rsid w:val="00DA3742"/>
    <w:rsid w:val="00DA3825"/>
    <w:rsid w:val="00DA42C4"/>
    <w:rsid w:val="00DA6429"/>
    <w:rsid w:val="00DB2693"/>
    <w:rsid w:val="00DB4B20"/>
    <w:rsid w:val="00DC4F70"/>
    <w:rsid w:val="00DC50AB"/>
    <w:rsid w:val="00DC7065"/>
    <w:rsid w:val="00DC7983"/>
    <w:rsid w:val="00DD476D"/>
    <w:rsid w:val="00DE1640"/>
    <w:rsid w:val="00DE683D"/>
    <w:rsid w:val="00DF1474"/>
    <w:rsid w:val="00DF24FB"/>
    <w:rsid w:val="00DF3FF7"/>
    <w:rsid w:val="00E01759"/>
    <w:rsid w:val="00E04DC7"/>
    <w:rsid w:val="00E07235"/>
    <w:rsid w:val="00E10F14"/>
    <w:rsid w:val="00E121C7"/>
    <w:rsid w:val="00E230BB"/>
    <w:rsid w:val="00E33AE5"/>
    <w:rsid w:val="00E33C9F"/>
    <w:rsid w:val="00E43107"/>
    <w:rsid w:val="00E43813"/>
    <w:rsid w:val="00E458CA"/>
    <w:rsid w:val="00E53CD5"/>
    <w:rsid w:val="00E72A66"/>
    <w:rsid w:val="00E74ADA"/>
    <w:rsid w:val="00E762D2"/>
    <w:rsid w:val="00E85D99"/>
    <w:rsid w:val="00E90A10"/>
    <w:rsid w:val="00E95BA1"/>
    <w:rsid w:val="00E979AB"/>
    <w:rsid w:val="00E97A76"/>
    <w:rsid w:val="00EA2F42"/>
    <w:rsid w:val="00EA3951"/>
    <w:rsid w:val="00EA66BB"/>
    <w:rsid w:val="00EA7780"/>
    <w:rsid w:val="00EC39BC"/>
    <w:rsid w:val="00ED526F"/>
    <w:rsid w:val="00EE140B"/>
    <w:rsid w:val="00EE1418"/>
    <w:rsid w:val="00EE6785"/>
    <w:rsid w:val="00EF57D3"/>
    <w:rsid w:val="00F020D7"/>
    <w:rsid w:val="00F053B8"/>
    <w:rsid w:val="00F140F4"/>
    <w:rsid w:val="00F148FE"/>
    <w:rsid w:val="00F171A5"/>
    <w:rsid w:val="00F27A2A"/>
    <w:rsid w:val="00F351DA"/>
    <w:rsid w:val="00F52B32"/>
    <w:rsid w:val="00F5321B"/>
    <w:rsid w:val="00F57064"/>
    <w:rsid w:val="00F60FB5"/>
    <w:rsid w:val="00F74077"/>
    <w:rsid w:val="00F77311"/>
    <w:rsid w:val="00F81D88"/>
    <w:rsid w:val="00F961E0"/>
    <w:rsid w:val="00F979C0"/>
    <w:rsid w:val="00FA1B7E"/>
    <w:rsid w:val="00FA2BFB"/>
    <w:rsid w:val="00FA3A85"/>
    <w:rsid w:val="00FB1600"/>
    <w:rsid w:val="00FB1D2F"/>
    <w:rsid w:val="00FB1E91"/>
    <w:rsid w:val="00FB3CDD"/>
    <w:rsid w:val="00FC2396"/>
    <w:rsid w:val="00FD1952"/>
    <w:rsid w:val="00FD2CDE"/>
    <w:rsid w:val="00FE11D8"/>
    <w:rsid w:val="00FE21F8"/>
    <w:rsid w:val="00FE5F2A"/>
    <w:rsid w:val="00FE6970"/>
    <w:rsid w:val="00FF08C9"/>
    <w:rsid w:val="03210E86"/>
    <w:rsid w:val="034A0DED"/>
    <w:rsid w:val="10763227"/>
    <w:rsid w:val="1BF143C7"/>
    <w:rsid w:val="1C0C0D1A"/>
    <w:rsid w:val="1E19B69E"/>
    <w:rsid w:val="2229C370"/>
    <w:rsid w:val="270910FC"/>
    <w:rsid w:val="2893AB10"/>
    <w:rsid w:val="2B16F4C6"/>
    <w:rsid w:val="2DFEB8D8"/>
    <w:rsid w:val="30DC4E42"/>
    <w:rsid w:val="3441A426"/>
    <w:rsid w:val="3664C315"/>
    <w:rsid w:val="3760D393"/>
    <w:rsid w:val="3E9BA5B1"/>
    <w:rsid w:val="42D38619"/>
    <w:rsid w:val="4750F715"/>
    <w:rsid w:val="5312413C"/>
    <w:rsid w:val="5AB3159F"/>
    <w:rsid w:val="657FA6E2"/>
    <w:rsid w:val="6CC429A8"/>
    <w:rsid w:val="702BBF54"/>
    <w:rsid w:val="76ACA8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425794-2218-4E62-B7E9-4DA4BF0C9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237743"/>
    <w:pPr>
      <w:numPr>
        <w:numId w:val="1"/>
      </w:numPr>
      <w:contextualSpacing/>
    </w:pPr>
  </w:style>
  <w:style w:type="paragraph" w:styleId="ListBullet2">
    <w:name w:val="List Bullet 2"/>
    <w:basedOn w:val="Normal"/>
    <w:uiPriority w:val="99"/>
    <w:semiHidden/>
    <w:unhideWhenUsed/>
    <w:rsid w:val="00237743"/>
    <w:pPr>
      <w:numPr>
        <w:numId w:val="2"/>
      </w:numPr>
      <w:contextualSpacing/>
    </w:pPr>
  </w:style>
  <w:style w:type="paragraph" w:styleId="ListBullet3">
    <w:name w:val="List Bullet 3"/>
    <w:basedOn w:val="Normal"/>
    <w:uiPriority w:val="99"/>
    <w:semiHidden/>
    <w:unhideWhenUsed/>
    <w:rsid w:val="00237743"/>
    <w:pPr>
      <w:numPr>
        <w:numId w:val="3"/>
      </w:numPr>
      <w:contextualSpacing/>
    </w:pPr>
  </w:style>
  <w:style w:type="paragraph" w:styleId="ListBullet4">
    <w:name w:val="List Bullet 4"/>
    <w:basedOn w:val="Normal"/>
    <w:uiPriority w:val="99"/>
    <w:semiHidden/>
    <w:unhideWhenUsed/>
    <w:rsid w:val="00237743"/>
    <w:pPr>
      <w:numPr>
        <w:numId w:val="4"/>
      </w:numPr>
      <w:contextualSpacing/>
    </w:pPr>
  </w:style>
  <w:style w:type="paragraph" w:styleId="BalloonText">
    <w:name w:val="Balloon Text"/>
    <w:basedOn w:val="Normal"/>
    <w:link w:val="BalloonTextChar"/>
    <w:uiPriority w:val="99"/>
    <w:semiHidden/>
    <w:unhideWhenUsed/>
    <w:rsid w:val="0023774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743"/>
    <w:rPr>
      <w:rFonts w:ascii="Segoe UI" w:hAnsi="Segoe UI" w:cs="Segoe UI"/>
      <w:sz w:val="18"/>
      <w:szCs w:val="18"/>
      <w:lang w:val="en-GB"/>
    </w:rPr>
  </w:style>
  <w:style w:type="paragraph" w:styleId="Caption">
    <w:name w:val="caption"/>
    <w:basedOn w:val="Normal"/>
    <w:next w:val="Normal"/>
    <w:uiPriority w:val="35"/>
    <w:semiHidden/>
    <w:unhideWhenUsed/>
    <w:qFormat/>
    <w:rsid w:val="00A21AA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21AA9"/>
    <w:pPr>
      <w:spacing w:after="0"/>
    </w:pPr>
  </w:style>
  <w:style w:type="paragraph" w:styleId="ListNumber">
    <w:name w:val="List Number"/>
    <w:basedOn w:val="Normal"/>
    <w:uiPriority w:val="99"/>
    <w:semiHidden/>
    <w:unhideWhenUsed/>
    <w:rsid w:val="00A21AA9"/>
    <w:pPr>
      <w:numPr>
        <w:numId w:val="7"/>
      </w:numPr>
      <w:contextualSpacing/>
    </w:pPr>
  </w:style>
  <w:style w:type="paragraph" w:styleId="ListNumber2">
    <w:name w:val="List Number 2"/>
    <w:basedOn w:val="Normal"/>
    <w:uiPriority w:val="99"/>
    <w:semiHidden/>
    <w:unhideWhenUsed/>
    <w:rsid w:val="00A21AA9"/>
    <w:pPr>
      <w:numPr>
        <w:numId w:val="8"/>
      </w:numPr>
      <w:contextualSpacing/>
    </w:pPr>
  </w:style>
  <w:style w:type="paragraph" w:styleId="ListNumber3">
    <w:name w:val="List Number 3"/>
    <w:basedOn w:val="Normal"/>
    <w:uiPriority w:val="99"/>
    <w:semiHidden/>
    <w:unhideWhenUsed/>
    <w:rsid w:val="00A21AA9"/>
    <w:pPr>
      <w:numPr>
        <w:numId w:val="9"/>
      </w:numPr>
      <w:contextualSpacing/>
    </w:pPr>
  </w:style>
  <w:style w:type="paragraph" w:styleId="ListNumber4">
    <w:name w:val="List Number 4"/>
    <w:basedOn w:val="Normal"/>
    <w:uiPriority w:val="99"/>
    <w:semiHidden/>
    <w:unhideWhenUsed/>
    <w:rsid w:val="00A21AA9"/>
    <w:pPr>
      <w:numPr>
        <w:numId w:val="10"/>
      </w:numPr>
      <w:contextualSpacing/>
    </w:pPr>
  </w:style>
  <w:style w:type="character" w:styleId="CommentReference">
    <w:name w:val="annotation reference"/>
    <w:basedOn w:val="DefaultParagraphFont"/>
    <w:uiPriority w:val="99"/>
    <w:semiHidden/>
    <w:unhideWhenUsed/>
    <w:rsid w:val="002A7892"/>
    <w:rPr>
      <w:sz w:val="16"/>
      <w:szCs w:val="16"/>
    </w:rPr>
  </w:style>
  <w:style w:type="paragraph" w:styleId="CommentText">
    <w:name w:val="annotation text"/>
    <w:basedOn w:val="Normal"/>
    <w:link w:val="CommentTextChar"/>
    <w:uiPriority w:val="99"/>
    <w:unhideWhenUsed/>
    <w:rsid w:val="002A7892"/>
    <w:rPr>
      <w:sz w:val="20"/>
      <w:szCs w:val="20"/>
    </w:rPr>
  </w:style>
  <w:style w:type="character" w:customStyle="1" w:styleId="CommentTextChar">
    <w:name w:val="Comment Text Char"/>
    <w:basedOn w:val="DefaultParagraphFont"/>
    <w:link w:val="CommentText"/>
    <w:uiPriority w:val="99"/>
    <w:rsid w:val="002A7892"/>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A7892"/>
    <w:rPr>
      <w:b/>
      <w:bCs/>
    </w:rPr>
  </w:style>
  <w:style w:type="character" w:customStyle="1" w:styleId="CommentSubjectChar">
    <w:name w:val="Comment Subject Char"/>
    <w:basedOn w:val="CommentTextChar"/>
    <w:link w:val="CommentSubject"/>
    <w:uiPriority w:val="99"/>
    <w:semiHidden/>
    <w:rsid w:val="002A7892"/>
    <w:rPr>
      <w:rFonts w:ascii="Times New Roman" w:hAnsi="Times New Roman" w:cs="Times New Roman"/>
      <w:b/>
      <w:bCs/>
      <w:sz w:val="20"/>
      <w:szCs w:val="20"/>
      <w:lang w:val="en-GB"/>
    </w:rPr>
  </w:style>
  <w:style w:type="character" w:styleId="Hyperlink">
    <w:name w:val="Hyperlink"/>
    <w:basedOn w:val="DefaultParagraphFont"/>
    <w:uiPriority w:val="99"/>
    <w:unhideWhenUsed/>
    <w:rsid w:val="002A7892"/>
    <w:rPr>
      <w:color w:val="0000FF" w:themeColor="hyperlink"/>
      <w:u w:val="single"/>
    </w:rPr>
  </w:style>
  <w:style w:type="paragraph" w:styleId="Revision">
    <w:name w:val="Revision"/>
    <w:hidden/>
    <w:uiPriority w:val="99"/>
    <w:semiHidden/>
    <w:rsid w:val="00517282"/>
    <w:pPr>
      <w:spacing w:after="0" w:line="240" w:lineRule="auto"/>
    </w:pPr>
    <w:rPr>
      <w:rFonts w:ascii="Times New Roman" w:hAnsi="Times New Roman" w:cs="Times New Roman"/>
      <w:sz w:val="24"/>
      <w:lang w:val="en-GB"/>
    </w:rPr>
  </w:style>
  <w:style w:type="character" w:customStyle="1" w:styleId="UnresolvedMention">
    <w:name w:val="Unresolved Mention"/>
    <w:basedOn w:val="DefaultParagraphFont"/>
    <w:uiPriority w:val="99"/>
    <w:semiHidden/>
    <w:unhideWhenUsed/>
    <w:rsid w:val="000052AE"/>
    <w:rPr>
      <w:color w:val="605E5C"/>
      <w:shd w:val="clear" w:color="auto" w:fill="E1DFDD"/>
    </w:rPr>
  </w:style>
  <w:style w:type="character" w:styleId="FollowedHyperlink">
    <w:name w:val="FollowedHyperlink"/>
    <w:basedOn w:val="DefaultParagraphFont"/>
    <w:uiPriority w:val="99"/>
    <w:semiHidden/>
    <w:unhideWhenUsed/>
    <w:rsid w:val="00B1270C"/>
    <w:rPr>
      <w:color w:val="800080" w:themeColor="followedHyperlink"/>
      <w:u w:val="single"/>
    </w:rPr>
  </w:style>
  <w:style w:type="character" w:customStyle="1" w:styleId="HeaderChar">
    <w:name w:val="Header Char"/>
    <w:basedOn w:val="DefaultParagraphFont"/>
    <w:link w:val="Header"/>
    <w:uiPriority w:val="99"/>
    <w:rsid w:val="00FB1D2F"/>
    <w:rPr>
      <w:rFonts w:ascii="Times New Roman" w:hAnsi="Times New Roman" w:cs="Times New Roman"/>
      <w:sz w:val="24"/>
      <w:lang w:val="en-GB"/>
    </w:rPr>
  </w:style>
  <w:style w:type="character" w:customStyle="1" w:styleId="FooterChar">
    <w:name w:val="Footer Char"/>
    <w:basedOn w:val="DefaultParagraphFont"/>
    <w:link w:val="Footer"/>
    <w:uiPriority w:val="99"/>
    <w:rsid w:val="00FB1D2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B1D2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B1D2F"/>
    <w:pPr>
      <w:spacing w:before="0"/>
      <w:jc w:val="right"/>
    </w:pPr>
    <w:rPr>
      <w:sz w:val="28"/>
    </w:rPr>
  </w:style>
  <w:style w:type="paragraph" w:customStyle="1" w:styleId="FooterSensitivity">
    <w:name w:val="Footer Sensitivity"/>
    <w:basedOn w:val="Normal"/>
    <w:rsid w:val="00FB1D2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B1D2F"/>
    <w:pPr>
      <w:tabs>
        <w:tab w:val="center" w:pos="4535"/>
        <w:tab w:val="right" w:pos="9071"/>
      </w:tabs>
      <w:spacing w:before="0"/>
    </w:pPr>
  </w:style>
  <w:style w:type="paragraph" w:customStyle="1" w:styleId="HeaderLandscape">
    <w:name w:val="HeaderLandscape"/>
    <w:basedOn w:val="Normal"/>
    <w:rsid w:val="00FB1D2F"/>
    <w:pPr>
      <w:tabs>
        <w:tab w:val="center" w:pos="7285"/>
        <w:tab w:val="right" w:pos="14003"/>
      </w:tabs>
      <w:spacing w:before="0"/>
    </w:pPr>
  </w:style>
  <w:style w:type="paragraph" w:styleId="Footer">
    <w:name w:val="footer"/>
    <w:basedOn w:val="Normal"/>
    <w:link w:val="FooterChar"/>
    <w:uiPriority w:val="99"/>
    <w:unhideWhenUsed/>
    <w:rsid w:val="00FB1D2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B1D2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454258">
      <w:bodyDiv w:val="1"/>
      <w:marLeft w:val="0"/>
      <w:marRight w:val="0"/>
      <w:marTop w:val="0"/>
      <w:marBottom w:val="0"/>
      <w:divBdr>
        <w:top w:val="none" w:sz="0" w:space="0" w:color="auto"/>
        <w:left w:val="none" w:sz="0" w:space="0" w:color="auto"/>
        <w:bottom w:val="none" w:sz="0" w:space="0" w:color="auto"/>
        <w:right w:val="none" w:sz="0" w:space="0" w:color="auto"/>
      </w:divBdr>
    </w:div>
    <w:div w:id="171936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19/934/oj" TargetMode="External"/><Relationship Id="rId2" Type="http://schemas.openxmlformats.org/officeDocument/2006/relationships/hyperlink" Target="http://data.europa.eu/eli/reg/2013/1308/oj" TargetMode="External"/><Relationship Id="rId1" Type="http://schemas.openxmlformats.org/officeDocument/2006/relationships/hyperlink" Target="https://efsa.onlinelibrary.wiley.com/doi/10.2903/j.efsa.2026.10057" TargetMode="External"/><Relationship Id="rId4" Type="http://schemas.openxmlformats.org/officeDocument/2006/relationships/hyperlink" Target="https://efsa.onlinelibrary.wiley.com/doi/10.2903/j.efsa.2026.1005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0" ma:contentTypeDescription="Create a new document in this library." ma:contentTypeScope="" ma:versionID="9652a2d46328713989bb97f1a4bbd963">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4f29c4ebe26ab41c5114504f141434bd"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A4D5F-9ECB-434C-AA07-6C640E22AE9A}">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7BE34CD8-7CC1-41F4-A302-A61048B05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59C996-6824-4681-BC5A-74CD1FDA1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82790F-FC1E-4F6B-B621-9B29109E9AE0}">
  <ds:schemaRefs>
    <ds:schemaRef ds:uri="http://schemas.microsoft.com/sharepoint/v3/contenttype/forms"/>
  </ds:schemaRefs>
</ds:datastoreItem>
</file>

<file path=customXml/itemProps5.xml><?xml version="1.0" encoding="utf-8"?>
<ds:datastoreItem xmlns:ds="http://schemas.openxmlformats.org/officeDocument/2006/customXml" ds:itemID="{D3529191-CF15-4818-9C7B-9CF0B81BC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8</Pages>
  <Words>2630</Words>
  <Characters>14991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2026-07-06T14:52:00Z</dcterms:created>
  <dcterms:modified xsi:type="dcterms:W3CDTF">2026-07-28T12:50:00Z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2023-03-13T07:17:24Z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dfc87e73-c996-4bdf-9171-64439d8d142f</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