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468BA9" w14:textId="20C5AE1C" w:rsidR="00C84F66" w:rsidRPr="00F37B9C" w:rsidRDefault="00817364" w:rsidP="00817364">
      <w:pPr>
        <w:pStyle w:val="Pagedecouverture"/>
        <w:rPr>
          <w:noProof/>
        </w:rPr>
      </w:pPr>
      <w:r>
        <w:rPr>
          <w:noProof/>
        </w:rPr>
        <w:pict w14:anchorId="125BB3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5A5F4A5-74EF-4BDA-B132-EC84B5A456AC" style="width:455.25pt;height:396pt">
            <v:imagedata r:id="rId11" o:title=""/>
          </v:shape>
        </w:pict>
      </w:r>
    </w:p>
    <w:p w14:paraId="1E689F0C" w14:textId="77777777" w:rsidR="00C84F66" w:rsidRPr="00F37B9C" w:rsidRDefault="00C84F66" w:rsidP="00C84F66">
      <w:pPr>
        <w:rPr>
          <w:noProof/>
        </w:rPr>
        <w:sectPr w:rsidR="00C84F66" w:rsidRPr="00F37B9C" w:rsidSect="00817364">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2EAA623B" w14:textId="614B9198" w:rsidR="00C84F66" w:rsidRPr="00F37B9C" w:rsidRDefault="00C84F66" w:rsidP="00C84F66">
      <w:pPr>
        <w:pStyle w:val="Annexetitre"/>
        <w:rPr>
          <w:noProof/>
        </w:rPr>
      </w:pPr>
      <w:bookmarkStart w:id="0" w:name="_GoBack"/>
      <w:bookmarkEnd w:id="0"/>
      <w:r w:rsidRPr="00F37B9C">
        <w:rPr>
          <w:noProof/>
        </w:rPr>
        <w:lastRenderedPageBreak/>
        <w:t xml:space="preserve">ANNEXE </w:t>
      </w:r>
    </w:p>
    <w:p w14:paraId="43D53B2C" w14:textId="77777777" w:rsidR="00936054" w:rsidRPr="00F37B9C" w:rsidRDefault="00936054" w:rsidP="00936054">
      <w:pPr>
        <w:rPr>
          <w:noProof/>
        </w:rPr>
      </w:pPr>
    </w:p>
    <w:p w14:paraId="7AC574C2" w14:textId="041D2885" w:rsidR="008C1172" w:rsidRPr="00F37B9C" w:rsidRDefault="00C84F66" w:rsidP="00C84F66">
      <w:pPr>
        <w:spacing w:before="0" w:after="0"/>
        <w:rPr>
          <w:rFonts w:eastAsia="Times New Roman"/>
          <w:noProof/>
          <w:szCs w:val="20"/>
        </w:rPr>
      </w:pPr>
      <w:r w:rsidRPr="00F37B9C">
        <w:rPr>
          <w:noProof/>
        </w:rPr>
        <w:t>Les États membres de l’Union qui sont membres de l’Organisation internationale de la vigne et du vin (OIV), agissant conjointement au nom de l’Union et sous réserve d’un éventuel réexamen futur à la lumière de nouveaux développements, soutiennent les projets de résolutions à l’étape 7 énumérés ci-après lors de l’assemblée générale de l’OIV qui se tiendra le 16 octobre 2026:</w:t>
      </w:r>
    </w:p>
    <w:p w14:paraId="28211B6B" w14:textId="77777777" w:rsidR="00414AEA" w:rsidRPr="00F37B9C" w:rsidRDefault="00414AEA" w:rsidP="00414AEA">
      <w:pPr>
        <w:pStyle w:val="Tiret0"/>
        <w:numPr>
          <w:ilvl w:val="0"/>
          <w:numId w:val="9"/>
        </w:numPr>
        <w:rPr>
          <w:noProof/>
        </w:rPr>
      </w:pPr>
      <w:bookmarkStart w:id="1" w:name="_Hlk195536119"/>
      <w:r w:rsidRPr="00F37B9C">
        <w:rPr>
          <w:noProof/>
        </w:rPr>
        <w:t>OENO-MICRO 20-669A: Stabilisation microbiologique des moûts au moyen de champs électriques pulsés,</w:t>
      </w:r>
    </w:p>
    <w:p w14:paraId="1925AEDE" w14:textId="77777777" w:rsidR="00414AEA" w:rsidRPr="00F37B9C" w:rsidRDefault="00414AEA" w:rsidP="00414AEA">
      <w:pPr>
        <w:pStyle w:val="Tiret0"/>
        <w:numPr>
          <w:ilvl w:val="0"/>
          <w:numId w:val="9"/>
        </w:numPr>
        <w:rPr>
          <w:noProof/>
        </w:rPr>
      </w:pPr>
      <w:r w:rsidRPr="00F37B9C">
        <w:rPr>
          <w:noProof/>
        </w:rPr>
        <w:t>OENO-MICRO 20-669B: Stabilisation microbiologique des vins au moyen de champs électriques pulsés,</w:t>
      </w:r>
    </w:p>
    <w:p w14:paraId="1EFB4543" w14:textId="5A65FA9F" w:rsidR="008C1172" w:rsidRPr="00F37B9C" w:rsidRDefault="008C1172" w:rsidP="008C1172">
      <w:pPr>
        <w:pStyle w:val="Tiret0"/>
        <w:numPr>
          <w:ilvl w:val="0"/>
          <w:numId w:val="9"/>
        </w:numPr>
        <w:rPr>
          <w:noProof/>
        </w:rPr>
      </w:pPr>
      <w:r w:rsidRPr="00F37B9C">
        <w:rPr>
          <w:noProof/>
        </w:rPr>
        <w:t xml:space="preserve">OENO-TECHNO 14-540B: pratiques œnologiques spécifiques pour les </w:t>
      </w:r>
      <w:bookmarkStart w:id="2" w:name="_Hlk195536320"/>
      <w:r w:rsidRPr="00F37B9C">
        <w:rPr>
          <w:noProof/>
        </w:rPr>
        <w:t>vins partiellement désalcoolisés</w:t>
      </w:r>
      <w:bookmarkEnd w:id="2"/>
      <w:r w:rsidRPr="00F37B9C">
        <w:rPr>
          <w:noProof/>
        </w:rPr>
        <w:t>, à la condition d’interpréter la section relative à l’«édulcoration» et en particulier la définition d’«addition d’édulcorants au vin désalcoolisé», comme étant limitées aux produits énumérés sous «Prescription»,</w:t>
      </w:r>
    </w:p>
    <w:p w14:paraId="4CD8259E" w14:textId="77777777" w:rsidR="00414AEA" w:rsidRPr="00F37B9C" w:rsidRDefault="00414AEA" w:rsidP="00414AEA">
      <w:pPr>
        <w:pStyle w:val="Tiret0"/>
        <w:numPr>
          <w:ilvl w:val="0"/>
          <w:numId w:val="9"/>
        </w:numPr>
        <w:rPr>
          <w:noProof/>
        </w:rPr>
      </w:pPr>
      <w:bookmarkStart w:id="3" w:name="_Hlk232607322"/>
      <w:bookmarkStart w:id="4" w:name="_Hlk195536639"/>
      <w:bookmarkEnd w:id="1"/>
      <w:r w:rsidRPr="00F37B9C">
        <w:rPr>
          <w:noProof/>
        </w:rPr>
        <w:t>OENO-TECHNO 14-544</w:t>
      </w:r>
      <w:bookmarkEnd w:id="3"/>
      <w:r w:rsidRPr="00F37B9C">
        <w:rPr>
          <w:noProof/>
        </w:rPr>
        <w:t>: Traitement par polydiméthylsiloxane — mise à jour du code international des pratiques œnologiques,</w:t>
      </w:r>
    </w:p>
    <w:p w14:paraId="63FBC089" w14:textId="77777777" w:rsidR="00414AEA" w:rsidRPr="00F37B9C" w:rsidRDefault="00414AEA" w:rsidP="00414AEA">
      <w:pPr>
        <w:pStyle w:val="Tiret0"/>
        <w:numPr>
          <w:ilvl w:val="0"/>
          <w:numId w:val="9"/>
        </w:numPr>
        <w:rPr>
          <w:noProof/>
        </w:rPr>
      </w:pPr>
      <w:bookmarkStart w:id="5" w:name="_Hlk232608039"/>
      <w:r w:rsidRPr="00F37B9C">
        <w:rPr>
          <w:noProof/>
        </w:rPr>
        <w:t>OENO-TECHNO 20-672A</w:t>
      </w:r>
      <w:bookmarkEnd w:id="5"/>
      <w:r w:rsidRPr="00F37B9C">
        <w:rPr>
          <w:noProof/>
        </w:rPr>
        <w:t xml:space="preserve">: Traitement à la </w:t>
      </w:r>
      <w:bookmarkStart w:id="6" w:name="_Hlk232608081"/>
      <w:r w:rsidRPr="00F37B9C">
        <w:rPr>
          <w:noProof/>
        </w:rPr>
        <w:t>silice à structure mésoporeuse fonctionnalisée</w:t>
      </w:r>
      <w:bookmarkEnd w:id="6"/>
      <w:r w:rsidRPr="00F37B9C">
        <w:rPr>
          <w:noProof/>
        </w:rPr>
        <w:t xml:space="preserve"> pour la stabilisation protéique des vins,</w:t>
      </w:r>
    </w:p>
    <w:p w14:paraId="7C558163" w14:textId="1C7503B7" w:rsidR="00231448" w:rsidRPr="00F37B9C" w:rsidRDefault="00B03446" w:rsidP="00231448">
      <w:pPr>
        <w:pStyle w:val="Tiret0"/>
        <w:numPr>
          <w:ilvl w:val="0"/>
          <w:numId w:val="9"/>
        </w:numPr>
        <w:rPr>
          <w:noProof/>
        </w:rPr>
      </w:pPr>
      <w:bookmarkStart w:id="7" w:name="_Hlk232608846"/>
      <w:r w:rsidRPr="00F37B9C">
        <w:rPr>
          <w:noProof/>
        </w:rPr>
        <w:t>OENO-TECHNO 21-706</w:t>
      </w:r>
      <w:bookmarkEnd w:id="7"/>
      <w:r w:rsidRPr="00F37B9C">
        <w:rPr>
          <w:noProof/>
        </w:rPr>
        <w:t>: Mise à jour de la fiche 3.3.13 «Traitement des vins à l’aide de mannoprotéines de levures»,</w:t>
      </w:r>
    </w:p>
    <w:p w14:paraId="2C7BCCB2" w14:textId="77777777" w:rsidR="00414AEA" w:rsidRPr="00F37B9C" w:rsidRDefault="00414AEA" w:rsidP="00414AEA">
      <w:pPr>
        <w:pStyle w:val="Tiret0"/>
        <w:numPr>
          <w:ilvl w:val="0"/>
          <w:numId w:val="9"/>
        </w:numPr>
        <w:rPr>
          <w:noProof/>
        </w:rPr>
      </w:pPr>
      <w:r w:rsidRPr="00F37B9C">
        <w:rPr>
          <w:noProof/>
        </w:rPr>
        <w:t>OENO-TECHNO 23-730: limite de concentration de l’acide sorbique dans le vin,</w:t>
      </w:r>
    </w:p>
    <w:p w14:paraId="1BCA12EB" w14:textId="1E580300" w:rsidR="00B03446" w:rsidRPr="00F37B9C" w:rsidRDefault="00B03446" w:rsidP="008C1172">
      <w:pPr>
        <w:pStyle w:val="Tiret0"/>
        <w:numPr>
          <w:ilvl w:val="0"/>
          <w:numId w:val="9"/>
        </w:numPr>
        <w:rPr>
          <w:noProof/>
        </w:rPr>
      </w:pPr>
      <w:r w:rsidRPr="00F37B9C">
        <w:rPr>
          <w:noProof/>
        </w:rPr>
        <w:t xml:space="preserve">OENO-TECHNO 23-734: Traitement des moûts blancs par passage sur des billes adsorbantes de styrène-divinylbenzène aux fins de l’élimination des composés polyphénoliques responsables du brunissement, </w:t>
      </w:r>
    </w:p>
    <w:p w14:paraId="5C2F3586" w14:textId="57714E66" w:rsidR="00B03446" w:rsidRPr="00F37B9C" w:rsidRDefault="00B03446" w:rsidP="008C1172">
      <w:pPr>
        <w:pStyle w:val="Tiret0"/>
        <w:numPr>
          <w:ilvl w:val="0"/>
          <w:numId w:val="9"/>
        </w:numPr>
        <w:rPr>
          <w:noProof/>
        </w:rPr>
      </w:pPr>
      <w:r w:rsidRPr="00F37B9C">
        <w:rPr>
          <w:noProof/>
        </w:rPr>
        <w:t>OENO-TECHNO 23-735: Traitement des vins blancs par passage sur des billes adsorbantes de styrène-divinylbenzène aux fins de l’élimination des composés polyphénoliques responsables du brunissement,</w:t>
      </w:r>
    </w:p>
    <w:p w14:paraId="08BFE79A" w14:textId="4B29FD24" w:rsidR="00B03446" w:rsidRPr="00F37B9C" w:rsidRDefault="00B03446" w:rsidP="008C1172">
      <w:pPr>
        <w:pStyle w:val="Tiret0"/>
        <w:numPr>
          <w:ilvl w:val="0"/>
          <w:numId w:val="9"/>
        </w:numPr>
        <w:rPr>
          <w:noProof/>
        </w:rPr>
      </w:pPr>
      <w:bookmarkStart w:id="8" w:name="_Hlk232665725"/>
      <w:r w:rsidRPr="00F37B9C">
        <w:rPr>
          <w:noProof/>
        </w:rPr>
        <w:t>OENO-TECHNO 25-761</w:t>
      </w:r>
      <w:bookmarkEnd w:id="8"/>
      <w:r w:rsidRPr="00F37B9C">
        <w:rPr>
          <w:noProof/>
        </w:rPr>
        <w:t>: Mise à jour de la fiche 3.4.21 «Activateurs de fermentation malolactique»,</w:t>
      </w:r>
    </w:p>
    <w:p w14:paraId="4FCC306E" w14:textId="4FB8B31E" w:rsidR="00B03446" w:rsidRPr="00F37B9C" w:rsidRDefault="00B03446" w:rsidP="008C1172">
      <w:pPr>
        <w:pStyle w:val="Tiret0"/>
        <w:numPr>
          <w:ilvl w:val="0"/>
          <w:numId w:val="9"/>
        </w:numPr>
        <w:rPr>
          <w:noProof/>
        </w:rPr>
      </w:pPr>
      <w:bookmarkStart w:id="9" w:name="_Hlk232666002"/>
      <w:r w:rsidRPr="00F37B9C">
        <w:rPr>
          <w:noProof/>
        </w:rPr>
        <w:t>OENO-SPECIF 21-695</w:t>
      </w:r>
      <w:bookmarkEnd w:id="9"/>
      <w:r w:rsidRPr="00F37B9C">
        <w:rPr>
          <w:noProof/>
        </w:rPr>
        <w:t>: Monographie</w:t>
      </w:r>
      <w:bookmarkStart w:id="10" w:name="_Hlk232666425"/>
      <w:r w:rsidRPr="00F37B9C">
        <w:rPr>
          <w:noProof/>
        </w:rPr>
        <w:t xml:space="preserve"> sur les résines chélatrices de styrène-divinylbenzène à groupe fonctionnel iminodiacétique</w:t>
      </w:r>
      <w:bookmarkEnd w:id="10"/>
      <w:r w:rsidRPr="00F37B9C">
        <w:rPr>
          <w:noProof/>
        </w:rPr>
        <w:t xml:space="preserve">, </w:t>
      </w:r>
    </w:p>
    <w:p w14:paraId="67B9CC8D" w14:textId="5355520C" w:rsidR="00231448" w:rsidRPr="00F37B9C" w:rsidRDefault="00231448" w:rsidP="008C1172">
      <w:pPr>
        <w:pStyle w:val="Tiret0"/>
        <w:numPr>
          <w:ilvl w:val="0"/>
          <w:numId w:val="9"/>
        </w:numPr>
        <w:rPr>
          <w:noProof/>
        </w:rPr>
      </w:pPr>
      <w:bookmarkStart w:id="11" w:name="_Hlk232666069"/>
      <w:r w:rsidRPr="00F37B9C">
        <w:rPr>
          <w:noProof/>
        </w:rPr>
        <w:t>OENO-SPECIF 23-727</w:t>
      </w:r>
      <w:bookmarkEnd w:id="11"/>
      <w:r w:rsidRPr="00F37B9C">
        <w:rPr>
          <w:noProof/>
        </w:rPr>
        <w:t xml:space="preserve">: </w:t>
      </w:r>
      <w:bookmarkStart w:id="12" w:name="_Hlk232666439"/>
      <w:r w:rsidRPr="00F37B9C">
        <w:rPr>
          <w:noProof/>
        </w:rPr>
        <w:t>Mise à jour de la monographie sur l’acide citrique</w:t>
      </w:r>
      <w:bookmarkEnd w:id="12"/>
      <w:r w:rsidRPr="00F37B9C">
        <w:rPr>
          <w:noProof/>
        </w:rPr>
        <w:t>;</w:t>
      </w:r>
    </w:p>
    <w:p w14:paraId="72F0DFB3" w14:textId="60788932" w:rsidR="00A65692" w:rsidRPr="00F37B9C" w:rsidRDefault="00A65692" w:rsidP="008C1172">
      <w:pPr>
        <w:pStyle w:val="Tiret0"/>
        <w:numPr>
          <w:ilvl w:val="0"/>
          <w:numId w:val="9"/>
        </w:numPr>
        <w:rPr>
          <w:noProof/>
        </w:rPr>
      </w:pPr>
      <w:bookmarkStart w:id="13" w:name="_Hlk232667331"/>
      <w:r w:rsidRPr="00F37B9C">
        <w:rPr>
          <w:noProof/>
        </w:rPr>
        <w:t>OENO-SCMA 24-754</w:t>
      </w:r>
      <w:bookmarkEnd w:id="13"/>
      <w:r w:rsidRPr="00F37B9C">
        <w:rPr>
          <w:noProof/>
        </w:rPr>
        <w:t xml:space="preserve">: Méthode d’analyse </w:t>
      </w:r>
      <w:bookmarkStart w:id="14" w:name="_Hlk232667556"/>
      <w:r w:rsidRPr="00F37B9C">
        <w:rPr>
          <w:noProof/>
        </w:rPr>
        <w:t>pour la détermination du rapport isotopique du strontium (87Sr/86Sr) dans les vins</w:t>
      </w:r>
      <w:bookmarkEnd w:id="14"/>
      <w:r w:rsidRPr="00F37B9C">
        <w:rPr>
          <w:noProof/>
        </w:rPr>
        <w:t xml:space="preserve"> (méthode de type IV),</w:t>
      </w:r>
    </w:p>
    <w:p w14:paraId="749CAD00" w14:textId="3FDCF150" w:rsidR="009D6EFC" w:rsidRPr="00F37B9C" w:rsidRDefault="00A65692" w:rsidP="008255F2">
      <w:pPr>
        <w:pStyle w:val="Tiret0"/>
        <w:numPr>
          <w:ilvl w:val="0"/>
          <w:numId w:val="9"/>
        </w:numPr>
        <w:rPr>
          <w:noProof/>
        </w:rPr>
      </w:pPr>
      <w:bookmarkStart w:id="15" w:name="_Hlk232667603"/>
      <w:r w:rsidRPr="00F37B9C">
        <w:rPr>
          <w:noProof/>
        </w:rPr>
        <w:t>SECSAN-SECUAL 23-722</w:t>
      </w:r>
      <w:bookmarkEnd w:id="15"/>
      <w:r w:rsidRPr="00F37B9C">
        <w:rPr>
          <w:noProof/>
        </w:rPr>
        <w:t>: Mise à jour de la classification des tanins œnologiques en tant qu’additifs ou auxiliaires technologiques</w:t>
      </w:r>
      <w:bookmarkEnd w:id="4"/>
      <w:r w:rsidRPr="00F37B9C">
        <w:rPr>
          <w:noProof/>
        </w:rPr>
        <w:t>.</w:t>
      </w:r>
    </w:p>
    <w:p w14:paraId="2E56DFC5" w14:textId="2026F790" w:rsidR="00BA77CD" w:rsidRPr="00F37B9C" w:rsidRDefault="00BA77CD" w:rsidP="00BA77CD">
      <w:pPr>
        <w:spacing w:before="0" w:after="0"/>
        <w:rPr>
          <w:rFonts w:eastAsia="Times New Roman"/>
          <w:noProof/>
          <w:szCs w:val="20"/>
        </w:rPr>
      </w:pPr>
      <w:r w:rsidRPr="00F37B9C">
        <w:rPr>
          <w:noProof/>
        </w:rPr>
        <w:t>Les États membres de l’Union qui sont membres de l’Organisation internationale de la vigne et du vin (OIV), agissant conjointement au nom de l’Union et sous réserve d’un éventuel réexamen futur à la lumière de nouveaux développements, soutiennent le projet de résolution à l’étape 7 énuméré ci-après lors de l’assemblée générale de l’OIV qui se tiendra le 16 octobre 2026:</w:t>
      </w:r>
    </w:p>
    <w:p w14:paraId="10724703" w14:textId="57DE486B" w:rsidR="00BA77CD" w:rsidRPr="003E75E0" w:rsidRDefault="00BA77CD" w:rsidP="00BA77CD">
      <w:pPr>
        <w:pStyle w:val="Tiret0"/>
        <w:numPr>
          <w:ilvl w:val="0"/>
          <w:numId w:val="9"/>
        </w:numPr>
        <w:rPr>
          <w:noProof/>
        </w:rPr>
      </w:pPr>
      <w:r w:rsidRPr="00F37B9C">
        <w:rPr>
          <w:noProof/>
        </w:rPr>
        <w:t>OENO-TECHNO 14-540A: le traitement spécifique «6.34 Adjonction de glycérol» est supprimé du texte de la résolution.</w:t>
      </w:r>
    </w:p>
    <w:sectPr w:rsidR="00BA77CD" w:rsidRPr="003E75E0" w:rsidSect="00817364">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692E59" w14:textId="77777777" w:rsidR="00C84F66" w:rsidRPr="00F37B9C" w:rsidRDefault="00C84F66" w:rsidP="00C84F66">
      <w:pPr>
        <w:spacing w:before="0" w:after="0"/>
      </w:pPr>
      <w:r w:rsidRPr="00F37B9C">
        <w:separator/>
      </w:r>
    </w:p>
  </w:endnote>
  <w:endnote w:type="continuationSeparator" w:id="0">
    <w:p w14:paraId="169DC803" w14:textId="77777777" w:rsidR="00C84F66" w:rsidRPr="00F37B9C" w:rsidRDefault="00C84F66" w:rsidP="00C84F66">
      <w:pPr>
        <w:spacing w:before="0" w:after="0"/>
      </w:pPr>
      <w:r w:rsidRPr="00F37B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56182" w14:textId="0383C075" w:rsidR="00817364" w:rsidRPr="00817364" w:rsidRDefault="00817364" w:rsidP="00817364">
    <w:pPr>
      <w:pStyle w:val="Footer"/>
      <w:rPr>
        <w:rFonts w:ascii="Arial" w:hAnsi="Arial" w:cs="Arial"/>
        <w:b/>
        <w:sz w:val="48"/>
      </w:rPr>
    </w:pPr>
    <w:r w:rsidRPr="00817364">
      <w:rPr>
        <w:rFonts w:ascii="Arial" w:hAnsi="Arial" w:cs="Arial"/>
        <w:b/>
        <w:sz w:val="48"/>
      </w:rPr>
      <w:t>FR</w:t>
    </w:r>
    <w:r w:rsidRPr="00817364">
      <w:rPr>
        <w:rFonts w:ascii="Arial" w:hAnsi="Arial" w:cs="Arial"/>
        <w:b/>
        <w:sz w:val="48"/>
      </w:rPr>
      <w:tab/>
    </w:r>
    <w:r w:rsidRPr="00817364">
      <w:rPr>
        <w:rFonts w:ascii="Arial" w:hAnsi="Arial" w:cs="Arial"/>
        <w:b/>
        <w:sz w:val="48"/>
      </w:rPr>
      <w:tab/>
    </w:r>
    <w:r w:rsidRPr="00817364">
      <w:tab/>
    </w:r>
    <w:r w:rsidRPr="0081736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8FAFC" w14:textId="7F13D966" w:rsidR="00817364" w:rsidRPr="00817364" w:rsidRDefault="00817364" w:rsidP="00817364">
    <w:pPr>
      <w:pStyle w:val="Footer"/>
      <w:rPr>
        <w:rFonts w:ascii="Arial" w:hAnsi="Arial" w:cs="Arial"/>
        <w:b/>
        <w:sz w:val="48"/>
      </w:rPr>
    </w:pPr>
    <w:r w:rsidRPr="00817364">
      <w:rPr>
        <w:rFonts w:ascii="Arial" w:hAnsi="Arial" w:cs="Arial"/>
        <w:b/>
        <w:sz w:val="48"/>
      </w:rPr>
      <w:t>FR</w:t>
    </w:r>
    <w:r w:rsidRPr="00817364">
      <w:rPr>
        <w:rFonts w:ascii="Arial" w:hAnsi="Arial" w:cs="Arial"/>
        <w:b/>
        <w:sz w:val="48"/>
      </w:rPr>
      <w:tab/>
    </w:r>
    <w:r w:rsidRPr="00817364">
      <w:rPr>
        <w:rFonts w:ascii="Arial" w:hAnsi="Arial" w:cs="Arial"/>
        <w:b/>
        <w:sz w:val="48"/>
      </w:rPr>
      <w:tab/>
    </w:r>
    <w:r w:rsidRPr="00817364">
      <w:tab/>
    </w:r>
    <w:r w:rsidRPr="0081736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F667A" w14:textId="77777777" w:rsidR="00817364" w:rsidRPr="00817364" w:rsidRDefault="00817364" w:rsidP="0081736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B4528" w14:textId="77777777" w:rsidR="00817364" w:rsidRDefault="0081736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9A741" w14:textId="164A696A" w:rsidR="00817364" w:rsidRPr="00817364" w:rsidRDefault="00817364" w:rsidP="00817364">
    <w:pPr>
      <w:pStyle w:val="Footer"/>
      <w:rPr>
        <w:rFonts w:ascii="Arial" w:hAnsi="Arial" w:cs="Arial"/>
        <w:b/>
        <w:sz w:val="48"/>
      </w:rPr>
    </w:pPr>
    <w:r w:rsidRPr="00817364">
      <w:rPr>
        <w:rFonts w:ascii="Arial" w:hAnsi="Arial" w:cs="Arial"/>
        <w:b/>
        <w:sz w:val="48"/>
      </w:rPr>
      <w:t>FR</w:t>
    </w:r>
    <w:r w:rsidRPr="00817364">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817364">
      <w:tab/>
    </w:r>
    <w:r w:rsidRPr="00817364">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C4D29" w14:textId="77777777" w:rsidR="00817364" w:rsidRDefault="00817364" w:rsidP="008173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4F504C" w14:textId="77777777" w:rsidR="00C84F66" w:rsidRPr="00F37B9C" w:rsidRDefault="00C84F66" w:rsidP="00C84F66">
      <w:pPr>
        <w:spacing w:before="0" w:after="0"/>
      </w:pPr>
      <w:r w:rsidRPr="00F37B9C">
        <w:separator/>
      </w:r>
    </w:p>
  </w:footnote>
  <w:footnote w:type="continuationSeparator" w:id="0">
    <w:p w14:paraId="68BA61A9" w14:textId="77777777" w:rsidR="00C84F66" w:rsidRPr="00F37B9C" w:rsidRDefault="00C84F66" w:rsidP="00C84F66">
      <w:pPr>
        <w:spacing w:before="0" w:after="0"/>
      </w:pPr>
      <w:r w:rsidRPr="00F37B9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A5797" w14:textId="77777777" w:rsidR="00817364" w:rsidRPr="00817364" w:rsidRDefault="00817364" w:rsidP="008173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6B6CD" w14:textId="77777777" w:rsidR="00817364" w:rsidRPr="00817364" w:rsidRDefault="00817364" w:rsidP="008173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3FFFF" w14:textId="77777777" w:rsidR="00817364" w:rsidRPr="00817364" w:rsidRDefault="00817364" w:rsidP="0081736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0A52A" w14:textId="77777777" w:rsidR="00817364" w:rsidRDefault="0081736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324A0D" w14:textId="77777777" w:rsidR="00817364" w:rsidRDefault="008173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72BAB766"/>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9916496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D9DC863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F2CC21F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373C794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74461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9E44CC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1CF67E3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
  </w:num>
  <w:num w:numId="2">
    <w:abstractNumId w:val="7"/>
  </w:num>
  <w:num w:numId="3">
    <w:abstractNumId w:val="5"/>
  </w:num>
  <w:num w:numId="4">
    <w:abstractNumId w:val="4"/>
  </w:num>
  <w:num w:numId="5">
    <w:abstractNumId w:val="3"/>
  </w:num>
  <w:num w:numId="6">
    <w:abstractNumId w:val="6"/>
  </w:num>
  <w:num w:numId="7">
    <w:abstractNumId w:val="1"/>
  </w:num>
  <w:num w:numId="8">
    <w:abstractNumId w:val="0"/>
  </w:num>
  <w:num w:numId="9">
    <w:abstractNumId w:val="19"/>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61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28 14:51:2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A5A5F4A5-74EF-4BDA-B132-EC84B5A456AC"/>
    <w:docVar w:name="LW_COVERPAGE_TYPE" w:val="1"/>
    <w:docVar w:name="LW_CROSSREFERENCE" w:val="&lt;UNUSED&gt;"/>
    <w:docVar w:name="LW_DocType" w:val="ANNEX"/>
    <w:docVar w:name="LW_EMISSION" w:val="29.7.2026"/>
    <w:docVar w:name="LW_EMISSION_ISODATE" w:val="2026-07-29"/>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position à prendre, au nom de l\u8217?Union européenne, au sein de l\u8217?Organisation internationale de la vigne et du vin (OIV)_x000d__x000d__x000d__x000d__x000d__x000d__x000d__x000d__x000d__x000d__x000d__x000d__x000d__x000d__x000d__x000b_ "/>
    <w:docVar w:name="LW_OBJETACTEPRINCIPAL.CP" w:val="relative à la position à prendre, au nom de l\u8217?Union européenne, au sein de l\u8217?Organisation internationale de la vigne et du vin (OIV)_x000d__x000d__x000d__x000d__x000d__x000d__x000d__x000d__x000d__x000d__x000d__x000d__x000d__x000d__x000d__x000b_ "/>
    <w:docVar w:name="LW_PART_NBR" w:val="1"/>
    <w:docVar w:name="LW_PART_NBR_TOTAL" w:val="1"/>
    <w:docVar w:name="LW_REF.INST.NEW" w:val="COM"/>
    <w:docVar w:name="LW_REF.INST.NEW_ADOPTED" w:val="final"/>
    <w:docVar w:name="LW_REF.INST.NEW_TEXT" w:val="(2026) 40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_x000b__x000b_DÉCISION DU CONSEIL"/>
    <w:docVar w:name="LW_TYPEACTEPRINCIPAL.CP" w:val="Proposition de_x000b__x000b_DÉCISION DU CONSEIL"/>
    <w:docVar w:name="LwApiVersions" w:val="LW4CoDe 1.24.5.0; LW 9.2, Build 20251112"/>
  </w:docVars>
  <w:rsids>
    <w:rsidRoot w:val="00C84F66"/>
    <w:rsid w:val="00006BCA"/>
    <w:rsid w:val="0002172B"/>
    <w:rsid w:val="00024EA9"/>
    <w:rsid w:val="000544BE"/>
    <w:rsid w:val="00056CAA"/>
    <w:rsid w:val="0006266D"/>
    <w:rsid w:val="00076A8B"/>
    <w:rsid w:val="00077F8C"/>
    <w:rsid w:val="000A03C1"/>
    <w:rsid w:val="000A41DA"/>
    <w:rsid w:val="000B0A04"/>
    <w:rsid w:val="000C5BF7"/>
    <w:rsid w:val="000D1D88"/>
    <w:rsid w:val="000D4979"/>
    <w:rsid w:val="000F16D8"/>
    <w:rsid w:val="00144779"/>
    <w:rsid w:val="00152894"/>
    <w:rsid w:val="001533BA"/>
    <w:rsid w:val="00154B45"/>
    <w:rsid w:val="00196425"/>
    <w:rsid w:val="001A0039"/>
    <w:rsid w:val="001A7AFA"/>
    <w:rsid w:val="001B5940"/>
    <w:rsid w:val="001C2730"/>
    <w:rsid w:val="001E3410"/>
    <w:rsid w:val="001E6441"/>
    <w:rsid w:val="00223182"/>
    <w:rsid w:val="00227CB8"/>
    <w:rsid w:val="00230BB8"/>
    <w:rsid w:val="00231448"/>
    <w:rsid w:val="00241431"/>
    <w:rsid w:val="002427DD"/>
    <w:rsid w:val="00245FB4"/>
    <w:rsid w:val="0026250D"/>
    <w:rsid w:val="00267706"/>
    <w:rsid w:val="00283C72"/>
    <w:rsid w:val="0028582A"/>
    <w:rsid w:val="00293A7B"/>
    <w:rsid w:val="002A0F11"/>
    <w:rsid w:val="002A1A1E"/>
    <w:rsid w:val="002C651C"/>
    <w:rsid w:val="002E564E"/>
    <w:rsid w:val="002F1B8D"/>
    <w:rsid w:val="002F4C2D"/>
    <w:rsid w:val="00300182"/>
    <w:rsid w:val="003105AC"/>
    <w:rsid w:val="00312413"/>
    <w:rsid w:val="00322BAA"/>
    <w:rsid w:val="00323AA1"/>
    <w:rsid w:val="00324CFB"/>
    <w:rsid w:val="00324E75"/>
    <w:rsid w:val="003349D8"/>
    <w:rsid w:val="00347668"/>
    <w:rsid w:val="0035147B"/>
    <w:rsid w:val="0036047B"/>
    <w:rsid w:val="0036223B"/>
    <w:rsid w:val="003637B1"/>
    <w:rsid w:val="0036684B"/>
    <w:rsid w:val="00370DE5"/>
    <w:rsid w:val="00371556"/>
    <w:rsid w:val="00371765"/>
    <w:rsid w:val="00373D48"/>
    <w:rsid w:val="00382A51"/>
    <w:rsid w:val="00391515"/>
    <w:rsid w:val="003A3A25"/>
    <w:rsid w:val="003A3E45"/>
    <w:rsid w:val="003B217D"/>
    <w:rsid w:val="003C5234"/>
    <w:rsid w:val="003C762C"/>
    <w:rsid w:val="003D32CB"/>
    <w:rsid w:val="003E713B"/>
    <w:rsid w:val="003E75E0"/>
    <w:rsid w:val="003F2BEB"/>
    <w:rsid w:val="00406CC1"/>
    <w:rsid w:val="004111F1"/>
    <w:rsid w:val="00414AEA"/>
    <w:rsid w:val="0043148A"/>
    <w:rsid w:val="004425BA"/>
    <w:rsid w:val="00444FEE"/>
    <w:rsid w:val="00446D3B"/>
    <w:rsid w:val="00466A0C"/>
    <w:rsid w:val="00466A6C"/>
    <w:rsid w:val="0047076C"/>
    <w:rsid w:val="004A588A"/>
    <w:rsid w:val="004B46A0"/>
    <w:rsid w:val="004C0C3C"/>
    <w:rsid w:val="004C12EB"/>
    <w:rsid w:val="004C699E"/>
    <w:rsid w:val="004D3AE7"/>
    <w:rsid w:val="004D6425"/>
    <w:rsid w:val="004F6246"/>
    <w:rsid w:val="00503924"/>
    <w:rsid w:val="0051273B"/>
    <w:rsid w:val="00525415"/>
    <w:rsid w:val="005365AB"/>
    <w:rsid w:val="005775FC"/>
    <w:rsid w:val="0058743F"/>
    <w:rsid w:val="00594834"/>
    <w:rsid w:val="005B3AAC"/>
    <w:rsid w:val="005C1675"/>
    <w:rsid w:val="005C7358"/>
    <w:rsid w:val="005D0155"/>
    <w:rsid w:val="005E2B54"/>
    <w:rsid w:val="00601E76"/>
    <w:rsid w:val="00607CE6"/>
    <w:rsid w:val="00633510"/>
    <w:rsid w:val="00637F0F"/>
    <w:rsid w:val="00647002"/>
    <w:rsid w:val="006470EA"/>
    <w:rsid w:val="006662CA"/>
    <w:rsid w:val="00682703"/>
    <w:rsid w:val="00685877"/>
    <w:rsid w:val="006A2AD1"/>
    <w:rsid w:val="006B01B4"/>
    <w:rsid w:val="006C2942"/>
    <w:rsid w:val="006D47A3"/>
    <w:rsid w:val="006F14A7"/>
    <w:rsid w:val="006F3C12"/>
    <w:rsid w:val="006F5448"/>
    <w:rsid w:val="00717D26"/>
    <w:rsid w:val="00723C18"/>
    <w:rsid w:val="00736CBD"/>
    <w:rsid w:val="0074216E"/>
    <w:rsid w:val="00743D63"/>
    <w:rsid w:val="00757184"/>
    <w:rsid w:val="00764492"/>
    <w:rsid w:val="007737AD"/>
    <w:rsid w:val="0078415E"/>
    <w:rsid w:val="00786257"/>
    <w:rsid w:val="00787678"/>
    <w:rsid w:val="00791F1E"/>
    <w:rsid w:val="007B14EE"/>
    <w:rsid w:val="007C2B4A"/>
    <w:rsid w:val="007C461D"/>
    <w:rsid w:val="007E611B"/>
    <w:rsid w:val="007F17A7"/>
    <w:rsid w:val="00817364"/>
    <w:rsid w:val="00821B26"/>
    <w:rsid w:val="00824438"/>
    <w:rsid w:val="00824C80"/>
    <w:rsid w:val="008255F2"/>
    <w:rsid w:val="008320DA"/>
    <w:rsid w:val="008627C7"/>
    <w:rsid w:val="00863E07"/>
    <w:rsid w:val="00885D60"/>
    <w:rsid w:val="00887D0E"/>
    <w:rsid w:val="008920EB"/>
    <w:rsid w:val="00892173"/>
    <w:rsid w:val="008C1172"/>
    <w:rsid w:val="008C2CFE"/>
    <w:rsid w:val="008C3FD9"/>
    <w:rsid w:val="008D4E79"/>
    <w:rsid w:val="008E5DCA"/>
    <w:rsid w:val="009041EA"/>
    <w:rsid w:val="00914671"/>
    <w:rsid w:val="009156AD"/>
    <w:rsid w:val="00936054"/>
    <w:rsid w:val="00953628"/>
    <w:rsid w:val="00967035"/>
    <w:rsid w:val="00980F30"/>
    <w:rsid w:val="00982F47"/>
    <w:rsid w:val="00983339"/>
    <w:rsid w:val="00997758"/>
    <w:rsid w:val="009C052F"/>
    <w:rsid w:val="009C4A48"/>
    <w:rsid w:val="009C617D"/>
    <w:rsid w:val="009C7CAC"/>
    <w:rsid w:val="009D5557"/>
    <w:rsid w:val="009D6DE2"/>
    <w:rsid w:val="009D6EFC"/>
    <w:rsid w:val="009E5F43"/>
    <w:rsid w:val="009F51B8"/>
    <w:rsid w:val="009F61E6"/>
    <w:rsid w:val="009F6635"/>
    <w:rsid w:val="00A0708A"/>
    <w:rsid w:val="00A531CC"/>
    <w:rsid w:val="00A57BB1"/>
    <w:rsid w:val="00A65692"/>
    <w:rsid w:val="00A76405"/>
    <w:rsid w:val="00A81115"/>
    <w:rsid w:val="00A81A15"/>
    <w:rsid w:val="00A92B1A"/>
    <w:rsid w:val="00AA163E"/>
    <w:rsid w:val="00AB166A"/>
    <w:rsid w:val="00AD5982"/>
    <w:rsid w:val="00AE40C3"/>
    <w:rsid w:val="00AE5793"/>
    <w:rsid w:val="00B03446"/>
    <w:rsid w:val="00B2365F"/>
    <w:rsid w:val="00B37225"/>
    <w:rsid w:val="00B472B8"/>
    <w:rsid w:val="00B55DEC"/>
    <w:rsid w:val="00B62194"/>
    <w:rsid w:val="00B718B2"/>
    <w:rsid w:val="00B861BE"/>
    <w:rsid w:val="00BA77CD"/>
    <w:rsid w:val="00BB25E0"/>
    <w:rsid w:val="00BC0B6C"/>
    <w:rsid w:val="00BC62BA"/>
    <w:rsid w:val="00BD5F41"/>
    <w:rsid w:val="00BE3ABA"/>
    <w:rsid w:val="00BF0BF2"/>
    <w:rsid w:val="00C01505"/>
    <w:rsid w:val="00C332FB"/>
    <w:rsid w:val="00C40797"/>
    <w:rsid w:val="00C41053"/>
    <w:rsid w:val="00C44C5C"/>
    <w:rsid w:val="00C5520D"/>
    <w:rsid w:val="00C839D6"/>
    <w:rsid w:val="00C84046"/>
    <w:rsid w:val="00C84F66"/>
    <w:rsid w:val="00C954ED"/>
    <w:rsid w:val="00CB4D4B"/>
    <w:rsid w:val="00CE1BD4"/>
    <w:rsid w:val="00CF2D57"/>
    <w:rsid w:val="00D00E90"/>
    <w:rsid w:val="00D12A1C"/>
    <w:rsid w:val="00D1362C"/>
    <w:rsid w:val="00D23605"/>
    <w:rsid w:val="00D31952"/>
    <w:rsid w:val="00D32489"/>
    <w:rsid w:val="00D355B8"/>
    <w:rsid w:val="00D52374"/>
    <w:rsid w:val="00D555EE"/>
    <w:rsid w:val="00D600D1"/>
    <w:rsid w:val="00D71D26"/>
    <w:rsid w:val="00D8312A"/>
    <w:rsid w:val="00D86F27"/>
    <w:rsid w:val="00D90008"/>
    <w:rsid w:val="00D94AEE"/>
    <w:rsid w:val="00D95135"/>
    <w:rsid w:val="00D977DE"/>
    <w:rsid w:val="00DA0EC7"/>
    <w:rsid w:val="00DA1B85"/>
    <w:rsid w:val="00DB3036"/>
    <w:rsid w:val="00DD3108"/>
    <w:rsid w:val="00DE683D"/>
    <w:rsid w:val="00DE7FE0"/>
    <w:rsid w:val="00DF1474"/>
    <w:rsid w:val="00DF68E6"/>
    <w:rsid w:val="00E0133C"/>
    <w:rsid w:val="00E50015"/>
    <w:rsid w:val="00E940C6"/>
    <w:rsid w:val="00EB2D19"/>
    <w:rsid w:val="00EB4DBF"/>
    <w:rsid w:val="00ED1656"/>
    <w:rsid w:val="00F0134D"/>
    <w:rsid w:val="00F015F5"/>
    <w:rsid w:val="00F03320"/>
    <w:rsid w:val="00F053ED"/>
    <w:rsid w:val="00F1393C"/>
    <w:rsid w:val="00F13956"/>
    <w:rsid w:val="00F228BD"/>
    <w:rsid w:val="00F337DD"/>
    <w:rsid w:val="00F351DA"/>
    <w:rsid w:val="00F37B9C"/>
    <w:rsid w:val="00F47813"/>
    <w:rsid w:val="00F508D0"/>
    <w:rsid w:val="00F6502D"/>
    <w:rsid w:val="00F66210"/>
    <w:rsid w:val="00F72A21"/>
    <w:rsid w:val="00F90A87"/>
    <w:rsid w:val="00F9760E"/>
    <w:rsid w:val="00FB0A19"/>
    <w:rsid w:val="00FC637E"/>
    <w:rsid w:val="00FD5281"/>
    <w:rsid w:val="00FE21F8"/>
    <w:rsid w:val="00FF4EC7"/>
    <w:rsid w:val="00FF73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1793"/>
    <o:shapelayout v:ext="edit">
      <o:idmap v:ext="edit" data="1"/>
    </o:shapelayout>
  </w:shapeDefaults>
  <w:decimalSymbol w:val=","/>
  <w:listSeparator w:val=";"/>
  <w14:docId w14:val="4C8B1793"/>
  <w15:docId w15:val="{33B215F0-07C3-4C78-9338-1C7869077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2">
    <w:name w:val="List Number 2"/>
    <w:basedOn w:val="Normal"/>
    <w:uiPriority w:val="99"/>
    <w:semiHidden/>
    <w:unhideWhenUsed/>
    <w:rsid w:val="00C84F66"/>
    <w:pPr>
      <w:numPr>
        <w:numId w:val="1"/>
      </w:numPr>
      <w:contextualSpacing/>
    </w:pPr>
  </w:style>
  <w:style w:type="paragraph" w:styleId="ListBullet">
    <w:name w:val="List Bullet"/>
    <w:basedOn w:val="Normal"/>
    <w:uiPriority w:val="99"/>
    <w:semiHidden/>
    <w:unhideWhenUsed/>
    <w:rsid w:val="009D5557"/>
    <w:pPr>
      <w:numPr>
        <w:numId w:val="2"/>
      </w:numPr>
      <w:contextualSpacing/>
    </w:pPr>
  </w:style>
  <w:style w:type="paragraph" w:styleId="ListBullet2">
    <w:name w:val="List Bullet 2"/>
    <w:basedOn w:val="Normal"/>
    <w:uiPriority w:val="99"/>
    <w:semiHidden/>
    <w:unhideWhenUsed/>
    <w:rsid w:val="009D5557"/>
    <w:pPr>
      <w:numPr>
        <w:numId w:val="3"/>
      </w:numPr>
      <w:contextualSpacing/>
    </w:pPr>
  </w:style>
  <w:style w:type="paragraph" w:styleId="ListBullet3">
    <w:name w:val="List Bullet 3"/>
    <w:basedOn w:val="Normal"/>
    <w:uiPriority w:val="99"/>
    <w:semiHidden/>
    <w:unhideWhenUsed/>
    <w:rsid w:val="009D5557"/>
    <w:pPr>
      <w:numPr>
        <w:numId w:val="4"/>
      </w:numPr>
      <w:contextualSpacing/>
    </w:pPr>
  </w:style>
  <w:style w:type="paragraph" w:styleId="ListBullet4">
    <w:name w:val="List Bullet 4"/>
    <w:basedOn w:val="Normal"/>
    <w:uiPriority w:val="99"/>
    <w:semiHidden/>
    <w:unhideWhenUsed/>
    <w:rsid w:val="009D5557"/>
    <w:pPr>
      <w:numPr>
        <w:numId w:val="5"/>
      </w:numPr>
      <w:contextualSpacing/>
    </w:pPr>
  </w:style>
  <w:style w:type="paragraph" w:styleId="Caption">
    <w:name w:val="caption"/>
    <w:basedOn w:val="Normal"/>
    <w:next w:val="Normal"/>
    <w:uiPriority w:val="35"/>
    <w:semiHidden/>
    <w:unhideWhenUsed/>
    <w:qFormat/>
    <w:rsid w:val="00824C80"/>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824C80"/>
    <w:pPr>
      <w:spacing w:after="0"/>
    </w:pPr>
  </w:style>
  <w:style w:type="paragraph" w:styleId="ListNumber">
    <w:name w:val="List Number"/>
    <w:basedOn w:val="Normal"/>
    <w:uiPriority w:val="99"/>
    <w:semiHidden/>
    <w:unhideWhenUsed/>
    <w:rsid w:val="00824C80"/>
    <w:pPr>
      <w:numPr>
        <w:numId w:val="6"/>
      </w:numPr>
      <w:contextualSpacing/>
    </w:pPr>
  </w:style>
  <w:style w:type="paragraph" w:styleId="ListNumber3">
    <w:name w:val="List Number 3"/>
    <w:basedOn w:val="Normal"/>
    <w:uiPriority w:val="99"/>
    <w:semiHidden/>
    <w:unhideWhenUsed/>
    <w:rsid w:val="00824C80"/>
    <w:pPr>
      <w:numPr>
        <w:numId w:val="7"/>
      </w:numPr>
      <w:contextualSpacing/>
    </w:pPr>
  </w:style>
  <w:style w:type="paragraph" w:styleId="ListNumber4">
    <w:name w:val="List Number 4"/>
    <w:basedOn w:val="Normal"/>
    <w:uiPriority w:val="99"/>
    <w:semiHidden/>
    <w:unhideWhenUsed/>
    <w:rsid w:val="00824C80"/>
    <w:pPr>
      <w:numPr>
        <w:numId w:val="8"/>
      </w:numPr>
      <w:contextualSpacing/>
    </w:pPr>
  </w:style>
  <w:style w:type="paragraph" w:styleId="Revision">
    <w:name w:val="Revision"/>
    <w:hidden/>
    <w:uiPriority w:val="99"/>
    <w:semiHidden/>
    <w:rsid w:val="00A92B1A"/>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F6502D"/>
    <w:rPr>
      <w:sz w:val="16"/>
      <w:szCs w:val="16"/>
    </w:rPr>
  </w:style>
  <w:style w:type="paragraph" w:styleId="CommentText">
    <w:name w:val="annotation text"/>
    <w:basedOn w:val="Normal"/>
    <w:link w:val="CommentTextChar"/>
    <w:uiPriority w:val="99"/>
    <w:unhideWhenUsed/>
    <w:rsid w:val="00F6502D"/>
    <w:rPr>
      <w:sz w:val="20"/>
      <w:szCs w:val="20"/>
    </w:rPr>
  </w:style>
  <w:style w:type="character" w:customStyle="1" w:styleId="CommentTextChar">
    <w:name w:val="Comment Text Char"/>
    <w:basedOn w:val="DefaultParagraphFont"/>
    <w:link w:val="CommentText"/>
    <w:uiPriority w:val="99"/>
    <w:rsid w:val="00F6502D"/>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F6502D"/>
    <w:rPr>
      <w:b/>
      <w:bCs/>
    </w:rPr>
  </w:style>
  <w:style w:type="character" w:customStyle="1" w:styleId="CommentSubjectChar">
    <w:name w:val="Comment Subject Char"/>
    <w:basedOn w:val="CommentTextChar"/>
    <w:link w:val="CommentSubject"/>
    <w:uiPriority w:val="99"/>
    <w:semiHidden/>
    <w:rsid w:val="00F6502D"/>
    <w:rPr>
      <w:rFonts w:ascii="Times New Roman" w:hAnsi="Times New Roman" w:cs="Times New Roman"/>
      <w:b/>
      <w:bCs/>
      <w:sz w:val="20"/>
      <w:szCs w:val="20"/>
      <w:lang w:val="fr-FR"/>
    </w:rPr>
  </w:style>
  <w:style w:type="character" w:styleId="Hyperlink">
    <w:name w:val="Hyperlink"/>
    <w:basedOn w:val="DefaultParagraphFont"/>
    <w:uiPriority w:val="99"/>
    <w:unhideWhenUsed/>
    <w:rsid w:val="004D3AE7"/>
    <w:rPr>
      <w:color w:val="0000FF" w:themeColor="hyperlink"/>
      <w:u w:val="single"/>
    </w:rPr>
  </w:style>
  <w:style w:type="character" w:customStyle="1" w:styleId="UnresolvedMention">
    <w:name w:val="Unresolved Mention"/>
    <w:basedOn w:val="DefaultParagraphFont"/>
    <w:uiPriority w:val="99"/>
    <w:semiHidden/>
    <w:unhideWhenUsed/>
    <w:rsid w:val="004D3AE7"/>
    <w:rPr>
      <w:color w:val="605E5C"/>
      <w:shd w:val="clear" w:color="auto" w:fill="E1DFDD"/>
    </w:rPr>
  </w:style>
  <w:style w:type="character" w:customStyle="1" w:styleId="HeaderChar">
    <w:name w:val="Header Char"/>
    <w:basedOn w:val="DefaultParagraphFont"/>
    <w:link w:val="Header"/>
    <w:uiPriority w:val="99"/>
    <w:rsid w:val="00817364"/>
    <w:rPr>
      <w:rFonts w:ascii="Times New Roman" w:hAnsi="Times New Roman" w:cs="Times New Roman"/>
      <w:sz w:val="24"/>
      <w:lang w:val="fr-FR"/>
    </w:rPr>
  </w:style>
  <w:style w:type="character" w:customStyle="1" w:styleId="FooterChar">
    <w:name w:val="Footer Char"/>
    <w:basedOn w:val="DefaultParagraphFont"/>
    <w:link w:val="Footer"/>
    <w:uiPriority w:val="99"/>
    <w:rsid w:val="00817364"/>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1736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17364"/>
    <w:pPr>
      <w:spacing w:before="0"/>
      <w:jc w:val="right"/>
    </w:pPr>
    <w:rPr>
      <w:sz w:val="28"/>
    </w:rPr>
  </w:style>
  <w:style w:type="paragraph" w:customStyle="1" w:styleId="FooterSensitivity">
    <w:name w:val="Footer Sensitivity"/>
    <w:basedOn w:val="Normal"/>
    <w:rsid w:val="0081736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817364"/>
    <w:pPr>
      <w:tabs>
        <w:tab w:val="center" w:pos="4535"/>
        <w:tab w:val="right" w:pos="9071"/>
      </w:tabs>
      <w:spacing w:before="0"/>
    </w:pPr>
  </w:style>
  <w:style w:type="paragraph" w:customStyle="1" w:styleId="HeaderLandscape">
    <w:name w:val="HeaderLandscape"/>
    <w:basedOn w:val="Normal"/>
    <w:rsid w:val="00817364"/>
    <w:pPr>
      <w:tabs>
        <w:tab w:val="center" w:pos="7285"/>
        <w:tab w:val="right" w:pos="14003"/>
      </w:tabs>
      <w:spacing w:before="0"/>
    </w:pPr>
  </w:style>
  <w:style w:type="paragraph" w:styleId="Footer">
    <w:name w:val="footer"/>
    <w:basedOn w:val="Normal"/>
    <w:link w:val="FooterChar"/>
    <w:uiPriority w:val="99"/>
    <w:unhideWhenUsed/>
    <w:rsid w:val="0081736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1736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0" ma:contentTypeDescription="Create a new document in this library." ma:contentTypeScope="" ma:versionID="9652a2d46328713989bb97f1a4bbd963">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4f29c4ebe26ab41c5114504f141434bd"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B16CF9-CD77-4C6D-92FE-E1859AAB06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29421B-5888-4846-995C-A5BEE5010051}">
  <ds:schemaRefs>
    <ds:schemaRef ds:uri="144c03d0-0f03-451f-9d46-5279004462a4"/>
    <ds:schemaRef ds:uri="http://schemas.microsoft.com/office/2006/metadata/properties"/>
    <ds:schemaRef ds:uri="http://schemas.microsoft.com/sharepoint/v3/fields"/>
    <ds:schemaRef ds:uri="http://purl.org/dc/terms/"/>
    <ds:schemaRef ds:uri="http://purl.org/dc/elements/1.1/"/>
    <ds:schemaRef ds:uri="http://schemas.microsoft.com/office/infopath/2007/PartnerControls"/>
    <ds:schemaRef ds:uri="http://schemas.openxmlformats.org/package/2006/metadata/core-properties"/>
    <ds:schemaRef ds:uri="http://schemas.microsoft.com/office/2006/documentManagement/types"/>
    <ds:schemaRef ds:uri="f7bb8512-91eb-4bfd-be42-d6f021407e9a"/>
    <ds:schemaRef ds:uri="http://www.w3.org/XML/1998/namespace"/>
    <ds:schemaRef ds:uri="http://purl.org/dc/dcmitype/"/>
  </ds:schemaRefs>
</ds:datastoreItem>
</file>

<file path=customXml/itemProps3.xml><?xml version="1.0" encoding="utf-8"?>
<ds:datastoreItem xmlns:ds="http://schemas.openxmlformats.org/officeDocument/2006/customXml" ds:itemID="{542391C9-BF77-41CF-909A-BD48AED87795}">
  <ds:schemaRefs>
    <ds:schemaRef ds:uri="http://schemas.microsoft.com/sharepoint/v3/contenttype/forms"/>
  </ds:schemaRefs>
</ds:datastoreItem>
</file>

<file path=customXml/itemProps4.xml><?xml version="1.0" encoding="utf-8"?>
<ds:datastoreItem xmlns:ds="http://schemas.openxmlformats.org/officeDocument/2006/customXml" ds:itemID="{252BE211-8252-4DE0-A51D-673FC3FF6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47</TotalTime>
  <Pages>2</Pages>
  <Words>414</Words>
  <Characters>2363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dcterms:created xsi:type="dcterms:W3CDTF">2026-06-29T12:18:00Z</dcterms:created>
  <dcterms:modified xsi:type="dcterms:W3CDTF">2026-07-28T12:51:00Z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2023-03-13T08:26:34Z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8f1141da-25db-4308-ae0f-80347390f595</vt:lpwstr>
  </property>
  <property fmtid="{D5CDD505-2E9C-101B-9397-08002B2CF9AE}" pid="19" name="MSIP_Label_6bd9ddd1-4d20-43f6-abfa-fc3c07406f94_ContentBits">
    <vt:lpwstr>0</vt:lpwstr>
  </property>
  <property fmtid="{D5CDD505-2E9C-101B-9397-08002B2CF9AE}" pid="20" name="ContentTypeId">
    <vt:lpwstr>0x010100BAD999D84E12C74482EA5120F5227F6F00217DECAAC21D6B43958DFE68658C192E</vt:lpwstr>
  </property>
  <property fmtid="{D5CDD505-2E9C-101B-9397-08002B2CF9AE}" pid="21" name="DQCStatus">
    <vt:lpwstr>Green (DQC version 03)</vt:lpwstr>
  </property>
</Properties>
</file>