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FB1" w:rsidRPr="00D05835" w:rsidRDefault="00AF293F" w:rsidP="00AF293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21E4607-E85E-4F3E-98FD-234AFDF1E55F" style="width:455.25pt;height:342.75pt">
            <v:imagedata r:id="rId12" o:title=""/>
          </v:shape>
        </w:pict>
      </w:r>
    </w:p>
    <w:p w:rsidR="00AE2FB1" w:rsidRPr="00D05835" w:rsidRDefault="00AE2FB1" w:rsidP="00AE2FB1">
      <w:pPr>
        <w:rPr>
          <w:noProof/>
        </w:rPr>
        <w:sectPr w:rsidR="00AE2FB1" w:rsidRPr="00D05835" w:rsidSect="00AF293F">
          <w:footerReference w:type="even" r:id="rId13"/>
          <w:footerReference w:type="default" r:id="rId14"/>
          <w:pgSz w:w="11907" w:h="16839"/>
          <w:pgMar w:top="1134" w:right="1417" w:bottom="1134" w:left="1417" w:header="709" w:footer="709" w:gutter="0"/>
          <w:pgNumType w:start="0"/>
          <w:cols w:space="720"/>
          <w:docGrid w:linePitch="360"/>
        </w:sectPr>
      </w:pPr>
    </w:p>
    <w:p w:rsidR="00AE2FB1" w:rsidRPr="00D05835" w:rsidRDefault="00AE2FB1" w:rsidP="00974B16">
      <w:pPr>
        <w:pStyle w:val="Exposdesmotifstitre"/>
        <w:rPr>
          <w:noProof/>
        </w:rPr>
      </w:pPr>
      <w:bookmarkStart w:id="0" w:name="_GoBack"/>
      <w:bookmarkEnd w:id="0"/>
      <w:r w:rsidRPr="00D05835">
        <w:rPr>
          <w:noProof/>
        </w:rPr>
        <w:lastRenderedPageBreak/>
        <w:t>EXPUNERE DE MOTIVE</w:t>
      </w:r>
    </w:p>
    <w:p w:rsidR="00AE2FB1" w:rsidRPr="00D05835" w:rsidRDefault="00AE2FB1" w:rsidP="0001643A">
      <w:pPr>
        <w:pStyle w:val="ManualHeading1"/>
        <w:rPr>
          <w:rFonts w:eastAsia="Arial Unicode MS"/>
          <w:noProof/>
        </w:rPr>
      </w:pPr>
      <w:r>
        <w:rPr>
          <w:noProof/>
        </w:rPr>
        <w:t>1.</w:t>
      </w:r>
      <w:r>
        <w:rPr>
          <w:noProof/>
        </w:rPr>
        <w:tab/>
      </w:r>
      <w:r w:rsidRPr="00D05835">
        <w:rPr>
          <w:noProof/>
        </w:rPr>
        <w:t>Obiectul propunerii</w:t>
      </w:r>
    </w:p>
    <w:p w:rsidR="00AE2FB1" w:rsidRPr="00D05835" w:rsidRDefault="00AE2FB1" w:rsidP="00974B16">
      <w:pPr>
        <w:rPr>
          <w:rFonts w:eastAsia="Arial Unicode MS"/>
          <w:noProof/>
        </w:rPr>
      </w:pPr>
      <w:r w:rsidRPr="00D05835">
        <w:rPr>
          <w:noProof/>
        </w:rPr>
        <w:t>Prezenta propunere se referă la decizia de stabilire a poziției care trebuie adoptată în numele Uniunii în cadrul adunării generale a OIV din 16 octombrie 2026 privind adoptarea preconizată a rezoluțiilor OIV care pot produce efecte juridice asupra legislației Uniunii.</w:t>
      </w:r>
    </w:p>
    <w:p w:rsidR="00AE2FB1" w:rsidRPr="00D05835" w:rsidRDefault="00AE2FB1" w:rsidP="00974B16">
      <w:pPr>
        <w:pStyle w:val="ManualHeading1"/>
        <w:rPr>
          <w:noProof/>
        </w:rPr>
      </w:pPr>
      <w:r>
        <w:rPr>
          <w:noProof/>
        </w:rPr>
        <w:t>2.</w:t>
      </w:r>
      <w:r>
        <w:rPr>
          <w:noProof/>
        </w:rPr>
        <w:tab/>
      </w:r>
      <w:r w:rsidRPr="00D05835">
        <w:rPr>
          <w:noProof/>
        </w:rPr>
        <w:t>Contextul propunerii</w:t>
      </w:r>
    </w:p>
    <w:p w:rsidR="00AE2FB1" w:rsidRPr="00D05835" w:rsidRDefault="00AE2FB1" w:rsidP="00974B16">
      <w:pPr>
        <w:pStyle w:val="ManualHeading2"/>
        <w:rPr>
          <w:noProof/>
        </w:rPr>
      </w:pPr>
      <w:r>
        <w:rPr>
          <w:noProof/>
        </w:rPr>
        <w:t>2.1.</w:t>
      </w:r>
      <w:r>
        <w:rPr>
          <w:noProof/>
        </w:rPr>
        <w:tab/>
      </w:r>
      <w:r w:rsidRPr="00D05835">
        <w:rPr>
          <w:noProof/>
        </w:rPr>
        <w:t>Statutul special al UE în cadrul OIV</w:t>
      </w:r>
    </w:p>
    <w:p w:rsidR="00AE2FB1" w:rsidRPr="00D05835" w:rsidRDefault="00AE2FB1" w:rsidP="00974B16">
      <w:pPr>
        <w:rPr>
          <w:rFonts w:eastAsia="Arial Unicode MS"/>
          <w:noProof/>
        </w:rPr>
      </w:pPr>
      <w:r w:rsidRPr="00D05835">
        <w:rPr>
          <w:noProof/>
        </w:rPr>
        <w:t>În prezent, 50 de state sunt membre ale OIV, dintre care 20 sunt state membre ale Uniunii. UE nu este membră a OIV. Totuși, începând cu 20 octombrie 2017, OIV a acordat Uniunii statutul special prevăzut la articolul 4 din Regulamentul de procedură al OIV, care îi permite acesteia să intervină în lucrările comisiilor, ale subcomisiilor și ale grupurilor de experți și să asiste la reuniunile adunării generale și ale comitetului executiv.</w:t>
      </w:r>
    </w:p>
    <w:p w:rsidR="00AE2FB1" w:rsidRPr="00D05835" w:rsidRDefault="00AE2FB1" w:rsidP="00974B16">
      <w:pPr>
        <w:pStyle w:val="ManualHeading2"/>
        <w:rPr>
          <w:noProof/>
        </w:rPr>
      </w:pPr>
      <w:r>
        <w:rPr>
          <w:noProof/>
        </w:rPr>
        <w:t>2.2.</w:t>
      </w:r>
      <w:r>
        <w:rPr>
          <w:noProof/>
        </w:rPr>
        <w:tab/>
      </w:r>
      <w:r w:rsidRPr="00D05835">
        <w:rPr>
          <w:noProof/>
        </w:rPr>
        <w:t>OIV</w:t>
      </w:r>
    </w:p>
    <w:p w:rsidR="00AE2FB1" w:rsidRPr="00D05835" w:rsidRDefault="00AE2FB1" w:rsidP="00974B16">
      <w:pPr>
        <w:rPr>
          <w:rFonts w:eastAsia="Arial Unicode MS"/>
          <w:noProof/>
        </w:rPr>
      </w:pPr>
      <w:r w:rsidRPr="00D05835">
        <w:rPr>
          <w:noProof/>
        </w:rPr>
        <w:t>Organizația Internațională a Viei și Vinului (OIV) este o organizație interguvernamentală cu caracter științific și tehnic care își desfășoară activitatea în sectorul viței-de-vie, al vinului, al băuturilor pe bază de vin, al strugurilor de masă, al stafidelor și al altor produse viticole. Obiectivele OIV sunt (i) să informeze cu privire la măsurile prin care preocupările producătorilor, ale consumatorilor și ale altor actori din sectorul produselor vitivinicole pot fi luate în considerare, (ii) să asiste alte organizații internaționale implicate în activități de standardizare și (iii) să contribuie la armonizarea la nivel internațional a practicilor și a standardelor existente.</w:t>
      </w:r>
    </w:p>
    <w:p w:rsidR="00AE2FB1" w:rsidRPr="00D05835" w:rsidRDefault="00AE2FB1" w:rsidP="00974B16">
      <w:pPr>
        <w:pStyle w:val="ManualHeading2"/>
        <w:rPr>
          <w:noProof/>
        </w:rPr>
      </w:pPr>
      <w:r>
        <w:rPr>
          <w:noProof/>
        </w:rPr>
        <w:t>2.3.</w:t>
      </w:r>
      <w:r>
        <w:rPr>
          <w:noProof/>
        </w:rPr>
        <w:tab/>
      </w:r>
      <w:r w:rsidRPr="00D05835">
        <w:rPr>
          <w:noProof/>
        </w:rPr>
        <w:t>Actul avut în vedere al OIV</w:t>
      </w:r>
    </w:p>
    <w:p w:rsidR="00AE2FB1" w:rsidRPr="00D05835" w:rsidRDefault="00AE2FB1" w:rsidP="00AE2FB1">
      <w:pPr>
        <w:rPr>
          <w:noProof/>
        </w:rPr>
      </w:pPr>
      <w:r w:rsidRPr="00D05835">
        <w:rPr>
          <w:noProof/>
        </w:rPr>
        <w:t>Următoarea adunare generală a OIV va avea loc la 16 octombrie 2026. În acest context și pe baza discuțiilor desfășurate în cadrul reuniunilor tehnice ale OIV care au avut loc în aprilie 2026, se poate preconiza că pe ordinea de zi a adunării generale vor fi incluse, în vederea adoptării, următoarele rezoluții care produc efecte juridice:</w:t>
      </w:r>
    </w:p>
    <w:p w:rsidR="000740D7" w:rsidRPr="00D05835" w:rsidRDefault="000740D7" w:rsidP="002B12D3">
      <w:pPr>
        <w:ind w:left="426"/>
        <w:rPr>
          <w:noProof/>
        </w:rPr>
      </w:pPr>
      <w:r w:rsidRPr="00D05835">
        <w:rPr>
          <w:noProof/>
        </w:rPr>
        <w:t>–</w:t>
      </w:r>
      <w:r w:rsidRPr="00D05835">
        <w:rPr>
          <w:noProof/>
        </w:rPr>
        <w:tab/>
        <w:t>Proiectul de rezoluție OENO-MICRO 20-669A și B privind stabilizarea microbiologică a mustului și, respectiv, a vinului, prin câmpuri electrice pulsatorii (PEF);</w:t>
      </w:r>
    </w:p>
    <w:p w:rsidR="000740D7" w:rsidRPr="00D05835" w:rsidRDefault="000740D7" w:rsidP="002B12D3">
      <w:pPr>
        <w:ind w:left="426"/>
        <w:rPr>
          <w:noProof/>
        </w:rPr>
      </w:pPr>
      <w:r w:rsidRPr="00D05835">
        <w:rPr>
          <w:noProof/>
        </w:rPr>
        <w:t>–</w:t>
      </w:r>
      <w:r w:rsidRPr="00D05835">
        <w:rPr>
          <w:noProof/>
        </w:rPr>
        <w:tab/>
        <w:t>Proiectul de rezoluție OENO-TECHNO 14-540A și B privind practicile oenologice specifice pentru vinul dezalcoolizat și, respectiv, pentru vinul parțial dezalcoolizat;</w:t>
      </w:r>
    </w:p>
    <w:p w:rsidR="000740D7" w:rsidRPr="00D05835" w:rsidRDefault="000740D7" w:rsidP="002B12D3">
      <w:pPr>
        <w:ind w:left="426"/>
        <w:rPr>
          <w:noProof/>
        </w:rPr>
      </w:pPr>
      <w:r w:rsidRPr="00D05835">
        <w:rPr>
          <w:noProof/>
        </w:rPr>
        <w:t>–</w:t>
      </w:r>
      <w:r w:rsidRPr="00D05835">
        <w:rPr>
          <w:noProof/>
        </w:rPr>
        <w:tab/>
        <w:t>Proiectul de rezoluție OENO-TECHNO 14-544 privind tratamentul cu polidimetilsiloxan;</w:t>
      </w:r>
    </w:p>
    <w:p w:rsidR="000740D7" w:rsidRPr="00D05835" w:rsidRDefault="000740D7" w:rsidP="002B12D3">
      <w:pPr>
        <w:ind w:left="426"/>
        <w:rPr>
          <w:noProof/>
        </w:rPr>
      </w:pPr>
      <w:r w:rsidRPr="00D05835">
        <w:rPr>
          <w:noProof/>
        </w:rPr>
        <w:t>–</w:t>
      </w:r>
      <w:r w:rsidRPr="00D05835">
        <w:rPr>
          <w:noProof/>
        </w:rPr>
        <w:tab/>
        <w:t>Proiectul de rezoluție OENO-TECHNO 20-672A privind tratamentul cu silice mezoporoasă funcționalizată pentru stabilizarea proteică a musturilor;</w:t>
      </w:r>
    </w:p>
    <w:p w:rsidR="000740D7" w:rsidRPr="00D05835" w:rsidRDefault="000740D7" w:rsidP="002B12D3">
      <w:pPr>
        <w:ind w:left="426"/>
        <w:rPr>
          <w:noProof/>
        </w:rPr>
      </w:pPr>
      <w:r w:rsidRPr="00D05835">
        <w:rPr>
          <w:noProof/>
        </w:rPr>
        <w:t>–</w:t>
      </w:r>
      <w:r w:rsidRPr="00D05835">
        <w:rPr>
          <w:noProof/>
        </w:rPr>
        <w:tab/>
        <w:t>Proiectul de rezoluție OENO-TECHNO 21-706, de actualizare a dosarului 3.3.13 „Tratamentul vinurilor cu manoproteine de drojdie”;</w:t>
      </w:r>
    </w:p>
    <w:p w:rsidR="000740D7" w:rsidRPr="00D05835" w:rsidRDefault="000740D7" w:rsidP="002B12D3">
      <w:pPr>
        <w:ind w:left="426"/>
        <w:rPr>
          <w:noProof/>
        </w:rPr>
      </w:pPr>
      <w:r w:rsidRPr="00D05835">
        <w:rPr>
          <w:noProof/>
        </w:rPr>
        <w:t>–</w:t>
      </w:r>
      <w:r w:rsidRPr="00D05835">
        <w:rPr>
          <w:noProof/>
        </w:rPr>
        <w:tab/>
        <w:t>Proiectul de rezoluție OENO-TECHNO 23-730 privind limita acidului sorbic în vin;</w:t>
      </w:r>
    </w:p>
    <w:p w:rsidR="000740D7" w:rsidRPr="00D05835" w:rsidRDefault="000740D7" w:rsidP="002B12D3">
      <w:pPr>
        <w:ind w:left="426"/>
        <w:rPr>
          <w:noProof/>
        </w:rPr>
      </w:pPr>
      <w:r w:rsidRPr="00D05835">
        <w:rPr>
          <w:noProof/>
        </w:rPr>
        <w:t>–</w:t>
      </w:r>
      <w:r w:rsidRPr="00D05835">
        <w:rPr>
          <w:noProof/>
        </w:rPr>
        <w:tab/>
        <w:t xml:space="preserve">Proiectul de rezoluție OENO-TECHNO 23-734 privind tratamentul mustului alb cu mărgele absorbante de stiren-divinilbenzen pentru eliminarea compușilor polifenolici care provoacă înnegrirea; </w:t>
      </w:r>
    </w:p>
    <w:p w:rsidR="000740D7" w:rsidRPr="00D05835" w:rsidRDefault="000740D7" w:rsidP="002B12D3">
      <w:pPr>
        <w:ind w:left="426"/>
        <w:rPr>
          <w:noProof/>
        </w:rPr>
      </w:pPr>
      <w:r w:rsidRPr="00D05835">
        <w:rPr>
          <w:noProof/>
        </w:rPr>
        <w:lastRenderedPageBreak/>
        <w:t>–</w:t>
      </w:r>
      <w:r w:rsidRPr="00D05835">
        <w:rPr>
          <w:noProof/>
        </w:rPr>
        <w:tab/>
        <w:t>Proiectul de rezoluție OENO-TECHNO 23-735 privind tratamentul vinului alb cu mărgele absorbante de stiren-divinilbenzen pentru eliminarea compușilor polifenolici care provoacă înnegrirea;</w:t>
      </w:r>
    </w:p>
    <w:p w:rsidR="000740D7" w:rsidRPr="00D05835" w:rsidRDefault="000740D7" w:rsidP="002B12D3">
      <w:pPr>
        <w:ind w:left="426"/>
        <w:rPr>
          <w:noProof/>
        </w:rPr>
      </w:pPr>
      <w:r w:rsidRPr="00D05835">
        <w:rPr>
          <w:noProof/>
        </w:rPr>
        <w:t>–</w:t>
      </w:r>
      <w:r w:rsidRPr="00D05835">
        <w:rPr>
          <w:noProof/>
        </w:rPr>
        <w:tab/>
        <w:t>Proiectul de rezoluție OENO-TECHNO 25-761, de actualizare a dosarului 3.4.21 „Activatorii fermentației malolactice”;</w:t>
      </w:r>
    </w:p>
    <w:p w:rsidR="000740D7" w:rsidRPr="00D05835" w:rsidRDefault="000740D7" w:rsidP="002B12D3">
      <w:pPr>
        <w:ind w:left="426"/>
        <w:rPr>
          <w:noProof/>
        </w:rPr>
      </w:pPr>
      <w:r w:rsidRPr="00D05835">
        <w:rPr>
          <w:noProof/>
        </w:rPr>
        <w:t>–</w:t>
      </w:r>
      <w:r w:rsidRPr="00D05835">
        <w:rPr>
          <w:noProof/>
        </w:rPr>
        <w:tab/>
        <w:t xml:space="preserve">Proiectul de rezoluție OENO-SPECIF 21-695, care definește monografia referitoare la rășinile de chelare ale stiren-divinilbenzenului cu grupa funcțională iminodiacetică; </w:t>
      </w:r>
    </w:p>
    <w:p w:rsidR="000740D7" w:rsidRPr="00D05835" w:rsidRDefault="000740D7" w:rsidP="002B12D3">
      <w:pPr>
        <w:ind w:left="426"/>
        <w:rPr>
          <w:noProof/>
        </w:rPr>
      </w:pPr>
      <w:r w:rsidRPr="00D05835">
        <w:rPr>
          <w:noProof/>
        </w:rPr>
        <w:t>–</w:t>
      </w:r>
      <w:r w:rsidRPr="00D05835">
        <w:rPr>
          <w:noProof/>
        </w:rPr>
        <w:tab/>
        <w:t>Proiectul de rezoluție OENO-SPECIF 23-727 de actualizare a monografiei referitoare la acidul citric;</w:t>
      </w:r>
    </w:p>
    <w:p w:rsidR="000740D7" w:rsidRPr="00D05835" w:rsidRDefault="000740D7" w:rsidP="002B12D3">
      <w:pPr>
        <w:ind w:left="426"/>
        <w:rPr>
          <w:noProof/>
        </w:rPr>
      </w:pPr>
      <w:r w:rsidRPr="00D05835">
        <w:rPr>
          <w:noProof/>
        </w:rPr>
        <w:t>–</w:t>
      </w:r>
      <w:r w:rsidRPr="00D05835">
        <w:rPr>
          <w:noProof/>
        </w:rPr>
        <w:tab/>
        <w:t>Proiectul de rezoluție OENO-SCMA 24-754 privind metoda analitică pentru determinarea proporției izotopilor de stronțiu (87Sr/86Sr) în vinuri (tipul de metodă IV);</w:t>
      </w:r>
    </w:p>
    <w:p w:rsidR="000740D7" w:rsidRPr="00D05835" w:rsidRDefault="000740D7" w:rsidP="002B12D3">
      <w:pPr>
        <w:ind w:left="426"/>
        <w:rPr>
          <w:noProof/>
        </w:rPr>
      </w:pPr>
      <w:r w:rsidRPr="00D05835">
        <w:rPr>
          <w:noProof/>
        </w:rPr>
        <w:t>–</w:t>
      </w:r>
      <w:r w:rsidRPr="00D05835">
        <w:rPr>
          <w:noProof/>
        </w:rPr>
        <w:tab/>
        <w:t>Proiectul de rezoluție SECSAN-SECUAL 23-722 de actualizare a clasificării taninurilor oenologice ca aditivi sau adjuvanți tehnologici.</w:t>
      </w:r>
    </w:p>
    <w:p w:rsidR="00AE2FB1" w:rsidRPr="00D05835" w:rsidRDefault="001B6501" w:rsidP="00AE2FB1">
      <w:pPr>
        <w:rPr>
          <w:rFonts w:eastAsia="Arial Unicode MS"/>
          <w:noProof/>
        </w:rPr>
      </w:pPr>
      <w:r w:rsidRPr="00D05835">
        <w:rPr>
          <w:noProof/>
        </w:rPr>
        <w:t>Este de așteptat ca ordinea de zi a reuniunii adunării generale a OIV să sufere în continuare modificări și ca pe ordinea de zi să fie adăugate alte rezoluții care vor produce efecte juridice asupra legislației Uniunii. Pentru a asigura eficiența activității adunării generale, respectând în același timp dispozițiile tratatelor, Comisia va completa sau va modifica în timp util prezenta propunere pentru a permite Consiliului să adopte poziția care trebuie luată și în cazul acestor rezoluții.</w:t>
      </w:r>
    </w:p>
    <w:p w:rsidR="00AE2FB1" w:rsidRPr="00D05835" w:rsidRDefault="00AE2FB1" w:rsidP="00AE2FB1">
      <w:pPr>
        <w:pStyle w:val="ManualHeading1"/>
        <w:rPr>
          <w:rFonts w:eastAsia="Arial Unicode MS"/>
          <w:noProof/>
        </w:rPr>
      </w:pPr>
      <w:r>
        <w:rPr>
          <w:noProof/>
        </w:rPr>
        <w:t>3.</w:t>
      </w:r>
      <w:r>
        <w:rPr>
          <w:noProof/>
        </w:rPr>
        <w:tab/>
      </w:r>
      <w:r w:rsidRPr="00D05835">
        <w:rPr>
          <w:noProof/>
        </w:rPr>
        <w:t>Poziția care trebuie adoptată în numele Uniunii</w:t>
      </w:r>
    </w:p>
    <w:p w:rsidR="009741CC" w:rsidRPr="00D05835" w:rsidRDefault="009741CC" w:rsidP="00130B34">
      <w:pPr>
        <w:rPr>
          <w:noProof/>
        </w:rPr>
      </w:pPr>
      <w:r w:rsidRPr="00D05835">
        <w:rPr>
          <w:noProof/>
        </w:rPr>
        <w:t xml:space="preserve">Majoritatea proiectelor de rezoluții care vor fi supuse votului în cadrul următoarei adunări generale a OIV au fost discutate pe larg de experții științifici și tehnici din sectorul vitivinicol. Ele contribuie la armonizarea la nivel internațional a standardelor din sectorul vitivinicol și vor constitui un cadru care va garanta concurența echitabilă în comerțul cu produse din sectorul vitivinicol. Prin urmare, propunerile respective trebuie să fie sprijinite. </w:t>
      </w:r>
    </w:p>
    <w:p w:rsidR="00AE2FB1" w:rsidRPr="00D05835" w:rsidRDefault="009741CC" w:rsidP="00130B34">
      <w:pPr>
        <w:rPr>
          <w:noProof/>
          <w:highlight w:val="yellow"/>
        </w:rPr>
      </w:pPr>
      <w:bookmarkStart w:id="1" w:name="_Hlk232695595"/>
      <w:r w:rsidRPr="00D05835">
        <w:rPr>
          <w:noProof/>
        </w:rPr>
        <w:t>Proiectul de rezoluție OENO-TECHNO 14-540A, care ar permite adăugarea de glicerol (E 422) în vinul dezalcoolizat la un nivel al concentrației maxime de 50 g/L, a fost însă analizat în cadrul unui aviz științific recent</w:t>
      </w:r>
      <w:r w:rsidRPr="00D05835">
        <w:rPr>
          <w:rStyle w:val="FootnoteReference"/>
          <w:noProof/>
        </w:rPr>
        <w:footnoteReference w:id="2"/>
      </w:r>
      <w:r w:rsidRPr="00D05835">
        <w:rPr>
          <w:noProof/>
        </w:rPr>
        <w:t xml:space="preserve"> adoptat de Autoritatea Europeană pentru Siguranța Alimentară („autoritatea”), a cărui concluzie a fost că doza acută de referință (DAR) ar fi depășită în toate grupele de populație. Avizul științific prevede, de asemenea, concentrațiile maxime teoretice de glicerol (E 422) în vinul dezalcoolizat în cazul cărora expunerea nu depășește DAR pentru diferite grupe de populație. În contextul acestor dovezi noi, este necesar să se definească o gestionare adecvată a riscurilor și să se evalueze din punct de vedere științific cantitatea de glicerol exogen (E 422) în raport cu funcția sa tehnologică în noul interval de siguranță. Prin urmare, această rezoluție ar trebui sprijinită numai dacă tratamentul specific care se referă la adăugarea de glicerol este eliminat din rezoluție astfel încât să se permită o evaluare științifică adecvată a funcției tehnologice a glicerolului (E 422), luându-se în considerare totodată avizul științific al autorității.</w:t>
      </w:r>
    </w:p>
    <w:bookmarkEnd w:id="1"/>
    <w:p w:rsidR="00AE2FB1" w:rsidRPr="00D05835" w:rsidRDefault="00AE2FB1" w:rsidP="00974B16">
      <w:pPr>
        <w:pStyle w:val="ManualHeading1"/>
        <w:rPr>
          <w:noProof/>
        </w:rPr>
      </w:pPr>
      <w:r>
        <w:rPr>
          <w:noProof/>
        </w:rPr>
        <w:lastRenderedPageBreak/>
        <w:t>4.</w:t>
      </w:r>
      <w:r>
        <w:rPr>
          <w:noProof/>
        </w:rPr>
        <w:tab/>
      </w:r>
      <w:r w:rsidRPr="00D05835">
        <w:rPr>
          <w:noProof/>
        </w:rPr>
        <w:t>Temei juridic</w:t>
      </w:r>
    </w:p>
    <w:p w:rsidR="00AE2FB1" w:rsidRPr="00D05835" w:rsidRDefault="00AE2FB1" w:rsidP="00974B16">
      <w:pPr>
        <w:pStyle w:val="ManualHeading2"/>
        <w:rPr>
          <w:noProof/>
        </w:rPr>
      </w:pPr>
      <w:r>
        <w:rPr>
          <w:noProof/>
        </w:rPr>
        <w:t>4.1.</w:t>
      </w:r>
      <w:r>
        <w:rPr>
          <w:noProof/>
        </w:rPr>
        <w:tab/>
      </w:r>
      <w:r w:rsidRPr="00D05835">
        <w:rPr>
          <w:noProof/>
        </w:rPr>
        <w:t>Temeiul juridic procedural</w:t>
      </w:r>
    </w:p>
    <w:p w:rsidR="00AE2FB1" w:rsidRPr="00D05835" w:rsidRDefault="00AE2FB1" w:rsidP="00974B16">
      <w:pPr>
        <w:pStyle w:val="ManualHeading3"/>
        <w:rPr>
          <w:noProof/>
        </w:rPr>
      </w:pPr>
      <w:r>
        <w:rPr>
          <w:noProof/>
        </w:rPr>
        <w:t>4.1.1.</w:t>
      </w:r>
      <w:r>
        <w:rPr>
          <w:noProof/>
        </w:rPr>
        <w:tab/>
      </w:r>
      <w:r w:rsidRPr="00D05835">
        <w:rPr>
          <w:noProof/>
        </w:rPr>
        <w:t>Principii</w:t>
      </w:r>
    </w:p>
    <w:p w:rsidR="00AE2FB1" w:rsidRPr="00D05835" w:rsidRDefault="00AE2FB1" w:rsidP="00974B16">
      <w:pPr>
        <w:rPr>
          <w:noProof/>
        </w:rPr>
      </w:pPr>
      <w:r w:rsidRPr="00D05835">
        <w:rPr>
          <w:noProof/>
        </w:rPr>
        <w:t>Articolul 218 alineatul (9) din Tratatul privind funcționarea Uniunii Europene (TFUE) prevede posibilitatea adoptării unor decizii „de stabilire a pozițiilor care trebuie adoptate în numele Uniunii în cadrul unui organism creat printr-un acord, în cazul în care acest organism trebuie să adopte acte cu efecte juridice, cu excepția actelor care modifică sau completează cadrul instituțional al acordului.”</w:t>
      </w:r>
    </w:p>
    <w:p w:rsidR="00AE2FB1" w:rsidRPr="00D05835" w:rsidRDefault="00AE2FB1" w:rsidP="00974B16">
      <w:pPr>
        <w:rPr>
          <w:noProof/>
        </w:rPr>
      </w:pPr>
      <w:r w:rsidRPr="00D05835">
        <w:rPr>
          <w:noProof/>
        </w:rPr>
        <w:t>Articolul 218 alineatul (9) din TFUE se aplică indiferent dacă Uniunea este sau nu membră a organismului în cauză sau parte la acordul respectiv</w:t>
      </w:r>
      <w:r w:rsidRPr="00D05835">
        <w:rPr>
          <w:rStyle w:val="FootnoteReference"/>
          <w:noProof/>
        </w:rPr>
        <w:footnoteReference w:id="3"/>
      </w:r>
      <w:r w:rsidRPr="00D05835">
        <w:rPr>
          <w:noProof/>
        </w:rPr>
        <w:t>.</w:t>
      </w:r>
    </w:p>
    <w:p w:rsidR="00AE2FB1" w:rsidRPr="00D05835" w:rsidRDefault="00AE2FB1" w:rsidP="00974B16">
      <w:pPr>
        <w:rPr>
          <w:i/>
          <w:noProof/>
        </w:rPr>
      </w:pPr>
      <w:r w:rsidRPr="00D05835">
        <w:rPr>
          <w:noProof/>
        </w:rPr>
        <w:t xml:space="preserve">Noțiunea de „acte cu efecte juridice” include actele care au efecte juridice în temeiul normelor de drept internațional aplicabile organismului în cauză. Aceasta include totodată instrumente care nu au un caracter obligatoriu în temeiul dreptului internațional, dar care </w:t>
      </w:r>
      <w:r w:rsidRPr="00D05835">
        <w:rPr>
          <w:i/>
          <w:noProof/>
        </w:rPr>
        <w:t>„au vocația de a influența în mod decisiv conținutul reglementării adoptate de legiuitorul Uniunii”</w:t>
      </w:r>
      <w:r w:rsidRPr="00D05835">
        <w:rPr>
          <w:rStyle w:val="FootnoteReference"/>
          <w:noProof/>
        </w:rPr>
        <w:footnoteReference w:id="4"/>
      </w:r>
      <w:r w:rsidRPr="00D05835">
        <w:rPr>
          <w:noProof/>
        </w:rPr>
        <w:t>.</w:t>
      </w:r>
    </w:p>
    <w:p w:rsidR="00AE2FB1" w:rsidRPr="00D05835" w:rsidRDefault="00AE2FB1" w:rsidP="00974B16">
      <w:pPr>
        <w:pStyle w:val="ManualHeading3"/>
        <w:rPr>
          <w:noProof/>
        </w:rPr>
      </w:pPr>
      <w:r>
        <w:rPr>
          <w:noProof/>
        </w:rPr>
        <w:t>4.1.2.</w:t>
      </w:r>
      <w:r>
        <w:rPr>
          <w:noProof/>
        </w:rPr>
        <w:tab/>
      </w:r>
      <w:r w:rsidRPr="00D05835">
        <w:rPr>
          <w:noProof/>
        </w:rPr>
        <w:t>Aplicarea la cazul în speță</w:t>
      </w:r>
    </w:p>
    <w:p w:rsidR="00AE2FB1" w:rsidRPr="00D05835" w:rsidRDefault="00AE2FB1" w:rsidP="001B6501">
      <w:pPr>
        <w:rPr>
          <w:noProof/>
        </w:rPr>
      </w:pPr>
      <w:r w:rsidRPr="00D05835">
        <w:rPr>
          <w:noProof/>
        </w:rPr>
        <w:t xml:space="preserve">În temeiul Regulamentului (UE) nr. 1308/2013 al Parlamentului European și al Consiliului și în temeiul Regulamentului delegat (UE) 2019/934 al Comisiei, anumite rezoluții adoptate și publicate de OIV pot produce efecte juridice asupra legislației UE, în special cele privind practicile oenologice și metodele de analiză recomandate. Prin urmare, poziția Uniunii privind rezoluțiile respective în legătură cu aspectele care țin de competența Uniunii trebuie să fie adoptată de către Consiliu și exprimată în cadrul reuniunilor OIV de către statele membre care fac parte din OIV, acționând împreună în interesul Uniunii. </w:t>
      </w:r>
    </w:p>
    <w:p w:rsidR="00AE2FB1" w:rsidRPr="00D05835" w:rsidRDefault="00AE2FB1" w:rsidP="00AE2FB1">
      <w:pPr>
        <w:rPr>
          <w:noProof/>
        </w:rPr>
      </w:pPr>
      <w:r w:rsidRPr="00D05835">
        <w:rPr>
          <w:noProof/>
        </w:rPr>
        <w:t>În consecință, temeiul juridic procedural al propunerii de decizie este articolul 218 alineatul (9) din TFUE.</w:t>
      </w:r>
    </w:p>
    <w:p w:rsidR="00AE2FB1" w:rsidRPr="00D05835" w:rsidRDefault="00AE2FB1" w:rsidP="00974B16">
      <w:pPr>
        <w:pStyle w:val="ManualHeading2"/>
        <w:rPr>
          <w:noProof/>
        </w:rPr>
      </w:pPr>
      <w:r>
        <w:rPr>
          <w:noProof/>
        </w:rPr>
        <w:t>4.2.</w:t>
      </w:r>
      <w:r>
        <w:rPr>
          <w:noProof/>
        </w:rPr>
        <w:tab/>
      </w:r>
      <w:r w:rsidRPr="00D05835">
        <w:rPr>
          <w:noProof/>
        </w:rPr>
        <w:t>Temeiul juridic material</w:t>
      </w:r>
    </w:p>
    <w:p w:rsidR="00AE2FB1" w:rsidRPr="00D05835" w:rsidRDefault="00AE2FB1" w:rsidP="00974B16">
      <w:pPr>
        <w:pStyle w:val="ManualHeading3"/>
        <w:rPr>
          <w:noProof/>
        </w:rPr>
      </w:pPr>
      <w:r>
        <w:rPr>
          <w:noProof/>
        </w:rPr>
        <w:t>4.2.1.</w:t>
      </w:r>
      <w:r>
        <w:rPr>
          <w:noProof/>
        </w:rPr>
        <w:tab/>
      </w:r>
      <w:r w:rsidRPr="00D05835">
        <w:rPr>
          <w:noProof/>
        </w:rPr>
        <w:t>Principii</w:t>
      </w:r>
    </w:p>
    <w:p w:rsidR="00AE2FB1" w:rsidRPr="00D05835" w:rsidRDefault="00AE2FB1" w:rsidP="00974B16">
      <w:pPr>
        <w:rPr>
          <w:noProof/>
        </w:rPr>
      </w:pPr>
      <w:r w:rsidRPr="00D05835">
        <w:rPr>
          <w:noProof/>
        </w:rPr>
        <w:t>Temeiul juridic material al unei decizii adoptate în temeiul articolului 218 alineatul (9) din TFUE depinde în primul rând de obiectivul și de conținutul actului avut în vedere, cu privire la care se adoptă o poziție în numele Uniunii. 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singur temei juridic material, respectiv cel impus de obiectivul sau de elementul principal sau predominant.</w:t>
      </w:r>
    </w:p>
    <w:p w:rsidR="00AE2FB1" w:rsidRPr="00D05835" w:rsidRDefault="00AE2FB1" w:rsidP="00974B16">
      <w:pPr>
        <w:pStyle w:val="ManualHeading3"/>
        <w:rPr>
          <w:noProof/>
        </w:rPr>
      </w:pPr>
      <w:r>
        <w:rPr>
          <w:noProof/>
        </w:rPr>
        <w:t>4.2.2.</w:t>
      </w:r>
      <w:r>
        <w:rPr>
          <w:noProof/>
        </w:rPr>
        <w:tab/>
      </w:r>
      <w:r w:rsidRPr="00D05835">
        <w:rPr>
          <w:noProof/>
        </w:rPr>
        <w:t>Aplicarea la cazul în speță</w:t>
      </w:r>
    </w:p>
    <w:p w:rsidR="00AE2FB1" w:rsidRPr="00D05835" w:rsidRDefault="00AE2FB1" w:rsidP="00974B16">
      <w:pPr>
        <w:rPr>
          <w:noProof/>
        </w:rPr>
      </w:pPr>
      <w:r w:rsidRPr="00D05835">
        <w:rPr>
          <w:noProof/>
          <w:color w:val="000000" w:themeColor="text1"/>
        </w:rPr>
        <w:t>Principalul obiectiv al proiectelor de rezoluție avute în vedere este legat de armonizarea standardelor privind vinurile și, prin urmare, de punerea în aplicare a unei politici agricole comune. În consecință, temeiul juridic material al propunerii de decizie cuprinde articolul 43 din TFUE.</w:t>
      </w:r>
    </w:p>
    <w:p w:rsidR="00AE2FB1" w:rsidRPr="00D05835" w:rsidRDefault="00AE2FB1" w:rsidP="00974B16">
      <w:pPr>
        <w:pStyle w:val="ManualHeading2"/>
        <w:rPr>
          <w:noProof/>
        </w:rPr>
      </w:pPr>
      <w:r>
        <w:rPr>
          <w:noProof/>
        </w:rPr>
        <w:lastRenderedPageBreak/>
        <w:t>4.3.</w:t>
      </w:r>
      <w:r>
        <w:rPr>
          <w:noProof/>
        </w:rPr>
        <w:tab/>
      </w:r>
      <w:r w:rsidRPr="00D05835">
        <w:rPr>
          <w:noProof/>
        </w:rPr>
        <w:t>Concluzie</w:t>
      </w:r>
    </w:p>
    <w:p w:rsidR="00AE2FB1" w:rsidRPr="00D05835" w:rsidRDefault="00AE2FB1" w:rsidP="00974B16">
      <w:pPr>
        <w:rPr>
          <w:noProof/>
        </w:rPr>
      </w:pPr>
      <w:r w:rsidRPr="00D05835">
        <w:rPr>
          <w:noProof/>
        </w:rPr>
        <w:t>Temeiul juridic al propunerii de decizie trebuie să fie articolul 43 coroborat cu articolul 218 alineatul (9) din TFUE.</w:t>
      </w:r>
    </w:p>
    <w:p w:rsidR="00AE2FB1" w:rsidRPr="00D05835" w:rsidRDefault="00AE2FB1" w:rsidP="00974B16">
      <w:pPr>
        <w:pStyle w:val="ManualHeading1"/>
        <w:rPr>
          <w:noProof/>
        </w:rPr>
      </w:pPr>
      <w:r>
        <w:rPr>
          <w:noProof/>
        </w:rPr>
        <w:t>5.</w:t>
      </w:r>
      <w:r>
        <w:rPr>
          <w:noProof/>
        </w:rPr>
        <w:tab/>
      </w:r>
      <w:r w:rsidRPr="00D05835">
        <w:rPr>
          <w:noProof/>
        </w:rPr>
        <w:t>Publicarea actului avut în vedere</w:t>
      </w:r>
    </w:p>
    <w:p w:rsidR="00AE2FB1" w:rsidRPr="00D05835" w:rsidRDefault="00AE2FB1" w:rsidP="00974B16">
      <w:pPr>
        <w:rPr>
          <w:noProof/>
        </w:rPr>
      </w:pPr>
      <w:r w:rsidRPr="00D05835">
        <w:rPr>
          <w:noProof/>
        </w:rPr>
        <w:t>Nu se aplică.</w:t>
      </w:r>
    </w:p>
    <w:p w:rsidR="00AE2FB1" w:rsidRPr="00D05835" w:rsidRDefault="00AE2FB1" w:rsidP="00974B16">
      <w:pPr>
        <w:rPr>
          <w:noProof/>
        </w:rPr>
        <w:sectPr w:rsidR="00AE2FB1" w:rsidRPr="00D05835" w:rsidSect="00AF293F">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rsidR="006D6A06" w:rsidRDefault="004E04BF">
      <w:pPr>
        <w:pStyle w:val="Rfrenceinterinstitutionnelle"/>
        <w:rPr>
          <w:noProof/>
        </w:rPr>
      </w:pPr>
      <w:r>
        <w:rPr>
          <w:noProof/>
        </w:rPr>
        <w:lastRenderedPageBreak/>
        <w:t>2026/0227 (NLE)</w:t>
      </w:r>
    </w:p>
    <w:p w:rsidR="00AE2FB1" w:rsidRPr="00D05835" w:rsidRDefault="00D05835" w:rsidP="00D05835">
      <w:pPr>
        <w:pStyle w:val="Statut"/>
        <w:rPr>
          <w:noProof/>
        </w:rPr>
      </w:pPr>
      <w:r w:rsidRPr="00D05835">
        <w:rPr>
          <w:noProof/>
        </w:rPr>
        <w:t>Propunere de</w:t>
      </w:r>
    </w:p>
    <w:p w:rsidR="00AE2FB1" w:rsidRPr="00D05835" w:rsidRDefault="00D05835" w:rsidP="00D05835">
      <w:pPr>
        <w:pStyle w:val="Typedudocument"/>
        <w:rPr>
          <w:noProof/>
        </w:rPr>
      </w:pPr>
      <w:r w:rsidRPr="00D05835">
        <w:rPr>
          <w:noProof/>
        </w:rPr>
        <w:t>DECIZIE A CONSILIULUI</w:t>
      </w:r>
    </w:p>
    <w:p w:rsidR="00AE2FB1" w:rsidRPr="00D05835" w:rsidRDefault="00D05835" w:rsidP="00D05835">
      <w:pPr>
        <w:pStyle w:val="Titreobjet"/>
        <w:rPr>
          <w:noProof/>
        </w:rPr>
      </w:pPr>
      <w:r w:rsidRPr="00D05835">
        <w:rPr>
          <w:noProof/>
        </w:rPr>
        <w:t>privind poziția care trebuie adoptată, în numele Uniunii Europene, în cadrul Organizației Internaționale a Viei și Vinului (OIV)</w:t>
      </w:r>
    </w:p>
    <w:p w:rsidR="00AE2FB1" w:rsidRPr="00D05835" w:rsidRDefault="00AE2FB1" w:rsidP="00974B16">
      <w:pPr>
        <w:pStyle w:val="Institutionquiagit"/>
        <w:rPr>
          <w:noProof/>
        </w:rPr>
      </w:pPr>
      <w:r w:rsidRPr="00D05835">
        <w:rPr>
          <w:noProof/>
        </w:rPr>
        <w:t>CONSILIUL UNIUNII EUROPENE,</w:t>
      </w:r>
    </w:p>
    <w:p w:rsidR="004676B9" w:rsidRPr="00D05835" w:rsidRDefault="004676B9" w:rsidP="004676B9">
      <w:pPr>
        <w:rPr>
          <w:noProof/>
        </w:rPr>
      </w:pPr>
      <w:r w:rsidRPr="00D05835">
        <w:rPr>
          <w:noProof/>
        </w:rPr>
        <w:t>având în vedere Tratatul privind funcționarea Uniunii Europene, în special articolul 43 coroborat cu articolul 218 alineatul (9),</w:t>
      </w:r>
    </w:p>
    <w:p w:rsidR="004676B9" w:rsidRPr="00D05835" w:rsidRDefault="004676B9" w:rsidP="004676B9">
      <w:pPr>
        <w:rPr>
          <w:noProof/>
        </w:rPr>
      </w:pPr>
      <w:r w:rsidRPr="00D05835">
        <w:rPr>
          <w:noProof/>
        </w:rPr>
        <w:t>având în vedere propunerea Comisiei Europene,</w:t>
      </w:r>
    </w:p>
    <w:p w:rsidR="004676B9" w:rsidRPr="00D05835" w:rsidRDefault="004676B9" w:rsidP="004676B9">
      <w:pPr>
        <w:rPr>
          <w:noProof/>
        </w:rPr>
      </w:pPr>
      <w:r w:rsidRPr="00D05835">
        <w:rPr>
          <w:noProof/>
        </w:rPr>
        <w:t>întrucât:</w:t>
      </w:r>
    </w:p>
    <w:p w:rsidR="004676B9" w:rsidRPr="00D05835" w:rsidRDefault="004676B9" w:rsidP="0001643A">
      <w:pPr>
        <w:pStyle w:val="ManualConsidrant"/>
        <w:rPr>
          <w:noProof/>
        </w:rPr>
      </w:pPr>
      <w:r>
        <w:rPr>
          <w:noProof/>
        </w:rPr>
        <w:t>(1)</w:t>
      </w:r>
      <w:r>
        <w:rPr>
          <w:noProof/>
        </w:rPr>
        <w:tab/>
      </w:r>
      <w:r w:rsidRPr="00D05835">
        <w:rPr>
          <w:noProof/>
        </w:rPr>
        <w:t xml:space="preserve">La 16 octombrie 2026, în cadrul următoarei sale adunări generale, Organizația Internațională a Viei și Vinului (OIV) va examina și, eventual, va adopta, rezoluții („proiectele de rezoluții ale OIV”). Respectivele rezoluții vor produce efecte juridice în sensul articolului 218 alineatul (9) din tratat. </w:t>
      </w:r>
    </w:p>
    <w:p w:rsidR="004676B9" w:rsidRPr="00D05835" w:rsidRDefault="004676B9" w:rsidP="004676B9">
      <w:pPr>
        <w:pStyle w:val="ManualConsidrant"/>
        <w:rPr>
          <w:noProof/>
        </w:rPr>
      </w:pPr>
      <w:r>
        <w:rPr>
          <w:noProof/>
        </w:rPr>
        <w:t>(2)</w:t>
      </w:r>
      <w:r>
        <w:rPr>
          <w:noProof/>
        </w:rPr>
        <w:tab/>
      </w:r>
      <w:r w:rsidRPr="00D05835">
        <w:rPr>
          <w:noProof/>
        </w:rPr>
        <w:t xml:space="preserve">Uniunea nu este membră a OIV. Cu toate acestea, OIV a acordat Uniunii, la 20 octombrie 2017, statutul special prevăzut la articolul 4 din Regulamentul de procedură al OIV. </w:t>
      </w:r>
    </w:p>
    <w:p w:rsidR="004676B9" w:rsidRPr="00D05835" w:rsidRDefault="004676B9" w:rsidP="005E1AD3">
      <w:pPr>
        <w:pStyle w:val="ManualConsidrant"/>
        <w:rPr>
          <w:noProof/>
        </w:rPr>
      </w:pPr>
      <w:r>
        <w:rPr>
          <w:noProof/>
        </w:rPr>
        <w:t>(3)</w:t>
      </w:r>
      <w:r>
        <w:rPr>
          <w:noProof/>
        </w:rPr>
        <w:tab/>
      </w:r>
      <w:r w:rsidRPr="00D05835">
        <w:rPr>
          <w:noProof/>
        </w:rPr>
        <w:t>Un număr de 20 de state membre sunt membre ale OIV. Respectivele state membre au posibilitatea de a propune amendamente la proiectele de rezoluții ale OIV și vor fi invitate să adopte rezoluțiile respective în cadrul următoarei adunări generale a OIV din 16 octombrie 2026.</w:t>
      </w:r>
    </w:p>
    <w:p w:rsidR="00D415EB" w:rsidRPr="00D05835" w:rsidRDefault="00BC19F3" w:rsidP="00BC19F3">
      <w:pPr>
        <w:pStyle w:val="ManualConsidrant"/>
        <w:rPr>
          <w:noProof/>
        </w:rPr>
      </w:pPr>
      <w:r>
        <w:rPr>
          <w:noProof/>
        </w:rPr>
        <w:t>(4)</w:t>
      </w:r>
      <w:r>
        <w:rPr>
          <w:noProof/>
        </w:rPr>
        <w:tab/>
      </w:r>
      <w:r w:rsidRPr="00D05835">
        <w:rPr>
          <w:noProof/>
        </w:rPr>
        <w:t>Este necesar să se stabilească poziția care trebuie adoptată în numele Uniunii în cadrul reuniunilor OIV cu privire la proiectele de rezoluții ale OIV, în legătură cu aspectele care țin de competența sa. Poziția respectivă trebui să fie exprimată în cadrul reuniunilor OIV de către statele membre care sunt membre ale OIV, acționând împreună în interesul Uniunii.</w:t>
      </w:r>
    </w:p>
    <w:p w:rsidR="004676B9" w:rsidRPr="00D05835" w:rsidRDefault="004676B9" w:rsidP="002F34D8">
      <w:pPr>
        <w:pStyle w:val="ManualConsidrant"/>
        <w:rPr>
          <w:noProof/>
        </w:rPr>
      </w:pPr>
      <w:r>
        <w:rPr>
          <w:noProof/>
        </w:rPr>
        <w:t>(5)</w:t>
      </w:r>
      <w:r>
        <w:rPr>
          <w:noProof/>
        </w:rPr>
        <w:tab/>
      </w:r>
      <w:r w:rsidRPr="00D05835">
        <w:rPr>
          <w:noProof/>
        </w:rPr>
        <w:t>În temeiul Regulamentului (UE) nr. 1308/2013 al Parlamentului European și al Consiliului</w:t>
      </w:r>
      <w:r w:rsidRPr="00D05835">
        <w:rPr>
          <w:rStyle w:val="FootnoteReference"/>
          <w:noProof/>
        </w:rPr>
        <w:footnoteReference w:id="5"/>
      </w:r>
      <w:r w:rsidRPr="00D05835">
        <w:rPr>
          <w:noProof/>
        </w:rPr>
        <w:t xml:space="preserve"> și al Regulamentului delegat (UE) 2019/934 al Comisiei</w:t>
      </w:r>
      <w:r w:rsidRPr="00D05835">
        <w:rPr>
          <w:rStyle w:val="FootnoteReference"/>
          <w:noProof/>
        </w:rPr>
        <w:footnoteReference w:id="6"/>
      </w:r>
      <w:r w:rsidRPr="00D05835">
        <w:rPr>
          <w:noProof/>
        </w:rPr>
        <w:t xml:space="preserve">, anumite rezoluții adoptate și publicate de OIV vor produce efecte juridice. </w:t>
      </w:r>
    </w:p>
    <w:p w:rsidR="002977CD" w:rsidRPr="00D05835" w:rsidRDefault="002977CD" w:rsidP="002977CD">
      <w:pPr>
        <w:pStyle w:val="ManualConsidrant"/>
        <w:rPr>
          <w:noProof/>
        </w:rPr>
      </w:pPr>
      <w:r>
        <w:rPr>
          <w:noProof/>
        </w:rPr>
        <w:lastRenderedPageBreak/>
        <w:t>(6)</w:t>
      </w:r>
      <w:r>
        <w:rPr>
          <w:noProof/>
        </w:rPr>
        <w:tab/>
      </w:r>
      <w:r w:rsidRPr="00D05835">
        <w:rPr>
          <w:noProof/>
        </w:rPr>
        <w:t>Articolul 80 alineatul (3) litera (a) din Regulamentul (UE) nr. 1308/2013 prevede că, atunci când autorizează practici oenologice, Comisia trebuie să țină seama de practicile oenologice și de metodele de analiză recomandate și publicate de OIV.</w:t>
      </w:r>
    </w:p>
    <w:p w:rsidR="00DC4F70" w:rsidRPr="00D05835" w:rsidRDefault="00DC4F70" w:rsidP="00DC4F70">
      <w:pPr>
        <w:pStyle w:val="ManualConsidrant"/>
        <w:rPr>
          <w:noProof/>
        </w:rPr>
      </w:pPr>
      <w:r>
        <w:rPr>
          <w:noProof/>
        </w:rPr>
        <w:t>(7)</w:t>
      </w:r>
      <w:r>
        <w:rPr>
          <w:noProof/>
        </w:rPr>
        <w:tab/>
      </w:r>
      <w:r w:rsidRPr="00D05835">
        <w:rPr>
          <w:noProof/>
        </w:rPr>
        <w:t>Articolul 80 alineatul (5) din Regulamentul (UE) nr. 1308/2013 prevede că, atunci când stabilește metodele de analiză pentru stabilirea compoziției produselor din sectorul vitivinicol, Comisia trebuie să se bazeze pe toate metodele relevante recomandate și publicate de OIV, cu excepția cazului în care acestea ar fi ineficace sau neadecvate pentru obiectivul urmărit de Uniune.</w:t>
      </w:r>
    </w:p>
    <w:p w:rsidR="002977CD" w:rsidRPr="00D05835" w:rsidRDefault="002977CD" w:rsidP="002977CD">
      <w:pPr>
        <w:pStyle w:val="ManualConsidrant"/>
        <w:rPr>
          <w:noProof/>
        </w:rPr>
      </w:pPr>
      <w:r>
        <w:rPr>
          <w:noProof/>
        </w:rPr>
        <w:t>(8)</w:t>
      </w:r>
      <w:r>
        <w:rPr>
          <w:noProof/>
        </w:rPr>
        <w:tab/>
      </w:r>
      <w:r w:rsidRPr="00D05835">
        <w:rPr>
          <w:noProof/>
        </w:rPr>
        <w:t>Articolul 90 alineatul (2) din Regulamentul (UE) nr. 1308/2013 prevede că produsele din sectorul vitivinicol importate în Uniune trebuie să fie obținute în conformitate cu practicile oenologice autorizate de Uniune în temeiul regulamentului respectiv sau, înainte de autorizarea respectivă, în conformitate cu practicile oenologice recomandate și publicate de OIV.</w:t>
      </w:r>
    </w:p>
    <w:p w:rsidR="002977CD" w:rsidRPr="00D05835" w:rsidRDefault="002977CD" w:rsidP="002977CD">
      <w:pPr>
        <w:pStyle w:val="ManualConsidrant"/>
        <w:rPr>
          <w:noProof/>
        </w:rPr>
      </w:pPr>
      <w:r>
        <w:rPr>
          <w:noProof/>
        </w:rPr>
        <w:t>(9)</w:t>
      </w:r>
      <w:r>
        <w:rPr>
          <w:noProof/>
        </w:rPr>
        <w:tab/>
      </w:r>
      <w:r w:rsidRPr="00D05835">
        <w:rPr>
          <w:noProof/>
        </w:rPr>
        <w:t>Articolul 9 alineatul (1) din Regulamentul delegat (UE) 2019/934 prevede că, dacă nu sunt stabilite de Comisie, specificațiile privind puritatea și identitatea substanțelor utilizate în cadrul practicilor oenologice sunt cele menționate în tabelul 2 coloana 4 din partea A a anexei I la regulamentul respectiv, care se referă la recomandările OIV.</w:t>
      </w:r>
    </w:p>
    <w:p w:rsidR="00120D24" w:rsidRPr="00D05835" w:rsidRDefault="00653349" w:rsidP="00526714">
      <w:pPr>
        <w:pStyle w:val="ManualConsidrant"/>
        <w:rPr>
          <w:noProof/>
        </w:rPr>
      </w:pPr>
      <w:r>
        <w:rPr>
          <w:noProof/>
        </w:rPr>
        <w:t>(10)</w:t>
      </w:r>
      <w:r>
        <w:rPr>
          <w:noProof/>
        </w:rPr>
        <w:tab/>
      </w:r>
      <w:bookmarkStart w:id="2" w:name="_Hlk195524822"/>
      <w:r w:rsidRPr="00D05835">
        <w:rPr>
          <w:noProof/>
        </w:rPr>
        <w:t xml:space="preserve">Proiectele de rezoluții OENO-MICRO 20-669A și OENO-MICRO 20-669B propun extinderea aplicării câmpurilor electrice pulsatorii, autorizate în prezent pentru struguri, și la must și, respectiv, vin, pentru stabilizarea microbiologică. Proiectul de rezoluție OENO-TECHNO 14-540B stabilește practici oenologice specifice pentru vinurile parțial dezalcoolizate. Proiectele de rezoluții OENO-TECHNO 23-734 și OENO-TECHNO 23-735 propun extinderea tratamentului cu mărgele absorbante de stiren-divinilbenzen pentru mustul alb și, respectiv, vinul alb, la eliminarea compușilor polifenolici oxidați și oxidabili care provoacă înnegrirea. Proiectul de rezoluție OENO-TECHNO 14-544 propune adăugarea de dimetilpolisiloxan în timpul fermentației alcoolice a mustului, pentru a se preveni formarea spumei. Proiectul de rezoluție OENO-TECHNO 20-672A propune utilizarea silicei mezoporoase funcționalizate în must pentru eliminarea proteinelor instabile într-un mod selectiv. Proiectul de rezoluție OENO-TECHNO 21-706 actualizează tratamentul vinurilor cu manoproteine de drojdie prin definirea efectelor dorite pentru vinurile albe și roze și a dozei maxime a acestuia. Proiectul de rezoluție OENO-TECHNO 23-730 majorează limita maximă acceptabilă a concentrației de acid sorbic în vin de la 200 la 250 mg/L, în special pentru </w:t>
      </w:r>
      <w:r w:rsidRPr="00D05835">
        <w:rPr>
          <w:i/>
          <w:iCs/>
          <w:noProof/>
        </w:rPr>
        <w:t>Vitis labrusca</w:t>
      </w:r>
      <w:r w:rsidRPr="00D05835">
        <w:rPr>
          <w:noProof/>
        </w:rPr>
        <w:t xml:space="preserve"> și hibrizii săi și pentru factori calitativi speciali sau tradiții specifice anumitor țări, astfel cum sunt stabiliți în legislația națională. Proiectul de rezoluție OENO-TECHNO 25-761 actualizează dosarul 3.4.21 referitor la activatorul fermentației malolactice, prin specificarea naturii activatorului celulozic. În conformitate cu articolul 80 alineatul (3) litera (a) din Regulamentul (UE) nr. 1308/2013 și cu articolul 9 alineatul (1) din Regulamentul delegat (UE) 2019/934, aceste rezoluții vor produce efecte juridice.</w:t>
      </w:r>
    </w:p>
    <w:p w:rsidR="00AD2471" w:rsidRPr="00D05835" w:rsidRDefault="00AD2471" w:rsidP="005808BB">
      <w:pPr>
        <w:pStyle w:val="ManualConsidrant"/>
        <w:rPr>
          <w:noProof/>
        </w:rPr>
      </w:pPr>
      <w:r>
        <w:rPr>
          <w:noProof/>
        </w:rPr>
        <w:t>(11)</w:t>
      </w:r>
      <w:r>
        <w:rPr>
          <w:noProof/>
        </w:rPr>
        <w:tab/>
      </w:r>
      <w:r w:rsidRPr="00D05835">
        <w:rPr>
          <w:noProof/>
        </w:rPr>
        <w:t>Proiectul de rezoluție OENO-SPECIF 21-695 adaugă monografia referitoare la rășinile de chelare ale stiren-divinilbenzenului cu grupa funcțională iminodiacetică la Codexul oenologic internațional și proiectul de rezoluție OENO-SPECIF 23-727 actualizează monografia referitoare la acidul citric, în principal prin diferențierea celor două forme, monohidrat și anhidrat. În conformitate cu articolul 9 din Regulamentul delegat (UE) 2019/934, aceste rezoluții vor produce efecte juridice.</w:t>
      </w:r>
    </w:p>
    <w:p w:rsidR="005808BB" w:rsidRPr="00D05835" w:rsidRDefault="005808BB" w:rsidP="005808BB">
      <w:pPr>
        <w:pStyle w:val="ManualConsidrant"/>
        <w:rPr>
          <w:noProof/>
        </w:rPr>
      </w:pPr>
      <w:r>
        <w:rPr>
          <w:noProof/>
        </w:rPr>
        <w:t>(12)</w:t>
      </w:r>
      <w:r>
        <w:rPr>
          <w:noProof/>
        </w:rPr>
        <w:tab/>
      </w:r>
      <w:r w:rsidRPr="00D05835">
        <w:rPr>
          <w:noProof/>
        </w:rPr>
        <w:t xml:space="preserve">Proiectul de rezoluție OENO-SCMA 24-754 propune adăugarea unei metodologii pentru determinarea proporției izotopilor de stronțiu (87Sr/86Sr) în vinuri la </w:t>
      </w:r>
      <w:r w:rsidRPr="00D05835">
        <w:rPr>
          <w:noProof/>
        </w:rPr>
        <w:lastRenderedPageBreak/>
        <w:t>Compendiul metodelor internaționale referitoare la analiza vinului și a mustului. În conformitate cu articolul 80 alineatul (5) din Regulamentul (UE) nr. 1308/2013, această rezoluție va produce efecte juridice.</w:t>
      </w:r>
    </w:p>
    <w:p w:rsidR="005808BB" w:rsidRPr="00D05835" w:rsidRDefault="005808BB" w:rsidP="000954EC">
      <w:pPr>
        <w:pStyle w:val="ManualConsidrant"/>
        <w:rPr>
          <w:noProof/>
        </w:rPr>
      </w:pPr>
      <w:r>
        <w:rPr>
          <w:noProof/>
        </w:rPr>
        <w:t>(13)</w:t>
      </w:r>
      <w:r>
        <w:rPr>
          <w:noProof/>
        </w:rPr>
        <w:tab/>
      </w:r>
      <w:r w:rsidRPr="00D05835">
        <w:rPr>
          <w:noProof/>
        </w:rPr>
        <w:t>Proiectul de rezoluție SECSAN-SECUAL 23-722 actualizează clasificarea taninurilor oenologice prin definirea cazurilor în care acestea pot fi considerate aditivi sau adjuvanți tehnologici. În conformitate cu articolul 80 alineatul (3) litera (a) din Regulamentul (UE) nr. 1308/2013 și cu articolul 9 din Regulamentul delegat (UE) 2019/934, această rezoluție va produce efecte juridice.</w:t>
      </w:r>
    </w:p>
    <w:bookmarkEnd w:id="2"/>
    <w:p w:rsidR="009741CC" w:rsidRPr="00D05835" w:rsidRDefault="004676B9" w:rsidP="005E1AD3">
      <w:pPr>
        <w:pStyle w:val="ManualConsidrant"/>
        <w:rPr>
          <w:noProof/>
        </w:rPr>
      </w:pPr>
      <w:r>
        <w:rPr>
          <w:noProof/>
        </w:rPr>
        <w:t>(14)</w:t>
      </w:r>
      <w:r>
        <w:rPr>
          <w:noProof/>
        </w:rPr>
        <w:tab/>
      </w:r>
      <w:r w:rsidRPr="00D05835">
        <w:rPr>
          <w:noProof/>
        </w:rPr>
        <w:t>Respectivele proiecte de rezoluții ale OIV au fost discutate pe larg de experții științifici și tehnici din sectorul vitivinicol. Ele contribuie la armonizarea la nivel internațional a standardelor din sectorul vitivinicol și vor constitui un cadru care va garanta concurența echitabilă în comerțul cu produse din sectorul vitivinicol. Prin urmare, propunerile respective trebuie să fie sprijinite.</w:t>
      </w:r>
    </w:p>
    <w:p w:rsidR="001D63C6" w:rsidRPr="00D05835" w:rsidRDefault="001D63C6" w:rsidP="006730F7">
      <w:pPr>
        <w:pStyle w:val="ManualConsidrant"/>
        <w:rPr>
          <w:noProof/>
        </w:rPr>
      </w:pPr>
      <w:r>
        <w:rPr>
          <w:noProof/>
        </w:rPr>
        <w:t>(15)</w:t>
      </w:r>
      <w:r>
        <w:rPr>
          <w:noProof/>
        </w:rPr>
        <w:tab/>
      </w:r>
      <w:r w:rsidRPr="00D05835">
        <w:rPr>
          <w:noProof/>
        </w:rPr>
        <w:t>Un alt proiect de rezoluție care produce efecte juridice asupra legislației Uniunii în conformitate cu articolul 80 alineatul (3) litera (a) din Regulamentul (UE) nr. 1308/2013 și care urmează să fie prezentat spre adoptare adunării generale este proiectul de rezoluție OENO-TECHNO 14-540A. Această rezoluție enumeră practicile oenologice autorizate pentru producția vinului dezalcoolizat. În special în ceea ce privește tratamentul „</w:t>
      </w:r>
      <w:bookmarkStart w:id="3" w:name="_Hlk233624956"/>
      <w:r w:rsidRPr="00D05835">
        <w:rPr>
          <w:noProof/>
        </w:rPr>
        <w:t>6.34 Adăugarea de glicerol</w:t>
      </w:r>
      <w:bookmarkEnd w:id="3"/>
      <w:r w:rsidRPr="00D05835">
        <w:rPr>
          <w:noProof/>
        </w:rPr>
        <w:t>”, proiectul de rezoluție recomandă ca concentrația totală de glicerol din vinul dezalcoolizat să nu depășească 50 g/L. Autoritatea Europeană pentru Siguranța Alimentară („autoritatea”) a publicat recent un aviz științific</w:t>
      </w:r>
      <w:r w:rsidRPr="00D05835">
        <w:rPr>
          <w:rStyle w:val="FootnoteReference"/>
          <w:noProof/>
        </w:rPr>
        <w:footnoteReference w:id="7"/>
      </w:r>
      <w:r w:rsidRPr="00D05835">
        <w:rPr>
          <w:noProof/>
        </w:rPr>
        <w:t xml:space="preserve"> privind siguranța expunerii acute la aditivul alimentar glicerol (E 422) din băuturi, inclusiv din vinurile dezalcoolizate. Concluzia avizului este că o concentrație de 50 g/L în vinurile dezalcoolizate ar depăși doza acută de referință (DAR) în toate grupele de populație. Avizul științific prevede, de asemenea, concentrațiile maxime teoretice de glicerol total (E 422) în vinul dezalcoolizat în cazul cărora expunerea nu depășește DAR, pentru diferite grupe de populație și volume asociate unui episod unic consum. În contextul acestor constatări, înainte de a stabili orice nivel de glicerol în rezoluție, este necesară o evaluare cuprinzătoare suplimentară bazată pe date experimentale, inclusiv identificarea metodei de analiză, relația cu prezența inițială a glicerolului în produs, impactul procesului de dezalcoolizare asupra concentrației sale, nivelul minim de glicerol exogen în raport cu funcția sa tehnologică și definirea unei strategii adecvate de gestionare a riscurilor. Această rezoluție trebuie, așadar, sprijinită numai dacă tratamentul specific „6.34 Adăugarea de glicerol” este eliminat din rezoluție, astfel încât să se permită evaluarea științifică cuprinzătoare menționată mai sus. </w:t>
      </w:r>
    </w:p>
    <w:p w:rsidR="00AE2FB1" w:rsidRPr="00D05835" w:rsidRDefault="004676B9" w:rsidP="005E1AD3">
      <w:pPr>
        <w:pStyle w:val="ManualConsidrant"/>
        <w:rPr>
          <w:noProof/>
        </w:rPr>
      </w:pPr>
      <w:r>
        <w:rPr>
          <w:noProof/>
        </w:rPr>
        <w:t>(16)</w:t>
      </w:r>
      <w:r>
        <w:rPr>
          <w:noProof/>
        </w:rPr>
        <w:tab/>
      </w:r>
      <w:r w:rsidRPr="00D05835">
        <w:rPr>
          <w:noProof/>
        </w:rPr>
        <w:t>Pentru a se asigura flexibilitatea necesară pe parcursul negocierilor de dinaintea adunării generale a OIV din 16 octombrie 2026, statele membre care sunt membre ale OIV trebuie să fie autorizate să convină asupra unor modificări ale acestor proiecte de rezoluții ale OIV, cu condiția ca respectivele modificări să nu afecteze fondul rezoluțiilor,</w:t>
      </w:r>
    </w:p>
    <w:p w:rsidR="00AE2FB1" w:rsidRPr="00D05835" w:rsidRDefault="00AE2FB1" w:rsidP="00974B16">
      <w:pPr>
        <w:pStyle w:val="Formuledadoption"/>
        <w:rPr>
          <w:noProof/>
        </w:rPr>
      </w:pPr>
      <w:r w:rsidRPr="00D05835">
        <w:rPr>
          <w:noProof/>
        </w:rPr>
        <w:lastRenderedPageBreak/>
        <w:t>ADOPTĂ PREZENTA DECIZIE:</w:t>
      </w:r>
    </w:p>
    <w:p w:rsidR="00AE2FB1" w:rsidRPr="00D05835" w:rsidRDefault="00AE2FB1" w:rsidP="00974B16">
      <w:pPr>
        <w:pStyle w:val="Titrearticle"/>
        <w:rPr>
          <w:noProof/>
        </w:rPr>
      </w:pPr>
      <w:r w:rsidRPr="00D05835">
        <w:rPr>
          <w:noProof/>
        </w:rPr>
        <w:t>Articolul 1</w:t>
      </w:r>
    </w:p>
    <w:p w:rsidR="00F020D7" w:rsidRPr="00D05835" w:rsidRDefault="004676B9" w:rsidP="00974B16">
      <w:pPr>
        <w:jc w:val="left"/>
        <w:rPr>
          <w:noProof/>
        </w:rPr>
      </w:pPr>
      <w:r w:rsidRPr="00D05835">
        <w:rPr>
          <w:noProof/>
        </w:rPr>
        <w:t>Poziția care trebuie adoptată în numele Uniunii în cadrul adunării generale a OIV programate pentru 16 octombrie 2026 este stabilită în anexa la prezenta decizie.</w:t>
      </w:r>
    </w:p>
    <w:p w:rsidR="00F020D7" w:rsidRPr="00D05835" w:rsidRDefault="00F020D7" w:rsidP="00F020D7">
      <w:pPr>
        <w:pStyle w:val="Titrearticle"/>
        <w:rPr>
          <w:noProof/>
        </w:rPr>
      </w:pPr>
      <w:r w:rsidRPr="00D05835">
        <w:rPr>
          <w:noProof/>
        </w:rPr>
        <w:t>Articolul 2</w:t>
      </w:r>
    </w:p>
    <w:p w:rsidR="00AE2FB1" w:rsidRPr="00D05835" w:rsidRDefault="00F020D7" w:rsidP="00974B16">
      <w:pPr>
        <w:jc w:val="left"/>
        <w:rPr>
          <w:i/>
          <w:noProof/>
        </w:rPr>
      </w:pPr>
      <w:r w:rsidRPr="00D05835">
        <w:rPr>
          <w:noProof/>
        </w:rPr>
        <w:t>Poziția menționată la articolul 1 se exprimă de către statele membre ale Uniunii care sunt membre ale OIV, acționând împreună în interesul Uniunii.</w:t>
      </w:r>
    </w:p>
    <w:p w:rsidR="00AE2FB1" w:rsidRPr="00D05835" w:rsidRDefault="00AE2FB1" w:rsidP="00974B16">
      <w:pPr>
        <w:pStyle w:val="Titrearticle"/>
        <w:rPr>
          <w:noProof/>
        </w:rPr>
      </w:pPr>
      <w:r w:rsidRPr="00D05835">
        <w:rPr>
          <w:noProof/>
        </w:rPr>
        <w:t>Articolul 3</w:t>
      </w:r>
    </w:p>
    <w:p w:rsidR="004676B9" w:rsidRPr="00D05835" w:rsidRDefault="004676B9" w:rsidP="005E1AD3">
      <w:pPr>
        <w:pStyle w:val="Point0"/>
        <w:rPr>
          <w:noProof/>
        </w:rPr>
      </w:pPr>
      <w:r w:rsidRPr="00D05835">
        <w:rPr>
          <w:noProof/>
        </w:rPr>
        <w:t>1.</w:t>
      </w:r>
      <w:r w:rsidRPr="00D05835">
        <w:rPr>
          <w:noProof/>
        </w:rPr>
        <w:tab/>
        <w:t>În cazul în care există probabilitatea ca poziția menționată la articolul 1 să fie afectată de informații științifice sau tehnice noi, prezentate înaintea sau în cursul reuniunilor OIV, statele membre care sunt membre ale OIV solicită amânarea votului în cadrul adunării generale a OIV până la stabilirea poziției Uniunii pe baza noilor informații.</w:t>
      </w:r>
    </w:p>
    <w:p w:rsidR="00AE2FB1" w:rsidRPr="00D05835" w:rsidRDefault="004676B9" w:rsidP="005E1AD3">
      <w:pPr>
        <w:pStyle w:val="Point0"/>
        <w:rPr>
          <w:noProof/>
        </w:rPr>
      </w:pPr>
      <w:r w:rsidRPr="00D05835">
        <w:rPr>
          <w:noProof/>
        </w:rPr>
        <w:t>2.</w:t>
      </w:r>
      <w:r w:rsidRPr="00D05835">
        <w:rPr>
          <w:noProof/>
        </w:rPr>
        <w:tab/>
        <w:t>Prin coordonare și în lipsa unei decizii ulterioare a Consiliului de stabilire a poziției care trebuie adoptată în numele Uniunii, statele membre care sunt membre ale OIV, acționând împreună în interesul Uniunii, pot conveni asupra unor modificări tehnice ale proiectelor de rezoluții ale OIV menționate în anexa la prezenta decizie, care nu modifică fondul rezoluțiilor.</w:t>
      </w:r>
    </w:p>
    <w:p w:rsidR="00AE2FB1" w:rsidRPr="00D05835" w:rsidRDefault="00AE2FB1" w:rsidP="00974B16">
      <w:pPr>
        <w:pStyle w:val="Titrearticle"/>
        <w:rPr>
          <w:noProof/>
        </w:rPr>
      </w:pPr>
      <w:r w:rsidRPr="00D05835">
        <w:rPr>
          <w:noProof/>
        </w:rPr>
        <w:t>Articolul 4</w:t>
      </w:r>
    </w:p>
    <w:p w:rsidR="00AE2FB1" w:rsidRPr="00D05835" w:rsidRDefault="00134BC2" w:rsidP="00974B16">
      <w:pPr>
        <w:rPr>
          <w:noProof/>
        </w:rPr>
      </w:pPr>
      <w:r w:rsidRPr="00D05835">
        <w:rPr>
          <w:noProof/>
        </w:rPr>
        <w:t>Prezenta decizie intră în vigoare la data adoptării.</w:t>
      </w:r>
    </w:p>
    <w:p w:rsidR="00134BC2" w:rsidRPr="00D05835" w:rsidRDefault="00134BC2" w:rsidP="00974B16">
      <w:pPr>
        <w:rPr>
          <w:noProof/>
        </w:rPr>
      </w:pPr>
    </w:p>
    <w:p w:rsidR="00AE2FB1" w:rsidRPr="00D05835" w:rsidRDefault="00D05835" w:rsidP="00480EE1">
      <w:pPr>
        <w:pStyle w:val="Fait"/>
        <w:rPr>
          <w:noProof/>
        </w:rPr>
      </w:pPr>
      <w:r>
        <w:rPr>
          <w:noProof/>
        </w:rPr>
        <w:t>Adoptată la Bruxelles,</w:t>
      </w:r>
    </w:p>
    <w:p w:rsidR="00AE2FB1" w:rsidRPr="00D05835" w:rsidRDefault="00AE2FB1" w:rsidP="00480EE1">
      <w:pPr>
        <w:pStyle w:val="Institutionquisigne"/>
        <w:rPr>
          <w:noProof/>
        </w:rPr>
      </w:pPr>
      <w:r w:rsidRPr="00D05835">
        <w:rPr>
          <w:noProof/>
        </w:rPr>
        <w:tab/>
        <w:t>Pentru Consiliu</w:t>
      </w:r>
    </w:p>
    <w:p w:rsidR="00AE2FB1" w:rsidRPr="00D05835" w:rsidRDefault="00AE2FB1" w:rsidP="00AE2FB1">
      <w:pPr>
        <w:pStyle w:val="Personnequisigne"/>
        <w:rPr>
          <w:noProof/>
        </w:rPr>
      </w:pPr>
      <w:r w:rsidRPr="00D05835">
        <w:rPr>
          <w:noProof/>
        </w:rPr>
        <w:tab/>
        <w:t xml:space="preserve">Președintele </w:t>
      </w:r>
      <w:r w:rsidRPr="00D05835">
        <w:rPr>
          <w:noProof/>
        </w:rPr>
        <w:br/>
      </w:r>
      <w:r w:rsidRPr="00D05835">
        <w:rPr>
          <w:noProof/>
        </w:rPr>
        <w:tab/>
      </w:r>
    </w:p>
    <w:sectPr w:rsidR="00AE2FB1" w:rsidRPr="00D05835" w:rsidSect="00AF293F">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0A0" w:rsidRDefault="002610A0" w:rsidP="00AE2FB1">
      <w:pPr>
        <w:spacing w:before="0" w:after="0"/>
      </w:pPr>
      <w:r>
        <w:separator/>
      </w:r>
    </w:p>
  </w:endnote>
  <w:endnote w:type="continuationSeparator" w:id="0">
    <w:p w:rsidR="002610A0" w:rsidRDefault="002610A0" w:rsidP="00AE2FB1">
      <w:pPr>
        <w:spacing w:before="0" w:after="0"/>
      </w:pPr>
      <w:r>
        <w:continuationSeparator/>
      </w:r>
    </w:p>
  </w:endnote>
  <w:endnote w:type="continuationNotice" w:id="1">
    <w:p w:rsidR="002610A0" w:rsidRDefault="002610A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93F" w:rsidRPr="00AF293F" w:rsidRDefault="00AF293F" w:rsidP="00AF293F">
    <w:pPr>
      <w:pStyle w:val="Footer"/>
      <w:rPr>
        <w:rFonts w:ascii="Arial" w:hAnsi="Arial" w:cs="Arial"/>
        <w:b/>
        <w:sz w:val="48"/>
      </w:rPr>
    </w:pPr>
    <w:r w:rsidRPr="00AF293F">
      <w:rPr>
        <w:rFonts w:ascii="Arial" w:hAnsi="Arial" w:cs="Arial"/>
        <w:b/>
        <w:sz w:val="48"/>
      </w:rPr>
      <w:t>RO</w:t>
    </w:r>
    <w:r w:rsidRPr="00AF293F">
      <w:rPr>
        <w:rFonts w:ascii="Arial" w:hAnsi="Arial" w:cs="Arial"/>
        <w:b/>
        <w:sz w:val="48"/>
      </w:rPr>
      <w:tab/>
    </w:r>
    <w:r w:rsidRPr="00AF293F">
      <w:rPr>
        <w:rFonts w:ascii="Arial" w:hAnsi="Arial" w:cs="Arial"/>
        <w:b/>
        <w:sz w:val="48"/>
      </w:rPr>
      <w:tab/>
    </w:r>
    <w:r w:rsidRPr="00AF293F">
      <w:tab/>
    </w:r>
    <w:r w:rsidRPr="00AF293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93F" w:rsidRPr="00AF293F" w:rsidRDefault="00AF293F" w:rsidP="00AF293F">
    <w:pPr>
      <w:pStyle w:val="Footer"/>
      <w:rPr>
        <w:rFonts w:ascii="Arial" w:hAnsi="Arial" w:cs="Arial"/>
        <w:b/>
        <w:sz w:val="48"/>
      </w:rPr>
    </w:pPr>
    <w:r w:rsidRPr="00AF293F">
      <w:rPr>
        <w:rFonts w:ascii="Arial" w:hAnsi="Arial" w:cs="Arial"/>
        <w:b/>
        <w:sz w:val="48"/>
      </w:rPr>
      <w:t>RO</w:t>
    </w:r>
    <w:r w:rsidRPr="00AF293F">
      <w:rPr>
        <w:rFonts w:ascii="Arial" w:hAnsi="Arial" w:cs="Arial"/>
        <w:b/>
        <w:sz w:val="48"/>
      </w:rPr>
      <w:tab/>
    </w:r>
    <w:r w:rsidRPr="00AF293F">
      <w:rPr>
        <w:rFonts w:ascii="Arial" w:hAnsi="Arial" w:cs="Arial"/>
        <w:b/>
        <w:sz w:val="48"/>
      </w:rPr>
      <w:tab/>
    </w:r>
    <w:r w:rsidRPr="00AF293F">
      <w:tab/>
    </w:r>
    <w:r w:rsidRPr="00AF293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93F" w:rsidRDefault="00AF29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93F" w:rsidRPr="00AF293F" w:rsidRDefault="00AF293F" w:rsidP="00AF293F">
    <w:pPr>
      <w:pStyle w:val="Footer"/>
      <w:rPr>
        <w:rFonts w:ascii="Arial" w:hAnsi="Arial" w:cs="Arial"/>
        <w:b/>
        <w:sz w:val="48"/>
      </w:rPr>
    </w:pPr>
    <w:r w:rsidRPr="00AF293F">
      <w:rPr>
        <w:rFonts w:ascii="Arial" w:hAnsi="Arial" w:cs="Arial"/>
        <w:b/>
        <w:sz w:val="48"/>
      </w:rPr>
      <w:t>RO</w:t>
    </w:r>
    <w:r w:rsidRPr="00AF293F">
      <w:rPr>
        <w:rFonts w:ascii="Arial" w:hAnsi="Arial" w:cs="Arial"/>
        <w:b/>
        <w:sz w:val="48"/>
      </w:rPr>
      <w:tab/>
    </w:r>
    <w:r>
      <w:fldChar w:fldCharType="begin"/>
    </w:r>
    <w:r>
      <w:instrText xml:space="preserve"> PAGE  \* MERGEFORMAT </w:instrText>
    </w:r>
    <w:r>
      <w:fldChar w:fldCharType="separate"/>
    </w:r>
    <w:r w:rsidR="00480EE1">
      <w:rPr>
        <w:noProof/>
      </w:rPr>
      <w:t>8</w:t>
    </w:r>
    <w:r>
      <w:fldChar w:fldCharType="end"/>
    </w:r>
    <w:r>
      <w:tab/>
    </w:r>
    <w:r w:rsidRPr="00AF293F">
      <w:tab/>
    </w:r>
    <w:r w:rsidRPr="00AF293F">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93F" w:rsidRDefault="00AF293F" w:rsidP="00AF29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0A0" w:rsidRDefault="002610A0" w:rsidP="00AE2FB1">
      <w:pPr>
        <w:spacing w:before="0" w:after="0"/>
      </w:pPr>
      <w:r>
        <w:separator/>
      </w:r>
    </w:p>
  </w:footnote>
  <w:footnote w:type="continuationSeparator" w:id="0">
    <w:p w:rsidR="002610A0" w:rsidRDefault="002610A0" w:rsidP="00AE2FB1">
      <w:pPr>
        <w:spacing w:before="0" w:after="0"/>
      </w:pPr>
      <w:r>
        <w:continuationSeparator/>
      </w:r>
    </w:p>
  </w:footnote>
  <w:footnote w:type="continuationNotice" w:id="1">
    <w:p w:rsidR="002610A0" w:rsidRDefault="002610A0">
      <w:pPr>
        <w:spacing w:before="0" w:after="0"/>
      </w:pPr>
    </w:p>
  </w:footnote>
  <w:footnote w:id="2">
    <w:p w:rsidR="00A82D01" w:rsidRPr="00AC3C6E" w:rsidRDefault="00A82D01" w:rsidP="00A82D01">
      <w:pPr>
        <w:pStyle w:val="FootnoteText"/>
        <w:jc w:val="left"/>
      </w:pPr>
      <w:r>
        <w:rPr>
          <w:rStyle w:val="FootnoteReference"/>
        </w:rPr>
        <w:footnoteRef/>
      </w:r>
      <w:r w:rsidRPr="00AC3C6E">
        <w:rPr>
          <w:lang w:val="es-ES"/>
        </w:rPr>
        <w:tab/>
        <w:t xml:space="preserve">Siguranța expunerii acute la aditivul alimentar glicerol (E 422) din băuturi. </w:t>
      </w:r>
      <w:hyperlink r:id="rId1" w:history="1">
        <w:r w:rsidRPr="00AC3C6E">
          <w:rPr>
            <w:rStyle w:val="Hyperlink"/>
          </w:rPr>
          <w:t>https://efsa.onlinelibrary.wiley.com/doi/10.2903/j.efsa.2026.10057</w:t>
        </w:r>
      </w:hyperlink>
      <w:r w:rsidRPr="00AC3C6E">
        <w:t xml:space="preserve"> </w:t>
      </w:r>
    </w:p>
  </w:footnote>
  <w:footnote w:id="3">
    <w:p w:rsidR="00AE2FB1" w:rsidRPr="00AC3C6E" w:rsidRDefault="00AE2FB1" w:rsidP="00974B16">
      <w:pPr>
        <w:pStyle w:val="FootnoteText"/>
      </w:pPr>
      <w:r>
        <w:rPr>
          <w:rStyle w:val="FootnoteReference"/>
        </w:rPr>
        <w:footnoteRef/>
      </w:r>
      <w:r w:rsidRPr="00AC3C6E">
        <w:tab/>
        <w:t xml:space="preserve">Hotărârea Curții de Justiție din 7 octombrie 2014, Germania/Consiliul, C-399/12, ECLI:EU:C:2014:2258, punctul 64. </w:t>
      </w:r>
    </w:p>
  </w:footnote>
  <w:footnote w:id="4">
    <w:p w:rsidR="00AE2FB1" w:rsidRPr="00AC3C6E" w:rsidRDefault="00AE2FB1" w:rsidP="00974B16">
      <w:pPr>
        <w:pStyle w:val="FootnoteText"/>
      </w:pPr>
      <w:r>
        <w:rPr>
          <w:rStyle w:val="FootnoteReference"/>
        </w:rPr>
        <w:footnoteRef/>
      </w:r>
      <w:r w:rsidRPr="00AC3C6E">
        <w:tab/>
        <w:t xml:space="preserve">Hotărârea Curții de Justiție din 7 octombrie 2014, Germania/Consiliul, C-399/12, ECLI:EU:C:2014:2258, punctele 61-64. </w:t>
      </w:r>
    </w:p>
  </w:footnote>
  <w:footnote w:id="5">
    <w:p w:rsidR="004676B9" w:rsidRPr="00AC3C6E" w:rsidRDefault="004676B9" w:rsidP="004676B9">
      <w:pPr>
        <w:pStyle w:val="FootnoteText"/>
      </w:pPr>
      <w:r>
        <w:rPr>
          <w:rStyle w:val="FootnoteReference"/>
        </w:rPr>
        <w:footnoteRef/>
      </w:r>
      <w:r w:rsidRPr="00AC3C6E">
        <w:tab/>
        <w:t xml:space="preserve">Regulamentul (UE) nr. 1308/2013 al Parlamentului European și al Consiliului din 17 decembrie 2013 de instituire a unei organizări comune a piețelor produselor agricole și de abrogare a Regulamentelor (CEE) nr. 922/72, (CEE) nr. 234/79, (CE) nr. 1037/2001 și (CE) nr. 1234/2007 ale Consiliului (JO L 347, 20.12.2013, p. 671, ELI: </w:t>
      </w:r>
      <w:hyperlink r:id="rId2" w:history="1">
        <w:r w:rsidRPr="00AC3C6E">
          <w:rPr>
            <w:rStyle w:val="Hyperlink"/>
          </w:rPr>
          <w:t>http://data.europa.eu/eli/reg/2013/1308/oj</w:t>
        </w:r>
      </w:hyperlink>
      <w:r w:rsidRPr="00AC3C6E">
        <w:t>).</w:t>
      </w:r>
    </w:p>
  </w:footnote>
  <w:footnote w:id="6">
    <w:p w:rsidR="004676B9" w:rsidRPr="00AC3C6E" w:rsidRDefault="004676B9" w:rsidP="004676B9">
      <w:pPr>
        <w:pStyle w:val="FootnoteText"/>
      </w:pPr>
      <w:r>
        <w:rPr>
          <w:rStyle w:val="FootnoteReference"/>
        </w:rPr>
        <w:footnoteRef/>
      </w:r>
      <w:r w:rsidRPr="00AC3C6E">
        <w:tab/>
        <w:t xml:space="preserve">Regulamentul delegat (UE) 2019/934 al Comisiei din 12 martie 2019 de completare a Regulamentului (UE) nr. 1308/2013 al Parlamentului European și al Consiliului în ceea ce privește zonele viticole în care poate fi majorată tăria alcoolică, practicile oenologice autorizate și restricțiile aplicabile producerii și conservării produselor vitivinicole, procentajul minim de alcool al subproduselor și eliminarea acestora și publicarea fișelor OIV (JO L 149, 7.6.2019, p. 1, ELI: </w:t>
      </w:r>
      <w:hyperlink r:id="rId3" w:history="1">
        <w:r w:rsidRPr="00AC3C6E">
          <w:rPr>
            <w:rStyle w:val="Hyperlink"/>
          </w:rPr>
          <w:t>http://data.europa.eu/eli/reg_del/2019/934/oj</w:t>
        </w:r>
      </w:hyperlink>
      <w:r w:rsidRPr="00AC3C6E">
        <w:t>).</w:t>
      </w:r>
    </w:p>
  </w:footnote>
  <w:footnote w:id="7">
    <w:p w:rsidR="001D63C6" w:rsidRPr="00BF404F" w:rsidRDefault="001D63C6" w:rsidP="001D63C6">
      <w:pPr>
        <w:pStyle w:val="FootnoteText"/>
        <w:jc w:val="left"/>
      </w:pPr>
      <w:r>
        <w:rPr>
          <w:rStyle w:val="FootnoteReference"/>
        </w:rPr>
        <w:footnoteRef/>
      </w:r>
      <w:r w:rsidRPr="00AC3C6E">
        <w:rPr>
          <w:lang w:val="es-ES"/>
        </w:rPr>
        <w:tab/>
        <w:t xml:space="preserve">Siguranța expunerii acute la aditivul alimentar glicerol (E 422) din băuturi. </w:t>
      </w:r>
      <w:hyperlink r:id="rId4" w:history="1">
        <w:r>
          <w:rPr>
            <w:rStyle w:val="Hyperlink"/>
          </w:rPr>
          <w:t>https://efsa.onlinelibrary.wiley.com/doi/10.2903/j.efsa.2026.10057</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93F" w:rsidRDefault="00AF29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93F" w:rsidRDefault="00AF29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A82845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8BAA82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6502542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7029A2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C01C7CD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730806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91CA1D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9EC0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8 14:50:4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21E4607-E85E-4F3E-98FD-234AFDF1E55F"/>
    <w:docVar w:name="LW_COVERPAGE_TYPE" w:val="1"/>
    <w:docVar w:name="LW_CROSSREFERENCE" w:val="&lt;UNUSED&gt;"/>
    <w:docVar w:name="LW_DocType" w:val="COM"/>
    <w:docVar w:name="LW_EMISSION" w:val="29.7.2026"/>
    <w:docVar w:name="LW_EMISSION_ISODATE" w:val="2026-07-29"/>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27"/>
    <w:docVar w:name="LW_REF.II.NEW.CP_YEAR" w:val="2026"/>
    <w:docVar w:name="LW_REF.INST.NEW" w:val="COM"/>
    <w:docVar w:name="LW_REF.INST.NEW_ADOPTED" w:val="final"/>
    <w:docVar w:name="LW_REF.INST.NEW_TEXT" w:val="(2026) 40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trebuie adoptat\u259?, în numele Uniunii Europene, în cadrul Organiza\u539?iei Interna\u539?ionale a Viei \u537?i Vinului (OIV)"/>
    <w:docVar w:name="LW_TYPE.DOC.CP" w:val="DECIZIE A CONSILIULUI"/>
    <w:docVar w:name="LwApiVersions" w:val="LW4CoDe 1.24.5.0; LW 9.2, Build 20251112"/>
  </w:docVars>
  <w:rsids>
    <w:rsidRoot w:val="00AE2FB1"/>
    <w:rsid w:val="000052AE"/>
    <w:rsid w:val="000071BA"/>
    <w:rsid w:val="00011169"/>
    <w:rsid w:val="00011D88"/>
    <w:rsid w:val="00012E1C"/>
    <w:rsid w:val="0001643A"/>
    <w:rsid w:val="000437C4"/>
    <w:rsid w:val="00043D40"/>
    <w:rsid w:val="00044AE4"/>
    <w:rsid w:val="00051B27"/>
    <w:rsid w:val="000541D7"/>
    <w:rsid w:val="000675C8"/>
    <w:rsid w:val="000740D7"/>
    <w:rsid w:val="0008238F"/>
    <w:rsid w:val="0009342A"/>
    <w:rsid w:val="000954EC"/>
    <w:rsid w:val="000A3641"/>
    <w:rsid w:val="000A53F9"/>
    <w:rsid w:val="000B0A04"/>
    <w:rsid w:val="000B42F3"/>
    <w:rsid w:val="000B4D94"/>
    <w:rsid w:val="000B7A7D"/>
    <w:rsid w:val="000C75C5"/>
    <w:rsid w:val="000D0A27"/>
    <w:rsid w:val="000D7B01"/>
    <w:rsid w:val="000D7C23"/>
    <w:rsid w:val="000E0285"/>
    <w:rsid w:val="000E4FF9"/>
    <w:rsid w:val="000E5811"/>
    <w:rsid w:val="000F18F8"/>
    <w:rsid w:val="0010129A"/>
    <w:rsid w:val="001028A9"/>
    <w:rsid w:val="00115205"/>
    <w:rsid w:val="00116566"/>
    <w:rsid w:val="00120D24"/>
    <w:rsid w:val="00122200"/>
    <w:rsid w:val="00127BAD"/>
    <w:rsid w:val="00130A97"/>
    <w:rsid w:val="00130B34"/>
    <w:rsid w:val="00131A8D"/>
    <w:rsid w:val="00134BC2"/>
    <w:rsid w:val="0014701E"/>
    <w:rsid w:val="00150135"/>
    <w:rsid w:val="00152894"/>
    <w:rsid w:val="001608A0"/>
    <w:rsid w:val="00174736"/>
    <w:rsid w:val="0017682E"/>
    <w:rsid w:val="00176E45"/>
    <w:rsid w:val="001816F8"/>
    <w:rsid w:val="001834AB"/>
    <w:rsid w:val="00194418"/>
    <w:rsid w:val="001A1118"/>
    <w:rsid w:val="001A4DDB"/>
    <w:rsid w:val="001B6501"/>
    <w:rsid w:val="001C1F75"/>
    <w:rsid w:val="001C4781"/>
    <w:rsid w:val="001D033B"/>
    <w:rsid w:val="001D63C6"/>
    <w:rsid w:val="001E0D0F"/>
    <w:rsid w:val="001E20D3"/>
    <w:rsid w:val="001E6441"/>
    <w:rsid w:val="001F7B56"/>
    <w:rsid w:val="002013D6"/>
    <w:rsid w:val="00202A79"/>
    <w:rsid w:val="0020533B"/>
    <w:rsid w:val="00214E6D"/>
    <w:rsid w:val="00225B53"/>
    <w:rsid w:val="00231789"/>
    <w:rsid w:val="00237743"/>
    <w:rsid w:val="00246E60"/>
    <w:rsid w:val="00250E85"/>
    <w:rsid w:val="00252E6B"/>
    <w:rsid w:val="002610A0"/>
    <w:rsid w:val="00264C4C"/>
    <w:rsid w:val="002760BF"/>
    <w:rsid w:val="00284C35"/>
    <w:rsid w:val="00286C02"/>
    <w:rsid w:val="002902F6"/>
    <w:rsid w:val="002977CD"/>
    <w:rsid w:val="002A13CD"/>
    <w:rsid w:val="002A5FB4"/>
    <w:rsid w:val="002A7892"/>
    <w:rsid w:val="002B04C4"/>
    <w:rsid w:val="002B12D3"/>
    <w:rsid w:val="002C2237"/>
    <w:rsid w:val="002C749E"/>
    <w:rsid w:val="002C7E1C"/>
    <w:rsid w:val="002D4DB9"/>
    <w:rsid w:val="002E7BE7"/>
    <w:rsid w:val="002F0454"/>
    <w:rsid w:val="002F2735"/>
    <w:rsid w:val="002F34D8"/>
    <w:rsid w:val="002F486B"/>
    <w:rsid w:val="002F4E3A"/>
    <w:rsid w:val="0030111D"/>
    <w:rsid w:val="0030321F"/>
    <w:rsid w:val="00303C36"/>
    <w:rsid w:val="00321371"/>
    <w:rsid w:val="00333651"/>
    <w:rsid w:val="003433E9"/>
    <w:rsid w:val="00344473"/>
    <w:rsid w:val="003518D8"/>
    <w:rsid w:val="0035537D"/>
    <w:rsid w:val="0036047B"/>
    <w:rsid w:val="003637B1"/>
    <w:rsid w:val="00371857"/>
    <w:rsid w:val="0037700C"/>
    <w:rsid w:val="00380090"/>
    <w:rsid w:val="00382A51"/>
    <w:rsid w:val="003836BF"/>
    <w:rsid w:val="00387FBE"/>
    <w:rsid w:val="00391E02"/>
    <w:rsid w:val="003939D6"/>
    <w:rsid w:val="00396ACD"/>
    <w:rsid w:val="0039706F"/>
    <w:rsid w:val="003A71F7"/>
    <w:rsid w:val="003A784C"/>
    <w:rsid w:val="003D32CB"/>
    <w:rsid w:val="003D3FA4"/>
    <w:rsid w:val="003D772B"/>
    <w:rsid w:val="003E1602"/>
    <w:rsid w:val="003E1933"/>
    <w:rsid w:val="003F0190"/>
    <w:rsid w:val="003F72B0"/>
    <w:rsid w:val="0040796B"/>
    <w:rsid w:val="00420180"/>
    <w:rsid w:val="00424BC9"/>
    <w:rsid w:val="0043148A"/>
    <w:rsid w:val="0043387D"/>
    <w:rsid w:val="00437AA5"/>
    <w:rsid w:val="00444865"/>
    <w:rsid w:val="00457F81"/>
    <w:rsid w:val="004610C8"/>
    <w:rsid w:val="004676B9"/>
    <w:rsid w:val="00480EE1"/>
    <w:rsid w:val="00492396"/>
    <w:rsid w:val="00495B54"/>
    <w:rsid w:val="004A0228"/>
    <w:rsid w:val="004A6D3E"/>
    <w:rsid w:val="004B5A48"/>
    <w:rsid w:val="004C198E"/>
    <w:rsid w:val="004D41C4"/>
    <w:rsid w:val="004D48EB"/>
    <w:rsid w:val="004E07FA"/>
    <w:rsid w:val="004E19F9"/>
    <w:rsid w:val="004F2A7E"/>
    <w:rsid w:val="00501D36"/>
    <w:rsid w:val="0050261B"/>
    <w:rsid w:val="00503924"/>
    <w:rsid w:val="00505654"/>
    <w:rsid w:val="00517205"/>
    <w:rsid w:val="00517282"/>
    <w:rsid w:val="00521367"/>
    <w:rsid w:val="00526714"/>
    <w:rsid w:val="00527B43"/>
    <w:rsid w:val="00527F85"/>
    <w:rsid w:val="0053054E"/>
    <w:rsid w:val="00533107"/>
    <w:rsid w:val="00535D7D"/>
    <w:rsid w:val="00537C2E"/>
    <w:rsid w:val="00542487"/>
    <w:rsid w:val="005434C0"/>
    <w:rsid w:val="0055231B"/>
    <w:rsid w:val="00552D66"/>
    <w:rsid w:val="005531B8"/>
    <w:rsid w:val="005628CF"/>
    <w:rsid w:val="005808BB"/>
    <w:rsid w:val="00581B9A"/>
    <w:rsid w:val="00582810"/>
    <w:rsid w:val="005954EC"/>
    <w:rsid w:val="00595540"/>
    <w:rsid w:val="00595A9C"/>
    <w:rsid w:val="005A2073"/>
    <w:rsid w:val="005A3871"/>
    <w:rsid w:val="005A3F0A"/>
    <w:rsid w:val="005B510E"/>
    <w:rsid w:val="005B5FA6"/>
    <w:rsid w:val="005B635D"/>
    <w:rsid w:val="005B7E75"/>
    <w:rsid w:val="005D020B"/>
    <w:rsid w:val="005D239A"/>
    <w:rsid w:val="005D4E64"/>
    <w:rsid w:val="005D7EC5"/>
    <w:rsid w:val="005E1AD3"/>
    <w:rsid w:val="005F64B4"/>
    <w:rsid w:val="005F6BD2"/>
    <w:rsid w:val="00607CE6"/>
    <w:rsid w:val="006101FD"/>
    <w:rsid w:val="0061132E"/>
    <w:rsid w:val="006163C6"/>
    <w:rsid w:val="00622192"/>
    <w:rsid w:val="006271AD"/>
    <w:rsid w:val="00632A1F"/>
    <w:rsid w:val="00632AB6"/>
    <w:rsid w:val="00636FEC"/>
    <w:rsid w:val="00640A5A"/>
    <w:rsid w:val="006415A0"/>
    <w:rsid w:val="00641BE1"/>
    <w:rsid w:val="00647002"/>
    <w:rsid w:val="00647A7E"/>
    <w:rsid w:val="00652253"/>
    <w:rsid w:val="00653349"/>
    <w:rsid w:val="00660778"/>
    <w:rsid w:val="006652B8"/>
    <w:rsid w:val="006654AB"/>
    <w:rsid w:val="00671CD7"/>
    <w:rsid w:val="00672808"/>
    <w:rsid w:val="006730F7"/>
    <w:rsid w:val="006857D7"/>
    <w:rsid w:val="006B3D5C"/>
    <w:rsid w:val="006B46A0"/>
    <w:rsid w:val="006B51DD"/>
    <w:rsid w:val="006B5B7D"/>
    <w:rsid w:val="006C0804"/>
    <w:rsid w:val="006C4110"/>
    <w:rsid w:val="006C467E"/>
    <w:rsid w:val="006D6A06"/>
    <w:rsid w:val="006E1228"/>
    <w:rsid w:val="006E1814"/>
    <w:rsid w:val="006E2138"/>
    <w:rsid w:val="006F05D9"/>
    <w:rsid w:val="006F298C"/>
    <w:rsid w:val="006F5DE0"/>
    <w:rsid w:val="006F7EFE"/>
    <w:rsid w:val="007021DB"/>
    <w:rsid w:val="007036AC"/>
    <w:rsid w:val="00703D2D"/>
    <w:rsid w:val="0072431E"/>
    <w:rsid w:val="00731DC4"/>
    <w:rsid w:val="0073324A"/>
    <w:rsid w:val="00734958"/>
    <w:rsid w:val="00743D63"/>
    <w:rsid w:val="00747FC6"/>
    <w:rsid w:val="00750957"/>
    <w:rsid w:val="007629A3"/>
    <w:rsid w:val="00764C6A"/>
    <w:rsid w:val="0076518C"/>
    <w:rsid w:val="0077128B"/>
    <w:rsid w:val="007725C4"/>
    <w:rsid w:val="007768A4"/>
    <w:rsid w:val="00787678"/>
    <w:rsid w:val="007915D7"/>
    <w:rsid w:val="0079569F"/>
    <w:rsid w:val="007A1319"/>
    <w:rsid w:val="007A628C"/>
    <w:rsid w:val="007A6973"/>
    <w:rsid w:val="007B3675"/>
    <w:rsid w:val="007B785A"/>
    <w:rsid w:val="007C3AB5"/>
    <w:rsid w:val="007C461D"/>
    <w:rsid w:val="007C6B89"/>
    <w:rsid w:val="007D0861"/>
    <w:rsid w:val="007D42D2"/>
    <w:rsid w:val="007E010B"/>
    <w:rsid w:val="007E7A50"/>
    <w:rsid w:val="007E7DB3"/>
    <w:rsid w:val="007F7CA7"/>
    <w:rsid w:val="00802FC2"/>
    <w:rsid w:val="00803544"/>
    <w:rsid w:val="00813107"/>
    <w:rsid w:val="00813119"/>
    <w:rsid w:val="00822C36"/>
    <w:rsid w:val="00827758"/>
    <w:rsid w:val="00832DEC"/>
    <w:rsid w:val="00840A00"/>
    <w:rsid w:val="00841807"/>
    <w:rsid w:val="00852A0F"/>
    <w:rsid w:val="00862DC3"/>
    <w:rsid w:val="00874939"/>
    <w:rsid w:val="00875867"/>
    <w:rsid w:val="00877DEA"/>
    <w:rsid w:val="00895F98"/>
    <w:rsid w:val="008A17E0"/>
    <w:rsid w:val="008B0305"/>
    <w:rsid w:val="008B12DF"/>
    <w:rsid w:val="008B7752"/>
    <w:rsid w:val="008C1324"/>
    <w:rsid w:val="008C2C02"/>
    <w:rsid w:val="008C2CFE"/>
    <w:rsid w:val="008C389E"/>
    <w:rsid w:val="008D3D5E"/>
    <w:rsid w:val="008D635E"/>
    <w:rsid w:val="008D63A2"/>
    <w:rsid w:val="008E217C"/>
    <w:rsid w:val="008E2694"/>
    <w:rsid w:val="008E308C"/>
    <w:rsid w:val="008E3863"/>
    <w:rsid w:val="008F077A"/>
    <w:rsid w:val="0090069F"/>
    <w:rsid w:val="00905B56"/>
    <w:rsid w:val="00931B8B"/>
    <w:rsid w:val="009352E6"/>
    <w:rsid w:val="00936EE9"/>
    <w:rsid w:val="00940731"/>
    <w:rsid w:val="009417BC"/>
    <w:rsid w:val="009427D9"/>
    <w:rsid w:val="00942ED0"/>
    <w:rsid w:val="00943A44"/>
    <w:rsid w:val="00953090"/>
    <w:rsid w:val="009533AF"/>
    <w:rsid w:val="00954267"/>
    <w:rsid w:val="00961791"/>
    <w:rsid w:val="00964193"/>
    <w:rsid w:val="00964748"/>
    <w:rsid w:val="00965DA4"/>
    <w:rsid w:val="0096702F"/>
    <w:rsid w:val="009678F3"/>
    <w:rsid w:val="00970C37"/>
    <w:rsid w:val="009733F8"/>
    <w:rsid w:val="009741CC"/>
    <w:rsid w:val="00974B16"/>
    <w:rsid w:val="00975728"/>
    <w:rsid w:val="00984550"/>
    <w:rsid w:val="00987B91"/>
    <w:rsid w:val="009957C5"/>
    <w:rsid w:val="009A4D54"/>
    <w:rsid w:val="009B3E63"/>
    <w:rsid w:val="009C30DC"/>
    <w:rsid w:val="009C67B4"/>
    <w:rsid w:val="009E3508"/>
    <w:rsid w:val="009E3509"/>
    <w:rsid w:val="009F6B81"/>
    <w:rsid w:val="00A03FB1"/>
    <w:rsid w:val="00A06C47"/>
    <w:rsid w:val="00A12875"/>
    <w:rsid w:val="00A15345"/>
    <w:rsid w:val="00A21AA9"/>
    <w:rsid w:val="00A27060"/>
    <w:rsid w:val="00A41BC4"/>
    <w:rsid w:val="00A47319"/>
    <w:rsid w:val="00A47EC3"/>
    <w:rsid w:val="00A565C7"/>
    <w:rsid w:val="00A57022"/>
    <w:rsid w:val="00A61595"/>
    <w:rsid w:val="00A70EAE"/>
    <w:rsid w:val="00A76405"/>
    <w:rsid w:val="00A76B5F"/>
    <w:rsid w:val="00A81E87"/>
    <w:rsid w:val="00A82D01"/>
    <w:rsid w:val="00AC3C6E"/>
    <w:rsid w:val="00AD2471"/>
    <w:rsid w:val="00AD613A"/>
    <w:rsid w:val="00AD7638"/>
    <w:rsid w:val="00AE2FB1"/>
    <w:rsid w:val="00AF293F"/>
    <w:rsid w:val="00AF48F1"/>
    <w:rsid w:val="00B075EF"/>
    <w:rsid w:val="00B1266C"/>
    <w:rsid w:val="00B1270C"/>
    <w:rsid w:val="00B22B98"/>
    <w:rsid w:val="00B22C43"/>
    <w:rsid w:val="00B34BB8"/>
    <w:rsid w:val="00B37225"/>
    <w:rsid w:val="00B4229B"/>
    <w:rsid w:val="00B44959"/>
    <w:rsid w:val="00B460DB"/>
    <w:rsid w:val="00B4643A"/>
    <w:rsid w:val="00B554B8"/>
    <w:rsid w:val="00B6061C"/>
    <w:rsid w:val="00B67D3E"/>
    <w:rsid w:val="00B7095A"/>
    <w:rsid w:val="00B74AA2"/>
    <w:rsid w:val="00B770BF"/>
    <w:rsid w:val="00B85954"/>
    <w:rsid w:val="00B93CCD"/>
    <w:rsid w:val="00B97DED"/>
    <w:rsid w:val="00BA2EE8"/>
    <w:rsid w:val="00BA344D"/>
    <w:rsid w:val="00BA6142"/>
    <w:rsid w:val="00BB2DE2"/>
    <w:rsid w:val="00BC032D"/>
    <w:rsid w:val="00BC140D"/>
    <w:rsid w:val="00BC19F3"/>
    <w:rsid w:val="00BC72B5"/>
    <w:rsid w:val="00BD2F5B"/>
    <w:rsid w:val="00BD378F"/>
    <w:rsid w:val="00BE403D"/>
    <w:rsid w:val="00BF404F"/>
    <w:rsid w:val="00C153F0"/>
    <w:rsid w:val="00C17584"/>
    <w:rsid w:val="00C20848"/>
    <w:rsid w:val="00C22DE1"/>
    <w:rsid w:val="00C3596D"/>
    <w:rsid w:val="00C3731F"/>
    <w:rsid w:val="00C40576"/>
    <w:rsid w:val="00C43FF5"/>
    <w:rsid w:val="00C51E4C"/>
    <w:rsid w:val="00C64939"/>
    <w:rsid w:val="00C736DC"/>
    <w:rsid w:val="00C80298"/>
    <w:rsid w:val="00C816EB"/>
    <w:rsid w:val="00C90CCD"/>
    <w:rsid w:val="00C97320"/>
    <w:rsid w:val="00CA1745"/>
    <w:rsid w:val="00CA734C"/>
    <w:rsid w:val="00CC385A"/>
    <w:rsid w:val="00CD67FC"/>
    <w:rsid w:val="00CD7E62"/>
    <w:rsid w:val="00CE0BC6"/>
    <w:rsid w:val="00CE3770"/>
    <w:rsid w:val="00CE528B"/>
    <w:rsid w:val="00CE551B"/>
    <w:rsid w:val="00CE71D6"/>
    <w:rsid w:val="00CF4AC6"/>
    <w:rsid w:val="00CF6E0D"/>
    <w:rsid w:val="00D05835"/>
    <w:rsid w:val="00D10572"/>
    <w:rsid w:val="00D2155B"/>
    <w:rsid w:val="00D26C43"/>
    <w:rsid w:val="00D30234"/>
    <w:rsid w:val="00D31F9C"/>
    <w:rsid w:val="00D415EB"/>
    <w:rsid w:val="00D44DAA"/>
    <w:rsid w:val="00D4625E"/>
    <w:rsid w:val="00D52374"/>
    <w:rsid w:val="00D54C0E"/>
    <w:rsid w:val="00D57470"/>
    <w:rsid w:val="00D61DA1"/>
    <w:rsid w:val="00D63DCB"/>
    <w:rsid w:val="00D66E94"/>
    <w:rsid w:val="00D7362D"/>
    <w:rsid w:val="00D75149"/>
    <w:rsid w:val="00D7688C"/>
    <w:rsid w:val="00D76B3C"/>
    <w:rsid w:val="00D910F4"/>
    <w:rsid w:val="00D9431A"/>
    <w:rsid w:val="00D945C5"/>
    <w:rsid w:val="00D94ACE"/>
    <w:rsid w:val="00DA3742"/>
    <w:rsid w:val="00DA3825"/>
    <w:rsid w:val="00DA42C4"/>
    <w:rsid w:val="00DA6429"/>
    <w:rsid w:val="00DB2693"/>
    <w:rsid w:val="00DB4B20"/>
    <w:rsid w:val="00DC4F70"/>
    <w:rsid w:val="00DC50AB"/>
    <w:rsid w:val="00DC7065"/>
    <w:rsid w:val="00DC7983"/>
    <w:rsid w:val="00DD476D"/>
    <w:rsid w:val="00DE1640"/>
    <w:rsid w:val="00DE683D"/>
    <w:rsid w:val="00DF1474"/>
    <w:rsid w:val="00DF24FB"/>
    <w:rsid w:val="00DF3FF7"/>
    <w:rsid w:val="00E01759"/>
    <w:rsid w:val="00E04DC7"/>
    <w:rsid w:val="00E07235"/>
    <w:rsid w:val="00E10F14"/>
    <w:rsid w:val="00E121C7"/>
    <w:rsid w:val="00E230BB"/>
    <w:rsid w:val="00E3276E"/>
    <w:rsid w:val="00E33AE5"/>
    <w:rsid w:val="00E33C9F"/>
    <w:rsid w:val="00E43107"/>
    <w:rsid w:val="00E43813"/>
    <w:rsid w:val="00E458CA"/>
    <w:rsid w:val="00E53CD5"/>
    <w:rsid w:val="00E60004"/>
    <w:rsid w:val="00E60BA9"/>
    <w:rsid w:val="00E72A66"/>
    <w:rsid w:val="00E74ADA"/>
    <w:rsid w:val="00E762D2"/>
    <w:rsid w:val="00E85D99"/>
    <w:rsid w:val="00E90A10"/>
    <w:rsid w:val="00E95BA1"/>
    <w:rsid w:val="00E979AB"/>
    <w:rsid w:val="00E97A76"/>
    <w:rsid w:val="00EA2F42"/>
    <w:rsid w:val="00EA3951"/>
    <w:rsid w:val="00EA66BB"/>
    <w:rsid w:val="00EA7780"/>
    <w:rsid w:val="00EC39BC"/>
    <w:rsid w:val="00ED526F"/>
    <w:rsid w:val="00EE140B"/>
    <w:rsid w:val="00EE1418"/>
    <w:rsid w:val="00EE6785"/>
    <w:rsid w:val="00EF57D3"/>
    <w:rsid w:val="00F020D7"/>
    <w:rsid w:val="00F053B8"/>
    <w:rsid w:val="00F140F4"/>
    <w:rsid w:val="00F148FE"/>
    <w:rsid w:val="00F171A5"/>
    <w:rsid w:val="00F27A2A"/>
    <w:rsid w:val="00F351DA"/>
    <w:rsid w:val="00F52B32"/>
    <w:rsid w:val="00F5321B"/>
    <w:rsid w:val="00F57064"/>
    <w:rsid w:val="00F60FB5"/>
    <w:rsid w:val="00F74077"/>
    <w:rsid w:val="00F77311"/>
    <w:rsid w:val="00F81D88"/>
    <w:rsid w:val="00F961E0"/>
    <w:rsid w:val="00F979C0"/>
    <w:rsid w:val="00FA1B7E"/>
    <w:rsid w:val="00FA2BFB"/>
    <w:rsid w:val="00FA3A85"/>
    <w:rsid w:val="00FB1600"/>
    <w:rsid w:val="00FB1E91"/>
    <w:rsid w:val="00FB3CDD"/>
    <w:rsid w:val="00FC2396"/>
    <w:rsid w:val="00FD1952"/>
    <w:rsid w:val="00FD2CDE"/>
    <w:rsid w:val="00FE11D8"/>
    <w:rsid w:val="00FE21F8"/>
    <w:rsid w:val="00FE5F2A"/>
    <w:rsid w:val="00FE6970"/>
    <w:rsid w:val="00FF08C9"/>
    <w:rsid w:val="03210E86"/>
    <w:rsid w:val="034A0DED"/>
    <w:rsid w:val="10763227"/>
    <w:rsid w:val="1BF143C7"/>
    <w:rsid w:val="1C0C0D1A"/>
    <w:rsid w:val="1E19B69E"/>
    <w:rsid w:val="2229C370"/>
    <w:rsid w:val="270910FC"/>
    <w:rsid w:val="2893AB10"/>
    <w:rsid w:val="2B16F4C6"/>
    <w:rsid w:val="2DFEB8D8"/>
    <w:rsid w:val="30DC4E42"/>
    <w:rsid w:val="3441A426"/>
    <w:rsid w:val="3664C315"/>
    <w:rsid w:val="3760D393"/>
    <w:rsid w:val="3E9BA5B1"/>
    <w:rsid w:val="42D38619"/>
    <w:rsid w:val="4750F715"/>
    <w:rsid w:val="5312413C"/>
    <w:rsid w:val="5AB3159F"/>
    <w:rsid w:val="657FA6E2"/>
    <w:rsid w:val="6CC429A8"/>
    <w:rsid w:val="702BBF54"/>
    <w:rsid w:val="76ACA8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8425794-2218-4E62-B7E9-4DA4BF0C9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237743"/>
    <w:pPr>
      <w:numPr>
        <w:numId w:val="1"/>
      </w:numPr>
      <w:contextualSpacing/>
    </w:pPr>
  </w:style>
  <w:style w:type="paragraph" w:styleId="ListBullet2">
    <w:name w:val="List Bullet 2"/>
    <w:basedOn w:val="Normal"/>
    <w:uiPriority w:val="99"/>
    <w:semiHidden/>
    <w:unhideWhenUsed/>
    <w:rsid w:val="00237743"/>
    <w:pPr>
      <w:numPr>
        <w:numId w:val="2"/>
      </w:numPr>
      <w:contextualSpacing/>
    </w:pPr>
  </w:style>
  <w:style w:type="paragraph" w:styleId="ListBullet3">
    <w:name w:val="List Bullet 3"/>
    <w:basedOn w:val="Normal"/>
    <w:uiPriority w:val="99"/>
    <w:semiHidden/>
    <w:unhideWhenUsed/>
    <w:rsid w:val="00237743"/>
    <w:pPr>
      <w:numPr>
        <w:numId w:val="3"/>
      </w:numPr>
      <w:contextualSpacing/>
    </w:pPr>
  </w:style>
  <w:style w:type="paragraph" w:styleId="ListBullet4">
    <w:name w:val="List Bullet 4"/>
    <w:basedOn w:val="Normal"/>
    <w:uiPriority w:val="99"/>
    <w:semiHidden/>
    <w:unhideWhenUsed/>
    <w:rsid w:val="00237743"/>
    <w:pPr>
      <w:numPr>
        <w:numId w:val="4"/>
      </w:numPr>
      <w:contextualSpacing/>
    </w:pPr>
  </w:style>
  <w:style w:type="paragraph" w:styleId="BalloonText">
    <w:name w:val="Balloon Text"/>
    <w:basedOn w:val="Normal"/>
    <w:link w:val="BalloonTextChar"/>
    <w:uiPriority w:val="99"/>
    <w:semiHidden/>
    <w:unhideWhenUsed/>
    <w:rsid w:val="0023774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743"/>
    <w:rPr>
      <w:rFonts w:ascii="Segoe UI" w:hAnsi="Segoe UI" w:cs="Segoe UI"/>
      <w:sz w:val="18"/>
      <w:szCs w:val="18"/>
      <w:lang w:val="ro-RO"/>
    </w:rPr>
  </w:style>
  <w:style w:type="paragraph" w:styleId="Caption">
    <w:name w:val="caption"/>
    <w:basedOn w:val="Normal"/>
    <w:next w:val="Normal"/>
    <w:uiPriority w:val="35"/>
    <w:semiHidden/>
    <w:unhideWhenUsed/>
    <w:qFormat/>
    <w:rsid w:val="00A21AA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21AA9"/>
    <w:pPr>
      <w:spacing w:after="0"/>
    </w:pPr>
  </w:style>
  <w:style w:type="paragraph" w:styleId="ListNumber">
    <w:name w:val="List Number"/>
    <w:basedOn w:val="Normal"/>
    <w:uiPriority w:val="99"/>
    <w:semiHidden/>
    <w:unhideWhenUsed/>
    <w:rsid w:val="00A21AA9"/>
    <w:pPr>
      <w:numPr>
        <w:numId w:val="7"/>
      </w:numPr>
      <w:contextualSpacing/>
    </w:pPr>
  </w:style>
  <w:style w:type="paragraph" w:styleId="ListNumber2">
    <w:name w:val="List Number 2"/>
    <w:basedOn w:val="Normal"/>
    <w:uiPriority w:val="99"/>
    <w:semiHidden/>
    <w:unhideWhenUsed/>
    <w:rsid w:val="00A21AA9"/>
    <w:pPr>
      <w:numPr>
        <w:numId w:val="8"/>
      </w:numPr>
      <w:contextualSpacing/>
    </w:pPr>
  </w:style>
  <w:style w:type="paragraph" w:styleId="ListNumber3">
    <w:name w:val="List Number 3"/>
    <w:basedOn w:val="Normal"/>
    <w:uiPriority w:val="99"/>
    <w:semiHidden/>
    <w:unhideWhenUsed/>
    <w:rsid w:val="00A21AA9"/>
    <w:pPr>
      <w:numPr>
        <w:numId w:val="9"/>
      </w:numPr>
      <w:contextualSpacing/>
    </w:pPr>
  </w:style>
  <w:style w:type="paragraph" w:styleId="ListNumber4">
    <w:name w:val="List Number 4"/>
    <w:basedOn w:val="Normal"/>
    <w:uiPriority w:val="99"/>
    <w:semiHidden/>
    <w:unhideWhenUsed/>
    <w:rsid w:val="00A21AA9"/>
    <w:pPr>
      <w:numPr>
        <w:numId w:val="10"/>
      </w:numPr>
      <w:contextualSpacing/>
    </w:pPr>
  </w:style>
  <w:style w:type="character" w:styleId="CommentReference">
    <w:name w:val="annotation reference"/>
    <w:basedOn w:val="DefaultParagraphFont"/>
    <w:uiPriority w:val="99"/>
    <w:semiHidden/>
    <w:unhideWhenUsed/>
    <w:rsid w:val="002A7892"/>
    <w:rPr>
      <w:sz w:val="16"/>
      <w:szCs w:val="16"/>
    </w:rPr>
  </w:style>
  <w:style w:type="paragraph" w:styleId="CommentText">
    <w:name w:val="annotation text"/>
    <w:basedOn w:val="Normal"/>
    <w:link w:val="CommentTextChar"/>
    <w:uiPriority w:val="99"/>
    <w:unhideWhenUsed/>
    <w:rsid w:val="002A7892"/>
    <w:rPr>
      <w:sz w:val="20"/>
      <w:szCs w:val="20"/>
    </w:rPr>
  </w:style>
  <w:style w:type="character" w:customStyle="1" w:styleId="CommentTextChar">
    <w:name w:val="Comment Text Char"/>
    <w:basedOn w:val="DefaultParagraphFont"/>
    <w:link w:val="CommentText"/>
    <w:uiPriority w:val="99"/>
    <w:rsid w:val="002A7892"/>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2A7892"/>
    <w:rPr>
      <w:b/>
      <w:bCs/>
    </w:rPr>
  </w:style>
  <w:style w:type="character" w:customStyle="1" w:styleId="CommentSubjectChar">
    <w:name w:val="Comment Subject Char"/>
    <w:basedOn w:val="CommentTextChar"/>
    <w:link w:val="CommentSubject"/>
    <w:uiPriority w:val="99"/>
    <w:semiHidden/>
    <w:rsid w:val="002A7892"/>
    <w:rPr>
      <w:rFonts w:ascii="Times New Roman" w:hAnsi="Times New Roman" w:cs="Times New Roman"/>
      <w:b/>
      <w:bCs/>
      <w:sz w:val="20"/>
      <w:szCs w:val="20"/>
      <w:lang w:val="ro-RO"/>
    </w:rPr>
  </w:style>
  <w:style w:type="character" w:styleId="Hyperlink">
    <w:name w:val="Hyperlink"/>
    <w:basedOn w:val="DefaultParagraphFont"/>
    <w:uiPriority w:val="99"/>
    <w:unhideWhenUsed/>
    <w:rsid w:val="002A7892"/>
    <w:rPr>
      <w:color w:val="0000FF" w:themeColor="hyperlink"/>
      <w:u w:val="single"/>
    </w:rPr>
  </w:style>
  <w:style w:type="paragraph" w:styleId="Revision">
    <w:name w:val="Revision"/>
    <w:hidden/>
    <w:uiPriority w:val="99"/>
    <w:semiHidden/>
    <w:rsid w:val="00517282"/>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0052AE"/>
    <w:rPr>
      <w:color w:val="605E5C"/>
      <w:shd w:val="clear" w:color="auto" w:fill="E1DFDD"/>
    </w:rPr>
  </w:style>
  <w:style w:type="character" w:styleId="FollowedHyperlink">
    <w:name w:val="FollowedHyperlink"/>
    <w:basedOn w:val="DefaultParagraphFont"/>
    <w:uiPriority w:val="99"/>
    <w:semiHidden/>
    <w:unhideWhenUsed/>
    <w:rsid w:val="00B1270C"/>
    <w:rPr>
      <w:color w:val="800080" w:themeColor="followedHyperlink"/>
      <w:u w:val="single"/>
    </w:rPr>
  </w:style>
  <w:style w:type="character" w:customStyle="1" w:styleId="HeaderChar">
    <w:name w:val="Header Char"/>
    <w:basedOn w:val="DefaultParagraphFont"/>
    <w:link w:val="Header"/>
    <w:uiPriority w:val="99"/>
    <w:rsid w:val="00AF293F"/>
    <w:rPr>
      <w:rFonts w:ascii="Times New Roman" w:hAnsi="Times New Roman" w:cs="Times New Roman"/>
      <w:sz w:val="24"/>
      <w:lang w:val="ro-RO"/>
    </w:rPr>
  </w:style>
  <w:style w:type="character" w:customStyle="1" w:styleId="FooterChar">
    <w:name w:val="Footer Char"/>
    <w:basedOn w:val="DefaultParagraphFont"/>
    <w:link w:val="Footer"/>
    <w:uiPriority w:val="99"/>
    <w:rsid w:val="00AF293F"/>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F293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F293F"/>
    <w:pPr>
      <w:spacing w:before="0"/>
      <w:jc w:val="right"/>
    </w:pPr>
    <w:rPr>
      <w:sz w:val="28"/>
    </w:rPr>
  </w:style>
  <w:style w:type="paragraph" w:customStyle="1" w:styleId="FooterSensitivity">
    <w:name w:val="Footer Sensitivity"/>
    <w:basedOn w:val="Normal"/>
    <w:rsid w:val="00AF293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F293F"/>
    <w:pPr>
      <w:tabs>
        <w:tab w:val="center" w:pos="4535"/>
        <w:tab w:val="right" w:pos="9071"/>
      </w:tabs>
      <w:spacing w:before="0"/>
    </w:pPr>
  </w:style>
  <w:style w:type="paragraph" w:customStyle="1" w:styleId="HeaderLandscape">
    <w:name w:val="HeaderLandscape"/>
    <w:basedOn w:val="Normal"/>
    <w:rsid w:val="00AF293F"/>
    <w:pPr>
      <w:tabs>
        <w:tab w:val="center" w:pos="7285"/>
        <w:tab w:val="right" w:pos="14003"/>
      </w:tabs>
      <w:spacing w:before="0"/>
    </w:pPr>
  </w:style>
  <w:style w:type="paragraph" w:styleId="Footer">
    <w:name w:val="footer"/>
    <w:basedOn w:val="Normal"/>
    <w:link w:val="FooterChar"/>
    <w:uiPriority w:val="99"/>
    <w:unhideWhenUsed/>
    <w:rsid w:val="00AF293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F293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454258">
      <w:bodyDiv w:val="1"/>
      <w:marLeft w:val="0"/>
      <w:marRight w:val="0"/>
      <w:marTop w:val="0"/>
      <w:marBottom w:val="0"/>
      <w:divBdr>
        <w:top w:val="none" w:sz="0" w:space="0" w:color="auto"/>
        <w:left w:val="none" w:sz="0" w:space="0" w:color="auto"/>
        <w:bottom w:val="none" w:sz="0" w:space="0" w:color="auto"/>
        <w:right w:val="none" w:sz="0" w:space="0" w:color="auto"/>
      </w:divBdr>
    </w:div>
    <w:div w:id="1719360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19/934/oj" TargetMode="External"/><Relationship Id="rId2" Type="http://schemas.openxmlformats.org/officeDocument/2006/relationships/hyperlink" Target="http://data.europa.eu/eli/reg/2013/1308/oj" TargetMode="External"/><Relationship Id="rId1" Type="http://schemas.openxmlformats.org/officeDocument/2006/relationships/hyperlink" Target="https://efsa.onlinelibrary.wiley.com/doi/10.2903/j.efsa.2026.10057" TargetMode="External"/><Relationship Id="rId4" Type="http://schemas.openxmlformats.org/officeDocument/2006/relationships/hyperlink" Target="https://efsa.onlinelibrary.wiley.com/doi/10.2903/j.efsa.2026.1005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e7e27166b6ddd379314dbc4ffb647a9d">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6ba0d890b3d934a84d947fa41105d8de"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0" ma:contentTypeDescription="Create a new document in this library." ma:contentTypeScope="" ma:versionID="9652a2d46328713989bb97f1a4bbd963">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4f29c4ebe26ab41c5114504f141434bd"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A4D5F-9ECB-434C-AA07-6C640E22AE9A}">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7BE34CD8-7CC1-41F4-A302-A61048B05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59C996-6824-4681-BC5A-74CD1FDA1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82790F-FC1E-4F6B-B621-9B29109E9AE0}">
  <ds:schemaRefs>
    <ds:schemaRef ds:uri="http://schemas.microsoft.com/sharepoint/v3/contenttype/forms"/>
  </ds:schemaRefs>
</ds:datastoreItem>
</file>

<file path=customXml/itemProps5.xml><?xml version="1.0" encoding="utf-8"?>
<ds:datastoreItem xmlns:ds="http://schemas.openxmlformats.org/officeDocument/2006/customXml" ds:itemID="{6EEBBFBF-2A29-4845-92B3-41E3A25B9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8</Pages>
  <Words>2844</Words>
  <Characters>16215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2026-07-06T14:52:00Z</dcterms:created>
  <dcterms:modified xsi:type="dcterms:W3CDTF">2026-07-28T12:50:00Z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2023-03-13T07:17:24Z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dfc87e73-c996-4bdf-9171-64439d8d142f</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MediaServiceImageTags">
    <vt:lpwstr/>
  </property>
  <property fmtid="{D5CDD505-2E9C-101B-9397-08002B2CF9AE}" pid="19" name="DQCStatus">
    <vt:lpwstr>Green (DQC version 03)</vt:lpwstr>
  </property>
</Properties>
</file>